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B2363" w14:textId="5F932540" w:rsidR="00416A82" w:rsidRPr="009F1E40" w:rsidRDefault="007E2E6C" w:rsidP="00416A82">
      <w:pPr>
        <w:jc w:val="center"/>
        <w:rPr>
          <w:rFonts w:ascii="Times New Roman" w:hAnsi="Times New Roman"/>
          <w:b/>
          <w:color w:val="000000"/>
          <w:sz w:val="24"/>
          <w:szCs w:val="24"/>
          <w:u w:val="single"/>
        </w:rPr>
      </w:pPr>
      <w:r>
        <w:rPr>
          <w:rFonts w:ascii="Times New Roman" w:hAnsi="Times New Roman"/>
          <w:b/>
          <w:color w:val="000000"/>
          <w:sz w:val="24"/>
          <w:szCs w:val="24"/>
          <w:u w:val="single"/>
        </w:rPr>
        <w:t xml:space="preserve">REPLACEMENT </w:t>
      </w:r>
      <w:r w:rsidR="00416A82" w:rsidRPr="009F1E40">
        <w:rPr>
          <w:rFonts w:ascii="Times New Roman" w:hAnsi="Times New Roman"/>
          <w:b/>
          <w:color w:val="000000"/>
          <w:sz w:val="24"/>
          <w:szCs w:val="24"/>
          <w:u w:val="single"/>
        </w:rPr>
        <w:t>EXPLANATORY STATEMENT</w:t>
      </w:r>
    </w:p>
    <w:p w14:paraId="3CE96BE6" w14:textId="77777777" w:rsidR="00416A82" w:rsidRPr="009F1E40" w:rsidRDefault="00416A82" w:rsidP="00416A82">
      <w:pPr>
        <w:rPr>
          <w:rFonts w:ascii="Times New Roman" w:hAnsi="Times New Roman"/>
          <w:color w:val="000000"/>
          <w:sz w:val="24"/>
          <w:szCs w:val="24"/>
        </w:rPr>
      </w:pPr>
    </w:p>
    <w:p w14:paraId="61DD35B6" w14:textId="77777777" w:rsidR="00416A82" w:rsidRPr="009F1E40" w:rsidRDefault="007378AD" w:rsidP="00416A82">
      <w:pPr>
        <w:jc w:val="center"/>
        <w:rPr>
          <w:rFonts w:ascii="Times New Roman" w:hAnsi="Times New Roman"/>
          <w:i/>
          <w:color w:val="000000"/>
          <w:sz w:val="24"/>
          <w:szCs w:val="24"/>
        </w:rPr>
      </w:pPr>
      <w:r>
        <w:rPr>
          <w:rFonts w:ascii="Times New Roman" w:hAnsi="Times New Roman"/>
          <w:i/>
          <w:color w:val="000000"/>
          <w:sz w:val="24"/>
          <w:szCs w:val="24"/>
        </w:rPr>
        <w:t>Determination made</w:t>
      </w:r>
      <w:r w:rsidR="00416A82" w:rsidRPr="009F1E40">
        <w:rPr>
          <w:rFonts w:ascii="Times New Roman" w:hAnsi="Times New Roman"/>
          <w:i/>
          <w:color w:val="000000"/>
          <w:sz w:val="24"/>
          <w:szCs w:val="24"/>
        </w:rPr>
        <w:t xml:space="preserve"> under section </w:t>
      </w:r>
      <w:r>
        <w:rPr>
          <w:rFonts w:ascii="Times New Roman" w:hAnsi="Times New Roman"/>
          <w:i/>
          <w:color w:val="000000"/>
          <w:sz w:val="24"/>
          <w:szCs w:val="24"/>
        </w:rPr>
        <w:t>30-12</w:t>
      </w:r>
      <w:r w:rsidR="00416A82" w:rsidRPr="009F1E40">
        <w:rPr>
          <w:rFonts w:ascii="Times New Roman" w:hAnsi="Times New Roman"/>
          <w:i/>
          <w:color w:val="000000"/>
          <w:sz w:val="24"/>
          <w:szCs w:val="24"/>
        </w:rPr>
        <w:t xml:space="preserve"> of the Higher Education Support Act 2003</w:t>
      </w:r>
    </w:p>
    <w:p w14:paraId="7E627B2D" w14:textId="77777777" w:rsidR="00416A82" w:rsidRPr="009F1E40" w:rsidRDefault="00416A82" w:rsidP="00416A82">
      <w:pPr>
        <w:jc w:val="center"/>
        <w:rPr>
          <w:rFonts w:ascii="Times New Roman" w:hAnsi="Times New Roman"/>
          <w:color w:val="000000"/>
          <w:sz w:val="24"/>
          <w:szCs w:val="24"/>
          <w:u w:val="single"/>
        </w:rPr>
      </w:pPr>
    </w:p>
    <w:p w14:paraId="231C7B6A" w14:textId="77777777" w:rsidR="00416A82" w:rsidRPr="009F1E40" w:rsidRDefault="007378AD" w:rsidP="00416A82">
      <w:pPr>
        <w:jc w:val="center"/>
        <w:rPr>
          <w:rFonts w:ascii="Times New Roman" w:hAnsi="Times New Roman"/>
          <w:color w:val="000000"/>
          <w:sz w:val="24"/>
          <w:szCs w:val="24"/>
        </w:rPr>
      </w:pPr>
      <w:r>
        <w:rPr>
          <w:rFonts w:ascii="Times New Roman" w:hAnsi="Times New Roman"/>
          <w:i/>
          <w:color w:val="000000"/>
          <w:sz w:val="24"/>
          <w:szCs w:val="24"/>
        </w:rPr>
        <w:t>Higher Education</w:t>
      </w:r>
      <w:r w:rsidR="00416A82" w:rsidRPr="009F1E40">
        <w:rPr>
          <w:rFonts w:ascii="Times New Roman" w:hAnsi="Times New Roman"/>
          <w:i/>
          <w:color w:val="000000"/>
          <w:sz w:val="24"/>
          <w:szCs w:val="24"/>
        </w:rPr>
        <w:t xml:space="preserve"> (</w:t>
      </w:r>
      <w:r>
        <w:rPr>
          <w:rFonts w:ascii="Times New Roman" w:hAnsi="Times New Roman"/>
          <w:i/>
          <w:color w:val="000000"/>
          <w:sz w:val="24"/>
          <w:szCs w:val="24"/>
        </w:rPr>
        <w:t>Designated Courses of Study</w:t>
      </w:r>
      <w:r w:rsidR="00416A82" w:rsidRPr="009F1E40">
        <w:rPr>
          <w:rFonts w:ascii="Times New Roman" w:hAnsi="Times New Roman"/>
          <w:i/>
          <w:color w:val="000000"/>
          <w:sz w:val="24"/>
          <w:szCs w:val="24"/>
        </w:rPr>
        <w:t xml:space="preserve">) </w:t>
      </w:r>
      <w:r>
        <w:rPr>
          <w:rFonts w:ascii="Times New Roman" w:hAnsi="Times New Roman"/>
          <w:i/>
          <w:color w:val="000000"/>
          <w:sz w:val="24"/>
          <w:szCs w:val="24"/>
        </w:rPr>
        <w:t>Specification</w:t>
      </w:r>
      <w:r w:rsidR="00416A82">
        <w:rPr>
          <w:rFonts w:ascii="Times New Roman" w:hAnsi="Times New Roman"/>
          <w:i/>
          <w:color w:val="000000"/>
          <w:sz w:val="24"/>
          <w:szCs w:val="24"/>
        </w:rPr>
        <w:t xml:space="preserve"> 2020</w:t>
      </w:r>
    </w:p>
    <w:p w14:paraId="16B753F9" w14:textId="77777777" w:rsidR="00416A82" w:rsidRPr="009F1E40" w:rsidRDefault="00416A82" w:rsidP="00416A82">
      <w:pPr>
        <w:rPr>
          <w:rFonts w:ascii="Times New Roman" w:hAnsi="Times New Roman"/>
          <w:color w:val="000000"/>
          <w:sz w:val="24"/>
          <w:szCs w:val="24"/>
          <w:u w:val="single"/>
        </w:rPr>
      </w:pPr>
    </w:p>
    <w:p w14:paraId="121D2F5B" w14:textId="77777777" w:rsidR="00416A82" w:rsidRPr="009F1E40" w:rsidRDefault="00416A82" w:rsidP="00416A82">
      <w:pPr>
        <w:rPr>
          <w:rFonts w:ascii="Times New Roman" w:hAnsi="Times New Roman"/>
          <w:color w:val="000000"/>
          <w:sz w:val="24"/>
          <w:szCs w:val="24"/>
        </w:rPr>
      </w:pPr>
    </w:p>
    <w:p w14:paraId="04AE7CDF" w14:textId="77777777" w:rsidR="00416A82" w:rsidRPr="00CB1519" w:rsidRDefault="00416A82" w:rsidP="00416A82">
      <w:pPr>
        <w:rPr>
          <w:rFonts w:ascii="Times New Roman" w:hAnsi="Times New Roman"/>
          <w:b/>
          <w:color w:val="000000"/>
          <w:sz w:val="24"/>
          <w:szCs w:val="24"/>
        </w:rPr>
      </w:pPr>
      <w:r w:rsidRPr="00CB1519">
        <w:rPr>
          <w:rFonts w:ascii="Times New Roman" w:hAnsi="Times New Roman"/>
          <w:b/>
          <w:color w:val="000000"/>
          <w:sz w:val="24"/>
          <w:szCs w:val="24"/>
        </w:rPr>
        <w:t>Authority</w:t>
      </w:r>
    </w:p>
    <w:p w14:paraId="34F91D14" w14:textId="77777777" w:rsidR="00416A82" w:rsidRPr="002A5E67" w:rsidRDefault="00416A82" w:rsidP="00416A82">
      <w:pPr>
        <w:rPr>
          <w:rFonts w:cs="Arial"/>
          <w:szCs w:val="22"/>
          <w:u w:val="single"/>
        </w:rPr>
      </w:pPr>
    </w:p>
    <w:p w14:paraId="53DD463B" w14:textId="77777777" w:rsidR="002165AF" w:rsidRPr="002165AF" w:rsidRDefault="002165AF" w:rsidP="007378AD">
      <w:pPr>
        <w:autoSpaceDE w:val="0"/>
        <w:autoSpaceDN w:val="0"/>
        <w:adjustRightInd w:val="0"/>
        <w:rPr>
          <w:rFonts w:ascii="Times New Roman" w:hAnsi="Times New Roman"/>
          <w:color w:val="000000"/>
          <w:sz w:val="24"/>
          <w:szCs w:val="24"/>
        </w:rPr>
      </w:pPr>
      <w:r w:rsidRPr="002165AF">
        <w:rPr>
          <w:rFonts w:ascii="Times New Roman" w:hAnsi="Times New Roman"/>
          <w:color w:val="000000"/>
          <w:sz w:val="24"/>
          <w:szCs w:val="24"/>
        </w:rPr>
        <w:t xml:space="preserve">The </w:t>
      </w:r>
      <w:r w:rsidR="007378AD">
        <w:rPr>
          <w:rFonts w:ascii="Times New Roman" w:hAnsi="Times New Roman"/>
          <w:color w:val="000000"/>
          <w:sz w:val="24"/>
          <w:szCs w:val="24"/>
        </w:rPr>
        <w:t xml:space="preserve">Higher Education (Designated Courses of Study) Specification 2020 </w:t>
      </w:r>
      <w:r w:rsidRPr="002165AF">
        <w:rPr>
          <w:rFonts w:ascii="Times New Roman" w:hAnsi="Times New Roman"/>
          <w:color w:val="000000"/>
          <w:sz w:val="24"/>
          <w:szCs w:val="24"/>
        </w:rPr>
        <w:t>(</w:t>
      </w:r>
      <w:r w:rsidR="007378AD">
        <w:rPr>
          <w:rFonts w:ascii="Times New Roman" w:hAnsi="Times New Roman"/>
          <w:color w:val="000000"/>
          <w:sz w:val="24"/>
          <w:szCs w:val="24"/>
        </w:rPr>
        <w:t>Specification</w:t>
      </w:r>
      <w:r w:rsidRPr="002165AF">
        <w:rPr>
          <w:rFonts w:ascii="Times New Roman" w:hAnsi="Times New Roman"/>
          <w:color w:val="000000"/>
          <w:sz w:val="24"/>
          <w:szCs w:val="24"/>
        </w:rPr>
        <w:t xml:space="preserve">) is made under section </w:t>
      </w:r>
      <w:r w:rsidR="007378AD">
        <w:rPr>
          <w:rFonts w:ascii="Times New Roman" w:hAnsi="Times New Roman"/>
          <w:color w:val="000000"/>
          <w:sz w:val="24"/>
          <w:szCs w:val="24"/>
        </w:rPr>
        <w:t>30-12</w:t>
      </w:r>
      <w:r w:rsidRPr="002165AF">
        <w:rPr>
          <w:rFonts w:ascii="Times New Roman" w:hAnsi="Times New Roman"/>
          <w:color w:val="000000"/>
          <w:sz w:val="24"/>
          <w:szCs w:val="24"/>
        </w:rPr>
        <w:t xml:space="preserve"> of the </w:t>
      </w:r>
      <w:r w:rsidRPr="00D76075">
        <w:rPr>
          <w:rFonts w:ascii="Times New Roman" w:hAnsi="Times New Roman"/>
          <w:i/>
          <w:color w:val="000000"/>
          <w:sz w:val="24"/>
          <w:szCs w:val="24"/>
        </w:rPr>
        <w:t>Higher Educat</w:t>
      </w:r>
      <w:r w:rsidR="007378AD" w:rsidRPr="00D76075">
        <w:rPr>
          <w:rFonts w:ascii="Times New Roman" w:hAnsi="Times New Roman"/>
          <w:i/>
          <w:color w:val="000000"/>
          <w:sz w:val="24"/>
          <w:szCs w:val="24"/>
        </w:rPr>
        <w:t>ion Support Act 2003</w:t>
      </w:r>
      <w:r w:rsidR="007378AD">
        <w:rPr>
          <w:rFonts w:ascii="Times New Roman" w:hAnsi="Times New Roman"/>
          <w:color w:val="000000"/>
          <w:sz w:val="24"/>
          <w:szCs w:val="24"/>
        </w:rPr>
        <w:t xml:space="preserve"> (Act).</w:t>
      </w:r>
    </w:p>
    <w:p w14:paraId="6ADC2796" w14:textId="77777777" w:rsidR="00416A82" w:rsidRPr="002A5E67" w:rsidRDefault="00416A82" w:rsidP="00416A82">
      <w:pPr>
        <w:rPr>
          <w:rFonts w:cs="Arial"/>
          <w:szCs w:val="22"/>
        </w:rPr>
      </w:pPr>
      <w:r w:rsidRPr="002A5E67">
        <w:rPr>
          <w:rFonts w:cs="Arial"/>
          <w:szCs w:val="22"/>
        </w:rPr>
        <w:t> </w:t>
      </w:r>
    </w:p>
    <w:p w14:paraId="1AE7A3C0" w14:textId="77777777" w:rsidR="00416A82" w:rsidRDefault="00416A82" w:rsidP="00416A82">
      <w:pPr>
        <w:rPr>
          <w:rFonts w:ascii="Times New Roman" w:hAnsi="Times New Roman"/>
          <w:b/>
          <w:color w:val="000000"/>
          <w:sz w:val="24"/>
          <w:szCs w:val="24"/>
        </w:rPr>
      </w:pPr>
      <w:r w:rsidRPr="00967FEC">
        <w:rPr>
          <w:rFonts w:ascii="Times New Roman" w:hAnsi="Times New Roman"/>
          <w:b/>
          <w:color w:val="000000"/>
          <w:sz w:val="24"/>
          <w:szCs w:val="24"/>
        </w:rPr>
        <w:t>Purpose</w:t>
      </w:r>
    </w:p>
    <w:p w14:paraId="4381B2C6" w14:textId="77777777" w:rsidR="00416A82" w:rsidRDefault="00416A82" w:rsidP="00416A82">
      <w:pPr>
        <w:rPr>
          <w:rFonts w:cs="Arial"/>
          <w:szCs w:val="22"/>
          <w:lang w:eastAsia="en-AU"/>
        </w:rPr>
      </w:pPr>
    </w:p>
    <w:p w14:paraId="1F098AC1" w14:textId="367CC99A" w:rsidR="00185AB8" w:rsidRPr="00967FEC" w:rsidRDefault="00416A82" w:rsidP="00416A82">
      <w:pPr>
        <w:rPr>
          <w:rFonts w:ascii="Times New Roman" w:hAnsi="Times New Roman"/>
          <w:color w:val="000000"/>
          <w:sz w:val="24"/>
          <w:szCs w:val="24"/>
        </w:rPr>
      </w:pPr>
      <w:r w:rsidRPr="00967FEC">
        <w:rPr>
          <w:rFonts w:ascii="Times New Roman" w:hAnsi="Times New Roman"/>
          <w:color w:val="000000"/>
          <w:sz w:val="24"/>
          <w:szCs w:val="24"/>
        </w:rPr>
        <w:t xml:space="preserve">The purpose of this </w:t>
      </w:r>
      <w:r w:rsidR="00F95467" w:rsidRPr="009F3ACA">
        <w:rPr>
          <w:rFonts w:ascii="Times New Roman" w:hAnsi="Times New Roman"/>
          <w:color w:val="000000"/>
          <w:sz w:val="24"/>
          <w:szCs w:val="24"/>
        </w:rPr>
        <w:t>Specification</w:t>
      </w:r>
      <w:r w:rsidR="00F95467" w:rsidRPr="00967FEC" w:rsidDel="00F95467">
        <w:rPr>
          <w:rFonts w:ascii="Times New Roman" w:hAnsi="Times New Roman"/>
          <w:color w:val="000000"/>
          <w:sz w:val="24"/>
          <w:szCs w:val="24"/>
        </w:rPr>
        <w:t xml:space="preserve"> </w:t>
      </w:r>
      <w:r w:rsidRPr="00967FEC">
        <w:rPr>
          <w:rFonts w:ascii="Times New Roman" w:hAnsi="Times New Roman"/>
          <w:color w:val="000000"/>
          <w:sz w:val="24"/>
          <w:szCs w:val="24"/>
        </w:rPr>
        <w:t xml:space="preserve">is to </w:t>
      </w:r>
      <w:r w:rsidR="007378AD">
        <w:rPr>
          <w:rFonts w:ascii="Times New Roman" w:hAnsi="Times New Roman"/>
          <w:color w:val="000000"/>
          <w:sz w:val="24"/>
          <w:szCs w:val="24"/>
        </w:rPr>
        <w:t xml:space="preserve">specify courses of study that are designated courses of study for the purposes of subsection 30-12(2) of the Act. </w:t>
      </w:r>
    </w:p>
    <w:p w14:paraId="5862CCB2" w14:textId="77777777" w:rsidR="00416A82" w:rsidRPr="00967FEC" w:rsidRDefault="00416A82" w:rsidP="00416A82">
      <w:pPr>
        <w:rPr>
          <w:rFonts w:ascii="Times New Roman" w:hAnsi="Times New Roman"/>
          <w:b/>
          <w:color w:val="000000"/>
          <w:sz w:val="24"/>
          <w:szCs w:val="24"/>
        </w:rPr>
      </w:pPr>
    </w:p>
    <w:p w14:paraId="6153A3A0" w14:textId="77777777" w:rsidR="00416A82" w:rsidRPr="00967FEC" w:rsidRDefault="00416A82" w:rsidP="00416A82">
      <w:pPr>
        <w:rPr>
          <w:rFonts w:ascii="Times New Roman" w:hAnsi="Times New Roman"/>
          <w:b/>
          <w:color w:val="000000"/>
          <w:sz w:val="24"/>
          <w:szCs w:val="24"/>
        </w:rPr>
      </w:pPr>
      <w:r w:rsidRPr="00967FEC">
        <w:rPr>
          <w:rFonts w:ascii="Times New Roman" w:hAnsi="Times New Roman"/>
          <w:b/>
          <w:color w:val="000000"/>
          <w:sz w:val="24"/>
          <w:szCs w:val="24"/>
        </w:rPr>
        <w:t>Commencement</w:t>
      </w:r>
    </w:p>
    <w:p w14:paraId="60B91E98" w14:textId="77777777" w:rsidR="00416A82" w:rsidRDefault="00416A82" w:rsidP="00416A82">
      <w:pPr>
        <w:rPr>
          <w:rFonts w:cs="Arial"/>
          <w:b/>
        </w:rPr>
      </w:pPr>
    </w:p>
    <w:p w14:paraId="38D79585" w14:textId="77777777" w:rsidR="00416A82" w:rsidRDefault="00416A82" w:rsidP="00416A82">
      <w:pPr>
        <w:rPr>
          <w:rFonts w:cs="Arial"/>
          <w:b/>
        </w:rPr>
      </w:pPr>
      <w:r w:rsidRPr="00967FEC">
        <w:rPr>
          <w:rFonts w:ascii="Times New Roman" w:hAnsi="Times New Roman"/>
          <w:color w:val="000000"/>
          <w:sz w:val="24"/>
          <w:szCs w:val="24"/>
        </w:rPr>
        <w:t xml:space="preserve">The </w:t>
      </w:r>
      <w:r w:rsidR="007378AD">
        <w:rPr>
          <w:rFonts w:ascii="Times New Roman" w:hAnsi="Times New Roman"/>
          <w:color w:val="000000"/>
          <w:sz w:val="24"/>
          <w:szCs w:val="24"/>
        </w:rPr>
        <w:t>Specification</w:t>
      </w:r>
      <w:r w:rsidRPr="00967FEC">
        <w:rPr>
          <w:rFonts w:ascii="Times New Roman" w:hAnsi="Times New Roman"/>
          <w:color w:val="000000"/>
          <w:sz w:val="24"/>
          <w:szCs w:val="24"/>
        </w:rPr>
        <w:t xml:space="preserve"> commences on the day after it is registered on the Federal Register of Legislation</w:t>
      </w:r>
      <w:r>
        <w:rPr>
          <w:rFonts w:cs="Arial"/>
        </w:rPr>
        <w:t xml:space="preserve">. </w:t>
      </w:r>
      <w:r>
        <w:rPr>
          <w:rFonts w:cs="Arial"/>
          <w:b/>
        </w:rPr>
        <w:t xml:space="preserve"> </w:t>
      </w:r>
    </w:p>
    <w:p w14:paraId="418FE329" w14:textId="77777777" w:rsidR="00416A82" w:rsidRDefault="00416A82" w:rsidP="00416A82">
      <w:pPr>
        <w:rPr>
          <w:rFonts w:cs="Arial"/>
          <w:b/>
        </w:rPr>
      </w:pPr>
    </w:p>
    <w:p w14:paraId="480A7F8D" w14:textId="77777777" w:rsidR="00416A82" w:rsidRPr="00967FEC" w:rsidRDefault="00416A82" w:rsidP="00416A82">
      <w:pPr>
        <w:rPr>
          <w:rFonts w:ascii="Times New Roman" w:hAnsi="Times New Roman"/>
          <w:b/>
          <w:color w:val="000000"/>
          <w:sz w:val="24"/>
          <w:szCs w:val="24"/>
        </w:rPr>
      </w:pPr>
      <w:r>
        <w:rPr>
          <w:rFonts w:ascii="Times New Roman" w:hAnsi="Times New Roman"/>
          <w:b/>
          <w:color w:val="000000"/>
          <w:sz w:val="24"/>
          <w:szCs w:val="24"/>
        </w:rPr>
        <w:t>Availability of merits review</w:t>
      </w:r>
    </w:p>
    <w:p w14:paraId="55CC0E07" w14:textId="77777777" w:rsidR="00416A82" w:rsidRDefault="00416A82" w:rsidP="00416A82">
      <w:pPr>
        <w:rPr>
          <w:rFonts w:cs="Arial"/>
          <w:b/>
        </w:rPr>
      </w:pPr>
    </w:p>
    <w:p w14:paraId="1042F92A" w14:textId="71F48AA9" w:rsidR="00416A82" w:rsidRDefault="00416A82" w:rsidP="00416A82">
      <w:pPr>
        <w:rPr>
          <w:rFonts w:cs="Arial"/>
          <w:b/>
        </w:rPr>
      </w:pPr>
      <w:r>
        <w:rPr>
          <w:rFonts w:ascii="Times New Roman" w:hAnsi="Times New Roman"/>
          <w:color w:val="000000"/>
          <w:sz w:val="24"/>
          <w:szCs w:val="24"/>
        </w:rPr>
        <w:t xml:space="preserve">Merits review is unnecessary, as the purpose of this </w:t>
      </w:r>
      <w:r w:rsidR="00DE03C1">
        <w:rPr>
          <w:rFonts w:ascii="Times New Roman" w:hAnsi="Times New Roman"/>
          <w:color w:val="000000"/>
          <w:sz w:val="24"/>
          <w:szCs w:val="24"/>
        </w:rPr>
        <w:t xml:space="preserve">Specification </w:t>
      </w:r>
      <w:r>
        <w:rPr>
          <w:rFonts w:ascii="Times New Roman" w:hAnsi="Times New Roman"/>
          <w:color w:val="000000"/>
          <w:sz w:val="24"/>
          <w:szCs w:val="24"/>
        </w:rPr>
        <w:t>is to</w:t>
      </w:r>
      <w:r w:rsidR="00D764BA">
        <w:rPr>
          <w:rFonts w:ascii="Times New Roman" w:hAnsi="Times New Roman"/>
          <w:color w:val="000000"/>
          <w:sz w:val="24"/>
          <w:szCs w:val="24"/>
        </w:rPr>
        <w:t xml:space="preserve"> specify courses of study that are designated courses of study for the purposes of subsection 30-12(2) of the Act.</w:t>
      </w:r>
      <w:r w:rsidR="00E876B8">
        <w:rPr>
          <w:rFonts w:ascii="Times New Roman" w:hAnsi="Times New Roman"/>
          <w:color w:val="000000"/>
          <w:sz w:val="24"/>
          <w:szCs w:val="24"/>
        </w:rPr>
        <w:t xml:space="preserve"> </w:t>
      </w:r>
      <w:r w:rsidR="00E74CC0" w:rsidRPr="00E74CC0">
        <w:rPr>
          <w:rFonts w:ascii="Times New Roman" w:eastAsiaTheme="minorHAnsi" w:hAnsi="Times New Roman"/>
          <w:bCs/>
          <w:sz w:val="24"/>
          <w:szCs w:val="24"/>
        </w:rPr>
        <w:t>Having regard to</w:t>
      </w:r>
      <w:r w:rsidR="0046332A" w:rsidRPr="009F3ACA">
        <w:rPr>
          <w:rFonts w:ascii="Times New Roman" w:eastAsiaTheme="minorHAnsi" w:hAnsi="Times New Roman"/>
          <w:bCs/>
          <w:sz w:val="24"/>
          <w:szCs w:val="24"/>
        </w:rPr>
        <w:t xml:space="preserve"> the established grounds set out in the Administrative Review Council's Guidance document, </w:t>
      </w:r>
      <w:r w:rsidR="0046332A" w:rsidRPr="009F3ACA">
        <w:rPr>
          <w:rFonts w:ascii="Times New Roman" w:eastAsiaTheme="minorHAnsi" w:hAnsi="Times New Roman"/>
          <w:bCs/>
          <w:i/>
          <w:iCs/>
          <w:sz w:val="24"/>
          <w:szCs w:val="24"/>
        </w:rPr>
        <w:t xml:space="preserve">What decisions should be subject to merit </w:t>
      </w:r>
      <w:proofErr w:type="gramStart"/>
      <w:r w:rsidR="0046332A" w:rsidRPr="009F3ACA">
        <w:rPr>
          <w:rFonts w:ascii="Times New Roman" w:eastAsiaTheme="minorHAnsi" w:hAnsi="Times New Roman"/>
          <w:bCs/>
          <w:i/>
          <w:iCs/>
          <w:sz w:val="24"/>
          <w:szCs w:val="24"/>
        </w:rPr>
        <w:t>review?</w:t>
      </w:r>
      <w:r w:rsidR="0046332A" w:rsidRPr="009F3ACA">
        <w:rPr>
          <w:rFonts w:ascii="Times New Roman" w:hAnsi="Times New Roman"/>
          <w:sz w:val="24"/>
          <w:szCs w:val="24"/>
        </w:rPr>
        <w:t>,</w:t>
      </w:r>
      <w:proofErr w:type="gramEnd"/>
      <w:r w:rsidR="0046332A" w:rsidRPr="009F3ACA">
        <w:rPr>
          <w:rFonts w:ascii="Times New Roman" w:hAnsi="Times New Roman"/>
          <w:sz w:val="24"/>
          <w:szCs w:val="24"/>
        </w:rPr>
        <w:t xml:space="preserve"> th</w:t>
      </w:r>
      <w:r w:rsidR="00E74CC0">
        <w:rPr>
          <w:rFonts w:ascii="Times New Roman" w:hAnsi="Times New Roman"/>
          <w:sz w:val="24"/>
          <w:szCs w:val="24"/>
        </w:rPr>
        <w:t xml:space="preserve">ese </w:t>
      </w:r>
      <w:r w:rsidR="00095424" w:rsidRPr="009F3ACA">
        <w:rPr>
          <w:rFonts w:ascii="Times New Roman" w:hAnsi="Times New Roman"/>
          <w:color w:val="000000"/>
          <w:sz w:val="24"/>
          <w:szCs w:val="24"/>
        </w:rPr>
        <w:t>type</w:t>
      </w:r>
      <w:r w:rsidR="00E74CC0">
        <w:rPr>
          <w:rFonts w:ascii="Times New Roman" w:hAnsi="Times New Roman"/>
          <w:color w:val="000000"/>
          <w:sz w:val="24"/>
          <w:szCs w:val="24"/>
        </w:rPr>
        <w:t>s</w:t>
      </w:r>
      <w:r w:rsidR="00095424" w:rsidRPr="009F3ACA">
        <w:rPr>
          <w:rFonts w:ascii="Times New Roman" w:hAnsi="Times New Roman"/>
          <w:color w:val="000000"/>
          <w:sz w:val="24"/>
          <w:szCs w:val="24"/>
        </w:rPr>
        <w:t xml:space="preserve"> of decision, being </w:t>
      </w:r>
      <w:r w:rsidR="0046332A" w:rsidRPr="0046332A">
        <w:rPr>
          <w:rFonts w:ascii="Times New Roman" w:hAnsi="Times New Roman"/>
          <w:color w:val="000000"/>
          <w:sz w:val="24"/>
          <w:szCs w:val="24"/>
        </w:rPr>
        <w:t>tantamount to a</w:t>
      </w:r>
      <w:r w:rsidR="00095424" w:rsidRPr="009F3ACA">
        <w:rPr>
          <w:rFonts w:ascii="Times New Roman" w:hAnsi="Times New Roman"/>
          <w:color w:val="000000"/>
          <w:sz w:val="24"/>
          <w:szCs w:val="24"/>
        </w:rPr>
        <w:t xml:space="preserve"> </w:t>
      </w:r>
      <w:r w:rsidR="00E74CC0" w:rsidRPr="00E74CC0">
        <w:rPr>
          <w:rFonts w:ascii="Times New Roman" w:hAnsi="Times New Roman"/>
          <w:color w:val="000000"/>
          <w:sz w:val="24"/>
          <w:szCs w:val="24"/>
        </w:rPr>
        <w:t>legislation-like decision</w:t>
      </w:r>
      <w:r w:rsidR="00095424" w:rsidRPr="009F3ACA">
        <w:rPr>
          <w:rFonts w:ascii="Times New Roman" w:hAnsi="Times New Roman"/>
          <w:color w:val="000000"/>
          <w:sz w:val="24"/>
          <w:szCs w:val="24"/>
        </w:rPr>
        <w:t xml:space="preserve"> of broad application (and subject to the accountability safeguards that </w:t>
      </w:r>
      <w:r w:rsidR="0046332A" w:rsidRPr="0046332A">
        <w:rPr>
          <w:rFonts w:ascii="Times New Roman" w:hAnsi="Times New Roman"/>
          <w:color w:val="000000"/>
          <w:sz w:val="24"/>
          <w:szCs w:val="24"/>
        </w:rPr>
        <w:t>apply to legislative decisions)</w:t>
      </w:r>
      <w:r w:rsidR="00095424" w:rsidRPr="009F3ACA">
        <w:rPr>
          <w:rFonts w:ascii="Times New Roman" w:hAnsi="Times New Roman"/>
          <w:color w:val="000000"/>
          <w:sz w:val="24"/>
          <w:szCs w:val="24"/>
        </w:rPr>
        <w:t xml:space="preserve"> </w:t>
      </w:r>
      <w:r w:rsidR="00E876B8">
        <w:rPr>
          <w:rFonts w:ascii="Times New Roman" w:hAnsi="Times New Roman"/>
          <w:color w:val="000000"/>
          <w:sz w:val="24"/>
          <w:szCs w:val="24"/>
        </w:rPr>
        <w:t>are</w:t>
      </w:r>
      <w:r w:rsidR="00095424" w:rsidRPr="009F3ACA">
        <w:rPr>
          <w:rFonts w:ascii="Times New Roman" w:hAnsi="Times New Roman"/>
          <w:color w:val="000000"/>
          <w:sz w:val="24"/>
          <w:szCs w:val="24"/>
        </w:rPr>
        <w:t xml:space="preserve"> not suitable for merits review.</w:t>
      </w:r>
    </w:p>
    <w:p w14:paraId="745D72D5" w14:textId="77777777" w:rsidR="00416A82" w:rsidRPr="008834CE" w:rsidRDefault="00416A82" w:rsidP="00416A82">
      <w:pPr>
        <w:rPr>
          <w:rFonts w:ascii="Times New Roman" w:hAnsi="Times New Roman"/>
          <w:b/>
          <w:color w:val="000000"/>
          <w:sz w:val="24"/>
          <w:szCs w:val="24"/>
        </w:rPr>
      </w:pPr>
    </w:p>
    <w:p w14:paraId="400B4685" w14:textId="77777777" w:rsidR="00416A82" w:rsidRPr="008834CE" w:rsidRDefault="00416A82" w:rsidP="00416A82">
      <w:pPr>
        <w:rPr>
          <w:rFonts w:ascii="Times New Roman" w:hAnsi="Times New Roman"/>
          <w:b/>
          <w:color w:val="000000"/>
          <w:sz w:val="24"/>
          <w:szCs w:val="24"/>
        </w:rPr>
      </w:pPr>
      <w:r w:rsidRPr="008834CE">
        <w:rPr>
          <w:rFonts w:ascii="Times New Roman" w:hAnsi="Times New Roman"/>
          <w:b/>
          <w:color w:val="000000"/>
          <w:sz w:val="24"/>
          <w:szCs w:val="24"/>
        </w:rPr>
        <w:t>Consultation</w:t>
      </w:r>
    </w:p>
    <w:p w14:paraId="06AE9A72" w14:textId="641DF0E1" w:rsidR="00185AB8" w:rsidRDefault="001A3AFB" w:rsidP="008737B2">
      <w:pPr>
        <w:pStyle w:val="MBNumbering"/>
        <w:tabs>
          <w:tab w:val="left" w:pos="72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Pr="001A3AFB">
        <w:rPr>
          <w:rFonts w:ascii="Times New Roman" w:eastAsia="Times New Roman" w:hAnsi="Times New Roman" w:cs="Times New Roman"/>
          <w:color w:val="000000"/>
          <w:sz w:val="24"/>
          <w:szCs w:val="24"/>
        </w:rPr>
        <w:t>comprehensive, open and transparent review of the Australian Qualifications Framework (AQF) was undertaken during 2019, with a final report released in October of that year. The terms of reference included an assessment of the role of micro-credentials, such as short courses, for inclusion in the Framework. Over 130 stakeholder submissions were received in response to the discussion paper, and the expert panel undertook three rounds of stakeholder consultation, including national consultation sessions, for the review. In December 2019, the Government accepted all recommendations of the review in relation to higher education and accepted the aims of recommendations of the review in relation to vocational education, contingent on further discussions with state and territory governments. The review includes a recommendation to revise the AQF reflect general capabilities and emerging skills needs and facilitate credit recognition for shorter form credentials such as micro-credentials.</w:t>
      </w:r>
    </w:p>
    <w:p w14:paraId="7367CA2C" w14:textId="77777777" w:rsidR="00185AB8" w:rsidRDefault="00185AB8" w:rsidP="00185AB8">
      <w:pPr>
        <w:pStyle w:val="MBNumbering"/>
        <w:tabs>
          <w:tab w:val="clear" w:pos="360"/>
          <w:tab w:val="left" w:pos="72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States and territories were consulted extensively as part of the process for introducing the Undergraduate Certificate (UC) as an additional qualification type into the AQF. The Government will also undertake a review of the UC before the end of 2021 to determine its suitability to become a permanent part of the AQF.</w:t>
      </w:r>
    </w:p>
    <w:p w14:paraId="6FC3F41D" w14:textId="77777777" w:rsidR="00185AB8" w:rsidRDefault="00185AB8" w:rsidP="00185AB8">
      <w:pPr>
        <w:pStyle w:val="MBNumbering"/>
        <w:tabs>
          <w:tab w:val="clear" w:pos="360"/>
          <w:tab w:val="left" w:pos="72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lead up to the announcement of the April 2020 Higher Education Relief Package, informal discussions were held with the higher education sector on the concept of </w:t>
      </w:r>
      <w:r>
        <w:rPr>
          <w:rFonts w:ascii="Times New Roman" w:eastAsia="Times New Roman" w:hAnsi="Times New Roman" w:cs="Times New Roman"/>
          <w:color w:val="000000"/>
          <w:sz w:val="24"/>
          <w:szCs w:val="24"/>
        </w:rPr>
        <w:lastRenderedPageBreak/>
        <w:t>introducing, on a trial basis, an accredited short course to allow people to upskill or reskill through a recognised qualification while physically isolating.</w:t>
      </w:r>
    </w:p>
    <w:p w14:paraId="6BBA4245" w14:textId="6D7FEAAA" w:rsidR="00185AB8" w:rsidRDefault="00374B9D" w:rsidP="00F01761">
      <w:pPr>
        <w:rPr>
          <w:rFonts w:ascii="Times New Roman" w:hAnsi="Times New Roman"/>
          <w:color w:val="000000"/>
          <w:sz w:val="24"/>
          <w:szCs w:val="24"/>
        </w:rPr>
      </w:pPr>
      <w:r>
        <w:rPr>
          <w:rFonts w:ascii="Times New Roman" w:hAnsi="Times New Roman"/>
          <w:color w:val="000000"/>
          <w:sz w:val="24"/>
          <w:szCs w:val="24"/>
        </w:rPr>
        <w:t xml:space="preserve">This instrument specifies courses leading to the award of an </w:t>
      </w:r>
      <w:r w:rsidR="002E7842" w:rsidRPr="00F01761">
        <w:rPr>
          <w:rFonts w:ascii="Times New Roman" w:hAnsi="Times New Roman"/>
          <w:color w:val="000000"/>
          <w:sz w:val="24"/>
          <w:szCs w:val="24"/>
        </w:rPr>
        <w:t xml:space="preserve">undergraduate certificate as ‘designated courses of study’ under </w:t>
      </w:r>
      <w:r w:rsidR="00E7041C">
        <w:rPr>
          <w:rFonts w:ascii="Times New Roman" w:hAnsi="Times New Roman"/>
          <w:color w:val="000000"/>
          <w:sz w:val="24"/>
          <w:szCs w:val="24"/>
        </w:rPr>
        <w:t>the Act</w:t>
      </w:r>
      <w:r w:rsidR="002E7842" w:rsidRPr="00F01761">
        <w:rPr>
          <w:rFonts w:ascii="Times New Roman" w:hAnsi="Times New Roman"/>
          <w:color w:val="000000"/>
          <w:sz w:val="24"/>
          <w:szCs w:val="24"/>
        </w:rPr>
        <w:t xml:space="preserve">, meaning that funding can be provided for </w:t>
      </w:r>
      <w:r>
        <w:rPr>
          <w:rFonts w:ascii="Times New Roman" w:hAnsi="Times New Roman"/>
          <w:color w:val="000000"/>
          <w:sz w:val="24"/>
          <w:szCs w:val="24"/>
        </w:rPr>
        <w:t>U</w:t>
      </w:r>
      <w:r w:rsidR="002E7842" w:rsidRPr="00F01761">
        <w:rPr>
          <w:rFonts w:ascii="Times New Roman" w:hAnsi="Times New Roman"/>
          <w:color w:val="000000"/>
          <w:sz w:val="24"/>
          <w:szCs w:val="24"/>
        </w:rPr>
        <w:t xml:space="preserve">ndergraduate </w:t>
      </w:r>
      <w:r>
        <w:rPr>
          <w:rFonts w:ascii="Times New Roman" w:hAnsi="Times New Roman"/>
          <w:color w:val="000000"/>
          <w:sz w:val="24"/>
          <w:szCs w:val="24"/>
        </w:rPr>
        <w:t>C</w:t>
      </w:r>
      <w:r w:rsidR="002E7842" w:rsidRPr="00F01761">
        <w:rPr>
          <w:rFonts w:ascii="Times New Roman" w:hAnsi="Times New Roman"/>
          <w:color w:val="000000"/>
          <w:sz w:val="24"/>
          <w:szCs w:val="24"/>
        </w:rPr>
        <w:t xml:space="preserve">ertificates under that Act. </w:t>
      </w:r>
      <w:r w:rsidR="00F01761" w:rsidRPr="00F01761">
        <w:rPr>
          <w:rFonts w:ascii="Times New Roman" w:hAnsi="Times New Roman"/>
          <w:color w:val="000000"/>
          <w:sz w:val="24"/>
          <w:szCs w:val="24"/>
        </w:rPr>
        <w:t>The Undergraduate Certificate is a new award in the Australian Qualifications Framework</w:t>
      </w:r>
      <w:r w:rsidR="002E7842">
        <w:rPr>
          <w:rFonts w:ascii="Times New Roman" w:hAnsi="Times New Roman"/>
          <w:color w:val="000000"/>
          <w:sz w:val="24"/>
          <w:szCs w:val="24"/>
        </w:rPr>
        <w:t xml:space="preserve"> (‘AQF’)</w:t>
      </w:r>
      <w:r w:rsidR="00F01761" w:rsidRPr="00F01761">
        <w:rPr>
          <w:rFonts w:ascii="Times New Roman" w:hAnsi="Times New Roman"/>
          <w:color w:val="000000"/>
          <w:sz w:val="24"/>
          <w:szCs w:val="24"/>
        </w:rPr>
        <w:t xml:space="preserve">, </w:t>
      </w:r>
      <w:r>
        <w:rPr>
          <w:rFonts w:ascii="Times New Roman" w:hAnsi="Times New Roman"/>
          <w:color w:val="000000"/>
          <w:sz w:val="24"/>
          <w:szCs w:val="24"/>
        </w:rPr>
        <w:t xml:space="preserve">providing a qualification of six months duration </w:t>
      </w:r>
      <w:r w:rsidR="00F01761" w:rsidRPr="00F01761">
        <w:rPr>
          <w:rFonts w:ascii="Times New Roman" w:hAnsi="Times New Roman"/>
          <w:color w:val="000000"/>
          <w:sz w:val="24"/>
          <w:szCs w:val="24"/>
        </w:rPr>
        <w:t>as part of the Australian Government’s Higher Education Relief Package in response to the COVID-19 pandemic.</w:t>
      </w:r>
    </w:p>
    <w:p w14:paraId="6503EBC8" w14:textId="77777777" w:rsidR="00476B8E" w:rsidRDefault="00476B8E" w:rsidP="00F01761">
      <w:pPr>
        <w:rPr>
          <w:rFonts w:ascii="Times New Roman" w:hAnsi="Times New Roman"/>
          <w:color w:val="000000"/>
          <w:sz w:val="24"/>
          <w:szCs w:val="24"/>
        </w:rPr>
      </w:pPr>
    </w:p>
    <w:p w14:paraId="23B7C5EA" w14:textId="56F736F3" w:rsidR="00E876B8" w:rsidRDefault="00F01761" w:rsidP="00F01761">
      <w:pPr>
        <w:rPr>
          <w:rFonts w:ascii="Times New Roman" w:hAnsi="Times New Roman"/>
          <w:color w:val="000000"/>
          <w:sz w:val="24"/>
          <w:szCs w:val="24"/>
        </w:rPr>
      </w:pPr>
      <w:r w:rsidRPr="00F01761">
        <w:rPr>
          <w:rFonts w:ascii="Times New Roman" w:hAnsi="Times New Roman"/>
          <w:color w:val="000000"/>
          <w:sz w:val="24"/>
          <w:szCs w:val="24"/>
        </w:rPr>
        <w:t xml:space="preserve">As universities responded quickly and positively to the April 2020 Higher Education Relief Package, they were already offering a large number of short courses in a range of areas of national need by the time the </w:t>
      </w:r>
      <w:r w:rsidR="00DD3CDD">
        <w:rPr>
          <w:rFonts w:ascii="Times New Roman" w:hAnsi="Times New Roman"/>
          <w:color w:val="000000"/>
          <w:sz w:val="24"/>
          <w:szCs w:val="24"/>
        </w:rPr>
        <w:t>S</w:t>
      </w:r>
      <w:r w:rsidRPr="00F01761">
        <w:rPr>
          <w:rFonts w:ascii="Times New Roman" w:hAnsi="Times New Roman"/>
          <w:color w:val="000000"/>
          <w:sz w:val="24"/>
          <w:szCs w:val="24"/>
        </w:rPr>
        <w:t>pecification was drafted. As such, no additional consultation was undertaken on the Specification. In addition, more detailed consultation was not considered necessary as the Specification is beneficial to students and higher education providers</w:t>
      </w:r>
      <w:r>
        <w:rPr>
          <w:rFonts w:ascii="Times New Roman" w:hAnsi="Times New Roman"/>
          <w:color w:val="000000"/>
          <w:sz w:val="24"/>
          <w:szCs w:val="24"/>
        </w:rPr>
        <w:t>.</w:t>
      </w:r>
    </w:p>
    <w:p w14:paraId="5F38DD36" w14:textId="77777777" w:rsidR="00F01761" w:rsidRPr="00F01761" w:rsidRDefault="00F01761" w:rsidP="00F01761">
      <w:pPr>
        <w:rPr>
          <w:rFonts w:ascii="Times New Roman" w:hAnsi="Times New Roman"/>
          <w:color w:val="000000"/>
          <w:sz w:val="24"/>
          <w:szCs w:val="24"/>
        </w:rPr>
      </w:pPr>
    </w:p>
    <w:p w14:paraId="4073A794" w14:textId="4B30A1B0" w:rsidR="00416A82" w:rsidRPr="008834CE" w:rsidRDefault="00416A82" w:rsidP="00416A82">
      <w:pPr>
        <w:rPr>
          <w:rFonts w:ascii="Times New Roman" w:hAnsi="Times New Roman"/>
          <w:b/>
          <w:color w:val="000000"/>
          <w:sz w:val="24"/>
          <w:szCs w:val="24"/>
        </w:rPr>
      </w:pPr>
      <w:r w:rsidRPr="008834CE">
        <w:rPr>
          <w:rFonts w:ascii="Times New Roman" w:hAnsi="Times New Roman"/>
          <w:b/>
          <w:color w:val="000000"/>
          <w:sz w:val="24"/>
          <w:szCs w:val="24"/>
        </w:rPr>
        <w:t>Regulatory Impact Statement</w:t>
      </w:r>
    </w:p>
    <w:p w14:paraId="2FF0C27E" w14:textId="77777777" w:rsidR="00416A82" w:rsidRPr="00840605" w:rsidRDefault="00416A82" w:rsidP="00416A82">
      <w:pPr>
        <w:rPr>
          <w:rFonts w:cs="Arial"/>
          <w:b/>
          <w:u w:val="single"/>
        </w:rPr>
      </w:pPr>
    </w:p>
    <w:p w14:paraId="42621A90" w14:textId="23CB8E73" w:rsidR="00416A82" w:rsidRPr="009F3ACA" w:rsidRDefault="00D66E25" w:rsidP="00416A82">
      <w:pPr>
        <w:rPr>
          <w:rFonts w:ascii="Times New Roman" w:hAnsi="Times New Roman"/>
          <w:sz w:val="24"/>
          <w:szCs w:val="24"/>
        </w:rPr>
      </w:pPr>
      <w:r w:rsidRPr="009F3ACA">
        <w:rPr>
          <w:rFonts w:ascii="Times New Roman" w:hAnsi="Times New Roman"/>
          <w:sz w:val="24"/>
          <w:szCs w:val="24"/>
        </w:rPr>
        <w:t xml:space="preserve">Advice from OBPR </w:t>
      </w:r>
      <w:r w:rsidR="00751D6D">
        <w:rPr>
          <w:rFonts w:ascii="Times New Roman" w:hAnsi="Times New Roman"/>
          <w:sz w:val="24"/>
          <w:szCs w:val="24"/>
        </w:rPr>
        <w:t xml:space="preserve">(ID 26451) </w:t>
      </w:r>
      <w:r w:rsidRPr="009F3ACA">
        <w:rPr>
          <w:rFonts w:ascii="Times New Roman" w:hAnsi="Times New Roman"/>
          <w:sz w:val="24"/>
          <w:szCs w:val="24"/>
        </w:rPr>
        <w:t xml:space="preserve">is that this is </w:t>
      </w:r>
      <w:r w:rsidR="00F95467">
        <w:rPr>
          <w:rFonts w:ascii="Times New Roman" w:hAnsi="Times New Roman"/>
          <w:sz w:val="24"/>
          <w:szCs w:val="24"/>
        </w:rPr>
        <w:t xml:space="preserve">a </w:t>
      </w:r>
      <w:r w:rsidRPr="00E876B8">
        <w:rPr>
          <w:rFonts w:ascii="Times New Roman" w:hAnsi="Times New Roman"/>
          <w:sz w:val="24"/>
          <w:szCs w:val="24"/>
        </w:rPr>
        <w:t>minor proposal and a regulation impact statement is not required.</w:t>
      </w:r>
      <w:r w:rsidRPr="009F3ACA">
        <w:rPr>
          <w:rFonts w:ascii="Times New Roman" w:hAnsi="Times New Roman"/>
          <w:sz w:val="24"/>
          <w:szCs w:val="24"/>
        </w:rPr>
        <w:t xml:space="preserve"> </w:t>
      </w:r>
    </w:p>
    <w:p w14:paraId="48A1E865" w14:textId="77777777" w:rsidR="00416A82" w:rsidRPr="00321776" w:rsidRDefault="00416A82" w:rsidP="00416A82">
      <w:pPr>
        <w:rPr>
          <w:rFonts w:ascii="Times New Roman" w:hAnsi="Times New Roman"/>
          <w:b/>
          <w:color w:val="000000"/>
          <w:sz w:val="24"/>
          <w:szCs w:val="24"/>
        </w:rPr>
      </w:pPr>
    </w:p>
    <w:p w14:paraId="065D3B9E" w14:textId="77777777" w:rsidR="00416A82" w:rsidRPr="00321776" w:rsidRDefault="00416A82" w:rsidP="00416A82">
      <w:pPr>
        <w:rPr>
          <w:rFonts w:ascii="Times New Roman" w:hAnsi="Times New Roman"/>
          <w:b/>
          <w:color w:val="000000"/>
          <w:sz w:val="24"/>
          <w:szCs w:val="24"/>
        </w:rPr>
      </w:pPr>
      <w:r w:rsidRPr="00321776">
        <w:rPr>
          <w:rFonts w:ascii="Times New Roman" w:hAnsi="Times New Roman"/>
          <w:b/>
          <w:color w:val="000000"/>
          <w:sz w:val="24"/>
          <w:szCs w:val="24"/>
        </w:rPr>
        <w:t>Explanation of the provisions</w:t>
      </w:r>
    </w:p>
    <w:p w14:paraId="41C4D678" w14:textId="77777777" w:rsidR="00416A82" w:rsidRDefault="00416A82" w:rsidP="00416A82">
      <w:pPr>
        <w:rPr>
          <w:rFonts w:cs="Arial"/>
          <w:b/>
          <w:szCs w:val="22"/>
          <w:u w:val="single"/>
        </w:rPr>
      </w:pPr>
    </w:p>
    <w:p w14:paraId="37648AAB" w14:textId="77777777" w:rsidR="00416A82" w:rsidRDefault="00416A82" w:rsidP="00416A82">
      <w:pPr>
        <w:spacing w:before="120" w:after="120"/>
        <w:rPr>
          <w:rFonts w:ascii="Times New Roman" w:hAnsi="Times New Roman"/>
          <w:bCs/>
          <w:color w:val="000000"/>
          <w:sz w:val="24"/>
          <w:szCs w:val="24"/>
        </w:rPr>
      </w:pPr>
      <w:r>
        <w:rPr>
          <w:rFonts w:ascii="Times New Roman" w:hAnsi="Times New Roman"/>
          <w:b/>
          <w:bCs/>
          <w:color w:val="000000"/>
          <w:sz w:val="24"/>
          <w:szCs w:val="24"/>
        </w:rPr>
        <w:t>Section 1</w:t>
      </w:r>
      <w:r>
        <w:rPr>
          <w:rFonts w:ascii="Times New Roman" w:hAnsi="Times New Roman"/>
          <w:bCs/>
          <w:color w:val="000000"/>
          <w:sz w:val="24"/>
          <w:szCs w:val="24"/>
        </w:rPr>
        <w:t xml:space="preserve"> provides that the name of the </w:t>
      </w:r>
      <w:r w:rsidR="007378AD">
        <w:rPr>
          <w:rFonts w:ascii="Times New Roman" w:hAnsi="Times New Roman"/>
          <w:bCs/>
          <w:color w:val="000000"/>
          <w:sz w:val="24"/>
          <w:szCs w:val="24"/>
        </w:rPr>
        <w:t>Specification</w:t>
      </w:r>
      <w:r>
        <w:rPr>
          <w:rFonts w:ascii="Times New Roman" w:hAnsi="Times New Roman"/>
          <w:bCs/>
          <w:color w:val="000000"/>
          <w:sz w:val="24"/>
          <w:szCs w:val="24"/>
        </w:rPr>
        <w:t xml:space="preserve"> is the </w:t>
      </w:r>
      <w:r w:rsidR="007378AD">
        <w:rPr>
          <w:rFonts w:ascii="Times New Roman" w:hAnsi="Times New Roman"/>
          <w:bCs/>
          <w:i/>
          <w:color w:val="000000"/>
          <w:sz w:val="24"/>
          <w:szCs w:val="24"/>
        </w:rPr>
        <w:t>Higher Education (Designated Courses of Study) Specification 2020</w:t>
      </w:r>
      <w:r>
        <w:rPr>
          <w:rFonts w:ascii="Times New Roman" w:hAnsi="Times New Roman"/>
          <w:bCs/>
          <w:color w:val="000000"/>
          <w:sz w:val="24"/>
          <w:szCs w:val="24"/>
        </w:rPr>
        <w:t>.</w:t>
      </w:r>
    </w:p>
    <w:p w14:paraId="27288A21" w14:textId="2D856C49" w:rsidR="00416A82" w:rsidRDefault="00416A82" w:rsidP="00416A82">
      <w:pPr>
        <w:spacing w:before="120" w:after="120"/>
        <w:rPr>
          <w:rFonts w:ascii="Times New Roman" w:hAnsi="Times New Roman"/>
          <w:bCs/>
          <w:color w:val="000000"/>
          <w:sz w:val="24"/>
          <w:szCs w:val="24"/>
        </w:rPr>
      </w:pPr>
      <w:r>
        <w:rPr>
          <w:rFonts w:ascii="Times New Roman" w:hAnsi="Times New Roman"/>
          <w:b/>
          <w:bCs/>
          <w:color w:val="000000"/>
          <w:sz w:val="24"/>
          <w:szCs w:val="24"/>
        </w:rPr>
        <w:t>Section 2</w:t>
      </w:r>
      <w:r>
        <w:rPr>
          <w:rFonts w:ascii="Times New Roman" w:hAnsi="Times New Roman"/>
          <w:bCs/>
          <w:color w:val="000000"/>
          <w:sz w:val="24"/>
          <w:szCs w:val="24"/>
        </w:rPr>
        <w:t xml:space="preserve"> provides for the commencement of the </w:t>
      </w:r>
      <w:r w:rsidR="00F95467" w:rsidRPr="009F3ACA">
        <w:rPr>
          <w:rFonts w:ascii="Times New Roman" w:hAnsi="Times New Roman"/>
          <w:bCs/>
          <w:color w:val="000000"/>
          <w:sz w:val="24"/>
          <w:szCs w:val="24"/>
        </w:rPr>
        <w:t>Specification</w:t>
      </w:r>
      <w:r>
        <w:rPr>
          <w:rFonts w:ascii="Times New Roman" w:hAnsi="Times New Roman"/>
          <w:bCs/>
          <w:color w:val="000000"/>
          <w:sz w:val="24"/>
          <w:szCs w:val="24"/>
        </w:rPr>
        <w:t xml:space="preserve">. The </w:t>
      </w:r>
      <w:r w:rsidR="00DE03C1" w:rsidRPr="00994492">
        <w:rPr>
          <w:rFonts w:ascii="Times New Roman" w:hAnsi="Times New Roman"/>
          <w:bCs/>
          <w:color w:val="000000"/>
          <w:sz w:val="24"/>
          <w:szCs w:val="24"/>
        </w:rPr>
        <w:t>Specification</w:t>
      </w:r>
      <w:r>
        <w:rPr>
          <w:rFonts w:ascii="Times New Roman" w:hAnsi="Times New Roman"/>
          <w:bCs/>
          <w:color w:val="000000"/>
          <w:sz w:val="24"/>
          <w:szCs w:val="24"/>
        </w:rPr>
        <w:t xml:space="preserve"> commences on the day after it is registered on the Federal Register of Legislation.</w:t>
      </w:r>
    </w:p>
    <w:p w14:paraId="5947DCD1" w14:textId="4CABEF6E" w:rsidR="00416A82" w:rsidRDefault="00416A82" w:rsidP="00416A82">
      <w:pPr>
        <w:spacing w:before="120" w:after="120"/>
        <w:rPr>
          <w:rFonts w:ascii="Times New Roman" w:hAnsi="Times New Roman"/>
          <w:bCs/>
          <w:color w:val="000000"/>
          <w:sz w:val="24"/>
          <w:szCs w:val="24"/>
        </w:rPr>
      </w:pPr>
      <w:r>
        <w:rPr>
          <w:rFonts w:ascii="Times New Roman" w:hAnsi="Times New Roman"/>
          <w:b/>
          <w:bCs/>
          <w:color w:val="000000"/>
          <w:sz w:val="24"/>
          <w:szCs w:val="24"/>
        </w:rPr>
        <w:t>Section 3</w:t>
      </w:r>
      <w:r>
        <w:rPr>
          <w:rFonts w:ascii="Times New Roman" w:hAnsi="Times New Roman"/>
          <w:bCs/>
          <w:color w:val="000000"/>
          <w:sz w:val="24"/>
          <w:szCs w:val="24"/>
        </w:rPr>
        <w:t xml:space="preserve"> states that the </w:t>
      </w:r>
      <w:r w:rsidR="00F95467" w:rsidRPr="00BC6A09">
        <w:rPr>
          <w:rFonts w:ascii="Times New Roman" w:hAnsi="Times New Roman"/>
          <w:bCs/>
          <w:color w:val="000000"/>
          <w:sz w:val="24"/>
          <w:szCs w:val="24"/>
        </w:rPr>
        <w:t>Specification</w:t>
      </w:r>
      <w:r>
        <w:rPr>
          <w:rFonts w:ascii="Times New Roman" w:hAnsi="Times New Roman"/>
          <w:bCs/>
          <w:color w:val="000000"/>
          <w:sz w:val="24"/>
          <w:szCs w:val="24"/>
        </w:rPr>
        <w:t xml:space="preserve"> is made under s</w:t>
      </w:r>
      <w:r w:rsidR="007378AD">
        <w:rPr>
          <w:rFonts w:ascii="Times New Roman" w:hAnsi="Times New Roman"/>
          <w:bCs/>
          <w:color w:val="000000"/>
          <w:sz w:val="24"/>
          <w:szCs w:val="24"/>
        </w:rPr>
        <w:t>ubs</w:t>
      </w:r>
      <w:r>
        <w:rPr>
          <w:rFonts w:ascii="Times New Roman" w:hAnsi="Times New Roman"/>
          <w:bCs/>
          <w:color w:val="000000"/>
          <w:sz w:val="24"/>
          <w:szCs w:val="24"/>
        </w:rPr>
        <w:t>ection </w:t>
      </w:r>
      <w:r w:rsidR="007378AD">
        <w:rPr>
          <w:rFonts w:ascii="Times New Roman" w:hAnsi="Times New Roman"/>
          <w:bCs/>
          <w:color w:val="000000"/>
          <w:sz w:val="24"/>
          <w:szCs w:val="24"/>
        </w:rPr>
        <w:t>30-12(2)</w:t>
      </w:r>
      <w:r>
        <w:rPr>
          <w:rFonts w:ascii="Times New Roman" w:hAnsi="Times New Roman"/>
          <w:bCs/>
          <w:color w:val="000000"/>
          <w:sz w:val="24"/>
          <w:szCs w:val="24"/>
        </w:rPr>
        <w:t xml:space="preserve"> of the Act.</w:t>
      </w:r>
    </w:p>
    <w:p w14:paraId="34EF2D0C" w14:textId="77777777" w:rsidR="007378AD" w:rsidRDefault="007378AD" w:rsidP="00416A82">
      <w:pPr>
        <w:spacing w:before="120" w:after="120"/>
        <w:rPr>
          <w:rFonts w:ascii="Times New Roman" w:hAnsi="Times New Roman"/>
          <w:bCs/>
          <w:color w:val="000000"/>
          <w:sz w:val="24"/>
          <w:szCs w:val="24"/>
        </w:rPr>
      </w:pPr>
      <w:r>
        <w:rPr>
          <w:rFonts w:ascii="Times New Roman" w:hAnsi="Times New Roman"/>
          <w:b/>
          <w:bCs/>
          <w:color w:val="000000"/>
          <w:sz w:val="24"/>
          <w:szCs w:val="24"/>
        </w:rPr>
        <w:t>Section 4</w:t>
      </w:r>
      <w:r>
        <w:rPr>
          <w:rFonts w:ascii="Times New Roman" w:hAnsi="Times New Roman"/>
          <w:bCs/>
          <w:color w:val="000000"/>
          <w:sz w:val="24"/>
          <w:szCs w:val="24"/>
        </w:rPr>
        <w:t xml:space="preserve"> defines terms used in the Specification.</w:t>
      </w:r>
    </w:p>
    <w:p w14:paraId="569FE725" w14:textId="4458C155" w:rsidR="00416A82" w:rsidRPr="004E2722" w:rsidRDefault="00416A82" w:rsidP="00416A82">
      <w:pPr>
        <w:spacing w:before="120" w:after="120"/>
        <w:rPr>
          <w:rFonts w:ascii="Times New Roman" w:hAnsi="Times New Roman"/>
          <w:bCs/>
          <w:color w:val="000000"/>
          <w:sz w:val="24"/>
          <w:szCs w:val="24"/>
        </w:rPr>
      </w:pPr>
      <w:r>
        <w:rPr>
          <w:rFonts w:ascii="Times New Roman" w:hAnsi="Times New Roman"/>
          <w:b/>
          <w:bCs/>
          <w:color w:val="000000"/>
          <w:sz w:val="24"/>
          <w:szCs w:val="24"/>
        </w:rPr>
        <w:t>Section </w:t>
      </w:r>
      <w:r w:rsidR="007378AD">
        <w:rPr>
          <w:rFonts w:ascii="Times New Roman" w:hAnsi="Times New Roman"/>
          <w:b/>
          <w:bCs/>
          <w:color w:val="000000"/>
          <w:sz w:val="24"/>
          <w:szCs w:val="24"/>
        </w:rPr>
        <w:t>5</w:t>
      </w:r>
      <w:r>
        <w:rPr>
          <w:rFonts w:ascii="Times New Roman" w:hAnsi="Times New Roman"/>
          <w:bCs/>
          <w:color w:val="000000"/>
          <w:sz w:val="24"/>
          <w:szCs w:val="24"/>
        </w:rPr>
        <w:t xml:space="preserve"> provides that each instrument that is specified in a Schedule to the </w:t>
      </w:r>
      <w:r w:rsidR="00DE03C1" w:rsidRPr="00994492">
        <w:rPr>
          <w:rFonts w:ascii="Times New Roman" w:hAnsi="Times New Roman"/>
          <w:bCs/>
          <w:color w:val="000000"/>
          <w:sz w:val="24"/>
          <w:szCs w:val="24"/>
        </w:rPr>
        <w:t>Specification</w:t>
      </w:r>
      <w:r>
        <w:rPr>
          <w:rFonts w:ascii="Times New Roman" w:hAnsi="Times New Roman"/>
          <w:bCs/>
          <w:color w:val="000000"/>
          <w:sz w:val="24"/>
          <w:szCs w:val="24"/>
        </w:rPr>
        <w:t xml:space="preserve"> is amended or repealed as set out in the Schedule.</w:t>
      </w:r>
    </w:p>
    <w:p w14:paraId="4F7362B6" w14:textId="77777777" w:rsidR="00416A82" w:rsidRDefault="007378AD" w:rsidP="007378AD">
      <w:pPr>
        <w:rPr>
          <w:rFonts w:ascii="Times New Roman" w:hAnsi="Times New Roman"/>
          <w:bCs/>
          <w:color w:val="000000"/>
          <w:sz w:val="24"/>
          <w:szCs w:val="24"/>
        </w:rPr>
      </w:pPr>
      <w:r w:rsidRPr="007378AD">
        <w:rPr>
          <w:rFonts w:ascii="Times New Roman" w:hAnsi="Times New Roman"/>
          <w:b/>
          <w:bCs/>
          <w:color w:val="000000"/>
          <w:sz w:val="24"/>
          <w:szCs w:val="24"/>
        </w:rPr>
        <w:t>Section 6</w:t>
      </w:r>
      <w:r>
        <w:rPr>
          <w:rFonts w:ascii="Times New Roman" w:hAnsi="Times New Roman"/>
          <w:b/>
          <w:bCs/>
          <w:color w:val="000000"/>
          <w:sz w:val="24"/>
          <w:szCs w:val="24"/>
        </w:rPr>
        <w:t xml:space="preserve"> </w:t>
      </w:r>
      <w:r w:rsidR="00D12311" w:rsidRPr="00D12311">
        <w:rPr>
          <w:rFonts w:ascii="Times New Roman" w:hAnsi="Times New Roman"/>
          <w:bCs/>
          <w:color w:val="000000"/>
          <w:sz w:val="24"/>
          <w:szCs w:val="24"/>
        </w:rPr>
        <w:t>specifies the courses of study, in</w:t>
      </w:r>
      <w:r w:rsidR="00D12311">
        <w:rPr>
          <w:rFonts w:ascii="Times New Roman" w:hAnsi="Times New Roman"/>
          <w:bCs/>
          <w:color w:val="000000"/>
          <w:sz w:val="24"/>
          <w:szCs w:val="24"/>
        </w:rPr>
        <w:t xml:space="preserve"> relation to Table A providers </w:t>
      </w:r>
      <w:r w:rsidR="00D12311" w:rsidRPr="00D12311">
        <w:rPr>
          <w:rFonts w:ascii="Times New Roman" w:hAnsi="Times New Roman"/>
          <w:bCs/>
          <w:color w:val="000000"/>
          <w:sz w:val="24"/>
          <w:szCs w:val="24"/>
        </w:rPr>
        <w:t>that</w:t>
      </w:r>
      <w:r w:rsidR="00D12311">
        <w:rPr>
          <w:rFonts w:ascii="Times New Roman" w:hAnsi="Times New Roman"/>
          <w:bCs/>
          <w:color w:val="000000"/>
          <w:sz w:val="24"/>
          <w:szCs w:val="24"/>
        </w:rPr>
        <w:t xml:space="preserve"> are designated courses of study, including:</w:t>
      </w:r>
    </w:p>
    <w:p w14:paraId="189ECC04" w14:textId="77777777" w:rsidR="00D12311" w:rsidRDefault="00D12311" w:rsidP="007378AD">
      <w:pPr>
        <w:rPr>
          <w:rFonts w:ascii="Times New Roman" w:hAnsi="Times New Roman"/>
          <w:bCs/>
          <w:color w:val="000000"/>
          <w:sz w:val="24"/>
          <w:szCs w:val="24"/>
        </w:rPr>
      </w:pPr>
    </w:p>
    <w:p w14:paraId="1F057E83" w14:textId="77777777" w:rsidR="00D12311" w:rsidRPr="00D12311" w:rsidRDefault="00D12311" w:rsidP="00D12311">
      <w:pPr>
        <w:pStyle w:val="paragraph"/>
        <w:rPr>
          <w:bCs/>
          <w:color w:val="000000"/>
          <w:sz w:val="24"/>
          <w:szCs w:val="24"/>
          <w:lang w:eastAsia="en-US"/>
        </w:rPr>
      </w:pPr>
      <w:r w:rsidRPr="003F60E0">
        <w:tab/>
      </w:r>
      <w:r w:rsidRPr="00D12311">
        <w:rPr>
          <w:bCs/>
          <w:color w:val="000000"/>
          <w:sz w:val="24"/>
          <w:szCs w:val="24"/>
          <w:lang w:eastAsia="en-US"/>
        </w:rPr>
        <w:tab/>
        <w:t>(a) courses leading to an award of diploma;</w:t>
      </w:r>
    </w:p>
    <w:p w14:paraId="30D31EE3" w14:textId="77777777" w:rsidR="00D12311" w:rsidRPr="00D12311" w:rsidRDefault="00D12311" w:rsidP="00D12311">
      <w:pPr>
        <w:pStyle w:val="paragraph"/>
        <w:rPr>
          <w:bCs/>
          <w:color w:val="000000"/>
          <w:sz w:val="24"/>
          <w:szCs w:val="24"/>
          <w:lang w:eastAsia="en-US"/>
        </w:rPr>
      </w:pPr>
      <w:r w:rsidRPr="00D12311">
        <w:rPr>
          <w:bCs/>
          <w:color w:val="000000"/>
          <w:sz w:val="24"/>
          <w:szCs w:val="24"/>
          <w:lang w:eastAsia="en-US"/>
        </w:rPr>
        <w:tab/>
      </w:r>
      <w:r w:rsidRPr="00D12311">
        <w:rPr>
          <w:bCs/>
          <w:color w:val="000000"/>
          <w:sz w:val="24"/>
          <w:szCs w:val="24"/>
          <w:lang w:eastAsia="en-US"/>
        </w:rPr>
        <w:tab/>
        <w:t>(b) courses leading to an award of advanced diploma;</w:t>
      </w:r>
      <w:r w:rsidRPr="00D12311">
        <w:rPr>
          <w:bCs/>
          <w:color w:val="000000"/>
          <w:sz w:val="24"/>
          <w:szCs w:val="24"/>
          <w:lang w:eastAsia="en-US"/>
        </w:rPr>
        <w:tab/>
      </w:r>
    </w:p>
    <w:p w14:paraId="2E54C641" w14:textId="77777777" w:rsidR="00D12311" w:rsidRPr="00D12311" w:rsidRDefault="00D12311" w:rsidP="00D12311">
      <w:pPr>
        <w:pStyle w:val="paragraph"/>
        <w:rPr>
          <w:bCs/>
          <w:color w:val="000000"/>
          <w:sz w:val="24"/>
          <w:szCs w:val="24"/>
          <w:lang w:eastAsia="en-US"/>
        </w:rPr>
      </w:pPr>
      <w:r w:rsidRPr="00D12311">
        <w:rPr>
          <w:bCs/>
          <w:color w:val="000000"/>
          <w:sz w:val="24"/>
          <w:szCs w:val="24"/>
          <w:lang w:eastAsia="en-US"/>
        </w:rPr>
        <w:tab/>
      </w:r>
      <w:r w:rsidRPr="00D12311">
        <w:rPr>
          <w:bCs/>
          <w:color w:val="000000"/>
          <w:sz w:val="24"/>
          <w:szCs w:val="24"/>
          <w:lang w:eastAsia="en-US"/>
        </w:rPr>
        <w:tab/>
        <w:t>(c) courses leading to an award of associate degree;</w:t>
      </w:r>
    </w:p>
    <w:p w14:paraId="054672A6" w14:textId="77777777" w:rsidR="00D12311" w:rsidRPr="00D12311" w:rsidRDefault="00D12311" w:rsidP="00D12311">
      <w:pPr>
        <w:pStyle w:val="paragraph"/>
        <w:rPr>
          <w:bCs/>
          <w:color w:val="000000"/>
          <w:sz w:val="24"/>
          <w:szCs w:val="24"/>
          <w:lang w:eastAsia="en-US"/>
        </w:rPr>
      </w:pPr>
      <w:r w:rsidRPr="00D12311">
        <w:rPr>
          <w:bCs/>
          <w:color w:val="000000"/>
          <w:sz w:val="24"/>
          <w:szCs w:val="24"/>
          <w:lang w:eastAsia="en-US"/>
        </w:rPr>
        <w:tab/>
      </w:r>
      <w:r w:rsidRPr="00D12311">
        <w:rPr>
          <w:bCs/>
          <w:color w:val="000000"/>
          <w:sz w:val="24"/>
          <w:szCs w:val="24"/>
          <w:lang w:eastAsia="en-US"/>
        </w:rPr>
        <w:tab/>
        <w:t>(d) courses leading to an award of undergraduate certificate; and</w:t>
      </w:r>
    </w:p>
    <w:p w14:paraId="7AA90545" w14:textId="77777777" w:rsidR="00D12311" w:rsidRDefault="00D12311" w:rsidP="00D12311">
      <w:pPr>
        <w:pStyle w:val="paragraph"/>
        <w:rPr>
          <w:bCs/>
          <w:color w:val="000000"/>
          <w:sz w:val="24"/>
          <w:szCs w:val="24"/>
          <w:lang w:eastAsia="en-US"/>
        </w:rPr>
      </w:pPr>
      <w:r w:rsidRPr="00D12311">
        <w:rPr>
          <w:bCs/>
          <w:color w:val="000000"/>
          <w:sz w:val="24"/>
          <w:szCs w:val="24"/>
          <w:lang w:eastAsia="en-US"/>
        </w:rPr>
        <w:tab/>
      </w:r>
      <w:r w:rsidRPr="00D12311">
        <w:rPr>
          <w:bCs/>
          <w:color w:val="000000"/>
          <w:sz w:val="24"/>
          <w:szCs w:val="24"/>
          <w:lang w:eastAsia="en-US"/>
        </w:rPr>
        <w:tab/>
        <w:t>(e) enabling courses.</w:t>
      </w:r>
    </w:p>
    <w:p w14:paraId="413C2665" w14:textId="77777777" w:rsidR="00D12311" w:rsidRDefault="00D12311" w:rsidP="00D12311">
      <w:pPr>
        <w:pStyle w:val="paragraph"/>
        <w:rPr>
          <w:bCs/>
          <w:color w:val="000000"/>
          <w:sz w:val="24"/>
          <w:szCs w:val="24"/>
          <w:lang w:eastAsia="en-US"/>
        </w:rPr>
      </w:pPr>
    </w:p>
    <w:p w14:paraId="3B99D41F" w14:textId="3EC5B11B" w:rsidR="00D12311" w:rsidRPr="00D12311" w:rsidRDefault="00D12311" w:rsidP="00E876B8">
      <w:pPr>
        <w:pStyle w:val="paragraph"/>
        <w:tabs>
          <w:tab w:val="clear" w:pos="1531"/>
          <w:tab w:val="right" w:pos="0"/>
        </w:tabs>
        <w:ind w:left="0" w:firstLine="0"/>
        <w:rPr>
          <w:bCs/>
          <w:color w:val="000000"/>
          <w:sz w:val="24"/>
          <w:szCs w:val="24"/>
          <w:lang w:eastAsia="en-US"/>
        </w:rPr>
      </w:pPr>
      <w:r>
        <w:rPr>
          <w:bCs/>
          <w:color w:val="000000"/>
          <w:sz w:val="24"/>
          <w:szCs w:val="24"/>
          <w:lang w:eastAsia="en-US"/>
        </w:rPr>
        <w:t>This means that</w:t>
      </w:r>
      <w:r w:rsidR="00C65704">
        <w:rPr>
          <w:bCs/>
          <w:color w:val="000000"/>
          <w:sz w:val="24"/>
          <w:szCs w:val="24"/>
          <w:lang w:eastAsia="en-US"/>
        </w:rPr>
        <w:t xml:space="preserve"> </w:t>
      </w:r>
      <w:r w:rsidR="00C65704" w:rsidRPr="00C65704">
        <w:rPr>
          <w:bCs/>
          <w:color w:val="000000"/>
          <w:sz w:val="24"/>
          <w:szCs w:val="24"/>
          <w:lang w:eastAsia="en-US"/>
        </w:rPr>
        <w:t xml:space="preserve">for these courses </w:t>
      </w:r>
      <w:r w:rsidR="00C65704" w:rsidRPr="00BC6A09">
        <w:rPr>
          <w:color w:val="444444"/>
          <w:sz w:val="24"/>
          <w:szCs w:val="24"/>
          <w:shd w:val="clear" w:color="auto" w:fill="FFFFFF"/>
        </w:rPr>
        <w:t>the Government provides funding to public universities for an agreed number of C</w:t>
      </w:r>
      <w:r w:rsidR="00775CCA">
        <w:rPr>
          <w:color w:val="444444"/>
          <w:sz w:val="24"/>
          <w:szCs w:val="24"/>
          <w:shd w:val="clear" w:color="auto" w:fill="FFFFFF"/>
        </w:rPr>
        <w:t>ommonwealth supported places</w:t>
      </w:r>
      <w:r w:rsidR="00C65704" w:rsidRPr="00BC6A09">
        <w:rPr>
          <w:color w:val="444444"/>
          <w:sz w:val="24"/>
          <w:szCs w:val="24"/>
          <w:shd w:val="clear" w:color="auto" w:fill="FFFFFF"/>
        </w:rPr>
        <w:t xml:space="preserve"> in a given year.</w:t>
      </w:r>
    </w:p>
    <w:p w14:paraId="176B8487" w14:textId="77777777" w:rsidR="00F07936" w:rsidRDefault="00F07936">
      <w:pPr>
        <w:spacing w:after="160" w:line="259" w:lineRule="auto"/>
        <w:rPr>
          <w:rFonts w:cs="Arial"/>
          <w:i/>
          <w:color w:val="000000"/>
          <w:szCs w:val="22"/>
        </w:rPr>
      </w:pPr>
    </w:p>
    <w:p w14:paraId="12C7EBAA" w14:textId="77777777" w:rsidR="00D12311" w:rsidRDefault="00F07936" w:rsidP="00F07936">
      <w:pPr>
        <w:rPr>
          <w:rFonts w:cs="Arial"/>
          <w:i/>
          <w:color w:val="000000"/>
          <w:szCs w:val="22"/>
        </w:rPr>
      </w:pPr>
      <w:r w:rsidRPr="00F07936">
        <w:rPr>
          <w:rFonts w:ascii="Times New Roman" w:hAnsi="Times New Roman"/>
          <w:b/>
          <w:bCs/>
          <w:color w:val="000000"/>
          <w:sz w:val="24"/>
          <w:szCs w:val="24"/>
        </w:rPr>
        <w:t>Item 1 of Schedule 1</w:t>
      </w:r>
      <w:r w:rsidRPr="00F07936">
        <w:rPr>
          <w:rFonts w:ascii="Times New Roman" w:hAnsi="Times New Roman"/>
          <w:bCs/>
          <w:color w:val="000000"/>
          <w:sz w:val="24"/>
          <w:szCs w:val="24"/>
        </w:rPr>
        <w:t xml:space="preserve"> repeals the </w:t>
      </w:r>
      <w:r w:rsidRPr="00F07936">
        <w:rPr>
          <w:rFonts w:ascii="Times New Roman" w:hAnsi="Times New Roman"/>
          <w:bCs/>
          <w:i/>
          <w:color w:val="000000"/>
          <w:sz w:val="24"/>
          <w:szCs w:val="24"/>
        </w:rPr>
        <w:t>Higher Education (Designated Courses of Study) Specification 2011</w:t>
      </w:r>
      <w:r>
        <w:rPr>
          <w:rFonts w:ascii="Times New Roman" w:hAnsi="Times New Roman"/>
          <w:bCs/>
          <w:color w:val="000000"/>
          <w:sz w:val="24"/>
          <w:szCs w:val="24"/>
        </w:rPr>
        <w:t>.</w:t>
      </w:r>
      <w:r w:rsidR="00D12311">
        <w:rPr>
          <w:rFonts w:cs="Arial"/>
          <w:i/>
          <w:color w:val="000000"/>
          <w:szCs w:val="22"/>
        </w:rPr>
        <w:br w:type="page"/>
      </w:r>
    </w:p>
    <w:p w14:paraId="4ECB0EF6" w14:textId="77777777" w:rsidR="00416A82" w:rsidRPr="00321776" w:rsidRDefault="00416A82" w:rsidP="00416A82">
      <w:pPr>
        <w:rPr>
          <w:rFonts w:ascii="Calibri" w:hAnsi="Calibri" w:cs="Calibri"/>
          <w:bCs/>
          <w:sz w:val="24"/>
          <w:szCs w:val="24"/>
          <w:lang w:eastAsia="en-AU"/>
        </w:rPr>
      </w:pPr>
    </w:p>
    <w:p w14:paraId="5F09C8EF" w14:textId="77777777" w:rsidR="00416A82" w:rsidRPr="00E876B8" w:rsidRDefault="00416A82" w:rsidP="00416A82">
      <w:pPr>
        <w:autoSpaceDE w:val="0"/>
        <w:autoSpaceDN w:val="0"/>
        <w:adjustRightInd w:val="0"/>
        <w:jc w:val="center"/>
        <w:rPr>
          <w:rFonts w:ascii="Times New Roman" w:hAnsi="Times New Roman"/>
          <w:b/>
          <w:bCs/>
          <w:sz w:val="24"/>
          <w:szCs w:val="24"/>
          <w:lang w:eastAsia="en-AU"/>
        </w:rPr>
      </w:pPr>
      <w:r w:rsidRPr="00E876B8">
        <w:rPr>
          <w:rFonts w:ascii="Times New Roman" w:hAnsi="Times New Roman"/>
          <w:b/>
          <w:bCs/>
          <w:sz w:val="24"/>
          <w:szCs w:val="24"/>
          <w:lang w:eastAsia="en-AU"/>
        </w:rPr>
        <w:t>Statement of Compatibility with Human Rights</w:t>
      </w:r>
    </w:p>
    <w:p w14:paraId="156E634D" w14:textId="77777777" w:rsidR="00416A82" w:rsidRPr="00E876B8" w:rsidRDefault="00416A82" w:rsidP="00416A82">
      <w:pPr>
        <w:autoSpaceDE w:val="0"/>
        <w:autoSpaceDN w:val="0"/>
        <w:adjustRightInd w:val="0"/>
        <w:jc w:val="center"/>
        <w:rPr>
          <w:rFonts w:ascii="Times New Roman" w:hAnsi="Times New Roman"/>
          <w:bCs/>
          <w:i/>
          <w:sz w:val="24"/>
          <w:szCs w:val="24"/>
          <w:lang w:eastAsia="en-AU"/>
        </w:rPr>
      </w:pPr>
      <w:r w:rsidRPr="00E876B8">
        <w:rPr>
          <w:rFonts w:ascii="Times New Roman" w:hAnsi="Times New Roman"/>
          <w:bCs/>
          <w:i/>
          <w:sz w:val="24"/>
          <w:szCs w:val="24"/>
          <w:lang w:eastAsia="en-AU"/>
        </w:rPr>
        <w:t>Prepared in accordance with Part 3 of the Human Rights (Parliamentary Scrutiny) Act 2011</w:t>
      </w:r>
    </w:p>
    <w:p w14:paraId="46E438B8" w14:textId="77777777" w:rsidR="00416A82" w:rsidRPr="00E876B8" w:rsidRDefault="00416A82" w:rsidP="00416A82">
      <w:pPr>
        <w:autoSpaceDE w:val="0"/>
        <w:autoSpaceDN w:val="0"/>
        <w:adjustRightInd w:val="0"/>
        <w:jc w:val="center"/>
        <w:rPr>
          <w:rFonts w:ascii="Times New Roman" w:hAnsi="Times New Roman"/>
          <w:bCs/>
          <w:i/>
          <w:sz w:val="24"/>
          <w:szCs w:val="24"/>
          <w:lang w:eastAsia="en-AU"/>
        </w:rPr>
      </w:pPr>
    </w:p>
    <w:p w14:paraId="3C60CA14" w14:textId="77777777" w:rsidR="00416A82" w:rsidRPr="00E876B8" w:rsidRDefault="00D12311" w:rsidP="00416A82">
      <w:pPr>
        <w:autoSpaceDE w:val="0"/>
        <w:autoSpaceDN w:val="0"/>
        <w:adjustRightInd w:val="0"/>
        <w:jc w:val="center"/>
        <w:rPr>
          <w:rFonts w:ascii="Times New Roman" w:hAnsi="Times New Roman"/>
          <w:b/>
          <w:bCs/>
          <w:sz w:val="24"/>
          <w:szCs w:val="24"/>
          <w:lang w:eastAsia="en-AU"/>
        </w:rPr>
      </w:pPr>
      <w:r w:rsidRPr="00E876B8">
        <w:rPr>
          <w:rFonts w:ascii="Times New Roman" w:hAnsi="Times New Roman"/>
          <w:b/>
          <w:bCs/>
          <w:sz w:val="24"/>
          <w:szCs w:val="24"/>
          <w:lang w:eastAsia="en-AU"/>
        </w:rPr>
        <w:t>Higher Education</w:t>
      </w:r>
      <w:r w:rsidR="00416A82" w:rsidRPr="00E876B8">
        <w:rPr>
          <w:rFonts w:ascii="Times New Roman" w:hAnsi="Times New Roman"/>
          <w:b/>
          <w:bCs/>
          <w:sz w:val="24"/>
          <w:szCs w:val="24"/>
          <w:lang w:eastAsia="en-AU"/>
        </w:rPr>
        <w:t xml:space="preserve"> (</w:t>
      </w:r>
      <w:r w:rsidRPr="00E876B8">
        <w:rPr>
          <w:rFonts w:ascii="Times New Roman" w:hAnsi="Times New Roman"/>
          <w:b/>
          <w:bCs/>
          <w:sz w:val="24"/>
          <w:szCs w:val="24"/>
          <w:lang w:eastAsia="en-AU"/>
        </w:rPr>
        <w:t>Designated Courses of Study</w:t>
      </w:r>
      <w:r w:rsidR="00416A82" w:rsidRPr="00E876B8">
        <w:rPr>
          <w:rFonts w:ascii="Times New Roman" w:hAnsi="Times New Roman"/>
          <w:b/>
          <w:bCs/>
          <w:sz w:val="24"/>
          <w:szCs w:val="24"/>
          <w:lang w:eastAsia="en-AU"/>
        </w:rPr>
        <w:t xml:space="preserve">) </w:t>
      </w:r>
      <w:r w:rsidRPr="00E876B8">
        <w:rPr>
          <w:rFonts w:ascii="Times New Roman" w:hAnsi="Times New Roman"/>
          <w:b/>
          <w:bCs/>
          <w:sz w:val="24"/>
          <w:szCs w:val="24"/>
          <w:lang w:eastAsia="en-AU"/>
        </w:rPr>
        <w:t>Specification</w:t>
      </w:r>
      <w:r w:rsidR="00416A82" w:rsidRPr="00E876B8">
        <w:rPr>
          <w:rFonts w:ascii="Times New Roman" w:hAnsi="Times New Roman"/>
          <w:b/>
          <w:bCs/>
          <w:sz w:val="24"/>
          <w:szCs w:val="24"/>
          <w:lang w:eastAsia="en-AU"/>
        </w:rPr>
        <w:t xml:space="preserve"> 2020</w:t>
      </w:r>
    </w:p>
    <w:p w14:paraId="683535EF" w14:textId="77777777" w:rsidR="00416A82" w:rsidRPr="00E876B8" w:rsidRDefault="00416A82" w:rsidP="00416A82">
      <w:pPr>
        <w:autoSpaceDE w:val="0"/>
        <w:autoSpaceDN w:val="0"/>
        <w:adjustRightInd w:val="0"/>
        <w:jc w:val="center"/>
        <w:rPr>
          <w:rFonts w:ascii="Times New Roman" w:hAnsi="Times New Roman"/>
          <w:b/>
          <w:bCs/>
          <w:sz w:val="24"/>
          <w:szCs w:val="24"/>
          <w:lang w:eastAsia="en-AU"/>
        </w:rPr>
      </w:pPr>
    </w:p>
    <w:p w14:paraId="5C62F567" w14:textId="77777777" w:rsidR="00416A82" w:rsidRPr="00E876B8" w:rsidRDefault="00416A82" w:rsidP="00416A82">
      <w:pPr>
        <w:autoSpaceDE w:val="0"/>
        <w:autoSpaceDN w:val="0"/>
        <w:adjustRightInd w:val="0"/>
        <w:rPr>
          <w:rFonts w:ascii="Times New Roman" w:hAnsi="Times New Roman"/>
          <w:bCs/>
          <w:sz w:val="24"/>
          <w:szCs w:val="24"/>
          <w:lang w:eastAsia="en-AU"/>
        </w:rPr>
      </w:pPr>
      <w:r w:rsidRPr="00E876B8">
        <w:rPr>
          <w:rFonts w:ascii="Times New Roman" w:hAnsi="Times New Roman"/>
          <w:bCs/>
          <w:sz w:val="24"/>
          <w:szCs w:val="24"/>
          <w:lang w:eastAsia="en-AU"/>
        </w:rPr>
        <w:t xml:space="preserve">This </w:t>
      </w:r>
      <w:r w:rsidR="00D12311" w:rsidRPr="00E876B8">
        <w:rPr>
          <w:rFonts w:ascii="Times New Roman" w:hAnsi="Times New Roman"/>
          <w:sz w:val="24"/>
          <w:szCs w:val="24"/>
        </w:rPr>
        <w:t>Specification</w:t>
      </w:r>
      <w:r w:rsidRPr="00E876B8">
        <w:rPr>
          <w:rFonts w:ascii="Times New Roman" w:hAnsi="Times New Roman"/>
          <w:sz w:val="24"/>
          <w:szCs w:val="24"/>
        </w:rPr>
        <w:t xml:space="preserve"> </w:t>
      </w:r>
      <w:r w:rsidRPr="00E876B8">
        <w:rPr>
          <w:rFonts w:ascii="Times New Roman" w:hAnsi="Times New Roman"/>
          <w:bCs/>
          <w:sz w:val="24"/>
          <w:szCs w:val="24"/>
          <w:lang w:eastAsia="en-AU"/>
        </w:rPr>
        <w:t xml:space="preserve">is compatible with human rights and freedoms recognised or declared in the international instruments listed in section 3 of the </w:t>
      </w:r>
      <w:r w:rsidRPr="00E876B8">
        <w:rPr>
          <w:rFonts w:ascii="Times New Roman" w:hAnsi="Times New Roman"/>
          <w:bCs/>
          <w:i/>
          <w:sz w:val="24"/>
          <w:szCs w:val="24"/>
          <w:lang w:eastAsia="en-AU"/>
        </w:rPr>
        <w:t>Human Rights (Parliamentary Scrutiny) Act 2011</w:t>
      </w:r>
      <w:r w:rsidRPr="00E876B8">
        <w:rPr>
          <w:rFonts w:ascii="Times New Roman" w:hAnsi="Times New Roman"/>
          <w:bCs/>
          <w:sz w:val="24"/>
          <w:szCs w:val="24"/>
          <w:lang w:eastAsia="en-AU"/>
        </w:rPr>
        <w:t>.</w:t>
      </w:r>
    </w:p>
    <w:p w14:paraId="5B6D599E" w14:textId="77777777" w:rsidR="00416A82" w:rsidRPr="00E876B8" w:rsidRDefault="00416A82" w:rsidP="00416A82">
      <w:pPr>
        <w:autoSpaceDE w:val="0"/>
        <w:autoSpaceDN w:val="0"/>
        <w:adjustRightInd w:val="0"/>
        <w:rPr>
          <w:rFonts w:ascii="Times New Roman" w:hAnsi="Times New Roman"/>
          <w:bCs/>
          <w:sz w:val="24"/>
          <w:szCs w:val="24"/>
          <w:lang w:eastAsia="en-AU"/>
        </w:rPr>
      </w:pPr>
    </w:p>
    <w:p w14:paraId="0D13DD24" w14:textId="4028A516" w:rsidR="00416A82" w:rsidRPr="00E876B8" w:rsidRDefault="00416A82" w:rsidP="00E876B8">
      <w:pPr>
        <w:autoSpaceDE w:val="0"/>
        <w:autoSpaceDN w:val="0"/>
        <w:adjustRightInd w:val="0"/>
        <w:rPr>
          <w:rFonts w:ascii="Times New Roman" w:hAnsi="Times New Roman"/>
          <w:b/>
          <w:bCs/>
          <w:sz w:val="24"/>
          <w:szCs w:val="24"/>
          <w:lang w:eastAsia="en-AU"/>
        </w:rPr>
      </w:pPr>
      <w:r w:rsidRPr="00E876B8">
        <w:rPr>
          <w:rFonts w:ascii="Times New Roman" w:hAnsi="Times New Roman"/>
          <w:b/>
          <w:bCs/>
          <w:sz w:val="24"/>
          <w:szCs w:val="24"/>
          <w:lang w:eastAsia="en-AU"/>
        </w:rPr>
        <w:t xml:space="preserve">Overview of the </w:t>
      </w:r>
      <w:r w:rsidR="00F95467" w:rsidRPr="00E876B8">
        <w:rPr>
          <w:rFonts w:ascii="Times New Roman" w:hAnsi="Times New Roman"/>
          <w:b/>
          <w:sz w:val="24"/>
          <w:szCs w:val="24"/>
        </w:rPr>
        <w:t>Specification</w:t>
      </w:r>
    </w:p>
    <w:p w14:paraId="4E176048" w14:textId="77777777" w:rsidR="00416A82" w:rsidRPr="00E876B8" w:rsidRDefault="00416A82" w:rsidP="00E876B8">
      <w:pPr>
        <w:autoSpaceDE w:val="0"/>
        <w:autoSpaceDN w:val="0"/>
        <w:adjustRightInd w:val="0"/>
        <w:rPr>
          <w:rFonts w:ascii="Times New Roman" w:hAnsi="Times New Roman"/>
          <w:b/>
          <w:bCs/>
          <w:sz w:val="24"/>
          <w:szCs w:val="24"/>
          <w:lang w:eastAsia="en-AU"/>
        </w:rPr>
      </w:pPr>
    </w:p>
    <w:p w14:paraId="71D57874" w14:textId="77777777" w:rsidR="00416A82" w:rsidRPr="00E876B8" w:rsidRDefault="00416A82" w:rsidP="00E876B8">
      <w:pPr>
        <w:autoSpaceDE w:val="0"/>
        <w:autoSpaceDN w:val="0"/>
        <w:adjustRightInd w:val="0"/>
        <w:rPr>
          <w:rFonts w:ascii="Times New Roman" w:hAnsi="Times New Roman"/>
          <w:sz w:val="24"/>
          <w:szCs w:val="24"/>
        </w:rPr>
      </w:pPr>
      <w:r w:rsidRPr="00E876B8">
        <w:rPr>
          <w:rFonts w:ascii="Times New Roman" w:hAnsi="Times New Roman"/>
          <w:sz w:val="24"/>
          <w:szCs w:val="24"/>
        </w:rPr>
        <w:t xml:space="preserve">The </w:t>
      </w:r>
      <w:r w:rsidR="00D12311" w:rsidRPr="00E876B8">
        <w:rPr>
          <w:rFonts w:ascii="Times New Roman" w:hAnsi="Times New Roman"/>
          <w:sz w:val="24"/>
          <w:szCs w:val="24"/>
        </w:rPr>
        <w:t>Higher Education (Designated Courses of Study) Specification 2020</w:t>
      </w:r>
      <w:r w:rsidRPr="00E876B8">
        <w:rPr>
          <w:rFonts w:ascii="Times New Roman" w:hAnsi="Times New Roman"/>
          <w:sz w:val="24"/>
          <w:szCs w:val="24"/>
        </w:rPr>
        <w:t xml:space="preserve"> (</w:t>
      </w:r>
      <w:r w:rsidR="00D12311" w:rsidRPr="00E876B8">
        <w:rPr>
          <w:rFonts w:ascii="Times New Roman" w:hAnsi="Times New Roman"/>
          <w:sz w:val="24"/>
          <w:szCs w:val="24"/>
        </w:rPr>
        <w:t>Specification</w:t>
      </w:r>
      <w:r w:rsidRPr="00E876B8">
        <w:rPr>
          <w:rFonts w:ascii="Times New Roman" w:hAnsi="Times New Roman"/>
          <w:sz w:val="24"/>
          <w:szCs w:val="24"/>
        </w:rPr>
        <w:t>) is made under s</w:t>
      </w:r>
      <w:r w:rsidR="00D12311" w:rsidRPr="00E876B8">
        <w:rPr>
          <w:rFonts w:ascii="Times New Roman" w:hAnsi="Times New Roman"/>
          <w:sz w:val="24"/>
          <w:szCs w:val="24"/>
        </w:rPr>
        <w:t>ubsection 30-12(2)</w:t>
      </w:r>
      <w:r w:rsidRPr="00E876B8">
        <w:rPr>
          <w:rFonts w:ascii="Times New Roman" w:hAnsi="Times New Roman"/>
          <w:sz w:val="24"/>
          <w:szCs w:val="24"/>
        </w:rPr>
        <w:t xml:space="preserve"> of the </w:t>
      </w:r>
      <w:r w:rsidRPr="00E876B8">
        <w:rPr>
          <w:rFonts w:ascii="Times New Roman" w:hAnsi="Times New Roman"/>
          <w:i/>
          <w:sz w:val="24"/>
          <w:szCs w:val="24"/>
        </w:rPr>
        <w:t>Higher Education Support Act 2003</w:t>
      </w:r>
      <w:r w:rsidRPr="00E876B8">
        <w:rPr>
          <w:rFonts w:ascii="Times New Roman" w:hAnsi="Times New Roman"/>
          <w:sz w:val="24"/>
          <w:szCs w:val="24"/>
        </w:rPr>
        <w:t xml:space="preserve"> (Act). </w:t>
      </w:r>
    </w:p>
    <w:p w14:paraId="257AF33A" w14:textId="77777777" w:rsidR="00416A82" w:rsidRPr="00E876B8" w:rsidRDefault="00416A82" w:rsidP="00E876B8">
      <w:pPr>
        <w:autoSpaceDE w:val="0"/>
        <w:autoSpaceDN w:val="0"/>
        <w:adjustRightInd w:val="0"/>
        <w:rPr>
          <w:rFonts w:ascii="Times New Roman" w:hAnsi="Times New Roman"/>
          <w:bCs/>
          <w:sz w:val="24"/>
          <w:szCs w:val="24"/>
          <w:lang w:eastAsia="en-AU"/>
        </w:rPr>
      </w:pPr>
    </w:p>
    <w:p w14:paraId="78D1BFEC" w14:textId="77777777" w:rsidR="00416A82" w:rsidRPr="00E876B8" w:rsidRDefault="00416A82" w:rsidP="00E876B8">
      <w:pPr>
        <w:autoSpaceDE w:val="0"/>
        <w:autoSpaceDN w:val="0"/>
        <w:adjustRightInd w:val="0"/>
        <w:rPr>
          <w:rFonts w:ascii="Times New Roman" w:hAnsi="Times New Roman"/>
          <w:b/>
          <w:bCs/>
          <w:sz w:val="24"/>
          <w:szCs w:val="24"/>
          <w:lang w:eastAsia="en-AU"/>
        </w:rPr>
      </w:pPr>
      <w:r w:rsidRPr="00E876B8">
        <w:rPr>
          <w:rFonts w:ascii="Times New Roman" w:hAnsi="Times New Roman"/>
          <w:b/>
          <w:bCs/>
          <w:sz w:val="24"/>
          <w:szCs w:val="24"/>
          <w:lang w:eastAsia="en-AU"/>
        </w:rPr>
        <w:t>Human Rights implications</w:t>
      </w:r>
    </w:p>
    <w:p w14:paraId="21BCC85B" w14:textId="77777777" w:rsidR="00416A82" w:rsidRPr="00E876B8" w:rsidRDefault="00416A82" w:rsidP="00E876B8">
      <w:pPr>
        <w:autoSpaceDE w:val="0"/>
        <w:autoSpaceDN w:val="0"/>
        <w:adjustRightInd w:val="0"/>
        <w:rPr>
          <w:rFonts w:ascii="Times New Roman" w:hAnsi="Times New Roman"/>
          <w:bCs/>
          <w:sz w:val="24"/>
          <w:szCs w:val="24"/>
          <w:lang w:eastAsia="en-AU"/>
        </w:rPr>
      </w:pPr>
    </w:p>
    <w:p w14:paraId="625F1C34" w14:textId="77777777" w:rsidR="00416A82" w:rsidRPr="00E876B8" w:rsidRDefault="00416A82" w:rsidP="00E876B8">
      <w:pPr>
        <w:rPr>
          <w:rFonts w:ascii="Times New Roman" w:hAnsi="Times New Roman"/>
          <w:sz w:val="24"/>
          <w:szCs w:val="24"/>
        </w:rPr>
      </w:pPr>
      <w:r w:rsidRPr="00E876B8">
        <w:rPr>
          <w:rFonts w:ascii="Times New Roman" w:hAnsi="Times New Roman"/>
          <w:sz w:val="24"/>
          <w:szCs w:val="24"/>
        </w:rPr>
        <w:t xml:space="preserve">The </w:t>
      </w:r>
      <w:r w:rsidR="008950DE" w:rsidRPr="00E876B8">
        <w:rPr>
          <w:rFonts w:ascii="Times New Roman" w:hAnsi="Times New Roman"/>
          <w:sz w:val="24"/>
          <w:szCs w:val="24"/>
        </w:rPr>
        <w:t>Specification</w:t>
      </w:r>
      <w:r w:rsidRPr="00E876B8">
        <w:rPr>
          <w:rFonts w:ascii="Times New Roman" w:hAnsi="Times New Roman"/>
          <w:sz w:val="24"/>
          <w:szCs w:val="24"/>
        </w:rPr>
        <w:t xml:space="preserve"> </w:t>
      </w:r>
      <w:r w:rsidR="008950DE" w:rsidRPr="00E876B8">
        <w:rPr>
          <w:rFonts w:ascii="Times New Roman" w:hAnsi="Times New Roman"/>
          <w:sz w:val="24"/>
          <w:szCs w:val="24"/>
        </w:rPr>
        <w:t xml:space="preserve">engages </w:t>
      </w:r>
      <w:r w:rsidRPr="00E876B8">
        <w:rPr>
          <w:rFonts w:ascii="Times New Roman" w:hAnsi="Times New Roman"/>
          <w:sz w:val="24"/>
          <w:szCs w:val="24"/>
        </w:rPr>
        <w:t xml:space="preserve">the right to education – Article 13 of the </w:t>
      </w:r>
      <w:r w:rsidRPr="00E876B8">
        <w:rPr>
          <w:rFonts w:ascii="Times New Roman" w:hAnsi="Times New Roman"/>
          <w:i/>
          <w:sz w:val="24"/>
          <w:szCs w:val="24"/>
        </w:rPr>
        <w:t xml:space="preserve">International Covenant on Economic, Social and Cultural Rights </w:t>
      </w:r>
      <w:r w:rsidRPr="00E876B8">
        <w:rPr>
          <w:rFonts w:ascii="Times New Roman" w:hAnsi="Times New Roman"/>
          <w:sz w:val="24"/>
          <w:szCs w:val="24"/>
        </w:rPr>
        <w:t>(ICESCR)</w:t>
      </w:r>
      <w:r w:rsidR="008950DE" w:rsidRPr="00E876B8">
        <w:rPr>
          <w:rFonts w:ascii="Times New Roman" w:hAnsi="Times New Roman"/>
          <w:sz w:val="24"/>
          <w:szCs w:val="24"/>
        </w:rPr>
        <w:t>.</w:t>
      </w:r>
    </w:p>
    <w:p w14:paraId="75C9EC3A" w14:textId="77777777" w:rsidR="008950DE" w:rsidRPr="00E876B8" w:rsidRDefault="008950DE" w:rsidP="00E876B8">
      <w:pPr>
        <w:rPr>
          <w:rFonts w:ascii="Times New Roman" w:hAnsi="Times New Roman"/>
          <w:sz w:val="24"/>
          <w:szCs w:val="24"/>
        </w:rPr>
      </w:pPr>
    </w:p>
    <w:p w14:paraId="5E785824" w14:textId="77777777" w:rsidR="00416A82" w:rsidRPr="00E876B8" w:rsidRDefault="00416A82" w:rsidP="00E876B8">
      <w:pPr>
        <w:autoSpaceDE w:val="0"/>
        <w:autoSpaceDN w:val="0"/>
        <w:adjustRightInd w:val="0"/>
        <w:rPr>
          <w:rFonts w:ascii="Times New Roman" w:hAnsi="Times New Roman"/>
          <w:i/>
          <w:sz w:val="24"/>
          <w:szCs w:val="24"/>
          <w:lang w:eastAsia="en-AU"/>
        </w:rPr>
      </w:pPr>
      <w:r w:rsidRPr="00E876B8">
        <w:rPr>
          <w:rFonts w:ascii="Times New Roman" w:hAnsi="Times New Roman"/>
          <w:i/>
          <w:sz w:val="24"/>
          <w:szCs w:val="24"/>
          <w:lang w:eastAsia="en-AU"/>
        </w:rPr>
        <w:t xml:space="preserve">Right to education </w:t>
      </w:r>
    </w:p>
    <w:p w14:paraId="49DA4CA5" w14:textId="77777777" w:rsidR="00416A82" w:rsidRPr="00E876B8" w:rsidRDefault="00416A82" w:rsidP="00E876B8">
      <w:pPr>
        <w:autoSpaceDE w:val="0"/>
        <w:autoSpaceDN w:val="0"/>
        <w:adjustRightInd w:val="0"/>
        <w:rPr>
          <w:rFonts w:ascii="Times New Roman" w:hAnsi="Times New Roman"/>
          <w:i/>
          <w:sz w:val="24"/>
          <w:szCs w:val="24"/>
          <w:lang w:eastAsia="en-AU"/>
        </w:rPr>
      </w:pPr>
    </w:p>
    <w:p w14:paraId="56BB418A" w14:textId="73B7B946" w:rsidR="002165AF" w:rsidRDefault="002165AF" w:rsidP="00E876B8">
      <w:pPr>
        <w:rPr>
          <w:rFonts w:ascii="Times New Roman" w:hAnsi="Times New Roman"/>
          <w:sz w:val="24"/>
          <w:szCs w:val="24"/>
        </w:rPr>
      </w:pPr>
      <w:r w:rsidRPr="00E876B8">
        <w:rPr>
          <w:rFonts w:ascii="Times New Roman" w:hAnsi="Times New Roman"/>
          <w:sz w:val="24"/>
          <w:szCs w:val="24"/>
        </w:rPr>
        <w:t xml:space="preserve">The </w:t>
      </w:r>
      <w:r w:rsidR="00F95467" w:rsidRPr="00E876B8">
        <w:rPr>
          <w:rFonts w:ascii="Times New Roman" w:hAnsi="Times New Roman"/>
          <w:sz w:val="24"/>
          <w:szCs w:val="24"/>
        </w:rPr>
        <w:t xml:space="preserve">Specification </w:t>
      </w:r>
      <w:r w:rsidRPr="00E876B8">
        <w:rPr>
          <w:rFonts w:ascii="Times New Roman" w:hAnsi="Times New Roman"/>
          <w:sz w:val="24"/>
          <w:szCs w:val="24"/>
        </w:rPr>
        <w:t xml:space="preserve">engages the right to education contained in Article 13 of the ICESCR. The right to education recognises the important personal, societal, economic and intellectual benefits of education. </w:t>
      </w:r>
    </w:p>
    <w:p w14:paraId="6A4BB806" w14:textId="77777777" w:rsidR="00E876B8" w:rsidRPr="00E876B8" w:rsidRDefault="00E876B8" w:rsidP="00E876B8">
      <w:pPr>
        <w:rPr>
          <w:rFonts w:ascii="Times New Roman" w:hAnsi="Times New Roman"/>
          <w:sz w:val="24"/>
          <w:szCs w:val="24"/>
        </w:rPr>
      </w:pPr>
    </w:p>
    <w:p w14:paraId="68CE1EAD" w14:textId="77777777" w:rsidR="00107C2E" w:rsidRPr="00E876B8" w:rsidRDefault="00107C2E" w:rsidP="00E876B8">
      <w:pPr>
        <w:spacing w:after="120"/>
        <w:rPr>
          <w:rFonts w:ascii="Times New Roman" w:hAnsi="Times New Roman"/>
          <w:sz w:val="24"/>
          <w:szCs w:val="24"/>
        </w:rPr>
      </w:pPr>
      <w:r w:rsidRPr="00E876B8">
        <w:rPr>
          <w:rFonts w:ascii="Times New Roman" w:hAnsi="Times New Roman"/>
          <w:sz w:val="24"/>
          <w:szCs w:val="24"/>
        </w:rPr>
        <w:t xml:space="preserve">The Specification supports a high quality training and learning environment by subsidising tuition costs (through the Commonwealth Grant Scheme (CGS)) for higher education students across a wide range of discipline areas and qualification levels.  </w:t>
      </w:r>
    </w:p>
    <w:p w14:paraId="467BC0FE" w14:textId="7D93340B" w:rsidR="002165AF" w:rsidRDefault="00107C2E" w:rsidP="00CE28AB">
      <w:pPr>
        <w:rPr>
          <w:rFonts w:ascii="Times New Roman" w:hAnsi="Times New Roman"/>
          <w:sz w:val="24"/>
          <w:szCs w:val="24"/>
        </w:rPr>
      </w:pPr>
      <w:r w:rsidRPr="00E876B8">
        <w:rPr>
          <w:rFonts w:ascii="Times New Roman" w:hAnsi="Times New Roman"/>
          <w:sz w:val="24"/>
          <w:szCs w:val="24"/>
        </w:rPr>
        <w:t xml:space="preserve">In doing so, the </w:t>
      </w:r>
      <w:r w:rsidR="00F95467" w:rsidRPr="00E876B8">
        <w:rPr>
          <w:rFonts w:ascii="Times New Roman" w:hAnsi="Times New Roman"/>
          <w:sz w:val="24"/>
          <w:szCs w:val="24"/>
        </w:rPr>
        <w:t>Specification</w:t>
      </w:r>
      <w:r w:rsidR="002165AF" w:rsidRPr="00E876B8">
        <w:rPr>
          <w:rFonts w:ascii="Times New Roman" w:hAnsi="Times New Roman"/>
          <w:sz w:val="24"/>
          <w:szCs w:val="24"/>
        </w:rPr>
        <w:t xml:space="preserve"> promotes the right to pursue, develop and transmit knowledge and ideas through teaching and </w:t>
      </w:r>
      <w:r w:rsidR="00F27CAD" w:rsidRPr="00E876B8">
        <w:rPr>
          <w:rFonts w:ascii="Times New Roman" w:hAnsi="Times New Roman"/>
          <w:sz w:val="24"/>
          <w:szCs w:val="24"/>
        </w:rPr>
        <w:t>learning</w:t>
      </w:r>
      <w:r w:rsidR="002165AF" w:rsidRPr="00E876B8">
        <w:rPr>
          <w:rFonts w:ascii="Times New Roman" w:hAnsi="Times New Roman"/>
          <w:sz w:val="24"/>
          <w:szCs w:val="24"/>
        </w:rPr>
        <w:t>.</w:t>
      </w:r>
    </w:p>
    <w:p w14:paraId="1340845C" w14:textId="77777777" w:rsidR="00CE28AB" w:rsidRPr="00E876B8" w:rsidRDefault="00CE28AB" w:rsidP="00CE28AB">
      <w:pPr>
        <w:rPr>
          <w:rFonts w:ascii="Times New Roman" w:hAnsi="Times New Roman"/>
          <w:sz w:val="24"/>
          <w:szCs w:val="24"/>
        </w:rPr>
      </w:pPr>
    </w:p>
    <w:p w14:paraId="685A01FC" w14:textId="77777777" w:rsidR="00416A82" w:rsidRPr="00E876B8" w:rsidRDefault="00416A82" w:rsidP="00E876B8">
      <w:pPr>
        <w:autoSpaceDE w:val="0"/>
        <w:autoSpaceDN w:val="0"/>
        <w:adjustRightInd w:val="0"/>
        <w:rPr>
          <w:rFonts w:ascii="Times New Roman" w:hAnsi="Times New Roman"/>
          <w:b/>
          <w:bCs/>
          <w:sz w:val="24"/>
          <w:szCs w:val="24"/>
          <w:lang w:eastAsia="en-AU"/>
        </w:rPr>
      </w:pPr>
      <w:r w:rsidRPr="00E876B8">
        <w:rPr>
          <w:rFonts w:ascii="Times New Roman" w:hAnsi="Times New Roman"/>
          <w:b/>
          <w:bCs/>
          <w:sz w:val="24"/>
          <w:szCs w:val="24"/>
          <w:lang w:eastAsia="en-AU"/>
        </w:rPr>
        <w:t>Conclusion</w:t>
      </w:r>
    </w:p>
    <w:p w14:paraId="600B1775" w14:textId="77777777" w:rsidR="00416A82" w:rsidRPr="00CE28AB" w:rsidRDefault="00416A82" w:rsidP="00E876B8">
      <w:pPr>
        <w:autoSpaceDE w:val="0"/>
        <w:autoSpaceDN w:val="0"/>
        <w:adjustRightInd w:val="0"/>
        <w:rPr>
          <w:rFonts w:ascii="Times New Roman" w:hAnsi="Times New Roman"/>
          <w:bCs/>
          <w:sz w:val="24"/>
          <w:szCs w:val="24"/>
          <w:lang w:eastAsia="en-AU"/>
        </w:rPr>
      </w:pPr>
    </w:p>
    <w:p w14:paraId="248FC776" w14:textId="3E1718FF" w:rsidR="00416A82" w:rsidRPr="00E876B8" w:rsidRDefault="00416A82" w:rsidP="00E876B8">
      <w:pPr>
        <w:autoSpaceDE w:val="0"/>
        <w:autoSpaceDN w:val="0"/>
        <w:adjustRightInd w:val="0"/>
        <w:rPr>
          <w:rFonts w:ascii="Times New Roman" w:hAnsi="Times New Roman"/>
          <w:bCs/>
          <w:sz w:val="24"/>
          <w:szCs w:val="24"/>
          <w:lang w:eastAsia="en-AU"/>
        </w:rPr>
      </w:pPr>
      <w:r w:rsidRPr="00CE28AB">
        <w:rPr>
          <w:rFonts w:ascii="Times New Roman" w:hAnsi="Times New Roman"/>
          <w:bCs/>
          <w:sz w:val="24"/>
          <w:szCs w:val="24"/>
          <w:lang w:eastAsia="en-AU"/>
        </w:rPr>
        <w:t xml:space="preserve">This </w:t>
      </w:r>
      <w:r w:rsidR="00F95467" w:rsidRPr="00CE28AB">
        <w:rPr>
          <w:rFonts w:ascii="Times New Roman" w:hAnsi="Times New Roman"/>
          <w:bCs/>
          <w:sz w:val="24"/>
          <w:szCs w:val="24"/>
          <w:lang w:eastAsia="en-AU"/>
        </w:rPr>
        <w:t>Specification</w:t>
      </w:r>
      <w:r w:rsidRPr="00E876B8">
        <w:rPr>
          <w:rFonts w:ascii="Times New Roman" w:hAnsi="Times New Roman"/>
          <w:sz w:val="24"/>
          <w:szCs w:val="24"/>
        </w:rPr>
        <w:t xml:space="preserve"> </w:t>
      </w:r>
      <w:r w:rsidRPr="00E876B8">
        <w:rPr>
          <w:rFonts w:ascii="Times New Roman" w:hAnsi="Times New Roman"/>
          <w:bCs/>
          <w:sz w:val="24"/>
          <w:szCs w:val="24"/>
          <w:lang w:eastAsia="en-AU"/>
        </w:rPr>
        <w:t>is compatible with human rights because it advances the protection of human rights.</w:t>
      </w:r>
    </w:p>
    <w:p w14:paraId="3AE3B92F" w14:textId="77777777" w:rsidR="00416A82" w:rsidRPr="00E876B8" w:rsidRDefault="00416A82" w:rsidP="00416A82">
      <w:pPr>
        <w:autoSpaceDE w:val="0"/>
        <w:autoSpaceDN w:val="0"/>
        <w:adjustRightInd w:val="0"/>
        <w:rPr>
          <w:rFonts w:ascii="Times New Roman" w:hAnsi="Times New Roman"/>
          <w:b/>
          <w:bCs/>
          <w:sz w:val="24"/>
          <w:szCs w:val="24"/>
          <w:lang w:eastAsia="en-AU"/>
        </w:rPr>
      </w:pPr>
    </w:p>
    <w:p w14:paraId="4D440635" w14:textId="77777777" w:rsidR="00416A82" w:rsidRPr="00E876B8" w:rsidRDefault="00416A82" w:rsidP="00D033A3">
      <w:pPr>
        <w:autoSpaceDE w:val="0"/>
        <w:autoSpaceDN w:val="0"/>
        <w:adjustRightInd w:val="0"/>
        <w:jc w:val="center"/>
        <w:rPr>
          <w:rFonts w:ascii="Times New Roman" w:hAnsi="Times New Roman"/>
          <w:b/>
          <w:bCs/>
          <w:sz w:val="24"/>
          <w:szCs w:val="24"/>
          <w:lang w:eastAsia="en-AU"/>
        </w:rPr>
      </w:pPr>
    </w:p>
    <w:p w14:paraId="45AEF9B1" w14:textId="77777777" w:rsidR="00416A82" w:rsidRPr="00E876B8" w:rsidRDefault="00416A82" w:rsidP="00D033A3">
      <w:pPr>
        <w:autoSpaceDE w:val="0"/>
        <w:autoSpaceDN w:val="0"/>
        <w:adjustRightInd w:val="0"/>
        <w:jc w:val="center"/>
        <w:rPr>
          <w:rFonts w:ascii="Times New Roman" w:hAnsi="Times New Roman"/>
          <w:b/>
          <w:bCs/>
          <w:sz w:val="24"/>
          <w:szCs w:val="24"/>
          <w:lang w:eastAsia="en-AU"/>
        </w:rPr>
      </w:pPr>
      <w:r w:rsidRPr="00E876B8">
        <w:rPr>
          <w:rFonts w:ascii="Times New Roman" w:hAnsi="Times New Roman"/>
          <w:b/>
          <w:bCs/>
          <w:sz w:val="24"/>
          <w:szCs w:val="24"/>
          <w:lang w:eastAsia="en-AU"/>
        </w:rPr>
        <w:t xml:space="preserve">Dan </w:t>
      </w:r>
      <w:proofErr w:type="spellStart"/>
      <w:r w:rsidRPr="00E876B8">
        <w:rPr>
          <w:rFonts w:ascii="Times New Roman" w:hAnsi="Times New Roman"/>
          <w:b/>
          <w:bCs/>
          <w:sz w:val="24"/>
          <w:szCs w:val="24"/>
          <w:lang w:eastAsia="en-AU"/>
        </w:rPr>
        <w:t>Tehan</w:t>
      </w:r>
      <w:proofErr w:type="spellEnd"/>
    </w:p>
    <w:p w14:paraId="64ADDE5B" w14:textId="77777777" w:rsidR="00416A82" w:rsidRPr="00E876B8" w:rsidRDefault="00416A82" w:rsidP="00D033A3">
      <w:pPr>
        <w:autoSpaceDE w:val="0"/>
        <w:autoSpaceDN w:val="0"/>
        <w:adjustRightInd w:val="0"/>
        <w:jc w:val="center"/>
        <w:rPr>
          <w:rFonts w:ascii="Times New Roman" w:hAnsi="Times New Roman"/>
          <w:b/>
          <w:bCs/>
          <w:sz w:val="24"/>
          <w:szCs w:val="24"/>
          <w:lang w:eastAsia="en-AU"/>
        </w:rPr>
      </w:pPr>
    </w:p>
    <w:p w14:paraId="7D3827D7" w14:textId="77777777" w:rsidR="00416A82" w:rsidRPr="00E876B8" w:rsidRDefault="00416A82" w:rsidP="00D033A3">
      <w:pPr>
        <w:autoSpaceDE w:val="0"/>
        <w:autoSpaceDN w:val="0"/>
        <w:adjustRightInd w:val="0"/>
        <w:jc w:val="center"/>
        <w:rPr>
          <w:rFonts w:ascii="Times New Roman" w:hAnsi="Times New Roman"/>
          <w:sz w:val="24"/>
          <w:szCs w:val="24"/>
        </w:rPr>
      </w:pPr>
      <w:r w:rsidRPr="00E876B8">
        <w:rPr>
          <w:rFonts w:ascii="Times New Roman" w:hAnsi="Times New Roman"/>
          <w:b/>
          <w:bCs/>
          <w:sz w:val="24"/>
          <w:szCs w:val="24"/>
          <w:lang w:eastAsia="en-AU"/>
        </w:rPr>
        <w:t>Minister for Education</w:t>
      </w:r>
      <w:bookmarkStart w:id="0" w:name="_GoBack"/>
      <w:bookmarkEnd w:id="0"/>
    </w:p>
    <w:p w14:paraId="6E5D5AB0" w14:textId="77777777" w:rsidR="00BC6A09" w:rsidRPr="00E876B8" w:rsidRDefault="00BC6A09">
      <w:pPr>
        <w:rPr>
          <w:rFonts w:ascii="Times New Roman" w:hAnsi="Times New Roman"/>
        </w:rPr>
      </w:pPr>
    </w:p>
    <w:sectPr w:rsidR="00BC6A09" w:rsidRPr="00E876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35E5"/>
    <w:multiLevelType w:val="hybridMultilevel"/>
    <w:tmpl w:val="B608E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A4E7C"/>
    <w:multiLevelType w:val="hybridMultilevel"/>
    <w:tmpl w:val="79702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2"/>
    <w:rsid w:val="00053039"/>
    <w:rsid w:val="00095424"/>
    <w:rsid w:val="000E600C"/>
    <w:rsid w:val="00107C2E"/>
    <w:rsid w:val="00152246"/>
    <w:rsid w:val="00185AB8"/>
    <w:rsid w:val="001A3AFB"/>
    <w:rsid w:val="001B5AE9"/>
    <w:rsid w:val="002165AF"/>
    <w:rsid w:val="002C4477"/>
    <w:rsid w:val="002E7842"/>
    <w:rsid w:val="003132EF"/>
    <w:rsid w:val="0036631A"/>
    <w:rsid w:val="00374B9D"/>
    <w:rsid w:val="003B5583"/>
    <w:rsid w:val="00416A82"/>
    <w:rsid w:val="0046332A"/>
    <w:rsid w:val="00476B8E"/>
    <w:rsid w:val="0048266C"/>
    <w:rsid w:val="00492688"/>
    <w:rsid w:val="004D2333"/>
    <w:rsid w:val="005549FE"/>
    <w:rsid w:val="00595445"/>
    <w:rsid w:val="00731B86"/>
    <w:rsid w:val="007378AD"/>
    <w:rsid w:val="00751D6D"/>
    <w:rsid w:val="00775CCA"/>
    <w:rsid w:val="007A6300"/>
    <w:rsid w:val="007C11A8"/>
    <w:rsid w:val="007C1306"/>
    <w:rsid w:val="007D6B29"/>
    <w:rsid w:val="007E2E6C"/>
    <w:rsid w:val="008737B2"/>
    <w:rsid w:val="008950DE"/>
    <w:rsid w:val="00904BEC"/>
    <w:rsid w:val="00905F5B"/>
    <w:rsid w:val="00962246"/>
    <w:rsid w:val="009932FC"/>
    <w:rsid w:val="009B7A96"/>
    <w:rsid w:val="009F3ACA"/>
    <w:rsid w:val="00A06766"/>
    <w:rsid w:val="00AA4326"/>
    <w:rsid w:val="00AE3B4E"/>
    <w:rsid w:val="00BA475F"/>
    <w:rsid w:val="00BC563D"/>
    <w:rsid w:val="00BC6A09"/>
    <w:rsid w:val="00BE0633"/>
    <w:rsid w:val="00C457C6"/>
    <w:rsid w:val="00C65704"/>
    <w:rsid w:val="00CE28AB"/>
    <w:rsid w:val="00D033A3"/>
    <w:rsid w:val="00D12311"/>
    <w:rsid w:val="00D257B6"/>
    <w:rsid w:val="00D66E25"/>
    <w:rsid w:val="00D76075"/>
    <w:rsid w:val="00D764BA"/>
    <w:rsid w:val="00D930AD"/>
    <w:rsid w:val="00DA74C9"/>
    <w:rsid w:val="00DD3CDD"/>
    <w:rsid w:val="00DE03C1"/>
    <w:rsid w:val="00E14C4D"/>
    <w:rsid w:val="00E154E3"/>
    <w:rsid w:val="00E52422"/>
    <w:rsid w:val="00E7041C"/>
    <w:rsid w:val="00E74CC0"/>
    <w:rsid w:val="00E876B8"/>
    <w:rsid w:val="00ED25E6"/>
    <w:rsid w:val="00F01761"/>
    <w:rsid w:val="00F06F44"/>
    <w:rsid w:val="00F07936"/>
    <w:rsid w:val="00F27CAD"/>
    <w:rsid w:val="00F51EF2"/>
    <w:rsid w:val="00F75AB6"/>
    <w:rsid w:val="00F95467"/>
    <w:rsid w:val="00F969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9854"/>
  <w15:chartTrackingRefBased/>
  <w15:docId w15:val="{52F877BC-2FDF-4331-8D25-516B2027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6A82"/>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416A82"/>
    <w:rPr>
      <w:rFonts w:cs="Times New Roman"/>
      <w:sz w:val="16"/>
      <w:szCs w:val="16"/>
    </w:rPr>
  </w:style>
  <w:style w:type="paragraph" w:styleId="CommentText">
    <w:name w:val="annotation text"/>
    <w:basedOn w:val="Normal"/>
    <w:link w:val="CommentTextChar"/>
    <w:uiPriority w:val="99"/>
    <w:semiHidden/>
    <w:rsid w:val="00416A82"/>
    <w:rPr>
      <w:sz w:val="20"/>
    </w:rPr>
  </w:style>
  <w:style w:type="character" w:customStyle="1" w:styleId="CommentTextChar">
    <w:name w:val="Comment Text Char"/>
    <w:basedOn w:val="DefaultParagraphFont"/>
    <w:link w:val="CommentText"/>
    <w:uiPriority w:val="99"/>
    <w:semiHidden/>
    <w:rsid w:val="00416A82"/>
    <w:rPr>
      <w:rFonts w:ascii="Arial" w:eastAsia="Times New Roman" w:hAnsi="Arial" w:cs="Times New Roman"/>
      <w:sz w:val="20"/>
      <w:szCs w:val="20"/>
    </w:r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34"/>
    <w:qFormat/>
    <w:rsid w:val="00416A82"/>
    <w:pPr>
      <w:ind w:left="720"/>
      <w:contextualSpacing/>
    </w:p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34"/>
    <w:locked/>
    <w:rsid w:val="00416A82"/>
    <w:rPr>
      <w:rFonts w:ascii="Arial" w:eastAsia="Times New Roman" w:hAnsi="Arial" w:cs="Times New Roman"/>
      <w:szCs w:val="20"/>
    </w:rPr>
  </w:style>
  <w:style w:type="paragraph" w:styleId="BalloonText">
    <w:name w:val="Balloon Text"/>
    <w:basedOn w:val="Normal"/>
    <w:link w:val="BalloonTextChar"/>
    <w:uiPriority w:val="99"/>
    <w:semiHidden/>
    <w:unhideWhenUsed/>
    <w:rsid w:val="00416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A82"/>
    <w:rPr>
      <w:rFonts w:ascii="Segoe UI" w:eastAsia="Times New Roman" w:hAnsi="Segoe UI" w:cs="Segoe UI"/>
      <w:sz w:val="18"/>
      <w:szCs w:val="18"/>
    </w:rPr>
  </w:style>
  <w:style w:type="paragraph" w:customStyle="1" w:styleId="paragraph">
    <w:name w:val="paragraph"/>
    <w:aliases w:val="a"/>
    <w:basedOn w:val="Normal"/>
    <w:rsid w:val="00D12311"/>
    <w:pPr>
      <w:tabs>
        <w:tab w:val="right" w:pos="1531"/>
      </w:tabs>
      <w:spacing w:before="40"/>
      <w:ind w:left="1644" w:hanging="1644"/>
    </w:pPr>
    <w:rPr>
      <w:rFonts w:ascii="Times New Roman" w:hAnsi="Times New Roman"/>
      <w:lang w:eastAsia="en-AU"/>
    </w:rPr>
  </w:style>
  <w:style w:type="character" w:customStyle="1" w:styleId="lexicon-term">
    <w:name w:val="lexicon-term"/>
    <w:basedOn w:val="DefaultParagraphFont"/>
    <w:rsid w:val="00ED25E6"/>
  </w:style>
  <w:style w:type="paragraph" w:styleId="CommentSubject">
    <w:name w:val="annotation subject"/>
    <w:basedOn w:val="CommentText"/>
    <w:next w:val="CommentText"/>
    <w:link w:val="CommentSubjectChar"/>
    <w:uiPriority w:val="99"/>
    <w:semiHidden/>
    <w:unhideWhenUsed/>
    <w:rsid w:val="00053039"/>
    <w:rPr>
      <w:b/>
      <w:bCs/>
    </w:rPr>
  </w:style>
  <w:style w:type="character" w:customStyle="1" w:styleId="CommentSubjectChar">
    <w:name w:val="Comment Subject Char"/>
    <w:basedOn w:val="CommentTextChar"/>
    <w:link w:val="CommentSubject"/>
    <w:uiPriority w:val="99"/>
    <w:semiHidden/>
    <w:rsid w:val="00053039"/>
    <w:rPr>
      <w:rFonts w:ascii="Arial" w:eastAsia="Times New Roman" w:hAnsi="Arial" w:cs="Times New Roman"/>
      <w:b/>
      <w:bCs/>
      <w:sz w:val="20"/>
      <w:szCs w:val="20"/>
    </w:rPr>
  </w:style>
  <w:style w:type="character" w:styleId="Hyperlink">
    <w:name w:val="Hyperlink"/>
    <w:basedOn w:val="DefaultParagraphFont"/>
    <w:uiPriority w:val="99"/>
    <w:semiHidden/>
    <w:unhideWhenUsed/>
    <w:rsid w:val="00095424"/>
    <w:rPr>
      <w:color w:val="0000FF"/>
      <w:u w:val="single"/>
    </w:rPr>
  </w:style>
  <w:style w:type="paragraph" w:styleId="Revision">
    <w:name w:val="Revision"/>
    <w:hidden/>
    <w:uiPriority w:val="99"/>
    <w:semiHidden/>
    <w:rsid w:val="0046332A"/>
    <w:pPr>
      <w:spacing w:after="0" w:line="240" w:lineRule="auto"/>
    </w:pPr>
    <w:rPr>
      <w:rFonts w:ascii="Arial" w:eastAsia="Times New Roman" w:hAnsi="Arial" w:cs="Times New Roman"/>
      <w:szCs w:val="20"/>
    </w:rPr>
  </w:style>
  <w:style w:type="paragraph" w:customStyle="1" w:styleId="Default">
    <w:name w:val="Default"/>
    <w:rsid w:val="001B5AE9"/>
    <w:pPr>
      <w:autoSpaceDE w:val="0"/>
      <w:autoSpaceDN w:val="0"/>
      <w:adjustRightInd w:val="0"/>
      <w:spacing w:after="0" w:line="240" w:lineRule="auto"/>
    </w:pPr>
    <w:rPr>
      <w:rFonts w:ascii="Calibri" w:hAnsi="Calibri" w:cs="Calibri"/>
      <w:color w:val="000000"/>
      <w:sz w:val="24"/>
      <w:szCs w:val="24"/>
    </w:rPr>
  </w:style>
  <w:style w:type="paragraph" w:customStyle="1" w:styleId="MBNumbering">
    <w:name w:val="MB Numbering"/>
    <w:basedOn w:val="Normal"/>
    <w:rsid w:val="00185AB8"/>
    <w:pPr>
      <w:tabs>
        <w:tab w:val="num" w:pos="360"/>
      </w:tabs>
      <w:spacing w:after="1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2429">
      <w:bodyDiv w:val="1"/>
      <w:marLeft w:val="0"/>
      <w:marRight w:val="0"/>
      <w:marTop w:val="0"/>
      <w:marBottom w:val="0"/>
      <w:divBdr>
        <w:top w:val="none" w:sz="0" w:space="0" w:color="auto"/>
        <w:left w:val="none" w:sz="0" w:space="0" w:color="auto"/>
        <w:bottom w:val="none" w:sz="0" w:space="0" w:color="auto"/>
        <w:right w:val="none" w:sz="0" w:space="0" w:color="auto"/>
      </w:divBdr>
    </w:div>
    <w:div w:id="13798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9BF9B2883124598ABE3329268DB45" ma:contentTypeVersion="4" ma:contentTypeDescription="Create a new document." ma:contentTypeScope="" ma:versionID="112021dea55407d1352e21975ce0eb99">
  <xsd:schema xmlns:xsd="http://www.w3.org/2001/XMLSchema" xmlns:xs="http://www.w3.org/2001/XMLSchema" xmlns:p="http://schemas.microsoft.com/office/2006/metadata/properties" xmlns:ns3="2ccae5fa-19e2-410c-9927-e9b203bf454a" targetNamespace="http://schemas.microsoft.com/office/2006/metadata/properties" ma:root="true" ma:fieldsID="b29dc2ec7ac652afb93d0da7482d2fcf" ns3:_="">
    <xsd:import namespace="2ccae5fa-19e2-410c-9927-e9b203bf45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ae5fa-19e2-410c-9927-e9b203bf4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34D18-5886-4A1D-AE52-8E0E957E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ae5fa-19e2-410c-9927-e9b203bf4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CA276-40BD-4942-BCC7-112824833B2C}">
  <ds:schemaRefs>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2ccae5fa-19e2-410c-9927-e9b203bf454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20EE2A4-7545-441C-956D-704914769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BURNS,James</dc:creator>
  <cp:keywords/>
  <dc:description/>
  <cp:lastModifiedBy>Fiona Baker</cp:lastModifiedBy>
  <cp:revision>3</cp:revision>
  <cp:lastPrinted>2020-11-20T03:32:00Z</cp:lastPrinted>
  <dcterms:created xsi:type="dcterms:W3CDTF">2020-12-11T00:19:00Z</dcterms:created>
  <dcterms:modified xsi:type="dcterms:W3CDTF">2020-12-11T00:29:00Z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0x0101007849BF9B2883124598ABE3329268DB45</vt:lpwstr>
  </property>
</Properties>
</file>