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78ACE" w14:textId="77777777" w:rsidR="00955175" w:rsidRDefault="00955175" w:rsidP="00E2168B">
      <w:pPr>
        <w:spacing w:before="280" w:after="240"/>
        <w:rPr>
          <w:b/>
          <w:sz w:val="32"/>
          <w:szCs w:val="32"/>
        </w:rPr>
      </w:pPr>
    </w:p>
    <w:p w14:paraId="2B8C892B" w14:textId="77777777" w:rsidR="00955175" w:rsidRDefault="0057471E" w:rsidP="00E2168B">
      <w:pPr>
        <w:spacing w:before="280" w:after="240"/>
        <w:rPr>
          <w:b/>
          <w:sz w:val="32"/>
          <w:szCs w:val="32"/>
        </w:rPr>
      </w:pPr>
      <w:r w:rsidRPr="00062B85">
        <w:rPr>
          <w:noProof/>
          <w:highlight w:val="yellow"/>
          <w:lang w:val="en-US" w:eastAsia="ja-JP"/>
        </w:rPr>
        <w:drawing>
          <wp:anchor distT="0" distB="0" distL="114300" distR="114300" simplePos="0" relativeHeight="251657728" behindDoc="0" locked="0" layoutInCell="1" allowOverlap="1" wp14:anchorId="7EBC48FA" wp14:editId="07777777">
            <wp:simplePos x="0" y="0"/>
            <wp:positionH relativeFrom="margin">
              <wp:align>center</wp:align>
            </wp:positionH>
            <wp:positionV relativeFrom="margin">
              <wp:align>top</wp:align>
            </wp:positionV>
            <wp:extent cx="3542030" cy="746760"/>
            <wp:effectExtent l="0" t="0" r="1270" b="0"/>
            <wp:wrapSquare wrapText="bothSides"/>
            <wp:docPr id="3" name="Picture 3" descr="Australian Securities and Investmen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Securities and Investments Commiss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2BF1A3D2" w14:textId="77777777" w:rsidR="00955175" w:rsidRDefault="00955175" w:rsidP="00955175">
      <w:pPr>
        <w:pStyle w:val="LI-Title"/>
        <w:pBdr>
          <w:top w:val="none" w:sz="0" w:space="0" w:color="auto"/>
        </w:pBdr>
        <w:jc w:val="center"/>
      </w:pPr>
    </w:p>
    <w:p w14:paraId="782BF3F9" w14:textId="77777777" w:rsidR="00955175" w:rsidRDefault="00955175" w:rsidP="00955175">
      <w:pPr>
        <w:pStyle w:val="LI-Title"/>
        <w:pBdr>
          <w:top w:val="none" w:sz="0" w:space="0" w:color="auto"/>
        </w:pBdr>
        <w:jc w:val="center"/>
      </w:pPr>
      <w:r>
        <w:t>Explanatory Statement</w:t>
      </w:r>
    </w:p>
    <w:p w14:paraId="1DF0E541" w14:textId="77777777" w:rsidR="00955175" w:rsidRDefault="00955175" w:rsidP="00955175">
      <w:pPr>
        <w:rPr>
          <w:lang w:eastAsia="en-AU"/>
        </w:rPr>
      </w:pPr>
    </w:p>
    <w:p w14:paraId="338AE746" w14:textId="77777777" w:rsidR="00C4170B" w:rsidRPr="00C4170B" w:rsidRDefault="00AC6456" w:rsidP="00C4170B">
      <w:pPr>
        <w:jc w:val="center"/>
        <w:rPr>
          <w:b/>
          <w:i/>
          <w:sz w:val="28"/>
          <w:szCs w:val="28"/>
          <w:lang w:eastAsia="en-AU"/>
        </w:rPr>
      </w:pPr>
      <w:r>
        <w:rPr>
          <w:b/>
          <w:i/>
          <w:sz w:val="28"/>
          <w:szCs w:val="28"/>
          <w:lang w:eastAsia="en-AU"/>
        </w:rPr>
        <w:t>ASIC Corporations (Amendment</w:t>
      </w:r>
      <w:r w:rsidR="009E2BD8">
        <w:rPr>
          <w:b/>
          <w:i/>
          <w:sz w:val="28"/>
          <w:szCs w:val="28"/>
          <w:lang w:eastAsia="en-AU"/>
        </w:rPr>
        <w:t xml:space="preserve"> and Repeal</w:t>
      </w:r>
      <w:r>
        <w:rPr>
          <w:b/>
          <w:i/>
          <w:sz w:val="28"/>
          <w:szCs w:val="28"/>
          <w:lang w:eastAsia="en-AU"/>
        </w:rPr>
        <w:t>) Instrument 2020/</w:t>
      </w:r>
      <w:r w:rsidR="00F948AD">
        <w:rPr>
          <w:b/>
          <w:i/>
          <w:sz w:val="28"/>
          <w:szCs w:val="28"/>
          <w:lang w:eastAsia="en-AU"/>
        </w:rPr>
        <w:t>579</w:t>
      </w:r>
    </w:p>
    <w:p w14:paraId="16590627" w14:textId="77777777" w:rsidR="00863657" w:rsidRDefault="00F800C9" w:rsidP="00F800C9">
      <w:pPr>
        <w:pStyle w:val="LI-BodyTextParaa"/>
        <w:ind w:left="0" w:firstLine="0"/>
      </w:pPr>
      <w:bookmarkStart w:id="0" w:name="BK_S3P1L1C1"/>
      <w:bookmarkEnd w:id="0"/>
      <w:r>
        <w:t xml:space="preserve">This is the Explanatory Statement for </w:t>
      </w:r>
      <w:r w:rsidR="00AC6456">
        <w:t xml:space="preserve">the </w:t>
      </w:r>
      <w:r w:rsidR="00AC6456" w:rsidRPr="00AC6456">
        <w:rPr>
          <w:i/>
        </w:rPr>
        <w:t>ASIC Corporations (Amendment</w:t>
      </w:r>
      <w:r w:rsidR="009E2BD8">
        <w:rPr>
          <w:i/>
        </w:rPr>
        <w:t xml:space="preserve"> and Repeal</w:t>
      </w:r>
      <w:r w:rsidR="00AC6456" w:rsidRPr="00AC6456">
        <w:rPr>
          <w:i/>
        </w:rPr>
        <w:t>) Instrument 2020/</w:t>
      </w:r>
      <w:r w:rsidR="00F948AD">
        <w:rPr>
          <w:i/>
        </w:rPr>
        <w:t>579</w:t>
      </w:r>
      <w:r>
        <w:t>.</w:t>
      </w:r>
    </w:p>
    <w:p w14:paraId="489EF202" w14:textId="77777777" w:rsidR="00F800C9" w:rsidRPr="00C4170B" w:rsidRDefault="00863657" w:rsidP="00F800C9">
      <w:pPr>
        <w:pStyle w:val="LI-BodyTextParaa"/>
        <w:ind w:left="0" w:firstLine="0"/>
      </w:pPr>
      <w:r>
        <w:t>Th</w:t>
      </w:r>
      <w:r w:rsidR="00F800C9" w:rsidRPr="00F800C9">
        <w:t>e</w:t>
      </w:r>
      <w:r>
        <w:t xml:space="preserve"> </w:t>
      </w:r>
      <w:r w:rsidR="00F800C9">
        <w:t xml:space="preserve">Explanatory Statement is approved by </w:t>
      </w:r>
      <w:r w:rsidR="00F800C9" w:rsidRPr="00C4170B">
        <w:t>the Australian Securities and Investments</w:t>
      </w:r>
      <w:r w:rsidR="00F800C9">
        <w:t> </w:t>
      </w:r>
      <w:r w:rsidR="00F800C9" w:rsidRPr="00C4170B">
        <w:t>Commission</w:t>
      </w:r>
      <w:r w:rsidR="00F800C9">
        <w:t xml:space="preserve"> (</w:t>
      </w:r>
      <w:r w:rsidR="00F800C9" w:rsidRPr="00C4170B">
        <w:rPr>
          <w:b/>
          <w:i/>
        </w:rPr>
        <w:t>ASIC</w:t>
      </w:r>
      <w:r w:rsidR="00F800C9">
        <w:t>).</w:t>
      </w:r>
    </w:p>
    <w:p w14:paraId="2DC87709" w14:textId="77777777" w:rsidR="00F800C9" w:rsidRPr="0018659E" w:rsidRDefault="005D1FEA" w:rsidP="00F800C9">
      <w:pPr>
        <w:pStyle w:val="LI-BodyTextNumbered"/>
        <w:ind w:left="0" w:firstLine="0"/>
        <w:rPr>
          <w:b/>
        </w:rPr>
      </w:pPr>
      <w:r>
        <w:rPr>
          <w:b/>
        </w:rPr>
        <w:t>Summary</w:t>
      </w:r>
    </w:p>
    <w:p w14:paraId="51499569" w14:textId="53A324AF" w:rsidR="00F800C9" w:rsidRDefault="00080753" w:rsidP="00A068EA">
      <w:pPr>
        <w:pStyle w:val="LI-BodyTextParaa"/>
        <w:numPr>
          <w:ilvl w:val="0"/>
          <w:numId w:val="16"/>
        </w:numPr>
      </w:pPr>
      <w:r w:rsidRPr="00080753">
        <w:t xml:space="preserve">The instrument makes </w:t>
      </w:r>
      <w:r w:rsidR="008660AC">
        <w:t>minor amendments</w:t>
      </w:r>
      <w:r w:rsidRPr="00080753">
        <w:t xml:space="preserve"> to </w:t>
      </w:r>
      <w:r w:rsidRPr="00080753">
        <w:rPr>
          <w:i/>
        </w:rPr>
        <w:t>ASIC Corporations (Disclosure of Fees</w:t>
      </w:r>
      <w:r w:rsidR="00534EE7">
        <w:rPr>
          <w:i/>
        </w:rPr>
        <w:t xml:space="preserve"> </w:t>
      </w:r>
      <w:r w:rsidRPr="00080753">
        <w:rPr>
          <w:i/>
        </w:rPr>
        <w:t xml:space="preserve">and Costs) Instrument 2019/1070 </w:t>
      </w:r>
      <w:r w:rsidRPr="00080753">
        <w:t xml:space="preserve">(the </w:t>
      </w:r>
      <w:r w:rsidRPr="00080753">
        <w:rPr>
          <w:b/>
          <w:i/>
        </w:rPr>
        <w:t>principal instrument</w:t>
      </w:r>
      <w:r w:rsidRPr="00080753">
        <w:t>) in relation to the fees and costs disclosure requirements for superannuation products and collective investment products</w:t>
      </w:r>
      <w:r w:rsidR="00C54C89">
        <w:t xml:space="preserve">, and </w:t>
      </w:r>
      <w:r w:rsidR="00C54C89" w:rsidRPr="00080753">
        <w:t xml:space="preserve">other </w:t>
      </w:r>
      <w:r w:rsidR="00C54C89">
        <w:t xml:space="preserve">consequential amendments to </w:t>
      </w:r>
      <w:r w:rsidR="00C54C89" w:rsidRPr="00080753">
        <w:t>related instruments</w:t>
      </w:r>
      <w:r w:rsidRPr="00080753">
        <w:rPr>
          <w:i/>
        </w:rPr>
        <w:t>.</w:t>
      </w:r>
      <w:r w:rsidRPr="00080753">
        <w:t xml:space="preserve">  Collective investment products are managed investment products and notified foreign passport fund products.</w:t>
      </w:r>
      <w:r w:rsidR="00D37BFE" w:rsidRPr="00D37BFE">
        <w:t xml:space="preserve"> </w:t>
      </w:r>
      <w:r w:rsidR="00D37BFE">
        <w:t xml:space="preserve">The principal instrument wholly substitutes </w:t>
      </w:r>
      <w:r w:rsidR="00D37BFE" w:rsidRPr="00D37BFE">
        <w:t xml:space="preserve">Schedule 10 </w:t>
      </w:r>
      <w:r w:rsidR="00BB6B71">
        <w:t>to</w:t>
      </w:r>
      <w:r w:rsidR="00D37BFE" w:rsidRPr="00D37BFE">
        <w:t xml:space="preserve"> the </w:t>
      </w:r>
      <w:r w:rsidR="00D37BFE" w:rsidRPr="00D37BFE">
        <w:rPr>
          <w:i/>
          <w:iCs/>
        </w:rPr>
        <w:t>Corporations Regulations 2001</w:t>
      </w:r>
      <w:r w:rsidR="00D37BFE" w:rsidRPr="00D37BFE">
        <w:t xml:space="preserve"> (</w:t>
      </w:r>
      <w:r w:rsidR="00D37BFE" w:rsidRPr="00D37BFE">
        <w:rPr>
          <w:b/>
          <w:bCs/>
        </w:rPr>
        <w:t>Schedule 10</w:t>
      </w:r>
      <w:r w:rsidR="00D37BFE" w:rsidRPr="00D37BFE">
        <w:t>)</w:t>
      </w:r>
      <w:r w:rsidR="00D37BFE">
        <w:t xml:space="preserve">. </w:t>
      </w:r>
      <w:r w:rsidR="00EF45B7">
        <w:t>References to clauses are to clauses of Schedule 10 unless otherwise stated.</w:t>
      </w:r>
    </w:p>
    <w:p w14:paraId="4275E405" w14:textId="34C34190" w:rsidR="00B83330" w:rsidRPr="00A068EA" w:rsidRDefault="00B83330" w:rsidP="00A068EA">
      <w:pPr>
        <w:pStyle w:val="LI-BodyTextParaa"/>
        <w:numPr>
          <w:ilvl w:val="0"/>
          <w:numId w:val="16"/>
        </w:numPr>
        <w:rPr>
          <w:bCs/>
          <w:i/>
        </w:rPr>
      </w:pPr>
      <w:bookmarkStart w:id="1" w:name="_Hlk42699448"/>
      <w:r>
        <w:t xml:space="preserve">The instrument </w:t>
      </w:r>
      <w:r w:rsidR="00BB6B71">
        <w:t xml:space="preserve">also </w:t>
      </w:r>
      <w:r>
        <w:t xml:space="preserve">amends an outdated reference in </w:t>
      </w:r>
      <w:r w:rsidRPr="008B4AF3">
        <w:rPr>
          <w:iCs/>
        </w:rPr>
        <w:t>ASIC Class Order</w:t>
      </w:r>
      <w:r w:rsidRPr="00A068EA">
        <w:rPr>
          <w:i/>
        </w:rPr>
        <w:t xml:space="preserve"> </w:t>
      </w:r>
      <w:r w:rsidRPr="00842F37">
        <w:rPr>
          <w:iCs/>
        </w:rPr>
        <w:t>[CO</w:t>
      </w:r>
      <w:r w:rsidR="00BB6B71">
        <w:rPr>
          <w:iCs/>
        </w:rPr>
        <w:t> </w:t>
      </w:r>
      <w:r w:rsidRPr="00842F37">
        <w:rPr>
          <w:iCs/>
        </w:rPr>
        <w:t>12/415]</w:t>
      </w:r>
      <w:r>
        <w:t xml:space="preserve"> and repeals </w:t>
      </w:r>
      <w:r w:rsidR="00BB6B71">
        <w:t xml:space="preserve">ASIC Class Order [CO 13/1420] and </w:t>
      </w:r>
      <w:r w:rsidRPr="00A068EA">
        <w:rPr>
          <w:i/>
        </w:rPr>
        <w:t>ASIC Corporations (Urgent Superannuation Advice) Instrument 2017/530</w:t>
      </w:r>
      <w:r>
        <w:rPr>
          <w:i/>
        </w:rPr>
        <w:t>.</w:t>
      </w:r>
      <w:r>
        <w:t xml:space="preserve"> This amendment and repeal are not in relation to the fees and costs disclosure requirements.</w:t>
      </w:r>
      <w:bookmarkEnd w:id="1"/>
    </w:p>
    <w:p w14:paraId="538265F1" w14:textId="77777777" w:rsidR="005D1FEA" w:rsidRDefault="005D1FEA" w:rsidP="005D1FEA">
      <w:pPr>
        <w:pStyle w:val="LI-BodyTextNumbered"/>
        <w:ind w:hanging="1134"/>
        <w:rPr>
          <w:b/>
        </w:rPr>
      </w:pPr>
      <w:r>
        <w:rPr>
          <w:b/>
        </w:rPr>
        <w:t>Purpose of the instrument</w:t>
      </w:r>
    </w:p>
    <w:p w14:paraId="5D21D901" w14:textId="39EFB2AA" w:rsidR="005D1FEA" w:rsidRDefault="00080753" w:rsidP="00F948AD">
      <w:pPr>
        <w:pStyle w:val="LI-BodyTextParaa"/>
        <w:numPr>
          <w:ilvl w:val="0"/>
          <w:numId w:val="16"/>
        </w:numPr>
      </w:pPr>
      <w:r w:rsidRPr="00080753">
        <w:t xml:space="preserve">ASIC makes the instrument to make minor </w:t>
      </w:r>
      <w:r w:rsidR="00C83B8E">
        <w:t>amendment</w:t>
      </w:r>
      <w:r w:rsidRPr="00080753">
        <w:t xml:space="preserve">s to the principal instrument and </w:t>
      </w:r>
      <w:bookmarkStart w:id="2" w:name="_Hlk43132184"/>
      <w:r w:rsidRPr="00080753">
        <w:t xml:space="preserve">other related instruments </w:t>
      </w:r>
      <w:bookmarkEnd w:id="2"/>
      <w:r w:rsidRPr="00080753">
        <w:t>to clarify and confirm the intended operation of aspects of the fees and costs disclosure regime that will apply under the principal instrument.</w:t>
      </w:r>
    </w:p>
    <w:p w14:paraId="654443E8" w14:textId="68BCB6BC" w:rsidR="00F948AD" w:rsidRDefault="00F948AD" w:rsidP="00F948AD">
      <w:pPr>
        <w:pStyle w:val="LI-BodyTextParaa"/>
        <w:numPr>
          <w:ilvl w:val="0"/>
          <w:numId w:val="16"/>
        </w:numPr>
      </w:pPr>
      <w:r>
        <w:t xml:space="preserve">In </w:t>
      </w:r>
      <w:r w:rsidRPr="00AA54AF">
        <w:t>November 201</w:t>
      </w:r>
      <w:r>
        <w:t>9,</w:t>
      </w:r>
      <w:r w:rsidRPr="00ED4BCC">
        <w:t xml:space="preserve"> </w:t>
      </w:r>
      <w:r>
        <w:t xml:space="preserve">ASIC made the </w:t>
      </w:r>
      <w:r w:rsidRPr="00711403">
        <w:t>principal instrument</w:t>
      </w:r>
      <w:r>
        <w:rPr>
          <w:b/>
          <w:i/>
        </w:rPr>
        <w:t xml:space="preserve"> </w:t>
      </w:r>
      <w:r>
        <w:t xml:space="preserve">to give effect to proposals to enhance comparability and transparency about fees and costs of superannuation products and collective investment products.  ASIC considered that those changes would improve and promote better decision-making by consumers and their financial advisers and improve their ability to exert demand-side competitive pressure in the superannuation and </w:t>
      </w:r>
      <w:r w:rsidR="00207FCC">
        <w:t>collective</w:t>
      </w:r>
      <w:r>
        <w:t xml:space="preserve"> investment </w:t>
      </w:r>
      <w:r w:rsidR="00207FCC">
        <w:t>product</w:t>
      </w:r>
      <w:r>
        <w:t xml:space="preserve"> markets.</w:t>
      </w:r>
    </w:p>
    <w:p w14:paraId="2FF19E61" w14:textId="77777777" w:rsidR="00F948AD" w:rsidRDefault="00F948AD" w:rsidP="00F948AD">
      <w:pPr>
        <w:pStyle w:val="LI-BodyTextParaa"/>
        <w:numPr>
          <w:ilvl w:val="0"/>
          <w:numId w:val="16"/>
        </w:numPr>
      </w:pPr>
      <w:r>
        <w:t>The making of the principal instrument followed:</w:t>
      </w:r>
    </w:p>
    <w:p w14:paraId="15CB63A5" w14:textId="41B7120C" w:rsidR="00F948AD" w:rsidRDefault="00F948AD" w:rsidP="002A2521">
      <w:pPr>
        <w:pStyle w:val="LI-BodyTextParaa"/>
        <w:ind w:left="1440" w:hanging="870"/>
      </w:pPr>
      <w:r>
        <w:lastRenderedPageBreak/>
        <w:t>(a)</w:t>
      </w:r>
      <w:r w:rsidR="002A2521">
        <w:tab/>
      </w:r>
      <w:r>
        <w:t xml:space="preserve">the review and report by an </w:t>
      </w:r>
      <w:r w:rsidRPr="00AA54AF">
        <w:t xml:space="preserve">external expert </w:t>
      </w:r>
      <w:r>
        <w:t>o</w:t>
      </w:r>
      <w:r w:rsidRPr="00AA54AF">
        <w:t>f the fees and costs disclosure regime</w:t>
      </w:r>
      <w:r w:rsidR="00842F37">
        <w:t xml:space="preserve">, </w:t>
      </w:r>
      <w:r>
        <w:t xml:space="preserve">published in July 2018 as ASIC Report 581 </w:t>
      </w:r>
      <w:r w:rsidRPr="00F5727B">
        <w:rPr>
          <w:i/>
        </w:rPr>
        <w:t>Review of ASIC Regulatory Guide 97 Disclosing fees and costs in PDSs and periodic statements</w:t>
      </w:r>
      <w:r>
        <w:rPr>
          <w:i/>
        </w:rPr>
        <w:t xml:space="preserve"> </w:t>
      </w:r>
      <w:r w:rsidRPr="0099156E">
        <w:t>(</w:t>
      </w:r>
      <w:r w:rsidRPr="00AA54AF">
        <w:rPr>
          <w:b/>
          <w:i/>
        </w:rPr>
        <w:t>Report 581</w:t>
      </w:r>
      <w:r w:rsidRPr="0099156E">
        <w:t>);</w:t>
      </w:r>
      <w:r>
        <w:rPr>
          <w:i/>
        </w:rPr>
        <w:t xml:space="preserve"> </w:t>
      </w:r>
      <w:r w:rsidRPr="0099156E">
        <w:t>and</w:t>
      </w:r>
    </w:p>
    <w:p w14:paraId="52E2A2DC" w14:textId="273C1CF2" w:rsidR="00F948AD" w:rsidRPr="0099156E" w:rsidRDefault="00F948AD" w:rsidP="002A2521">
      <w:pPr>
        <w:pStyle w:val="LI-BodyTextParaa"/>
        <w:ind w:left="1440" w:hanging="870"/>
      </w:pPr>
      <w:r>
        <w:t>(b)</w:t>
      </w:r>
      <w:r w:rsidR="002A2521">
        <w:tab/>
      </w:r>
      <w:r w:rsidRPr="0099156E">
        <w:t xml:space="preserve">ASIC’s </w:t>
      </w:r>
      <w:r>
        <w:t xml:space="preserve">consideration </w:t>
      </w:r>
      <w:r w:rsidRPr="0099156E">
        <w:t xml:space="preserve">of </w:t>
      </w:r>
      <w:r>
        <w:t xml:space="preserve">the </w:t>
      </w:r>
      <w:r w:rsidRPr="00AA54AF">
        <w:t xml:space="preserve">feedback </w:t>
      </w:r>
      <w:r>
        <w:t xml:space="preserve">received </w:t>
      </w:r>
      <w:r w:rsidRPr="00AA54AF">
        <w:t xml:space="preserve">on ASIC’s proposals </w:t>
      </w:r>
      <w:r>
        <w:t xml:space="preserve">in January 2019 </w:t>
      </w:r>
      <w:r w:rsidRPr="00AA54AF">
        <w:t>to make changes to the fees and costs disclosure regime</w:t>
      </w:r>
      <w:r>
        <w:t xml:space="preserve"> </w:t>
      </w:r>
      <w:r w:rsidRPr="00AA54AF">
        <w:t xml:space="preserve">in Consultation Paper 308 </w:t>
      </w:r>
      <w:r w:rsidRPr="00AA54AF">
        <w:rPr>
          <w:i/>
        </w:rPr>
        <w:t>Review of RG 97 Disclosing fees and costs in PDSs and periodic statements</w:t>
      </w:r>
      <w:r>
        <w:t xml:space="preserve"> (</w:t>
      </w:r>
      <w:r w:rsidRPr="00AA54AF">
        <w:rPr>
          <w:b/>
          <w:i/>
        </w:rPr>
        <w:t>CP 308</w:t>
      </w:r>
      <w:r>
        <w:t>).</w:t>
      </w:r>
    </w:p>
    <w:p w14:paraId="1AFCF6A7" w14:textId="77777777" w:rsidR="00F948AD" w:rsidRDefault="00F948AD" w:rsidP="00F948AD">
      <w:pPr>
        <w:pStyle w:val="LI-BodyTextParaa"/>
        <w:numPr>
          <w:ilvl w:val="0"/>
          <w:numId w:val="16"/>
        </w:numPr>
      </w:pPr>
      <w:r>
        <w:t xml:space="preserve">The modifications made by the principal instrument were accompanied by the release of a restructured and updated version of ASIC </w:t>
      </w:r>
      <w:r w:rsidRPr="00AA54AF">
        <w:t>R</w:t>
      </w:r>
      <w:r>
        <w:t xml:space="preserve">egulatory </w:t>
      </w:r>
      <w:r w:rsidRPr="00AA54AF">
        <w:t>G</w:t>
      </w:r>
      <w:r>
        <w:t>uide</w:t>
      </w:r>
      <w:r w:rsidRPr="00AA54AF">
        <w:t xml:space="preserve"> 97</w:t>
      </w:r>
      <w:r w:rsidRPr="00AA54AF">
        <w:rPr>
          <w:i/>
        </w:rPr>
        <w:t xml:space="preserve"> </w:t>
      </w:r>
      <w:r w:rsidRPr="00F5727B">
        <w:rPr>
          <w:i/>
        </w:rPr>
        <w:t>Disclosing fees and costs in PDSs and periodic statements</w:t>
      </w:r>
      <w:r>
        <w:rPr>
          <w:i/>
        </w:rPr>
        <w:t xml:space="preserve"> </w:t>
      </w:r>
      <w:r w:rsidRPr="00AA54AF">
        <w:t>(</w:t>
      </w:r>
      <w:r w:rsidRPr="00AA54AF">
        <w:rPr>
          <w:b/>
          <w:i/>
        </w:rPr>
        <w:t>RG</w:t>
      </w:r>
      <w:r>
        <w:rPr>
          <w:b/>
          <w:i/>
        </w:rPr>
        <w:t xml:space="preserve"> </w:t>
      </w:r>
      <w:r w:rsidRPr="00AA54AF">
        <w:rPr>
          <w:b/>
          <w:i/>
        </w:rPr>
        <w:t>97</w:t>
      </w:r>
      <w:r w:rsidRPr="00AA54AF">
        <w:t>).</w:t>
      </w:r>
    </w:p>
    <w:p w14:paraId="389ADDDA" w14:textId="3D2DEAA6" w:rsidR="00F948AD" w:rsidRDefault="00F948AD" w:rsidP="00F948AD">
      <w:pPr>
        <w:pStyle w:val="LI-BodyTextParaa"/>
        <w:numPr>
          <w:ilvl w:val="0"/>
          <w:numId w:val="16"/>
        </w:numPr>
      </w:pPr>
      <w:r>
        <w:t xml:space="preserve">ASIC </w:t>
      </w:r>
      <w:r w:rsidR="008C153B">
        <w:t>is making</w:t>
      </w:r>
      <w:r w:rsidRPr="00EC1F91">
        <w:t xml:space="preserve"> minor </w:t>
      </w:r>
      <w:r>
        <w:t>amendments</w:t>
      </w:r>
      <w:r w:rsidRPr="00EC1F91">
        <w:t xml:space="preserve"> required to the principal instrument </w:t>
      </w:r>
      <w:r>
        <w:t>and consequential amendments within other instruments to give effect to ASIC’s intended policy positions.</w:t>
      </w:r>
      <w:r w:rsidR="00C83B8E">
        <w:t xml:space="preserve"> Those amendments are made through the instrument</w:t>
      </w:r>
      <w:r w:rsidR="00C80943">
        <w:t>.</w:t>
      </w:r>
    </w:p>
    <w:p w14:paraId="582C6C98" w14:textId="77777777" w:rsidR="00F948AD" w:rsidRPr="00F948AD" w:rsidRDefault="00F948AD" w:rsidP="00F948AD">
      <w:pPr>
        <w:pStyle w:val="LI-BodyTextNumbered"/>
        <w:ind w:left="0" w:firstLine="0"/>
        <w:rPr>
          <w:b/>
        </w:rPr>
      </w:pPr>
      <w:r>
        <w:rPr>
          <w:b/>
        </w:rPr>
        <w:t>Consultation</w:t>
      </w:r>
    </w:p>
    <w:p w14:paraId="0C0A0B3A" w14:textId="7294BB5E" w:rsidR="00F948AD" w:rsidRDefault="00F948AD" w:rsidP="00F948AD">
      <w:pPr>
        <w:pStyle w:val="LI-BodyTextParaa"/>
        <w:numPr>
          <w:ilvl w:val="0"/>
          <w:numId w:val="16"/>
        </w:numPr>
      </w:pPr>
      <w:r>
        <w:t xml:space="preserve">ASIC had conducted formal consultation in relation to policies to be reflected in the principal instrument </w:t>
      </w:r>
      <w:r w:rsidR="00C80943">
        <w:t>by</w:t>
      </w:r>
      <w:r>
        <w:t xml:space="preserve"> seeking submissions in relation to its proposals in CP 308, which was open from 8 January 2019 to 2 April 2019.  ASIC also conducted further informal consultation with industry on aspects of some proposals following the CP 308 consultation period.</w:t>
      </w:r>
    </w:p>
    <w:p w14:paraId="1F957C49" w14:textId="4AF26D54" w:rsidR="00F948AD" w:rsidRDefault="00F948AD" w:rsidP="00F948AD">
      <w:pPr>
        <w:pStyle w:val="LI-BodyTextParaa"/>
        <w:numPr>
          <w:ilvl w:val="0"/>
          <w:numId w:val="16"/>
        </w:numPr>
      </w:pPr>
      <w:r>
        <w:t xml:space="preserve">Prior to CP 308 the external expert had also conducted consultation with industry participants and peak bodies during the expert’s review of </w:t>
      </w:r>
      <w:r w:rsidR="00842F37">
        <w:t>[</w:t>
      </w:r>
      <w:r w:rsidRPr="00AA54AF">
        <w:t>CO</w:t>
      </w:r>
      <w:r w:rsidR="00C54C89">
        <w:t> </w:t>
      </w:r>
      <w:r w:rsidRPr="00AA54AF">
        <w:t>14/1252</w:t>
      </w:r>
      <w:r w:rsidR="00842F37">
        <w:t xml:space="preserve">] </w:t>
      </w:r>
      <w:r w:rsidRPr="00AA54AF">
        <w:t>and RG 97</w:t>
      </w:r>
      <w:r>
        <w:t>.  Over the first half of 2018</w:t>
      </w:r>
      <w:r w:rsidR="00B13301">
        <w:t>,</w:t>
      </w:r>
      <w:r>
        <w:t xml:space="preserve"> the expert </w:t>
      </w:r>
      <w:r w:rsidRPr="001668A4">
        <w:t>met with over 120 industry stakeholders in Sydney, Melbourne and Brisbane and via teleconference</w:t>
      </w:r>
      <w:r w:rsidR="00B13301">
        <w:t xml:space="preserve">. </w:t>
      </w:r>
      <w:r w:rsidRPr="001668A4">
        <w:t xml:space="preserve">ASIC attended </w:t>
      </w:r>
      <w:r w:rsidR="00C80943">
        <w:t>each</w:t>
      </w:r>
      <w:r w:rsidRPr="001668A4">
        <w:t xml:space="preserve"> of these industry stakeholder meetings as an observer</w:t>
      </w:r>
      <w:r>
        <w:t>.</w:t>
      </w:r>
    </w:p>
    <w:p w14:paraId="36CDF5FD" w14:textId="482F2770" w:rsidR="00F948AD" w:rsidRDefault="00F948AD" w:rsidP="00F948AD">
      <w:pPr>
        <w:pStyle w:val="LI-BodyTextParaa"/>
        <w:numPr>
          <w:ilvl w:val="0"/>
          <w:numId w:val="16"/>
        </w:numPr>
      </w:pPr>
      <w:r>
        <w:t xml:space="preserve">Since the release </w:t>
      </w:r>
      <w:r w:rsidR="0051197F">
        <w:t xml:space="preserve">in November 2019 </w:t>
      </w:r>
      <w:r>
        <w:t xml:space="preserve">of </w:t>
      </w:r>
      <w:r w:rsidR="0051197F">
        <w:t xml:space="preserve">the revised </w:t>
      </w:r>
      <w:r>
        <w:t>RG 97 and the principal instrument ASIC has conducted further meetings and informal consultation with industry stakeholders and responded to questions raised by industry which have informed our decision on where amendments are required to give effect to our intended policy positions.</w:t>
      </w:r>
    </w:p>
    <w:p w14:paraId="61579B61" w14:textId="77777777" w:rsidR="00F948AD" w:rsidRPr="00F948AD" w:rsidRDefault="00F948AD" w:rsidP="00F948AD">
      <w:pPr>
        <w:pStyle w:val="LI-BodyTextNumbered"/>
        <w:ind w:left="0" w:firstLine="0"/>
        <w:rPr>
          <w:b/>
        </w:rPr>
      </w:pPr>
      <w:r>
        <w:rPr>
          <w:b/>
        </w:rPr>
        <w:t>Operation of the instrument</w:t>
      </w:r>
    </w:p>
    <w:p w14:paraId="66E1E4C2" w14:textId="0D22AE49" w:rsidR="00F948AD" w:rsidRDefault="00F948AD" w:rsidP="00F948AD">
      <w:pPr>
        <w:pStyle w:val="LI-BodyTextParaa"/>
        <w:numPr>
          <w:ilvl w:val="0"/>
          <w:numId w:val="16"/>
        </w:numPr>
      </w:pPr>
      <w:r w:rsidRPr="00C42032">
        <w:t xml:space="preserve">The instrument </w:t>
      </w:r>
      <w:r w:rsidR="00C83B8E">
        <w:t>amends</w:t>
      </w:r>
      <w:r w:rsidRPr="00C42032">
        <w:t xml:space="preserve"> aspects of the fees and costs disclosure regime that will apply as a result of the principal instrument</w:t>
      </w:r>
      <w:r w:rsidRPr="00C42032">
        <w:rPr>
          <w:i/>
        </w:rPr>
        <w:t xml:space="preserve">. </w:t>
      </w:r>
      <w:r w:rsidRPr="00A068EA">
        <w:t>This instrument commences on the day after it is registered on the Federal Register of Legislation.</w:t>
      </w:r>
    </w:p>
    <w:p w14:paraId="6900EB34" w14:textId="77777777" w:rsidR="00F948AD" w:rsidRDefault="00F948AD" w:rsidP="00F948AD">
      <w:pPr>
        <w:pStyle w:val="LI-BodyTextParaa"/>
        <w:ind w:left="0" w:firstLine="0"/>
        <w:rPr>
          <w:bCs/>
          <w:i/>
        </w:rPr>
      </w:pPr>
      <w:r w:rsidRPr="006E355A">
        <w:rPr>
          <w:bCs/>
          <w:i/>
        </w:rPr>
        <w:t>ASIC Class Order [CO 12/415]</w:t>
      </w:r>
    </w:p>
    <w:p w14:paraId="0D62B4BE" w14:textId="08F17335" w:rsidR="00F948AD" w:rsidRDefault="00C54C89" w:rsidP="00F948AD">
      <w:pPr>
        <w:pStyle w:val="LI-BodyTextParaa"/>
        <w:numPr>
          <w:ilvl w:val="0"/>
          <w:numId w:val="16"/>
        </w:numPr>
        <w:rPr>
          <w:bCs/>
        </w:rPr>
      </w:pPr>
      <w:r>
        <w:rPr>
          <w:bCs/>
        </w:rPr>
        <w:t>ASIC Class Order [CO 12/415</w:t>
      </w:r>
      <w:r w:rsidRPr="00F94515">
        <w:rPr>
          <w:bCs/>
        </w:rPr>
        <w:t>] provides flexibility in how in-use notice information is provided to ASIC for employer-sponsored superannuation products in light of the unique nature of those products</w:t>
      </w:r>
      <w:r w:rsidR="00F60A3E">
        <w:rPr>
          <w:bCs/>
        </w:rPr>
        <w:t>. The</w:t>
      </w:r>
      <w:r w:rsidR="00F948AD">
        <w:rPr>
          <w:bCs/>
        </w:rPr>
        <w:t xml:space="preserve"> instrument amends </w:t>
      </w:r>
      <w:r w:rsidR="00F948AD">
        <w:rPr>
          <w:bCs/>
        </w:rPr>
        <w:lastRenderedPageBreak/>
        <w:t xml:space="preserve">an outdated reference in </w:t>
      </w:r>
      <w:r w:rsidR="00F60A3E">
        <w:rPr>
          <w:bCs/>
        </w:rPr>
        <w:t xml:space="preserve">the definition of </w:t>
      </w:r>
      <w:r w:rsidR="008B4AF3">
        <w:rPr>
          <w:bCs/>
        </w:rPr>
        <w:t>“</w:t>
      </w:r>
      <w:r w:rsidR="00F60A3E">
        <w:rPr>
          <w:bCs/>
        </w:rPr>
        <w:t>variable choice part</w:t>
      </w:r>
      <w:r w:rsidR="008B4AF3">
        <w:rPr>
          <w:bCs/>
        </w:rPr>
        <w:t>”</w:t>
      </w:r>
      <w:r w:rsidR="00F60A3E">
        <w:rPr>
          <w:bCs/>
        </w:rPr>
        <w:t xml:space="preserve"> in </w:t>
      </w:r>
      <w:r w:rsidR="00D37BFE">
        <w:rPr>
          <w:bCs/>
        </w:rPr>
        <w:t xml:space="preserve">notional </w:t>
      </w:r>
      <w:r w:rsidR="00F948AD" w:rsidRPr="00A1246C">
        <w:rPr>
          <w:bCs/>
        </w:rPr>
        <w:t>subsection 1015DA(9)</w:t>
      </w:r>
      <w:r w:rsidR="00F948AD">
        <w:rPr>
          <w:bCs/>
        </w:rPr>
        <w:t xml:space="preserve"> </w:t>
      </w:r>
      <w:r w:rsidR="00567863">
        <w:rPr>
          <w:bCs/>
        </w:rPr>
        <w:t>as modified by</w:t>
      </w:r>
      <w:r w:rsidR="00F948AD">
        <w:rPr>
          <w:bCs/>
        </w:rPr>
        <w:t xml:space="preserve"> ASIC</w:t>
      </w:r>
      <w:r>
        <w:rPr>
          <w:bCs/>
        </w:rPr>
        <w:t> </w:t>
      </w:r>
      <w:r w:rsidR="00F948AD">
        <w:rPr>
          <w:bCs/>
        </w:rPr>
        <w:t>Class Order [CO 12/415].</w:t>
      </w:r>
    </w:p>
    <w:p w14:paraId="5BB3E03E" w14:textId="77777777" w:rsidR="00F948AD" w:rsidRPr="00D37BFE" w:rsidRDefault="00F948AD" w:rsidP="00F948AD">
      <w:pPr>
        <w:pStyle w:val="LI-BodyTextParaa"/>
        <w:ind w:left="0" w:firstLine="0"/>
        <w:rPr>
          <w:bCs/>
          <w:i/>
        </w:rPr>
      </w:pPr>
      <w:r w:rsidRPr="006E355A">
        <w:rPr>
          <w:bCs/>
          <w:i/>
        </w:rPr>
        <w:t>ASIC Class Order [CO 13/763]</w:t>
      </w:r>
    </w:p>
    <w:p w14:paraId="67F5CD93" w14:textId="6E6E807C" w:rsidR="00F948AD" w:rsidRDefault="00F60A3E" w:rsidP="00F948AD">
      <w:pPr>
        <w:pStyle w:val="LI-BodyTextParaa"/>
        <w:numPr>
          <w:ilvl w:val="0"/>
          <w:numId w:val="16"/>
        </w:numPr>
        <w:rPr>
          <w:bCs/>
        </w:rPr>
      </w:pPr>
      <w:r>
        <w:rPr>
          <w:bCs/>
        </w:rPr>
        <w:t>ASIC Class Order [CO 13/763] implements ASIC’s policy in relation to investor-directed portfolio services (</w:t>
      </w:r>
      <w:r w:rsidRPr="00C80943">
        <w:rPr>
          <w:b/>
          <w:i/>
          <w:iCs/>
        </w:rPr>
        <w:t>IDPS</w:t>
      </w:r>
      <w:r>
        <w:rPr>
          <w:bCs/>
        </w:rPr>
        <w:t xml:space="preserve">). Under that policy, an IDPS operator is required to give an IDPS Guide to a client. The disclosure of fees and costs in an IDPS Guide is modelled on the fees and costs disclosure required </w:t>
      </w:r>
      <w:r w:rsidR="00583EFF">
        <w:rPr>
          <w:bCs/>
        </w:rPr>
        <w:t xml:space="preserve">in </w:t>
      </w:r>
      <w:r>
        <w:rPr>
          <w:bCs/>
        </w:rPr>
        <w:t xml:space="preserve">a Product Disclosure Statement </w:t>
      </w:r>
      <w:r w:rsidR="00C80943">
        <w:rPr>
          <w:bCs/>
        </w:rPr>
        <w:t>(</w:t>
      </w:r>
      <w:r w:rsidR="00C80943" w:rsidRPr="00C80943">
        <w:rPr>
          <w:b/>
          <w:i/>
          <w:iCs/>
        </w:rPr>
        <w:t>PDS</w:t>
      </w:r>
      <w:r w:rsidR="00C80943">
        <w:rPr>
          <w:bCs/>
        </w:rPr>
        <w:t xml:space="preserve">) </w:t>
      </w:r>
      <w:r>
        <w:rPr>
          <w:bCs/>
        </w:rPr>
        <w:t xml:space="preserve">for a managed investment product. </w:t>
      </w:r>
      <w:r w:rsidR="00F948AD">
        <w:rPr>
          <w:bCs/>
        </w:rPr>
        <w:t xml:space="preserve">The instrument amends </w:t>
      </w:r>
      <w:r w:rsidR="00D37BFE">
        <w:rPr>
          <w:bCs/>
        </w:rPr>
        <w:t xml:space="preserve">notional </w:t>
      </w:r>
      <w:r w:rsidR="00567863">
        <w:rPr>
          <w:bCs/>
        </w:rPr>
        <w:t>subsection</w:t>
      </w:r>
      <w:r w:rsidR="00F948AD">
        <w:rPr>
          <w:bCs/>
        </w:rPr>
        <w:t xml:space="preserve"> </w:t>
      </w:r>
      <w:r w:rsidR="00F948AD" w:rsidRPr="00A1246C">
        <w:rPr>
          <w:bCs/>
        </w:rPr>
        <w:t>912A(5)(e)</w:t>
      </w:r>
      <w:r w:rsidR="00F948AD">
        <w:rPr>
          <w:bCs/>
        </w:rPr>
        <w:t xml:space="preserve"> </w:t>
      </w:r>
      <w:r w:rsidR="00567863">
        <w:rPr>
          <w:bCs/>
        </w:rPr>
        <w:t>as modified by</w:t>
      </w:r>
      <w:r w:rsidR="00F948AD">
        <w:rPr>
          <w:bCs/>
        </w:rPr>
        <w:t xml:space="preserve"> ASIC Class Order [CO 13/763] to align </w:t>
      </w:r>
      <w:r w:rsidR="00F948AD" w:rsidRPr="00C611E5">
        <w:rPr>
          <w:bCs/>
        </w:rPr>
        <w:t xml:space="preserve">it with the updated managed investment product fees and costs summary line items in clause 202A of </w:t>
      </w:r>
      <w:r w:rsidR="00567863">
        <w:rPr>
          <w:bCs/>
        </w:rPr>
        <w:t xml:space="preserve">Schedule 10. </w:t>
      </w:r>
      <w:r w:rsidR="00F948AD" w:rsidRPr="00C611E5">
        <w:rPr>
          <w:bCs/>
        </w:rPr>
        <w:t xml:space="preserve"> </w:t>
      </w:r>
      <w:r w:rsidR="00C53E40">
        <w:rPr>
          <w:bCs/>
        </w:rPr>
        <w:t xml:space="preserve">Amendments have also been made to </w:t>
      </w:r>
      <w:r w:rsidR="00C83B8E">
        <w:rPr>
          <w:bCs/>
        </w:rPr>
        <w:t xml:space="preserve">introduce transitional arrangements </w:t>
      </w:r>
      <w:r w:rsidR="00C53E40">
        <w:rPr>
          <w:bCs/>
        </w:rPr>
        <w:t>reflect</w:t>
      </w:r>
      <w:r w:rsidR="00C83B8E">
        <w:rPr>
          <w:bCs/>
        </w:rPr>
        <w:t>ing</w:t>
      </w:r>
      <w:r w:rsidR="00C53E40">
        <w:rPr>
          <w:bCs/>
        </w:rPr>
        <w:t xml:space="preserve"> the PDS transition arrangements in paragraph 7 of </w:t>
      </w:r>
      <w:r w:rsidR="00E46937">
        <w:rPr>
          <w:bCs/>
        </w:rPr>
        <w:t>the principal instrument.</w:t>
      </w:r>
    </w:p>
    <w:p w14:paraId="18A573B3" w14:textId="77777777" w:rsidR="00F948AD" w:rsidRPr="00F948AD" w:rsidRDefault="00F948AD" w:rsidP="00F948AD">
      <w:pPr>
        <w:pStyle w:val="LI-BodyTextParaa"/>
        <w:ind w:left="0" w:firstLine="0"/>
        <w:rPr>
          <w:bCs/>
          <w:i/>
        </w:rPr>
      </w:pPr>
      <w:r w:rsidRPr="00A068EA">
        <w:rPr>
          <w:bCs/>
          <w:i/>
        </w:rPr>
        <w:t>ASIC Class Order [CO 14/1252]</w:t>
      </w:r>
    </w:p>
    <w:p w14:paraId="530570BA" w14:textId="597C07A5" w:rsidR="00F948AD" w:rsidRDefault="00F60A3E" w:rsidP="00F948AD">
      <w:pPr>
        <w:pStyle w:val="LI-BodyTextParaa"/>
        <w:numPr>
          <w:ilvl w:val="0"/>
          <w:numId w:val="16"/>
        </w:numPr>
        <w:rPr>
          <w:bCs/>
        </w:rPr>
      </w:pPr>
      <w:r>
        <w:rPr>
          <w:bCs/>
        </w:rPr>
        <w:t xml:space="preserve">ASIC Class Order [CO 14/1252] </w:t>
      </w:r>
      <w:r w:rsidR="001169DA">
        <w:rPr>
          <w:bCs/>
        </w:rPr>
        <w:t xml:space="preserve">makes a number of notional amendments to the enhanced fees and costs disclosure </w:t>
      </w:r>
      <w:r w:rsidR="00C65495">
        <w:rPr>
          <w:bCs/>
        </w:rPr>
        <w:t xml:space="preserve">regime </w:t>
      </w:r>
      <w:r w:rsidR="001169DA">
        <w:rPr>
          <w:bCs/>
        </w:rPr>
        <w:t xml:space="preserve">in Schedule 10. </w:t>
      </w:r>
      <w:r w:rsidR="00F948AD">
        <w:rPr>
          <w:bCs/>
        </w:rPr>
        <w:t>Th</w:t>
      </w:r>
      <w:r w:rsidR="001169DA">
        <w:rPr>
          <w:bCs/>
        </w:rPr>
        <w:t>e</w:t>
      </w:r>
      <w:r w:rsidR="00F948AD">
        <w:rPr>
          <w:bCs/>
        </w:rPr>
        <w:t xml:space="preserve"> instrument makes minor amendments to </w:t>
      </w:r>
      <w:r w:rsidR="00567863">
        <w:rPr>
          <w:bCs/>
        </w:rPr>
        <w:t>subclauses</w:t>
      </w:r>
      <w:r w:rsidR="00F948AD" w:rsidRPr="004854F0">
        <w:rPr>
          <w:bCs/>
        </w:rPr>
        <w:t xml:space="preserve"> 101A(4)(b)</w:t>
      </w:r>
      <w:r w:rsidR="00F948AD">
        <w:rPr>
          <w:bCs/>
        </w:rPr>
        <w:t xml:space="preserve"> and </w:t>
      </w:r>
      <w:r w:rsidR="00F948AD" w:rsidRPr="00783E3F">
        <w:t>102(2)(b)</w:t>
      </w:r>
      <w:r w:rsidR="00F948AD">
        <w:t xml:space="preserve"> </w:t>
      </w:r>
      <w:r w:rsidR="00D37BFE">
        <w:t>of Schedule</w:t>
      </w:r>
      <w:r w:rsidR="00C65495">
        <w:t> </w:t>
      </w:r>
      <w:r w:rsidR="00D37BFE">
        <w:t xml:space="preserve">10 </w:t>
      </w:r>
      <w:r w:rsidR="00567863">
        <w:t>as modified by</w:t>
      </w:r>
      <w:r w:rsidR="00F948AD">
        <w:t xml:space="preserve"> ASIC Class Order [CO 14/1252]. This is to apply the correct label of </w:t>
      </w:r>
      <w:r w:rsidR="008B4AF3">
        <w:t>“</w:t>
      </w:r>
      <w:r w:rsidR="00F948AD">
        <w:t>transactional and operational costs</w:t>
      </w:r>
      <w:r w:rsidR="008B4AF3">
        <w:t>”</w:t>
      </w:r>
      <w:r w:rsidR="00F948AD">
        <w:t>.</w:t>
      </w:r>
    </w:p>
    <w:p w14:paraId="0240E845" w14:textId="13D2539A" w:rsidR="00F948AD" w:rsidRDefault="00F948AD" w:rsidP="00F948AD">
      <w:pPr>
        <w:pStyle w:val="LI-BodyTextParaa"/>
        <w:numPr>
          <w:ilvl w:val="0"/>
          <w:numId w:val="16"/>
        </w:numPr>
        <w:rPr>
          <w:bCs/>
        </w:rPr>
      </w:pPr>
      <w:r>
        <w:rPr>
          <w:bCs/>
        </w:rPr>
        <w:t xml:space="preserve">The instrument </w:t>
      </w:r>
      <w:r w:rsidR="001169DA">
        <w:rPr>
          <w:bCs/>
        </w:rPr>
        <w:t xml:space="preserve">also </w:t>
      </w:r>
      <w:r>
        <w:rPr>
          <w:bCs/>
        </w:rPr>
        <w:t xml:space="preserve">amends </w:t>
      </w:r>
      <w:r w:rsidRPr="00F948AD">
        <w:rPr>
          <w:bCs/>
        </w:rPr>
        <w:t>paragraph 6</w:t>
      </w:r>
      <w:r>
        <w:rPr>
          <w:bCs/>
        </w:rPr>
        <w:t xml:space="preserve"> in ASIC Class Order [CO 14/1252] to </w:t>
      </w:r>
      <w:r w:rsidRPr="00C611E5">
        <w:rPr>
          <w:bCs/>
        </w:rPr>
        <w:t>reinstate the relief that was previously relied upon by issuers of managed investment products (and which already applies to superannuation products) from the obligation to disclose buy-sell spreads in periodic statements.</w:t>
      </w:r>
      <w:r w:rsidR="00010400">
        <w:rPr>
          <w:bCs/>
        </w:rPr>
        <w:t xml:space="preserve"> The relief applies only under [CO 14/1252</w:t>
      </w:r>
      <w:r w:rsidR="006F39CB">
        <w:rPr>
          <w:bCs/>
        </w:rPr>
        <w:t>]</w:t>
      </w:r>
      <w:r w:rsidR="00010400">
        <w:rPr>
          <w:bCs/>
        </w:rPr>
        <w:t xml:space="preserve"> until the end of the transitional period or until an issuer elects to apply the principal instrument.</w:t>
      </w:r>
    </w:p>
    <w:p w14:paraId="2F2C025C" w14:textId="77777777" w:rsidR="00F948AD" w:rsidRPr="00F94515" w:rsidRDefault="00F948AD" w:rsidP="00F948AD">
      <w:pPr>
        <w:pStyle w:val="LI-BodyTextParaa"/>
        <w:ind w:left="0" w:firstLine="0"/>
        <w:rPr>
          <w:iCs/>
          <w:u w:val="single"/>
        </w:rPr>
      </w:pPr>
      <w:r w:rsidRPr="00F94515">
        <w:rPr>
          <w:iCs/>
          <w:u w:val="single"/>
        </w:rPr>
        <w:t>Transition</w:t>
      </w:r>
    </w:p>
    <w:p w14:paraId="56B29AB3" w14:textId="0D329E56" w:rsidR="00F948AD" w:rsidRDefault="00F948AD" w:rsidP="00F948AD">
      <w:pPr>
        <w:pStyle w:val="LI-BodyTextParaa"/>
        <w:numPr>
          <w:ilvl w:val="0"/>
          <w:numId w:val="16"/>
        </w:numPr>
        <w:rPr>
          <w:bCs/>
        </w:rPr>
      </w:pPr>
      <w:r>
        <w:rPr>
          <w:bCs/>
        </w:rPr>
        <w:t>The instrument amends the transition arrangements in relation to PDSs in paragraph 7 of the principal instrument and the</w:t>
      </w:r>
      <w:r w:rsidR="001169DA">
        <w:rPr>
          <w:bCs/>
        </w:rPr>
        <w:t> </w:t>
      </w:r>
      <w:r>
        <w:rPr>
          <w:bCs/>
        </w:rPr>
        <w:t>complementary provision in paragraph 12 of the ASIC Class Order [CO</w:t>
      </w:r>
      <w:r w:rsidR="001169DA">
        <w:rPr>
          <w:bCs/>
        </w:rPr>
        <w:t> </w:t>
      </w:r>
      <w:r>
        <w:rPr>
          <w:bCs/>
        </w:rPr>
        <w:t>14/1252].</w:t>
      </w:r>
    </w:p>
    <w:p w14:paraId="26CABF92" w14:textId="69F112E5" w:rsidR="00F948AD" w:rsidRDefault="00F948AD" w:rsidP="00F948AD">
      <w:pPr>
        <w:pStyle w:val="LI-BodyTextParaa"/>
        <w:numPr>
          <w:ilvl w:val="0"/>
          <w:numId w:val="16"/>
        </w:numPr>
      </w:pPr>
      <w:r w:rsidRPr="003B17CE">
        <w:t>These amendments</w:t>
      </w:r>
      <w:r>
        <w:t xml:space="preserve"> are in response to COVID-19 and provide more time and flexibility for the industry to comply with the new requirements. PDSs given on or after 30 September 2022 must comply</w:t>
      </w:r>
      <w:r w:rsidR="00C83B8E">
        <w:t xml:space="preserve"> and issuers </w:t>
      </w:r>
      <w:r w:rsidR="00A1788D">
        <w:t>have the</w:t>
      </w:r>
      <w:r>
        <w:t xml:space="preserve"> ability to elect to apply the new requirements from 30 September 2020. An </w:t>
      </w:r>
      <w:bookmarkStart w:id="3" w:name="_Hlk42697048"/>
      <w:r>
        <w:t>election to apply the new requirements cannot be withdrawn and the election is taken to cover any subsequent PDS for the financial product.</w:t>
      </w:r>
      <w:bookmarkEnd w:id="3"/>
    </w:p>
    <w:p w14:paraId="102BEF7C" w14:textId="77777777" w:rsidR="00F948AD" w:rsidRDefault="00F948AD" w:rsidP="00F948AD">
      <w:pPr>
        <w:pStyle w:val="LI-BodyTextParaa"/>
        <w:numPr>
          <w:ilvl w:val="0"/>
          <w:numId w:val="16"/>
        </w:numPr>
      </w:pPr>
      <w:r>
        <w:t>The instrument amends the election arrangements that apply to periodic statements, to clarify that t</w:t>
      </w:r>
      <w:r w:rsidRPr="000C07D4">
        <w:t>he election can only be made by the product issuer</w:t>
      </w:r>
      <w:r>
        <w:t xml:space="preserve">, that an </w:t>
      </w:r>
      <w:r w:rsidRPr="00AF563A">
        <w:t xml:space="preserve">election to apply the new requirements cannot be withdrawn and the election is taken to cover any subsequent </w:t>
      </w:r>
      <w:r>
        <w:t>periodic statements</w:t>
      </w:r>
      <w:r w:rsidRPr="00AF563A">
        <w:t xml:space="preserve"> for </w:t>
      </w:r>
      <w:r>
        <w:t>any subsequent reporting periods.</w:t>
      </w:r>
    </w:p>
    <w:p w14:paraId="227ADF72" w14:textId="77777777" w:rsidR="00F948AD" w:rsidRPr="00F948AD" w:rsidRDefault="00F948AD" w:rsidP="00F948AD">
      <w:pPr>
        <w:pStyle w:val="LI-BodyTextParaa"/>
        <w:ind w:left="0" w:firstLine="0"/>
        <w:rPr>
          <w:i/>
        </w:rPr>
      </w:pPr>
      <w:r w:rsidRPr="00F058DA">
        <w:rPr>
          <w:i/>
        </w:rPr>
        <w:lastRenderedPageBreak/>
        <w:t>Transaction costs</w:t>
      </w:r>
    </w:p>
    <w:p w14:paraId="7C5800BA" w14:textId="606ECA3C" w:rsidR="00F948AD" w:rsidRDefault="00F948AD" w:rsidP="00F948AD">
      <w:pPr>
        <w:pStyle w:val="LI-BodyTextParaa"/>
        <w:numPr>
          <w:ilvl w:val="0"/>
          <w:numId w:val="16"/>
        </w:numPr>
      </w:pPr>
      <w:r>
        <w:t>The instrument amends the definition of “transaction costs” in the notional subclause 103(1) of Schedule 10</w:t>
      </w:r>
      <w:r w:rsidR="00EF45B7">
        <w:t xml:space="preserve"> </w:t>
      </w:r>
      <w:r w:rsidR="00EF45B7" w:rsidRPr="00AF563A">
        <w:t>inserted by the principal instrumen</w:t>
      </w:r>
      <w:r w:rsidR="00EF45B7">
        <w:t>t</w:t>
      </w:r>
      <w:r w:rsidR="00D37BFE">
        <w:t xml:space="preserve">. </w:t>
      </w:r>
      <w:r>
        <w:t xml:space="preserve">This amendment confirms that performance fees are not included in the definition of transaction costs and supports the policy of the modifications reflected in the principal instrument that performance fees appear in a new dedicated line item in the fees and costs summaries and examples of annual fees and costs for </w:t>
      </w:r>
      <w:r w:rsidR="00A1788D">
        <w:t>collective</w:t>
      </w:r>
      <w:r>
        <w:t xml:space="preserve"> investment products – see clauses 202 and 202A of Schedule 10</w:t>
      </w:r>
      <w:r w:rsidR="008C7E8C">
        <w:t>.</w:t>
      </w:r>
    </w:p>
    <w:p w14:paraId="32D54483" w14:textId="77777777" w:rsidR="00F948AD" w:rsidRPr="00F058DA" w:rsidRDefault="00F948AD" w:rsidP="00F948AD">
      <w:pPr>
        <w:pStyle w:val="LI-BodyTextParaa"/>
        <w:ind w:left="0" w:firstLine="0"/>
        <w:rPr>
          <w:i/>
        </w:rPr>
      </w:pPr>
      <w:r w:rsidRPr="00F058DA">
        <w:rPr>
          <w:i/>
        </w:rPr>
        <w:t xml:space="preserve">Excluded </w:t>
      </w:r>
      <w:r w:rsidR="00C65495">
        <w:rPr>
          <w:i/>
        </w:rPr>
        <w:t>t</w:t>
      </w:r>
      <w:r w:rsidRPr="00F058DA">
        <w:rPr>
          <w:i/>
        </w:rPr>
        <w:t>ransactional and operational costs</w:t>
      </w:r>
    </w:p>
    <w:p w14:paraId="7EC59EB0" w14:textId="77777777" w:rsidR="00F948AD" w:rsidRDefault="00F948AD" w:rsidP="00F948AD">
      <w:pPr>
        <w:pStyle w:val="LI-BodyTextParaa"/>
        <w:numPr>
          <w:ilvl w:val="0"/>
          <w:numId w:val="16"/>
        </w:numPr>
      </w:pPr>
      <w:r>
        <w:t xml:space="preserve">The instrument amends the definition of “excluded transactional and operational costs” in </w:t>
      </w:r>
      <w:r w:rsidR="00D37BFE">
        <w:t xml:space="preserve">notional </w:t>
      </w:r>
      <w:r>
        <w:t>subclause 103(2)(c) of Schedule 10</w:t>
      </w:r>
      <w:r w:rsidR="00EF45B7">
        <w:t xml:space="preserve"> </w:t>
      </w:r>
      <w:r w:rsidR="00EF45B7" w:rsidRPr="00AF563A">
        <w:t>inserted by the principal instrument</w:t>
      </w:r>
      <w:r w:rsidR="00D37BFE">
        <w:t xml:space="preserve">. </w:t>
      </w:r>
      <w:r>
        <w:t>This amendment confirms the policy that there is no intention to change the operation of the existing provisions with respect to the identification and calculation of derivatives costs as part of the treatment of indirect costs in clause 101A of Schedule 10.</w:t>
      </w:r>
    </w:p>
    <w:p w14:paraId="553A1D76" w14:textId="2546C00D" w:rsidR="00DF31FC" w:rsidRDefault="00DF31FC" w:rsidP="00F948AD">
      <w:pPr>
        <w:pStyle w:val="LI-BodyTextParaa"/>
        <w:numPr>
          <w:ilvl w:val="0"/>
          <w:numId w:val="16"/>
        </w:numPr>
      </w:pPr>
      <w:r>
        <w:t xml:space="preserve">As a result of </w:t>
      </w:r>
      <w:r w:rsidR="008E2BB5">
        <w:t>the amendment to subclause 103(2)(c)</w:t>
      </w:r>
      <w:r>
        <w:t xml:space="preserve">, a consequential amendment </w:t>
      </w:r>
      <w:r w:rsidR="008E2BB5">
        <w:t>has been made</w:t>
      </w:r>
      <w:r>
        <w:t xml:space="preserve"> to </w:t>
      </w:r>
      <w:r w:rsidR="008E2BB5">
        <w:t>sub</w:t>
      </w:r>
      <w:r>
        <w:t xml:space="preserve">clause 101A(4)(b) to remove the reference to </w:t>
      </w:r>
      <w:r w:rsidR="008B4AF3">
        <w:t>“</w:t>
      </w:r>
      <w:r>
        <w:t>excluded transactional and operational costs</w:t>
      </w:r>
      <w:r w:rsidR="008B4AF3">
        <w:t>”</w:t>
      </w:r>
      <w:r>
        <w:t xml:space="preserve">. </w:t>
      </w:r>
    </w:p>
    <w:p w14:paraId="3E6DCF3C" w14:textId="4EBD5787" w:rsidR="00F948AD" w:rsidRPr="00F948AD" w:rsidRDefault="00F948AD" w:rsidP="00F948AD">
      <w:pPr>
        <w:pStyle w:val="LI-BodyTextParaa"/>
        <w:ind w:left="0" w:firstLine="0"/>
        <w:rPr>
          <w:i/>
        </w:rPr>
      </w:pPr>
      <w:r>
        <w:rPr>
          <w:i/>
        </w:rPr>
        <w:t>Performance fees</w:t>
      </w:r>
    </w:p>
    <w:p w14:paraId="06D48146" w14:textId="7FDFBF6E" w:rsidR="00F948AD" w:rsidRDefault="00F948AD" w:rsidP="00F948AD">
      <w:pPr>
        <w:pStyle w:val="LI-BodyTextParaa"/>
        <w:numPr>
          <w:ilvl w:val="0"/>
          <w:numId w:val="16"/>
        </w:numPr>
      </w:pPr>
      <w:bookmarkStart w:id="4" w:name="_Hlk534291624"/>
      <w:r w:rsidRPr="00AF563A">
        <w:t xml:space="preserve">The instrument omits the reference to </w:t>
      </w:r>
      <w:r w:rsidR="008B4AF3">
        <w:t>“</w:t>
      </w:r>
      <w:r w:rsidRPr="00AF563A">
        <w:t>interposed vehicle</w:t>
      </w:r>
      <w:r w:rsidR="008B4AF3">
        <w:t>”</w:t>
      </w:r>
      <w:r w:rsidRPr="00AF563A">
        <w:t xml:space="preserve"> from subclause 209(b)(v) of </w:t>
      </w:r>
      <w:bookmarkStart w:id="5" w:name="_Hlk42704549"/>
      <w:r w:rsidRPr="00AF563A">
        <w:t xml:space="preserve">Schedule 10 inserted by the principal instrument. </w:t>
      </w:r>
      <w:bookmarkEnd w:id="5"/>
      <w:r w:rsidRPr="00AF563A">
        <w:t xml:space="preserve">This amendment is in response to industry feedback that this level of information is impractical to provide, could be commercially sensitive and is likely to be of little use or benefit to the </w:t>
      </w:r>
      <w:r w:rsidR="00EC6F10">
        <w:t>consumer</w:t>
      </w:r>
      <w:r w:rsidRPr="00AF563A">
        <w:t>.</w:t>
      </w:r>
    </w:p>
    <w:p w14:paraId="155BEAD2" w14:textId="13D22F0E" w:rsidR="00F948AD" w:rsidRPr="00F948AD" w:rsidRDefault="008B4AF3" w:rsidP="00F948AD">
      <w:pPr>
        <w:pStyle w:val="LI-BodyTextParaa"/>
        <w:ind w:left="0" w:firstLine="0"/>
        <w:rPr>
          <w:i/>
        </w:rPr>
      </w:pPr>
      <w:r>
        <w:rPr>
          <w:i/>
        </w:rPr>
        <w:t>“</w:t>
      </w:r>
      <w:r w:rsidR="00F948AD" w:rsidRPr="00002728">
        <w:rPr>
          <w:i/>
        </w:rPr>
        <w:t>C</w:t>
      </w:r>
      <w:r w:rsidR="00F948AD">
        <w:rPr>
          <w:i/>
        </w:rPr>
        <w:t>onsumer-facing</w:t>
      </w:r>
      <w:r>
        <w:rPr>
          <w:i/>
        </w:rPr>
        <w:t>”</w:t>
      </w:r>
      <w:r w:rsidR="00F948AD">
        <w:rPr>
          <w:i/>
        </w:rPr>
        <w:t xml:space="preserve"> definitions</w:t>
      </w:r>
    </w:p>
    <w:p w14:paraId="1C854A64" w14:textId="139CD24B" w:rsidR="00F948AD" w:rsidRDefault="00F948AD" w:rsidP="00F948AD">
      <w:pPr>
        <w:pStyle w:val="LI-BodyTextParaa"/>
        <w:numPr>
          <w:ilvl w:val="0"/>
          <w:numId w:val="16"/>
        </w:numPr>
        <w:rPr>
          <w:bCs/>
        </w:rPr>
      </w:pPr>
      <w:r>
        <w:rPr>
          <w:bCs/>
        </w:rPr>
        <w:t>The instrument amends the principal instrument to correct the cross reference in paragraph 6(2)(l) of the principal instrument from cl</w:t>
      </w:r>
      <w:r w:rsidR="00567863">
        <w:rPr>
          <w:bCs/>
        </w:rPr>
        <w:t>ause</w:t>
      </w:r>
      <w:r>
        <w:rPr>
          <w:bCs/>
        </w:rPr>
        <w:t xml:space="preserve"> 101 (the instructional definitions) to the intended cl</w:t>
      </w:r>
      <w:r w:rsidR="00567863">
        <w:rPr>
          <w:bCs/>
        </w:rPr>
        <w:t>ause</w:t>
      </w:r>
      <w:r>
        <w:rPr>
          <w:bCs/>
        </w:rPr>
        <w:t xml:space="preserve"> 209A </w:t>
      </w:r>
      <w:r w:rsidR="00EF45B7">
        <w:rPr>
          <w:bCs/>
        </w:rPr>
        <w:t xml:space="preserve">of Schedule 10 </w:t>
      </w:r>
      <w:r>
        <w:rPr>
          <w:bCs/>
        </w:rPr>
        <w:t xml:space="preserve">which are consumer facing definitions that must appear in the superannuation PDS or </w:t>
      </w:r>
      <w:r w:rsidR="008B4AF3">
        <w:rPr>
          <w:bCs/>
        </w:rPr>
        <w:t xml:space="preserve">must </w:t>
      </w:r>
      <w:r>
        <w:rPr>
          <w:bCs/>
        </w:rPr>
        <w:t>be incorporated by reference.</w:t>
      </w:r>
    </w:p>
    <w:p w14:paraId="65B31C63" w14:textId="023C3F85" w:rsidR="00F948AD" w:rsidRPr="00F948AD" w:rsidRDefault="00F948AD" w:rsidP="00F948AD">
      <w:pPr>
        <w:pStyle w:val="LI-BodyTextParaa"/>
        <w:ind w:left="0" w:firstLine="0"/>
        <w:rPr>
          <w:bCs/>
          <w:i/>
        </w:rPr>
      </w:pPr>
      <w:r w:rsidRPr="00A068EA">
        <w:rPr>
          <w:bCs/>
          <w:i/>
        </w:rPr>
        <w:t xml:space="preserve">Example of </w:t>
      </w:r>
      <w:r>
        <w:rPr>
          <w:bCs/>
          <w:i/>
        </w:rPr>
        <w:t>A</w:t>
      </w:r>
      <w:r w:rsidRPr="00A068EA">
        <w:rPr>
          <w:bCs/>
          <w:i/>
        </w:rPr>
        <w:t xml:space="preserve">nnual </w:t>
      </w:r>
      <w:r>
        <w:rPr>
          <w:bCs/>
          <w:i/>
        </w:rPr>
        <w:t>F</w:t>
      </w:r>
      <w:r w:rsidRPr="00A068EA">
        <w:rPr>
          <w:bCs/>
          <w:i/>
        </w:rPr>
        <w:t xml:space="preserve">ees and </w:t>
      </w:r>
      <w:r>
        <w:rPr>
          <w:bCs/>
          <w:i/>
        </w:rPr>
        <w:t>C</w:t>
      </w:r>
      <w:r w:rsidRPr="00A068EA">
        <w:rPr>
          <w:bCs/>
          <w:i/>
        </w:rPr>
        <w:t xml:space="preserve">osts / Consumer </w:t>
      </w:r>
      <w:r>
        <w:rPr>
          <w:bCs/>
          <w:i/>
        </w:rPr>
        <w:t>A</w:t>
      </w:r>
      <w:r w:rsidRPr="00A068EA">
        <w:rPr>
          <w:bCs/>
          <w:i/>
        </w:rPr>
        <w:t xml:space="preserve">dvisory </w:t>
      </w:r>
      <w:r>
        <w:rPr>
          <w:bCs/>
          <w:i/>
        </w:rPr>
        <w:t>W</w:t>
      </w:r>
      <w:r w:rsidRPr="00A068EA">
        <w:rPr>
          <w:bCs/>
          <w:i/>
        </w:rPr>
        <w:t>arning</w:t>
      </w:r>
    </w:p>
    <w:p w14:paraId="783EE4B8" w14:textId="7B3C4C71" w:rsidR="00560440" w:rsidRDefault="00F948AD" w:rsidP="00F948AD">
      <w:pPr>
        <w:pStyle w:val="LI-BodyTextParaa"/>
        <w:numPr>
          <w:ilvl w:val="0"/>
          <w:numId w:val="16"/>
        </w:numPr>
        <w:rPr>
          <w:bCs/>
        </w:rPr>
      </w:pPr>
      <w:r>
        <w:rPr>
          <w:bCs/>
        </w:rPr>
        <w:t>The instrument makes</w:t>
      </w:r>
      <w:r w:rsidRPr="00A068EA">
        <w:rPr>
          <w:bCs/>
        </w:rPr>
        <w:t xml:space="preserve"> amendments to cl</w:t>
      </w:r>
      <w:r w:rsidR="00567863">
        <w:rPr>
          <w:bCs/>
        </w:rPr>
        <w:t>auses</w:t>
      </w:r>
      <w:r w:rsidRPr="00A068EA">
        <w:rPr>
          <w:bCs/>
        </w:rPr>
        <w:t xml:space="preserve"> 211</w:t>
      </w:r>
      <w:r w:rsidR="008B4AF3">
        <w:rPr>
          <w:bCs/>
        </w:rPr>
        <w:t xml:space="preserve"> and</w:t>
      </w:r>
      <w:r w:rsidRPr="00A068EA">
        <w:rPr>
          <w:bCs/>
        </w:rPr>
        <w:t xml:space="preserve"> 212 (example of annual fees and costs)</w:t>
      </w:r>
      <w:r w:rsidR="00560440">
        <w:rPr>
          <w:bCs/>
        </w:rPr>
        <w:t xml:space="preserve">. This is to include the words “or have deducted from your investment” after the word “charged” in each relevant line item to make it clear that a member can be charged or have deducted from their investment the fees and costs. </w:t>
      </w:r>
      <w:r w:rsidR="000E61A9">
        <w:rPr>
          <w:bCs/>
        </w:rPr>
        <w:t>A</w:t>
      </w:r>
      <w:r w:rsidR="00042E65">
        <w:rPr>
          <w:bCs/>
        </w:rPr>
        <w:t xml:space="preserve">n </w:t>
      </w:r>
      <w:r w:rsidR="000E61A9">
        <w:rPr>
          <w:bCs/>
        </w:rPr>
        <w:t>amendment has also been made to ensure the term “fees and costs” is used rather than just “fees” in the last row of each example.</w:t>
      </w:r>
    </w:p>
    <w:p w14:paraId="16D9A206" w14:textId="29B2D813" w:rsidR="00F948AD" w:rsidRDefault="00560440" w:rsidP="00F948AD">
      <w:pPr>
        <w:pStyle w:val="LI-BodyTextParaa"/>
        <w:numPr>
          <w:ilvl w:val="0"/>
          <w:numId w:val="16"/>
        </w:numPr>
        <w:rPr>
          <w:bCs/>
        </w:rPr>
      </w:pPr>
      <w:r>
        <w:rPr>
          <w:bCs/>
        </w:rPr>
        <w:t xml:space="preserve">The instrument makes a minor amendment to clause </w:t>
      </w:r>
      <w:r w:rsidR="00F948AD" w:rsidRPr="00A068EA">
        <w:rPr>
          <w:bCs/>
        </w:rPr>
        <w:t xml:space="preserve">221 (consumer advisory warning) in </w:t>
      </w:r>
      <w:r w:rsidR="008C7E8C">
        <w:rPr>
          <w:bCs/>
        </w:rPr>
        <w:t>Schedule 10 as inserted by the principal instrument</w:t>
      </w:r>
      <w:r w:rsidR="00F948AD" w:rsidRPr="00A068EA">
        <w:rPr>
          <w:bCs/>
        </w:rPr>
        <w:t xml:space="preserve">. </w:t>
      </w:r>
      <w:bookmarkStart w:id="6" w:name="_Hlk43104336"/>
      <w:r w:rsidR="00F948AD" w:rsidRPr="00A068EA">
        <w:rPr>
          <w:bCs/>
        </w:rPr>
        <w:t xml:space="preserve">This is to </w:t>
      </w:r>
      <w:r w:rsidR="00F948AD" w:rsidRPr="00A068EA">
        <w:rPr>
          <w:bCs/>
        </w:rPr>
        <w:lastRenderedPageBreak/>
        <w:t xml:space="preserve">correct </w:t>
      </w:r>
      <w:r>
        <w:rPr>
          <w:bCs/>
        </w:rPr>
        <w:t xml:space="preserve">an </w:t>
      </w:r>
      <w:r w:rsidR="00F948AD" w:rsidRPr="00A068EA">
        <w:rPr>
          <w:bCs/>
        </w:rPr>
        <w:t>inconsistenc</w:t>
      </w:r>
      <w:r>
        <w:rPr>
          <w:bCs/>
        </w:rPr>
        <w:t>y</w:t>
      </w:r>
      <w:r w:rsidR="00F948AD" w:rsidRPr="00A068EA">
        <w:rPr>
          <w:bCs/>
        </w:rPr>
        <w:t xml:space="preserve"> </w:t>
      </w:r>
      <w:r>
        <w:rPr>
          <w:bCs/>
        </w:rPr>
        <w:t xml:space="preserve">in the reference to the Moneysmart website </w:t>
      </w:r>
      <w:r w:rsidR="00F948AD">
        <w:rPr>
          <w:bCs/>
        </w:rPr>
        <w:t>between</w:t>
      </w:r>
      <w:r w:rsidR="00F948AD" w:rsidRPr="00A068EA">
        <w:rPr>
          <w:bCs/>
        </w:rPr>
        <w:t xml:space="preserve"> the templates in </w:t>
      </w:r>
      <w:r w:rsidR="00F948AD">
        <w:rPr>
          <w:bCs/>
        </w:rPr>
        <w:t xml:space="preserve">the principal instrument and </w:t>
      </w:r>
      <w:r w:rsidR="00F948AD" w:rsidRPr="00A068EA">
        <w:rPr>
          <w:bCs/>
        </w:rPr>
        <w:t>RG 97.</w:t>
      </w:r>
    </w:p>
    <w:bookmarkEnd w:id="6"/>
    <w:p w14:paraId="771C2A16" w14:textId="77777777" w:rsidR="00F948AD" w:rsidRPr="00F948AD" w:rsidRDefault="00F948AD" w:rsidP="00F948AD">
      <w:pPr>
        <w:pStyle w:val="LI-BodyTextParaa"/>
        <w:ind w:left="0" w:firstLine="0"/>
        <w:rPr>
          <w:bCs/>
          <w:i/>
        </w:rPr>
      </w:pPr>
      <w:r>
        <w:rPr>
          <w:bCs/>
          <w:i/>
        </w:rPr>
        <w:t>D</w:t>
      </w:r>
      <w:r w:rsidRPr="00A068EA">
        <w:rPr>
          <w:bCs/>
          <w:i/>
        </w:rPr>
        <w:t>isclosure of material changes and significant events</w:t>
      </w:r>
    </w:p>
    <w:p w14:paraId="28ED7F94" w14:textId="2240E1D5" w:rsidR="00F948AD" w:rsidRDefault="00F948AD" w:rsidP="00F948AD">
      <w:pPr>
        <w:pStyle w:val="LI-BodyTextParaa"/>
        <w:numPr>
          <w:ilvl w:val="0"/>
          <w:numId w:val="16"/>
        </w:numPr>
        <w:rPr>
          <w:bCs/>
        </w:rPr>
      </w:pPr>
      <w:r>
        <w:rPr>
          <w:bCs/>
        </w:rPr>
        <w:t>The instrument provides an exemption for an issuer from having to provide a significant event notice under s</w:t>
      </w:r>
      <w:r w:rsidR="008C7E8C">
        <w:rPr>
          <w:bCs/>
        </w:rPr>
        <w:t>ection</w:t>
      </w:r>
      <w:r>
        <w:rPr>
          <w:bCs/>
        </w:rPr>
        <w:t xml:space="preserve"> 1017B of the </w:t>
      </w:r>
      <w:r w:rsidR="008C7E8C" w:rsidRPr="008C7E8C">
        <w:rPr>
          <w:bCs/>
          <w:i/>
          <w:iCs/>
        </w:rPr>
        <w:t xml:space="preserve">Corporations </w:t>
      </w:r>
      <w:r w:rsidRPr="008C7E8C">
        <w:rPr>
          <w:bCs/>
          <w:i/>
          <w:iCs/>
        </w:rPr>
        <w:t xml:space="preserve">Act </w:t>
      </w:r>
      <w:r w:rsidR="008C7E8C" w:rsidRPr="008C7E8C">
        <w:rPr>
          <w:bCs/>
          <w:i/>
          <w:iCs/>
        </w:rPr>
        <w:t>2001</w:t>
      </w:r>
      <w:r w:rsidR="008C7E8C">
        <w:rPr>
          <w:bCs/>
        </w:rPr>
        <w:t xml:space="preserve"> </w:t>
      </w:r>
      <w:r w:rsidR="0084694A">
        <w:rPr>
          <w:bCs/>
        </w:rPr>
        <w:t>(the</w:t>
      </w:r>
      <w:r w:rsidR="002972F6">
        <w:rPr>
          <w:bCs/>
        </w:rPr>
        <w:t> </w:t>
      </w:r>
      <w:r w:rsidR="0084694A" w:rsidRPr="0084694A">
        <w:rPr>
          <w:b/>
          <w:i/>
          <w:iCs/>
        </w:rPr>
        <w:t>Act</w:t>
      </w:r>
      <w:r w:rsidR="0084694A">
        <w:rPr>
          <w:bCs/>
        </w:rPr>
        <w:t xml:space="preserve">) </w:t>
      </w:r>
      <w:r>
        <w:rPr>
          <w:bCs/>
        </w:rPr>
        <w:t xml:space="preserve">if it is the </w:t>
      </w:r>
      <w:r w:rsidR="00EF45B7">
        <w:rPr>
          <w:bCs/>
        </w:rPr>
        <w:t>principal i</w:t>
      </w:r>
      <w:r>
        <w:rPr>
          <w:bCs/>
        </w:rPr>
        <w:t>nstrument that directly results in the change or event that requires a notification to be made.</w:t>
      </w:r>
    </w:p>
    <w:p w14:paraId="0BF70CE2" w14:textId="2E246D8A" w:rsidR="00F948AD" w:rsidRDefault="00F948AD" w:rsidP="00F948AD">
      <w:pPr>
        <w:pStyle w:val="LI-BodyTextParaa"/>
        <w:numPr>
          <w:ilvl w:val="0"/>
          <w:numId w:val="16"/>
        </w:numPr>
      </w:pPr>
      <w:r w:rsidRPr="00C93419">
        <w:rPr>
          <w:bCs/>
        </w:rPr>
        <w:t xml:space="preserve">This exemption is intended to ensure that issuers who merely update the </w:t>
      </w:r>
      <w:r>
        <w:rPr>
          <w:bCs/>
        </w:rPr>
        <w:t xml:space="preserve">calculation and </w:t>
      </w:r>
      <w:r w:rsidRPr="00C93419">
        <w:rPr>
          <w:bCs/>
        </w:rPr>
        <w:t xml:space="preserve">presentation of their fees and costs to meet the requirements of the principal instrument for the first time will not need to give a </w:t>
      </w:r>
      <w:r w:rsidR="00842F37">
        <w:rPr>
          <w:bCs/>
        </w:rPr>
        <w:t>significant event notice</w:t>
      </w:r>
      <w:r w:rsidRPr="00C93419">
        <w:rPr>
          <w:bCs/>
        </w:rPr>
        <w:t xml:space="preserve"> to product holders.</w:t>
      </w:r>
    </w:p>
    <w:p w14:paraId="47EE52FD" w14:textId="22FCC120" w:rsidR="00F948AD" w:rsidRDefault="00F948AD" w:rsidP="00F948AD">
      <w:pPr>
        <w:pStyle w:val="LI-BodyTextParaa"/>
        <w:numPr>
          <w:ilvl w:val="0"/>
          <w:numId w:val="16"/>
        </w:numPr>
        <w:rPr>
          <w:i/>
          <w:iCs/>
        </w:rPr>
      </w:pPr>
      <w:r w:rsidRPr="008E1CAD">
        <w:t xml:space="preserve">The exemption does not apply if there is a material increase in the </w:t>
      </w:r>
      <w:r w:rsidR="59282CE2" w:rsidRPr="008E1CAD">
        <w:t xml:space="preserve">amounts </w:t>
      </w:r>
      <w:r w:rsidRPr="008E1CAD">
        <w:t xml:space="preserve">of fees and costs that does not arise from complying with </w:t>
      </w:r>
      <w:r w:rsidRPr="002A2521">
        <w:rPr>
          <w:i/>
          <w:iCs/>
        </w:rPr>
        <w:t>ASIC Corporations (Disclosure of Fees and Costs) Instrument 2019/1070.</w:t>
      </w:r>
    </w:p>
    <w:p w14:paraId="4A9A0870" w14:textId="468B13B6" w:rsidR="00F94515" w:rsidRPr="00F94515" w:rsidRDefault="00BB6B71" w:rsidP="00F94515">
      <w:pPr>
        <w:pStyle w:val="LI-BodyTextParaa"/>
        <w:ind w:left="0" w:firstLine="0"/>
      </w:pPr>
      <w:r>
        <w:rPr>
          <w:i/>
        </w:rPr>
        <w:t>Repeal of spent instruments</w:t>
      </w:r>
    </w:p>
    <w:p w14:paraId="114A0F37" w14:textId="77777777" w:rsidR="003372FF" w:rsidRPr="00F94515" w:rsidRDefault="003372FF" w:rsidP="00F948AD">
      <w:pPr>
        <w:pStyle w:val="LI-BodyTextParaa"/>
        <w:numPr>
          <w:ilvl w:val="0"/>
          <w:numId w:val="16"/>
        </w:numPr>
      </w:pPr>
      <w:r>
        <w:t xml:space="preserve">ASIC Class Order [CO 13/1420] granted </w:t>
      </w:r>
      <w:r w:rsidR="00817D02">
        <w:t xml:space="preserve">interim </w:t>
      </w:r>
      <w:r>
        <w:t xml:space="preserve">relief to </w:t>
      </w:r>
      <w:r w:rsidRPr="003372FF">
        <w:t xml:space="preserve">superannuation trustees </w:t>
      </w:r>
      <w:r>
        <w:t xml:space="preserve">from the requirement to </w:t>
      </w:r>
      <w:r w:rsidRPr="003372FF">
        <w:t>separately report the amount of low income superannuation contributions in a periodic statement</w:t>
      </w:r>
      <w:r>
        <w:t xml:space="preserve">. The relief applied </w:t>
      </w:r>
      <w:r w:rsidRPr="003372FF">
        <w:rPr>
          <w:lang w:val="en-US"/>
        </w:rPr>
        <w:t>to reporting periods that end</w:t>
      </w:r>
      <w:r w:rsidR="00817D02">
        <w:rPr>
          <w:lang w:val="en-US"/>
        </w:rPr>
        <w:t>ed</w:t>
      </w:r>
      <w:r w:rsidRPr="003372FF">
        <w:rPr>
          <w:lang w:val="en-US"/>
        </w:rPr>
        <w:t xml:space="preserve"> on or before 30</w:t>
      </w:r>
      <w:r w:rsidR="00817D02">
        <w:rPr>
          <w:lang w:val="en-US"/>
        </w:rPr>
        <w:t> </w:t>
      </w:r>
      <w:r w:rsidRPr="003372FF">
        <w:rPr>
          <w:lang w:val="en-US"/>
        </w:rPr>
        <w:t>June 2015</w:t>
      </w:r>
      <w:r>
        <w:rPr>
          <w:lang w:val="en-US"/>
        </w:rPr>
        <w:t>.</w:t>
      </w:r>
    </w:p>
    <w:p w14:paraId="34EFFA0C" w14:textId="0E3D74F8" w:rsidR="003372FF" w:rsidRPr="00F94515" w:rsidRDefault="003372FF" w:rsidP="00F948AD">
      <w:pPr>
        <w:pStyle w:val="LI-BodyTextParaa"/>
        <w:numPr>
          <w:ilvl w:val="0"/>
          <w:numId w:val="16"/>
        </w:numPr>
      </w:pPr>
      <w:r w:rsidRPr="00A068EA">
        <w:rPr>
          <w:i/>
        </w:rPr>
        <w:t>ASIC Corporations (Urgent Superannuation Advice) Instrument 2017/530</w:t>
      </w:r>
      <w:r w:rsidRPr="00F94515">
        <w:rPr>
          <w:rFonts w:eastAsia="Calibri"/>
          <w:i/>
          <w:iCs/>
          <w:lang w:eastAsia="en-US"/>
        </w:rPr>
        <w:t xml:space="preserve"> </w:t>
      </w:r>
      <w:r>
        <w:rPr>
          <w:rFonts w:eastAsia="Calibri"/>
          <w:lang w:eastAsia="en-US"/>
        </w:rPr>
        <w:t xml:space="preserve">granted </w:t>
      </w:r>
      <w:r w:rsidR="00817D02">
        <w:rPr>
          <w:rFonts w:eastAsia="Calibri"/>
          <w:lang w:eastAsia="en-US"/>
        </w:rPr>
        <w:t xml:space="preserve">interim </w:t>
      </w:r>
      <w:r>
        <w:rPr>
          <w:rFonts w:eastAsia="Calibri"/>
          <w:lang w:eastAsia="en-US"/>
        </w:rPr>
        <w:t xml:space="preserve">relief </w:t>
      </w:r>
      <w:r w:rsidR="00BE77E6">
        <w:rPr>
          <w:rFonts w:eastAsia="Calibri"/>
          <w:lang w:eastAsia="en-US"/>
        </w:rPr>
        <w:t xml:space="preserve">to financial advisers </w:t>
      </w:r>
      <w:r>
        <w:rPr>
          <w:rFonts w:eastAsia="Calibri"/>
          <w:lang w:eastAsia="en-US"/>
        </w:rPr>
        <w:t xml:space="preserve">from the </w:t>
      </w:r>
      <w:r w:rsidR="00817D02">
        <w:rPr>
          <w:rFonts w:eastAsia="Calibri"/>
          <w:lang w:eastAsia="en-US"/>
        </w:rPr>
        <w:t xml:space="preserve">timing </w:t>
      </w:r>
      <w:r>
        <w:rPr>
          <w:rFonts w:eastAsia="Calibri"/>
          <w:lang w:eastAsia="en-US"/>
        </w:rPr>
        <w:t xml:space="preserve">requirements relating to the giving of Statements of Advice </w:t>
      </w:r>
      <w:r w:rsidR="00817D02">
        <w:rPr>
          <w:rFonts w:eastAsia="Calibri"/>
          <w:lang w:eastAsia="en-US"/>
        </w:rPr>
        <w:t xml:space="preserve">in the </w:t>
      </w:r>
      <w:r w:rsidRPr="003372FF">
        <w:rPr>
          <w:rFonts w:eastAsia="Calibri"/>
          <w:lang w:eastAsia="en-US"/>
        </w:rPr>
        <w:t>period leading up to 1 July 2017</w:t>
      </w:r>
      <w:r w:rsidR="00817D02">
        <w:rPr>
          <w:rFonts w:eastAsia="Calibri"/>
          <w:lang w:eastAsia="en-US"/>
        </w:rPr>
        <w:t>.</w:t>
      </w:r>
    </w:p>
    <w:p w14:paraId="26283288" w14:textId="77777777" w:rsidR="00C93419" w:rsidRDefault="00817D02" w:rsidP="00F948AD">
      <w:pPr>
        <w:pStyle w:val="LI-BodyTextParaa"/>
        <w:numPr>
          <w:ilvl w:val="0"/>
          <w:numId w:val="16"/>
        </w:numPr>
      </w:pPr>
      <w:r>
        <w:t>Both of th</w:t>
      </w:r>
      <w:r w:rsidR="00BE77E6">
        <w:t>o</w:t>
      </w:r>
      <w:r>
        <w:t>se instrumen</w:t>
      </w:r>
      <w:r w:rsidR="00BE77E6">
        <w:t xml:space="preserve">ts </w:t>
      </w:r>
      <w:r>
        <w:t>are</w:t>
      </w:r>
      <w:r w:rsidR="00BE77E6">
        <w:t xml:space="preserve"> spent and are </w:t>
      </w:r>
      <w:r w:rsidR="00294145">
        <w:t xml:space="preserve">also </w:t>
      </w:r>
      <w:r w:rsidR="00BE77E6">
        <w:t>repealed by this instrument.</w:t>
      </w:r>
    </w:p>
    <w:p w14:paraId="3AA525E8" w14:textId="77777777" w:rsidR="00D20A4B" w:rsidRPr="00D20A4B" w:rsidRDefault="00D20A4B" w:rsidP="00D20A4B">
      <w:pPr>
        <w:pStyle w:val="LI-BodyTextNumbered"/>
        <w:ind w:hanging="1134"/>
        <w:rPr>
          <w:u w:val="single"/>
        </w:rPr>
      </w:pPr>
      <w:r w:rsidRPr="00D20A4B">
        <w:rPr>
          <w:u w:val="single"/>
        </w:rPr>
        <w:t>Incorporation by reference</w:t>
      </w:r>
    </w:p>
    <w:p w14:paraId="60A9246E" w14:textId="77777777" w:rsidR="00561ABB" w:rsidRPr="00C42032" w:rsidRDefault="00C42032" w:rsidP="002A2521">
      <w:pPr>
        <w:pStyle w:val="LI-BodyTextParaa"/>
        <w:numPr>
          <w:ilvl w:val="0"/>
          <w:numId w:val="16"/>
        </w:numPr>
        <w:rPr>
          <w:bCs/>
          <w:i/>
          <w:color w:val="000000"/>
        </w:rPr>
      </w:pPr>
      <w:r w:rsidRPr="00C42032">
        <w:rPr>
          <w:color w:val="000000"/>
        </w:rPr>
        <w:t>The instrument does not incorporate any matters by reference.</w:t>
      </w:r>
    </w:p>
    <w:p w14:paraId="15230356" w14:textId="77777777" w:rsidR="00863657" w:rsidRPr="00D20A4B" w:rsidRDefault="00863657" w:rsidP="00863657">
      <w:pPr>
        <w:pStyle w:val="LI-BodyTextNumbered"/>
        <w:ind w:hanging="1134"/>
        <w:rPr>
          <w:u w:val="single"/>
        </w:rPr>
      </w:pPr>
      <w:r>
        <w:rPr>
          <w:u w:val="single"/>
        </w:rPr>
        <w:t>Retrospective application</w:t>
      </w:r>
    </w:p>
    <w:p w14:paraId="7E4424AE" w14:textId="77777777" w:rsidR="00C42032" w:rsidRPr="00C42032" w:rsidRDefault="00BB6B71" w:rsidP="002A2521">
      <w:pPr>
        <w:pStyle w:val="LI-BodyTextParaa"/>
        <w:numPr>
          <w:ilvl w:val="0"/>
          <w:numId w:val="16"/>
        </w:numPr>
      </w:pPr>
      <w:r>
        <w:t>T</w:t>
      </w:r>
      <w:r w:rsidR="00C42032" w:rsidRPr="00C42032">
        <w:t>he instrument does not apply retrospectively.</w:t>
      </w:r>
    </w:p>
    <w:bookmarkEnd w:id="4"/>
    <w:p w14:paraId="4034FBC0" w14:textId="77777777" w:rsidR="00F03BB5" w:rsidRDefault="00474B52" w:rsidP="009A3F74">
      <w:pPr>
        <w:pStyle w:val="LI-BodyTextParaa"/>
        <w:ind w:left="0" w:firstLine="0"/>
        <w:rPr>
          <w:b/>
        </w:rPr>
      </w:pPr>
      <w:r>
        <w:rPr>
          <w:b/>
        </w:rPr>
        <w:t>Legislative authority</w:t>
      </w:r>
    </w:p>
    <w:p w14:paraId="24566395" w14:textId="66BCFD5F" w:rsidR="00435EEF" w:rsidRDefault="00C42032" w:rsidP="002A2521">
      <w:pPr>
        <w:pStyle w:val="LI-BodyTextParaa"/>
        <w:numPr>
          <w:ilvl w:val="0"/>
          <w:numId w:val="16"/>
        </w:numPr>
      </w:pPr>
      <w:r w:rsidRPr="00C42032">
        <w:t>Under subsection 1020F(1) of the Act, ASIC may declare that Part 7.9 of the Act applies in relation to a class of financial products as if specified provisions were omitted, modified or varied as specified in the declaration. The provisions of Part 7.9 of the Act include regulations (and Schedules to regulations) made for the purposes of that Part: see subsection 1020F(7). There are no pre-conditions to the exercise of the power.</w:t>
      </w:r>
    </w:p>
    <w:p w14:paraId="066F3E4E" w14:textId="77777777" w:rsidR="00044455" w:rsidRPr="00704132" w:rsidRDefault="00044455" w:rsidP="002A2521">
      <w:pPr>
        <w:pStyle w:val="LI-BodyTextParaa"/>
        <w:numPr>
          <w:ilvl w:val="0"/>
          <w:numId w:val="16"/>
        </w:numPr>
      </w:pPr>
      <w:r w:rsidRPr="00704132">
        <w:t xml:space="preserve">The instrument is made under subsection 1020F(1), having regard to subsection 33(3) of the </w:t>
      </w:r>
      <w:r w:rsidRPr="00704132">
        <w:rPr>
          <w:i/>
        </w:rPr>
        <w:t>A</w:t>
      </w:r>
      <w:r w:rsidRPr="00F948AD">
        <w:rPr>
          <w:i/>
        </w:rPr>
        <w:t xml:space="preserve">cts </w:t>
      </w:r>
      <w:r w:rsidRPr="002A2521">
        <w:rPr>
          <w:i/>
        </w:rPr>
        <w:t>Interpretation</w:t>
      </w:r>
      <w:r w:rsidRPr="00F948AD">
        <w:rPr>
          <w:i/>
        </w:rPr>
        <w:t xml:space="preserve"> </w:t>
      </w:r>
      <w:r w:rsidRPr="00704132">
        <w:rPr>
          <w:i/>
        </w:rPr>
        <w:t>Act 1901</w:t>
      </w:r>
      <w:r w:rsidRPr="00704132">
        <w:t xml:space="preserve"> (as in force on 1 January 2005). Where an Act confers a power to make an instrument the power is to be construed as </w:t>
      </w:r>
      <w:r w:rsidRPr="00704132">
        <w:lastRenderedPageBreak/>
        <w:t xml:space="preserve">including a power exercisable in the like manner and subject to the like conditions (if any) to amend </w:t>
      </w:r>
      <w:r w:rsidR="00294145">
        <w:t xml:space="preserve">or repeal </w:t>
      </w:r>
      <w:r w:rsidRPr="00704132">
        <w:t>the instrument.</w:t>
      </w:r>
    </w:p>
    <w:p w14:paraId="3E798456" w14:textId="77777777" w:rsidR="00044455" w:rsidRPr="00704132" w:rsidRDefault="00044455" w:rsidP="002A2521">
      <w:pPr>
        <w:pStyle w:val="LI-BodyTextParaa"/>
        <w:numPr>
          <w:ilvl w:val="0"/>
          <w:numId w:val="16"/>
        </w:numPr>
      </w:pPr>
      <w:r>
        <w:t>T</w:t>
      </w:r>
      <w:r w:rsidRPr="00704132">
        <w:t xml:space="preserve">he classes of financial products to which </w:t>
      </w:r>
      <w:r>
        <w:t>the</w:t>
      </w:r>
      <w:r w:rsidRPr="00704132">
        <w:t xml:space="preserve"> instrument relate</w:t>
      </w:r>
      <w:r>
        <w:t>s</w:t>
      </w:r>
      <w:r w:rsidRPr="00704132">
        <w:t xml:space="preserve"> are superannuation products and collective investment products.</w:t>
      </w:r>
    </w:p>
    <w:p w14:paraId="1FC5AEE5" w14:textId="77777777" w:rsidR="00044455" w:rsidRPr="00704132" w:rsidRDefault="00044455" w:rsidP="002A2521">
      <w:pPr>
        <w:pStyle w:val="LI-BodyTextParaa"/>
        <w:numPr>
          <w:ilvl w:val="0"/>
          <w:numId w:val="16"/>
        </w:numPr>
      </w:pPr>
      <w:r>
        <w:t xml:space="preserve">The </w:t>
      </w:r>
      <w:r w:rsidRPr="00704132">
        <w:t xml:space="preserve">instrument </w:t>
      </w:r>
      <w:r>
        <w:t>is a</w:t>
      </w:r>
      <w:r w:rsidRPr="00704132">
        <w:t xml:space="preserve"> disallowable legislative instrument.</w:t>
      </w:r>
    </w:p>
    <w:p w14:paraId="73508432" w14:textId="77777777" w:rsidR="00301143" w:rsidRPr="00704132" w:rsidRDefault="00301143" w:rsidP="00301143">
      <w:pPr>
        <w:pStyle w:val="LI-BodyTextParaa"/>
        <w:ind w:left="567"/>
        <w:rPr>
          <w:u w:val="single"/>
        </w:rPr>
      </w:pPr>
      <w:r w:rsidRPr="00704132">
        <w:rPr>
          <w:u w:val="single"/>
        </w:rPr>
        <w:t>Unsuitability for primary legislation</w:t>
      </w:r>
    </w:p>
    <w:p w14:paraId="568AA221" w14:textId="7B5116F3" w:rsidR="00301143" w:rsidRPr="00704132" w:rsidRDefault="00301143" w:rsidP="002A2521">
      <w:pPr>
        <w:pStyle w:val="LI-BodyTextParaa"/>
        <w:numPr>
          <w:ilvl w:val="0"/>
          <w:numId w:val="16"/>
        </w:numPr>
      </w:pPr>
      <w:r w:rsidRPr="00704132">
        <w:t xml:space="preserve">The requirements that govern the disclosure of fees and costs in PDSs and periodic statements for superannuation products and collective investment products are </w:t>
      </w:r>
      <w:r w:rsidRPr="00704132">
        <w:rPr>
          <w:i/>
        </w:rPr>
        <w:t>not found</w:t>
      </w:r>
      <w:r w:rsidRPr="00704132">
        <w:t xml:space="preserve"> in primary legislation such as Part 7.9 of the Act. The existing requirements are not found in the primary legislation because the imposition of complex, detailed requirements is not suitable for primary legislation.</w:t>
      </w:r>
    </w:p>
    <w:p w14:paraId="6827B223" w14:textId="77777777" w:rsidR="00301143" w:rsidRPr="00704132" w:rsidRDefault="00301143" w:rsidP="002A2521">
      <w:pPr>
        <w:pStyle w:val="LI-BodyTextParaa"/>
        <w:numPr>
          <w:ilvl w:val="0"/>
          <w:numId w:val="16"/>
        </w:numPr>
      </w:pPr>
      <w:r w:rsidRPr="00704132">
        <w:t>The imposition of complex, detailed requirements is more suitable to legislative instruments. The existing unmodified requirements are found in Division 4C of Part 7.9 of the Corporations Regulations, including in Schedules made for the purposes of the regulations. The regulations are legislative instruments. The ASIC instruments, which affect the operation of the regulations and the Schedules, are also legislative instruments.</w:t>
      </w:r>
    </w:p>
    <w:p w14:paraId="39D53F29" w14:textId="6BBCC82B" w:rsidR="00EA17A6" w:rsidRPr="00EA17A6" w:rsidRDefault="00EA17A6" w:rsidP="00435EEF">
      <w:pPr>
        <w:pStyle w:val="LI-BodyTextParaa"/>
        <w:ind w:left="567"/>
        <w:rPr>
          <w:b/>
        </w:rPr>
      </w:pPr>
      <w:r w:rsidRPr="00EA17A6">
        <w:rPr>
          <w:b/>
        </w:rPr>
        <w:t>Statement of Compatibility with Human Rights</w:t>
      </w:r>
    </w:p>
    <w:p w14:paraId="02F24F22" w14:textId="4458182D" w:rsidR="00223DCF" w:rsidRPr="00EA17A6" w:rsidRDefault="00223DCF" w:rsidP="002A2521">
      <w:pPr>
        <w:pStyle w:val="LI-BodyTextParaa"/>
        <w:numPr>
          <w:ilvl w:val="0"/>
          <w:numId w:val="16"/>
        </w:numPr>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w:t>
      </w:r>
    </w:p>
    <w:p w14:paraId="4D9C3BFD"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432FDA4A"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4CED5A1C" w14:textId="77777777" w:rsidR="00AE787B" w:rsidRPr="00EA17A6" w:rsidRDefault="00AE787B" w:rsidP="00223DCF">
      <w:pPr>
        <w:pStyle w:val="LI-BodyTextNumbered"/>
        <w:ind w:left="0" w:firstLine="0"/>
        <w:rPr>
          <w:iCs/>
        </w:rPr>
      </w:pPr>
      <w:bookmarkStart w:id="7" w:name="_Hlk534286677"/>
    </w:p>
    <w:p w14:paraId="70C7536B" w14:textId="27EA8810" w:rsidR="00223DCF"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8" w:name="_Hlk4054932"/>
      <w:r w:rsidRPr="00EA17A6">
        <w:rPr>
          <w:iCs/>
        </w:rPr>
        <w:t xml:space="preserve">the </w:t>
      </w:r>
      <w:r w:rsidRPr="00EA17A6">
        <w:rPr>
          <w:i/>
          <w:iCs/>
        </w:rPr>
        <w:t>Human Rights (Parliamentary Scrutiny) Act 2011</w:t>
      </w:r>
      <w:bookmarkEnd w:id="8"/>
      <w:r w:rsidRPr="00EA17A6">
        <w:rPr>
          <w:iCs/>
        </w:rPr>
        <w:t>.</w:t>
      </w:r>
    </w:p>
    <w:p w14:paraId="7F40C6FE" w14:textId="77777777" w:rsidR="002972F6" w:rsidRPr="002972F6" w:rsidRDefault="002972F6" w:rsidP="00E03FFC">
      <w:pPr>
        <w:rPr>
          <w:bCs/>
          <w:iCs/>
          <w:sz w:val="24"/>
          <w:szCs w:val="24"/>
          <w:lang w:eastAsia="en-AU"/>
        </w:rPr>
      </w:pPr>
    </w:p>
    <w:p w14:paraId="34D849FB" w14:textId="6AE57184" w:rsidR="00E03FFC" w:rsidRPr="00E03FFC" w:rsidRDefault="00E03FFC" w:rsidP="00E03FFC">
      <w:pPr>
        <w:rPr>
          <w:b/>
          <w:i/>
          <w:sz w:val="24"/>
          <w:szCs w:val="24"/>
          <w:lang w:eastAsia="en-AU"/>
        </w:rPr>
      </w:pPr>
      <w:r w:rsidRPr="00E03FFC">
        <w:rPr>
          <w:b/>
          <w:i/>
          <w:sz w:val="24"/>
          <w:szCs w:val="24"/>
          <w:lang w:eastAsia="en-AU"/>
        </w:rPr>
        <w:t>ASIC Corporations (Amendment</w:t>
      </w:r>
      <w:r w:rsidR="009E2BD8">
        <w:rPr>
          <w:b/>
          <w:i/>
          <w:sz w:val="24"/>
          <w:szCs w:val="24"/>
          <w:lang w:eastAsia="en-AU"/>
        </w:rPr>
        <w:t xml:space="preserve"> and Repeal</w:t>
      </w:r>
      <w:r w:rsidRPr="00E03FFC">
        <w:rPr>
          <w:b/>
          <w:i/>
          <w:sz w:val="24"/>
          <w:szCs w:val="24"/>
          <w:lang w:eastAsia="en-AU"/>
        </w:rPr>
        <w:t>) Instrument 2020/</w:t>
      </w:r>
      <w:r w:rsidR="00F948AD">
        <w:rPr>
          <w:b/>
          <w:i/>
          <w:sz w:val="24"/>
          <w:szCs w:val="24"/>
          <w:lang w:eastAsia="en-AU"/>
        </w:rPr>
        <w:t>579</w:t>
      </w:r>
    </w:p>
    <w:p w14:paraId="2E69BA7C" w14:textId="77777777" w:rsidR="00223DCF" w:rsidRPr="00EA17A6" w:rsidRDefault="00223DCF" w:rsidP="001872DC">
      <w:pPr>
        <w:pStyle w:val="LI-BodyTextNumbered"/>
        <w:ind w:left="567"/>
        <w:rPr>
          <w:u w:val="single"/>
        </w:rPr>
      </w:pPr>
      <w:r w:rsidRPr="00EA17A6">
        <w:rPr>
          <w:u w:val="single"/>
        </w:rPr>
        <w:t>Overview</w:t>
      </w:r>
    </w:p>
    <w:p w14:paraId="54DF5EF8" w14:textId="731EE9CB" w:rsidR="00294145" w:rsidRPr="00F94515" w:rsidRDefault="00CB2D96" w:rsidP="00C42032">
      <w:pPr>
        <w:spacing w:before="240" w:line="240" w:lineRule="auto"/>
        <w:ind w:left="567" w:hanging="567"/>
        <w:rPr>
          <w:rFonts w:eastAsia="Times New Roman"/>
          <w:iCs/>
          <w:sz w:val="24"/>
          <w:szCs w:val="24"/>
          <w:lang w:eastAsia="en-AU"/>
        </w:rPr>
      </w:pPr>
      <w:r w:rsidRPr="00EA17A6">
        <w:rPr>
          <w:rFonts w:eastAsia="Times New Roman"/>
          <w:sz w:val="24"/>
          <w:szCs w:val="24"/>
          <w:lang w:eastAsia="en-AU"/>
        </w:rPr>
        <w:t>1.</w:t>
      </w:r>
      <w:r w:rsidRPr="00EA17A6">
        <w:rPr>
          <w:rFonts w:eastAsia="Times New Roman"/>
          <w:sz w:val="24"/>
          <w:szCs w:val="24"/>
          <w:lang w:eastAsia="en-AU"/>
        </w:rPr>
        <w:tab/>
      </w:r>
      <w:r w:rsidR="00C42032" w:rsidRPr="00C42032">
        <w:rPr>
          <w:rFonts w:eastAsia="Times New Roman"/>
          <w:sz w:val="24"/>
          <w:szCs w:val="24"/>
          <w:lang w:eastAsia="en-AU"/>
        </w:rPr>
        <w:t xml:space="preserve">The instrument </w:t>
      </w:r>
      <w:r w:rsidR="00294145">
        <w:rPr>
          <w:rFonts w:eastAsia="Times New Roman"/>
          <w:sz w:val="24"/>
          <w:szCs w:val="24"/>
          <w:lang w:eastAsia="en-AU"/>
        </w:rPr>
        <w:t xml:space="preserve">has the effect of </w:t>
      </w:r>
      <w:r w:rsidR="00C42032" w:rsidRPr="00C42032">
        <w:rPr>
          <w:rFonts w:eastAsia="Times New Roman"/>
          <w:sz w:val="24"/>
          <w:szCs w:val="24"/>
          <w:lang w:eastAsia="en-AU"/>
        </w:rPr>
        <w:t>clarify</w:t>
      </w:r>
      <w:r w:rsidR="00294145">
        <w:rPr>
          <w:rFonts w:eastAsia="Times New Roman"/>
          <w:sz w:val="24"/>
          <w:szCs w:val="24"/>
          <w:lang w:eastAsia="en-AU"/>
        </w:rPr>
        <w:t>ing</w:t>
      </w:r>
      <w:r w:rsidR="00C42032" w:rsidRPr="00C42032">
        <w:rPr>
          <w:rFonts w:eastAsia="Times New Roman"/>
          <w:sz w:val="24"/>
          <w:szCs w:val="24"/>
          <w:lang w:eastAsia="en-AU"/>
        </w:rPr>
        <w:t xml:space="preserve"> the intended operation of aspects of the fees and costs disclosure regime </w:t>
      </w:r>
      <w:r w:rsidR="00393967">
        <w:rPr>
          <w:rFonts w:eastAsia="Times New Roman"/>
          <w:sz w:val="24"/>
          <w:szCs w:val="24"/>
          <w:lang w:eastAsia="en-AU"/>
        </w:rPr>
        <w:t xml:space="preserve">for Product Disclosure Statements </w:t>
      </w:r>
      <w:r w:rsidR="00F94515">
        <w:rPr>
          <w:rFonts w:eastAsia="Times New Roman"/>
          <w:sz w:val="24"/>
          <w:szCs w:val="24"/>
          <w:lang w:eastAsia="en-AU"/>
        </w:rPr>
        <w:t xml:space="preserve">and periodic statements </w:t>
      </w:r>
      <w:r w:rsidR="00C42032" w:rsidRPr="00C42032">
        <w:rPr>
          <w:rFonts w:eastAsia="Times New Roman"/>
          <w:sz w:val="24"/>
          <w:szCs w:val="24"/>
          <w:lang w:eastAsia="en-AU"/>
        </w:rPr>
        <w:t xml:space="preserve">that will apply </w:t>
      </w:r>
      <w:r w:rsidR="00294145">
        <w:rPr>
          <w:rFonts w:eastAsia="Times New Roman"/>
          <w:sz w:val="24"/>
          <w:szCs w:val="24"/>
          <w:lang w:eastAsia="en-AU"/>
        </w:rPr>
        <w:t xml:space="preserve">to superannuation products and collective investment products </w:t>
      </w:r>
      <w:r w:rsidR="00C42032" w:rsidRPr="00C42032">
        <w:rPr>
          <w:rFonts w:eastAsia="Times New Roman"/>
          <w:sz w:val="24"/>
          <w:szCs w:val="24"/>
          <w:lang w:eastAsia="en-AU"/>
        </w:rPr>
        <w:t xml:space="preserve">under the </w:t>
      </w:r>
      <w:r w:rsidR="00C42032" w:rsidRPr="00C42032">
        <w:rPr>
          <w:rFonts w:eastAsia="Times New Roman"/>
          <w:i/>
          <w:sz w:val="24"/>
          <w:szCs w:val="24"/>
          <w:lang w:eastAsia="en-AU"/>
        </w:rPr>
        <w:t>ASIC Corporations (Disclosure of Fees and Costs) Instrument 2019/1070</w:t>
      </w:r>
      <w:r w:rsidR="008660AC">
        <w:rPr>
          <w:rFonts w:eastAsia="Times New Roman"/>
          <w:i/>
          <w:sz w:val="24"/>
          <w:szCs w:val="24"/>
          <w:lang w:eastAsia="en-AU"/>
        </w:rPr>
        <w:t xml:space="preserve">. </w:t>
      </w:r>
      <w:r w:rsidR="00294145">
        <w:rPr>
          <w:rFonts w:eastAsia="Times New Roman"/>
          <w:iCs/>
          <w:sz w:val="24"/>
          <w:szCs w:val="24"/>
          <w:lang w:eastAsia="en-AU"/>
        </w:rPr>
        <w:t xml:space="preserve">The instrument </w:t>
      </w:r>
      <w:r w:rsidR="00393967">
        <w:rPr>
          <w:rFonts w:eastAsia="Times New Roman"/>
          <w:iCs/>
          <w:sz w:val="24"/>
          <w:szCs w:val="24"/>
          <w:lang w:eastAsia="en-AU"/>
        </w:rPr>
        <w:t xml:space="preserve">also </w:t>
      </w:r>
      <w:r w:rsidR="00294145">
        <w:rPr>
          <w:rFonts w:eastAsia="Times New Roman"/>
          <w:iCs/>
          <w:sz w:val="24"/>
          <w:szCs w:val="24"/>
          <w:lang w:eastAsia="en-AU"/>
        </w:rPr>
        <w:t xml:space="preserve">makes consequential amendments to other </w:t>
      </w:r>
      <w:r w:rsidR="00393967">
        <w:rPr>
          <w:rFonts w:eastAsia="Times New Roman"/>
          <w:iCs/>
          <w:sz w:val="24"/>
          <w:szCs w:val="24"/>
          <w:lang w:eastAsia="en-AU"/>
        </w:rPr>
        <w:t xml:space="preserve">related </w:t>
      </w:r>
      <w:r w:rsidR="00294145">
        <w:rPr>
          <w:rFonts w:eastAsia="Times New Roman"/>
          <w:iCs/>
          <w:sz w:val="24"/>
          <w:szCs w:val="24"/>
          <w:lang w:eastAsia="en-AU"/>
        </w:rPr>
        <w:t>instruments</w:t>
      </w:r>
      <w:r w:rsidR="00393967">
        <w:rPr>
          <w:rFonts w:eastAsia="Times New Roman"/>
          <w:iCs/>
          <w:sz w:val="24"/>
          <w:szCs w:val="24"/>
          <w:lang w:eastAsia="en-AU"/>
        </w:rPr>
        <w:t xml:space="preserve"> for consistency</w:t>
      </w:r>
      <w:r w:rsidR="00294145">
        <w:rPr>
          <w:rFonts w:eastAsia="Times New Roman"/>
          <w:iCs/>
          <w:sz w:val="24"/>
          <w:szCs w:val="24"/>
          <w:lang w:eastAsia="en-AU"/>
        </w:rPr>
        <w:t>.</w:t>
      </w:r>
    </w:p>
    <w:p w14:paraId="5299E2C1" w14:textId="77777777" w:rsidR="00CB2D96" w:rsidRDefault="00294145" w:rsidP="00C42032">
      <w:pPr>
        <w:spacing w:before="240" w:line="240" w:lineRule="auto"/>
        <w:ind w:left="567" w:hanging="567"/>
        <w:rPr>
          <w:rFonts w:eastAsia="Times New Roman"/>
          <w:sz w:val="24"/>
          <w:szCs w:val="24"/>
          <w:lang w:eastAsia="en-AU"/>
        </w:rPr>
      </w:pPr>
      <w:r w:rsidRPr="00F94515">
        <w:rPr>
          <w:rFonts w:eastAsia="Times New Roman"/>
          <w:iCs/>
          <w:sz w:val="24"/>
          <w:szCs w:val="24"/>
          <w:lang w:eastAsia="en-AU"/>
        </w:rPr>
        <w:t>2</w:t>
      </w:r>
      <w:r>
        <w:rPr>
          <w:rFonts w:eastAsia="Times New Roman"/>
          <w:i/>
          <w:sz w:val="24"/>
          <w:szCs w:val="24"/>
          <w:lang w:eastAsia="en-AU"/>
        </w:rPr>
        <w:t>.</w:t>
      </w:r>
      <w:r>
        <w:rPr>
          <w:rFonts w:eastAsia="Times New Roman"/>
          <w:i/>
          <w:sz w:val="24"/>
          <w:szCs w:val="24"/>
          <w:lang w:eastAsia="en-AU"/>
        </w:rPr>
        <w:tab/>
      </w:r>
      <w:r w:rsidRPr="00F94515">
        <w:rPr>
          <w:rFonts w:eastAsia="Times New Roman"/>
          <w:iCs/>
          <w:sz w:val="24"/>
          <w:szCs w:val="24"/>
          <w:lang w:eastAsia="en-AU"/>
        </w:rPr>
        <w:t xml:space="preserve">The instrument </w:t>
      </w:r>
      <w:r>
        <w:rPr>
          <w:rFonts w:eastAsia="Times New Roman"/>
          <w:iCs/>
          <w:sz w:val="24"/>
          <w:szCs w:val="24"/>
          <w:lang w:eastAsia="en-AU"/>
        </w:rPr>
        <w:t xml:space="preserve">also makes miscellaneous </w:t>
      </w:r>
      <w:r w:rsidR="00393967">
        <w:rPr>
          <w:rFonts w:eastAsia="Times New Roman"/>
          <w:iCs/>
          <w:sz w:val="24"/>
          <w:szCs w:val="24"/>
          <w:lang w:eastAsia="en-AU"/>
        </w:rPr>
        <w:t xml:space="preserve">and unrelated minor </w:t>
      </w:r>
      <w:r>
        <w:rPr>
          <w:rFonts w:eastAsia="Times New Roman"/>
          <w:iCs/>
          <w:sz w:val="24"/>
          <w:szCs w:val="24"/>
          <w:lang w:eastAsia="en-AU"/>
        </w:rPr>
        <w:t>amendments</w:t>
      </w:r>
      <w:r w:rsidR="00393967">
        <w:rPr>
          <w:rFonts w:eastAsia="Times New Roman"/>
          <w:iCs/>
          <w:sz w:val="24"/>
          <w:szCs w:val="24"/>
          <w:lang w:eastAsia="en-AU"/>
        </w:rPr>
        <w:t xml:space="preserve"> to other instruments, and repeals two spent instruments.</w:t>
      </w:r>
    </w:p>
    <w:p w14:paraId="7C20294E" w14:textId="77777777" w:rsidR="001872DC" w:rsidRPr="00EA17A6" w:rsidRDefault="001872DC" w:rsidP="001872DC">
      <w:pPr>
        <w:pStyle w:val="LI-BodyTextNumbered"/>
        <w:ind w:left="567"/>
        <w:rPr>
          <w:u w:val="single"/>
        </w:rPr>
      </w:pPr>
      <w:bookmarkStart w:id="9" w:name="_Hlk534286807"/>
      <w:bookmarkEnd w:id="7"/>
      <w:r w:rsidRPr="00EA17A6">
        <w:rPr>
          <w:u w:val="single"/>
        </w:rPr>
        <w:t>Assessment of human rights implications</w:t>
      </w:r>
    </w:p>
    <w:p w14:paraId="6D525456" w14:textId="03FC03C4" w:rsidR="00946759" w:rsidRPr="00EA17A6" w:rsidRDefault="00393967" w:rsidP="00D306F8">
      <w:pPr>
        <w:pStyle w:val="LI-BodyTextNumbered"/>
        <w:ind w:left="567"/>
      </w:pPr>
      <w:r>
        <w:t>3</w:t>
      </w:r>
      <w:r w:rsidR="001872DC" w:rsidRPr="00EA17A6">
        <w:t>.</w:t>
      </w:r>
      <w:r w:rsidR="001872DC" w:rsidRPr="00EA17A6">
        <w:tab/>
      </w:r>
      <w:bookmarkEnd w:id="9"/>
      <w:r w:rsidR="001872DC" w:rsidRPr="00EA17A6">
        <w:t xml:space="preserve">This instrument </w:t>
      </w:r>
      <w:r w:rsidR="00D306F8" w:rsidRPr="00EA17A6">
        <w:t>does not engage any of the applicable rights or freedoms</w:t>
      </w:r>
      <w:r w:rsidR="00C42032">
        <w:t>.</w:t>
      </w:r>
    </w:p>
    <w:p w14:paraId="6B67463E" w14:textId="77777777" w:rsidR="00CB2D96" w:rsidRPr="00EA17A6" w:rsidRDefault="00CB2D96" w:rsidP="00D306F8">
      <w:pPr>
        <w:pStyle w:val="LI-BodyTextNumbered"/>
        <w:ind w:left="567"/>
        <w:rPr>
          <w:u w:val="single"/>
        </w:rPr>
      </w:pPr>
      <w:r w:rsidRPr="00EA17A6">
        <w:rPr>
          <w:u w:val="single"/>
        </w:rPr>
        <w:t>Conclusion</w:t>
      </w:r>
    </w:p>
    <w:p w14:paraId="2DC51B1F" w14:textId="5D6FAEB3" w:rsidR="00CB2D96" w:rsidRPr="00EA17A6" w:rsidRDefault="00393967" w:rsidP="00D306F8">
      <w:pPr>
        <w:pStyle w:val="LI-BodyTextNumbered"/>
        <w:ind w:left="567"/>
      </w:pPr>
      <w:r>
        <w:t>4</w:t>
      </w:r>
      <w:r w:rsidR="00CB2D96" w:rsidRPr="00EA17A6">
        <w:t>.</w:t>
      </w:r>
      <w:r w:rsidR="00CB2D96" w:rsidRPr="00EA17A6">
        <w:tab/>
        <w:t xml:space="preserve">This instrument is compatible with the human rights and freedoms recognised or declared in the international instruments listed in section 3 of </w:t>
      </w:r>
      <w:r w:rsidR="00CB2D96" w:rsidRPr="00EA17A6">
        <w:rPr>
          <w:iCs/>
        </w:rPr>
        <w:t xml:space="preserve">the </w:t>
      </w:r>
      <w:r w:rsidR="00CB2D96" w:rsidRPr="00EA17A6">
        <w:rPr>
          <w:i/>
          <w:iCs/>
        </w:rPr>
        <w:t>Human Rights (Parliamentary Scrutiny) Act 2011</w:t>
      </w:r>
      <w:r w:rsidR="00CB2D96" w:rsidRPr="00EA17A6">
        <w:t>.</w:t>
      </w:r>
      <w:bookmarkStart w:id="10" w:name="_GoBack"/>
      <w:bookmarkEnd w:id="10"/>
    </w:p>
    <w:sectPr w:rsidR="00CB2D96" w:rsidRPr="00EA17A6" w:rsidSect="0050350C">
      <w:headerReference w:type="even" r:id="rId14"/>
      <w:headerReference w:type="default" r:id="rId15"/>
      <w:footerReference w:type="default" r:id="rId16"/>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D9C7E" w14:textId="77777777" w:rsidR="00B8579E" w:rsidRDefault="00B8579E" w:rsidP="00715914">
      <w:pPr>
        <w:spacing w:line="240" w:lineRule="auto"/>
      </w:pPr>
      <w:r>
        <w:separator/>
      </w:r>
    </w:p>
  </w:endnote>
  <w:endnote w:type="continuationSeparator" w:id="0">
    <w:p w14:paraId="57E0D701" w14:textId="77777777" w:rsidR="00B8579E" w:rsidRDefault="00B8579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DF183"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7DE54A76"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D6C28" w14:textId="77777777" w:rsidR="00B8579E" w:rsidRDefault="00B8579E" w:rsidP="00715914">
      <w:pPr>
        <w:spacing w:line="240" w:lineRule="auto"/>
      </w:pPr>
      <w:r>
        <w:separator/>
      </w:r>
    </w:p>
  </w:footnote>
  <w:footnote w:type="continuationSeparator" w:id="0">
    <w:p w14:paraId="1A94F78E" w14:textId="77777777" w:rsidR="00B8579E" w:rsidRDefault="00B8579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B2B0"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5DC4AACD" w14:textId="77777777" w:rsidTr="001E77ED">
      <w:tc>
        <w:tcPr>
          <w:tcW w:w="4253" w:type="dxa"/>
          <w:shd w:val="clear" w:color="auto" w:fill="auto"/>
        </w:tcPr>
        <w:p w14:paraId="47429EA8" w14:textId="77777777" w:rsidR="00F4215A" w:rsidRDefault="00F4215A" w:rsidP="00E40FF8">
          <w:pPr>
            <w:pStyle w:val="LI-Header"/>
            <w:pBdr>
              <w:bottom w:val="none" w:sz="0" w:space="0" w:color="auto"/>
            </w:pBdr>
            <w:jc w:val="left"/>
          </w:pPr>
        </w:p>
      </w:tc>
      <w:tc>
        <w:tcPr>
          <w:tcW w:w="4060" w:type="dxa"/>
          <w:shd w:val="clear" w:color="auto" w:fill="auto"/>
        </w:tcPr>
        <w:p w14:paraId="6B9C7731" w14:textId="77777777" w:rsidR="00F4215A" w:rsidRDefault="00F4215A" w:rsidP="00F03BB5">
          <w:pPr>
            <w:pStyle w:val="LI-BodyTextNumbered"/>
          </w:pPr>
        </w:p>
      </w:tc>
    </w:tr>
  </w:tbl>
  <w:p w14:paraId="305B4C35"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A215A5"/>
    <w:multiLevelType w:val="hybridMultilevel"/>
    <w:tmpl w:val="120A859E"/>
    <w:lvl w:ilvl="0" w:tplc="BEFEB386">
      <w:start w:val="1"/>
      <w:numFmt w:val="decimal"/>
      <w:lvlText w:val="%1."/>
      <w:lvlJc w:val="left"/>
      <w:pPr>
        <w:ind w:left="570" w:hanging="57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04D1FB6"/>
    <w:multiLevelType w:val="hybridMultilevel"/>
    <w:tmpl w:val="68A02E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523F90"/>
    <w:multiLevelType w:val="hybridMultilevel"/>
    <w:tmpl w:val="3E3CDF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167F2B"/>
    <w:multiLevelType w:val="hybridMultilevel"/>
    <w:tmpl w:val="F1783B92"/>
    <w:lvl w:ilvl="0" w:tplc="BEFEB386">
      <w:start w:val="1"/>
      <w:numFmt w:val="decimal"/>
      <w:lvlText w:val="%1."/>
      <w:lvlJc w:val="left"/>
      <w:pPr>
        <w:ind w:left="1137" w:hanging="570"/>
      </w:pPr>
      <w:rPr>
        <w:rFonts w:hint="default"/>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7887366A"/>
    <w:multiLevelType w:val="hybridMultilevel"/>
    <w:tmpl w:val="A51493DA"/>
    <w:lvl w:ilvl="0" w:tplc="BEFEB386">
      <w:start w:val="1"/>
      <w:numFmt w:val="decimal"/>
      <w:lvlText w:val="%1."/>
      <w:lvlJc w:val="left"/>
      <w:pPr>
        <w:ind w:left="570" w:hanging="57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6"/>
  </w:num>
  <w:num w:numId="15">
    <w:abstractNumId w:val="14"/>
  </w:num>
  <w:num w:numId="16">
    <w:abstractNumId w:val="18"/>
  </w:num>
  <w:num w:numId="17">
    <w:abstractNumId w:val="17"/>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1A1"/>
    <w:rsid w:val="0000200B"/>
    <w:rsid w:val="00002728"/>
    <w:rsid w:val="00004470"/>
    <w:rsid w:val="00005446"/>
    <w:rsid w:val="00010400"/>
    <w:rsid w:val="00010E12"/>
    <w:rsid w:val="000136AF"/>
    <w:rsid w:val="00013B8D"/>
    <w:rsid w:val="00015719"/>
    <w:rsid w:val="00020FA2"/>
    <w:rsid w:val="00021570"/>
    <w:rsid w:val="00023775"/>
    <w:rsid w:val="00023D53"/>
    <w:rsid w:val="0002635B"/>
    <w:rsid w:val="00030BAC"/>
    <w:rsid w:val="0004104C"/>
    <w:rsid w:val="00042E65"/>
    <w:rsid w:val="000437C1"/>
    <w:rsid w:val="00044455"/>
    <w:rsid w:val="0005365D"/>
    <w:rsid w:val="00057029"/>
    <w:rsid w:val="000614BF"/>
    <w:rsid w:val="000619B5"/>
    <w:rsid w:val="0006250C"/>
    <w:rsid w:val="00063CD3"/>
    <w:rsid w:val="000672C8"/>
    <w:rsid w:val="00080753"/>
    <w:rsid w:val="00081794"/>
    <w:rsid w:val="00083960"/>
    <w:rsid w:val="00084FF4"/>
    <w:rsid w:val="00096C0E"/>
    <w:rsid w:val="000A142F"/>
    <w:rsid w:val="000A6C39"/>
    <w:rsid w:val="000B22BA"/>
    <w:rsid w:val="000B58FA"/>
    <w:rsid w:val="000C07D4"/>
    <w:rsid w:val="000C55A0"/>
    <w:rsid w:val="000C69C2"/>
    <w:rsid w:val="000D041F"/>
    <w:rsid w:val="000D05EF"/>
    <w:rsid w:val="000D530B"/>
    <w:rsid w:val="000E2261"/>
    <w:rsid w:val="000E3C2E"/>
    <w:rsid w:val="000E61A9"/>
    <w:rsid w:val="000F21C1"/>
    <w:rsid w:val="00102CA6"/>
    <w:rsid w:val="001058C8"/>
    <w:rsid w:val="00106CD8"/>
    <w:rsid w:val="0010745C"/>
    <w:rsid w:val="00111648"/>
    <w:rsid w:val="001169DA"/>
    <w:rsid w:val="00125141"/>
    <w:rsid w:val="00127DEC"/>
    <w:rsid w:val="00132CEB"/>
    <w:rsid w:val="00142B62"/>
    <w:rsid w:val="00150208"/>
    <w:rsid w:val="00153B32"/>
    <w:rsid w:val="00157B8B"/>
    <w:rsid w:val="00160BAF"/>
    <w:rsid w:val="001624E1"/>
    <w:rsid w:val="00166C2F"/>
    <w:rsid w:val="001705B0"/>
    <w:rsid w:val="00171A6E"/>
    <w:rsid w:val="001809D7"/>
    <w:rsid w:val="0018659E"/>
    <w:rsid w:val="001872DC"/>
    <w:rsid w:val="001939E1"/>
    <w:rsid w:val="00194C3E"/>
    <w:rsid w:val="00195382"/>
    <w:rsid w:val="00195BD4"/>
    <w:rsid w:val="001C60D9"/>
    <w:rsid w:val="001C61C5"/>
    <w:rsid w:val="001C69C4"/>
    <w:rsid w:val="001C76EE"/>
    <w:rsid w:val="001D37EF"/>
    <w:rsid w:val="001E2529"/>
    <w:rsid w:val="001E3590"/>
    <w:rsid w:val="001E4657"/>
    <w:rsid w:val="001E7407"/>
    <w:rsid w:val="001E77ED"/>
    <w:rsid w:val="001F02B1"/>
    <w:rsid w:val="001F5D5E"/>
    <w:rsid w:val="001F6219"/>
    <w:rsid w:val="001F6CD4"/>
    <w:rsid w:val="002032B6"/>
    <w:rsid w:val="00206C4D"/>
    <w:rsid w:val="00207FCC"/>
    <w:rsid w:val="0021051C"/>
    <w:rsid w:val="0021053C"/>
    <w:rsid w:val="00215AF1"/>
    <w:rsid w:val="00220A36"/>
    <w:rsid w:val="00223DCF"/>
    <w:rsid w:val="002321E8"/>
    <w:rsid w:val="00236EEC"/>
    <w:rsid w:val="0024010F"/>
    <w:rsid w:val="00240749"/>
    <w:rsid w:val="00243018"/>
    <w:rsid w:val="00243EC0"/>
    <w:rsid w:val="00244742"/>
    <w:rsid w:val="002449A1"/>
    <w:rsid w:val="0025269C"/>
    <w:rsid w:val="002564A4"/>
    <w:rsid w:val="0026736C"/>
    <w:rsid w:val="00273D1F"/>
    <w:rsid w:val="00281308"/>
    <w:rsid w:val="00281813"/>
    <w:rsid w:val="00284719"/>
    <w:rsid w:val="00292D01"/>
    <w:rsid w:val="00294145"/>
    <w:rsid w:val="002972F6"/>
    <w:rsid w:val="00297D4B"/>
    <w:rsid w:val="00297ECB"/>
    <w:rsid w:val="002A2521"/>
    <w:rsid w:val="002A7328"/>
    <w:rsid w:val="002A7BCF"/>
    <w:rsid w:val="002B19F3"/>
    <w:rsid w:val="002B4A0D"/>
    <w:rsid w:val="002C7B6F"/>
    <w:rsid w:val="002D043A"/>
    <w:rsid w:val="002D0B88"/>
    <w:rsid w:val="002D6224"/>
    <w:rsid w:val="002E0913"/>
    <w:rsid w:val="002E3F4B"/>
    <w:rsid w:val="00301143"/>
    <w:rsid w:val="00304F8B"/>
    <w:rsid w:val="003133B2"/>
    <w:rsid w:val="00327DDF"/>
    <w:rsid w:val="00332570"/>
    <w:rsid w:val="003329F0"/>
    <w:rsid w:val="003354D2"/>
    <w:rsid w:val="00335BC6"/>
    <w:rsid w:val="003372FF"/>
    <w:rsid w:val="003415D3"/>
    <w:rsid w:val="00344701"/>
    <w:rsid w:val="00347EAB"/>
    <w:rsid w:val="003528DA"/>
    <w:rsid w:val="00352B0F"/>
    <w:rsid w:val="00356690"/>
    <w:rsid w:val="00357DD0"/>
    <w:rsid w:val="00360459"/>
    <w:rsid w:val="00362E82"/>
    <w:rsid w:val="00364069"/>
    <w:rsid w:val="00365497"/>
    <w:rsid w:val="003876BE"/>
    <w:rsid w:val="00387A96"/>
    <w:rsid w:val="0039073D"/>
    <w:rsid w:val="00393967"/>
    <w:rsid w:val="00394483"/>
    <w:rsid w:val="003A2A48"/>
    <w:rsid w:val="003B28C3"/>
    <w:rsid w:val="003B732F"/>
    <w:rsid w:val="003C6231"/>
    <w:rsid w:val="003D0BFE"/>
    <w:rsid w:val="003D5700"/>
    <w:rsid w:val="003E0F99"/>
    <w:rsid w:val="003E341B"/>
    <w:rsid w:val="003E6530"/>
    <w:rsid w:val="003F3EFD"/>
    <w:rsid w:val="0040053F"/>
    <w:rsid w:val="004116CD"/>
    <w:rsid w:val="004144EC"/>
    <w:rsid w:val="00415569"/>
    <w:rsid w:val="00417EB9"/>
    <w:rsid w:val="00424CA9"/>
    <w:rsid w:val="00431E9B"/>
    <w:rsid w:val="0043591C"/>
    <w:rsid w:val="00435A95"/>
    <w:rsid w:val="00435EEF"/>
    <w:rsid w:val="004379E3"/>
    <w:rsid w:val="0044015E"/>
    <w:rsid w:val="0044291A"/>
    <w:rsid w:val="0044351F"/>
    <w:rsid w:val="00444ABD"/>
    <w:rsid w:val="00447DB4"/>
    <w:rsid w:val="00453604"/>
    <w:rsid w:val="00460F1D"/>
    <w:rsid w:val="00465DC1"/>
    <w:rsid w:val="00467661"/>
    <w:rsid w:val="004705B7"/>
    <w:rsid w:val="00472DBE"/>
    <w:rsid w:val="00472DD2"/>
    <w:rsid w:val="00474A19"/>
    <w:rsid w:val="00474B52"/>
    <w:rsid w:val="00481C24"/>
    <w:rsid w:val="004823C0"/>
    <w:rsid w:val="0048276B"/>
    <w:rsid w:val="004854F0"/>
    <w:rsid w:val="00496B5F"/>
    <w:rsid w:val="00496F97"/>
    <w:rsid w:val="004A44FC"/>
    <w:rsid w:val="004B5B44"/>
    <w:rsid w:val="004C1CB1"/>
    <w:rsid w:val="004D7E7F"/>
    <w:rsid w:val="004E063A"/>
    <w:rsid w:val="004E28CE"/>
    <w:rsid w:val="004E7BEC"/>
    <w:rsid w:val="0050044F"/>
    <w:rsid w:val="0050350C"/>
    <w:rsid w:val="00503DB5"/>
    <w:rsid w:val="00505D3D"/>
    <w:rsid w:val="00506AF6"/>
    <w:rsid w:val="00507335"/>
    <w:rsid w:val="0051197F"/>
    <w:rsid w:val="00516B8D"/>
    <w:rsid w:val="00517E56"/>
    <w:rsid w:val="00531737"/>
    <w:rsid w:val="00532049"/>
    <w:rsid w:val="00534EE7"/>
    <w:rsid w:val="005356A7"/>
    <w:rsid w:val="00536184"/>
    <w:rsid w:val="00537FBC"/>
    <w:rsid w:val="00555718"/>
    <w:rsid w:val="00556D75"/>
    <w:rsid w:val="005574D1"/>
    <w:rsid w:val="00560440"/>
    <w:rsid w:val="00561ABB"/>
    <w:rsid w:val="005657FE"/>
    <w:rsid w:val="00567863"/>
    <w:rsid w:val="00572BB1"/>
    <w:rsid w:val="0057354A"/>
    <w:rsid w:val="0057471E"/>
    <w:rsid w:val="0057670F"/>
    <w:rsid w:val="00583EFF"/>
    <w:rsid w:val="00584811"/>
    <w:rsid w:val="00585784"/>
    <w:rsid w:val="005872B1"/>
    <w:rsid w:val="00593AA6"/>
    <w:rsid w:val="00594161"/>
    <w:rsid w:val="00594749"/>
    <w:rsid w:val="005A29D3"/>
    <w:rsid w:val="005B402B"/>
    <w:rsid w:val="005B4067"/>
    <w:rsid w:val="005B780C"/>
    <w:rsid w:val="005C3F41"/>
    <w:rsid w:val="005C75AB"/>
    <w:rsid w:val="005D0489"/>
    <w:rsid w:val="005D1FEA"/>
    <w:rsid w:val="005D2D09"/>
    <w:rsid w:val="005D3D41"/>
    <w:rsid w:val="005E26B3"/>
    <w:rsid w:val="005E4810"/>
    <w:rsid w:val="005F4140"/>
    <w:rsid w:val="005F4267"/>
    <w:rsid w:val="005F65CD"/>
    <w:rsid w:val="00600219"/>
    <w:rsid w:val="00603DC4"/>
    <w:rsid w:val="00607A71"/>
    <w:rsid w:val="006117CB"/>
    <w:rsid w:val="00620076"/>
    <w:rsid w:val="00634044"/>
    <w:rsid w:val="00640161"/>
    <w:rsid w:val="00652769"/>
    <w:rsid w:val="0065542F"/>
    <w:rsid w:val="006554FF"/>
    <w:rsid w:val="0066647A"/>
    <w:rsid w:val="00667745"/>
    <w:rsid w:val="00670EA1"/>
    <w:rsid w:val="00677CC2"/>
    <w:rsid w:val="006905DE"/>
    <w:rsid w:val="0069207B"/>
    <w:rsid w:val="00693F29"/>
    <w:rsid w:val="006B0006"/>
    <w:rsid w:val="006B5789"/>
    <w:rsid w:val="006C30C5"/>
    <w:rsid w:val="006C43C3"/>
    <w:rsid w:val="006C48FA"/>
    <w:rsid w:val="006C7F8C"/>
    <w:rsid w:val="006D5391"/>
    <w:rsid w:val="006E16E2"/>
    <w:rsid w:val="006E4895"/>
    <w:rsid w:val="006E5320"/>
    <w:rsid w:val="006E6246"/>
    <w:rsid w:val="006F318F"/>
    <w:rsid w:val="006F39CB"/>
    <w:rsid w:val="006F4226"/>
    <w:rsid w:val="0070017E"/>
    <w:rsid w:val="00700B2C"/>
    <w:rsid w:val="00702EFD"/>
    <w:rsid w:val="007050A2"/>
    <w:rsid w:val="007060BB"/>
    <w:rsid w:val="00711403"/>
    <w:rsid w:val="00713084"/>
    <w:rsid w:val="0071399B"/>
    <w:rsid w:val="00714F20"/>
    <w:rsid w:val="0071590F"/>
    <w:rsid w:val="00715914"/>
    <w:rsid w:val="00731E00"/>
    <w:rsid w:val="00735473"/>
    <w:rsid w:val="00735F63"/>
    <w:rsid w:val="00741EE8"/>
    <w:rsid w:val="007440B7"/>
    <w:rsid w:val="00746CE6"/>
    <w:rsid w:val="007500C8"/>
    <w:rsid w:val="00756272"/>
    <w:rsid w:val="007625E8"/>
    <w:rsid w:val="007662B5"/>
    <w:rsid w:val="0076681A"/>
    <w:rsid w:val="007715C9"/>
    <w:rsid w:val="00771613"/>
    <w:rsid w:val="0077212E"/>
    <w:rsid w:val="00774EDD"/>
    <w:rsid w:val="0077506D"/>
    <w:rsid w:val="007757EC"/>
    <w:rsid w:val="0078144C"/>
    <w:rsid w:val="00783E89"/>
    <w:rsid w:val="007842CE"/>
    <w:rsid w:val="00785A9E"/>
    <w:rsid w:val="00793915"/>
    <w:rsid w:val="0079526C"/>
    <w:rsid w:val="007B33A8"/>
    <w:rsid w:val="007B4C4F"/>
    <w:rsid w:val="007C2253"/>
    <w:rsid w:val="007D230B"/>
    <w:rsid w:val="007E1147"/>
    <w:rsid w:val="007E163D"/>
    <w:rsid w:val="007E667A"/>
    <w:rsid w:val="007F28C9"/>
    <w:rsid w:val="0080312D"/>
    <w:rsid w:val="00803587"/>
    <w:rsid w:val="008117E9"/>
    <w:rsid w:val="00814783"/>
    <w:rsid w:val="00817D02"/>
    <w:rsid w:val="00824498"/>
    <w:rsid w:val="0083062D"/>
    <w:rsid w:val="00835179"/>
    <w:rsid w:val="00840442"/>
    <w:rsid w:val="00842F37"/>
    <w:rsid w:val="008455E9"/>
    <w:rsid w:val="0084694A"/>
    <w:rsid w:val="008506CC"/>
    <w:rsid w:val="008527C0"/>
    <w:rsid w:val="00854398"/>
    <w:rsid w:val="00856A31"/>
    <w:rsid w:val="00860B58"/>
    <w:rsid w:val="00863657"/>
    <w:rsid w:val="008660AC"/>
    <w:rsid w:val="00867B37"/>
    <w:rsid w:val="008718DD"/>
    <w:rsid w:val="008754D0"/>
    <w:rsid w:val="008800EE"/>
    <w:rsid w:val="008855C9"/>
    <w:rsid w:val="00886456"/>
    <w:rsid w:val="00891804"/>
    <w:rsid w:val="00893DB5"/>
    <w:rsid w:val="008945E0"/>
    <w:rsid w:val="0089527F"/>
    <w:rsid w:val="008A362B"/>
    <w:rsid w:val="008A46E1"/>
    <w:rsid w:val="008A4F43"/>
    <w:rsid w:val="008B17D2"/>
    <w:rsid w:val="008B2706"/>
    <w:rsid w:val="008B4AF3"/>
    <w:rsid w:val="008C0F29"/>
    <w:rsid w:val="008C153B"/>
    <w:rsid w:val="008C19AB"/>
    <w:rsid w:val="008C2688"/>
    <w:rsid w:val="008C7E8C"/>
    <w:rsid w:val="008D0EE0"/>
    <w:rsid w:val="008D3422"/>
    <w:rsid w:val="008E0668"/>
    <w:rsid w:val="008E1CAD"/>
    <w:rsid w:val="008E2BB5"/>
    <w:rsid w:val="008E6067"/>
    <w:rsid w:val="008F450A"/>
    <w:rsid w:val="008F54E7"/>
    <w:rsid w:val="009016BE"/>
    <w:rsid w:val="00903422"/>
    <w:rsid w:val="009157B9"/>
    <w:rsid w:val="00915DF9"/>
    <w:rsid w:val="009254C3"/>
    <w:rsid w:val="00926940"/>
    <w:rsid w:val="00930A0A"/>
    <w:rsid w:val="00932377"/>
    <w:rsid w:val="009344BC"/>
    <w:rsid w:val="009460DC"/>
    <w:rsid w:val="00946759"/>
    <w:rsid w:val="00947D5A"/>
    <w:rsid w:val="009532A5"/>
    <w:rsid w:val="00955175"/>
    <w:rsid w:val="0095528E"/>
    <w:rsid w:val="00957EAD"/>
    <w:rsid w:val="0096217A"/>
    <w:rsid w:val="0096753E"/>
    <w:rsid w:val="00982242"/>
    <w:rsid w:val="009868E9"/>
    <w:rsid w:val="0099156E"/>
    <w:rsid w:val="009944E6"/>
    <w:rsid w:val="00994B4E"/>
    <w:rsid w:val="009A3A6F"/>
    <w:rsid w:val="009A3F74"/>
    <w:rsid w:val="009A49C9"/>
    <w:rsid w:val="009B0C92"/>
    <w:rsid w:val="009B6ADE"/>
    <w:rsid w:val="009D175C"/>
    <w:rsid w:val="009D1818"/>
    <w:rsid w:val="009D195A"/>
    <w:rsid w:val="009E2BD8"/>
    <w:rsid w:val="009E5CFC"/>
    <w:rsid w:val="009F3F74"/>
    <w:rsid w:val="00A068EA"/>
    <w:rsid w:val="00A079CB"/>
    <w:rsid w:val="00A12128"/>
    <w:rsid w:val="00A1246C"/>
    <w:rsid w:val="00A12F48"/>
    <w:rsid w:val="00A14EF8"/>
    <w:rsid w:val="00A15512"/>
    <w:rsid w:val="00A1788D"/>
    <w:rsid w:val="00A22ABB"/>
    <w:rsid w:val="00A22C98"/>
    <w:rsid w:val="00A231E2"/>
    <w:rsid w:val="00A325EC"/>
    <w:rsid w:val="00A33D55"/>
    <w:rsid w:val="00A34412"/>
    <w:rsid w:val="00A356BA"/>
    <w:rsid w:val="00A40424"/>
    <w:rsid w:val="00A4075E"/>
    <w:rsid w:val="00A448BC"/>
    <w:rsid w:val="00A44C99"/>
    <w:rsid w:val="00A52B0F"/>
    <w:rsid w:val="00A5632E"/>
    <w:rsid w:val="00A56CD8"/>
    <w:rsid w:val="00A64912"/>
    <w:rsid w:val="00A70A74"/>
    <w:rsid w:val="00A73697"/>
    <w:rsid w:val="00A802B1"/>
    <w:rsid w:val="00A91966"/>
    <w:rsid w:val="00A94E95"/>
    <w:rsid w:val="00A96B4F"/>
    <w:rsid w:val="00AA37E3"/>
    <w:rsid w:val="00AA66AC"/>
    <w:rsid w:val="00AA6BFA"/>
    <w:rsid w:val="00AB1DE8"/>
    <w:rsid w:val="00AB69D9"/>
    <w:rsid w:val="00AC0886"/>
    <w:rsid w:val="00AC6456"/>
    <w:rsid w:val="00AD1F73"/>
    <w:rsid w:val="00AD5315"/>
    <w:rsid w:val="00AD5641"/>
    <w:rsid w:val="00AD7889"/>
    <w:rsid w:val="00AD7FEF"/>
    <w:rsid w:val="00AE3646"/>
    <w:rsid w:val="00AE4651"/>
    <w:rsid w:val="00AE6534"/>
    <w:rsid w:val="00AE787B"/>
    <w:rsid w:val="00AF021B"/>
    <w:rsid w:val="00AF06CF"/>
    <w:rsid w:val="00AF563A"/>
    <w:rsid w:val="00B04305"/>
    <w:rsid w:val="00B07CDB"/>
    <w:rsid w:val="00B13301"/>
    <w:rsid w:val="00B16A31"/>
    <w:rsid w:val="00B17DFD"/>
    <w:rsid w:val="00B270DD"/>
    <w:rsid w:val="00B2799D"/>
    <w:rsid w:val="00B308FE"/>
    <w:rsid w:val="00B33709"/>
    <w:rsid w:val="00B33B3C"/>
    <w:rsid w:val="00B33BD1"/>
    <w:rsid w:val="00B50ADC"/>
    <w:rsid w:val="00B566B1"/>
    <w:rsid w:val="00B577C8"/>
    <w:rsid w:val="00B62456"/>
    <w:rsid w:val="00B63834"/>
    <w:rsid w:val="00B72734"/>
    <w:rsid w:val="00B756D9"/>
    <w:rsid w:val="00B80199"/>
    <w:rsid w:val="00B816BE"/>
    <w:rsid w:val="00B82D81"/>
    <w:rsid w:val="00B83204"/>
    <w:rsid w:val="00B83330"/>
    <w:rsid w:val="00B8579E"/>
    <w:rsid w:val="00B9126E"/>
    <w:rsid w:val="00BA220B"/>
    <w:rsid w:val="00BA3A57"/>
    <w:rsid w:val="00BA66D1"/>
    <w:rsid w:val="00BB4E1A"/>
    <w:rsid w:val="00BB5C17"/>
    <w:rsid w:val="00BB6B71"/>
    <w:rsid w:val="00BC015E"/>
    <w:rsid w:val="00BC612B"/>
    <w:rsid w:val="00BC7183"/>
    <w:rsid w:val="00BC76AC"/>
    <w:rsid w:val="00BD0ECB"/>
    <w:rsid w:val="00BE1941"/>
    <w:rsid w:val="00BE2155"/>
    <w:rsid w:val="00BE2213"/>
    <w:rsid w:val="00BE6EF9"/>
    <w:rsid w:val="00BE719A"/>
    <w:rsid w:val="00BE720A"/>
    <w:rsid w:val="00BE77E6"/>
    <w:rsid w:val="00BF0D73"/>
    <w:rsid w:val="00BF0EFC"/>
    <w:rsid w:val="00BF2465"/>
    <w:rsid w:val="00BF75C9"/>
    <w:rsid w:val="00C0544A"/>
    <w:rsid w:val="00C11452"/>
    <w:rsid w:val="00C15876"/>
    <w:rsid w:val="00C25E7F"/>
    <w:rsid w:val="00C2746F"/>
    <w:rsid w:val="00C324A0"/>
    <w:rsid w:val="00C3300F"/>
    <w:rsid w:val="00C34E77"/>
    <w:rsid w:val="00C35875"/>
    <w:rsid w:val="00C35DAF"/>
    <w:rsid w:val="00C4170B"/>
    <w:rsid w:val="00C42032"/>
    <w:rsid w:val="00C42BF8"/>
    <w:rsid w:val="00C45171"/>
    <w:rsid w:val="00C50043"/>
    <w:rsid w:val="00C50B97"/>
    <w:rsid w:val="00C53E40"/>
    <w:rsid w:val="00C54C89"/>
    <w:rsid w:val="00C611E5"/>
    <w:rsid w:val="00C64164"/>
    <w:rsid w:val="00C6434E"/>
    <w:rsid w:val="00C6446B"/>
    <w:rsid w:val="00C65495"/>
    <w:rsid w:val="00C70CA8"/>
    <w:rsid w:val="00C7573B"/>
    <w:rsid w:val="00C7761F"/>
    <w:rsid w:val="00C80943"/>
    <w:rsid w:val="00C83B8E"/>
    <w:rsid w:val="00C86B32"/>
    <w:rsid w:val="00C8726F"/>
    <w:rsid w:val="00C93419"/>
    <w:rsid w:val="00C93C03"/>
    <w:rsid w:val="00C97338"/>
    <w:rsid w:val="00CA66DC"/>
    <w:rsid w:val="00CB2C8E"/>
    <w:rsid w:val="00CB2D96"/>
    <w:rsid w:val="00CB602E"/>
    <w:rsid w:val="00CD2E90"/>
    <w:rsid w:val="00CD345D"/>
    <w:rsid w:val="00CE0149"/>
    <w:rsid w:val="00CE051D"/>
    <w:rsid w:val="00CE1335"/>
    <w:rsid w:val="00CE3D2A"/>
    <w:rsid w:val="00CE493D"/>
    <w:rsid w:val="00CE541A"/>
    <w:rsid w:val="00CE6D42"/>
    <w:rsid w:val="00CF07FA"/>
    <w:rsid w:val="00CF0BB2"/>
    <w:rsid w:val="00CF3EE8"/>
    <w:rsid w:val="00CF5313"/>
    <w:rsid w:val="00CF77B9"/>
    <w:rsid w:val="00D050E6"/>
    <w:rsid w:val="00D072A8"/>
    <w:rsid w:val="00D13441"/>
    <w:rsid w:val="00D150E7"/>
    <w:rsid w:val="00D20A4B"/>
    <w:rsid w:val="00D306F8"/>
    <w:rsid w:val="00D32F65"/>
    <w:rsid w:val="00D341C4"/>
    <w:rsid w:val="00D34AC3"/>
    <w:rsid w:val="00D37BFE"/>
    <w:rsid w:val="00D4786F"/>
    <w:rsid w:val="00D52DC2"/>
    <w:rsid w:val="00D53BCC"/>
    <w:rsid w:val="00D648BB"/>
    <w:rsid w:val="00D67C32"/>
    <w:rsid w:val="00D702DE"/>
    <w:rsid w:val="00D70DFB"/>
    <w:rsid w:val="00D732EC"/>
    <w:rsid w:val="00D73C22"/>
    <w:rsid w:val="00D766DF"/>
    <w:rsid w:val="00D92CE7"/>
    <w:rsid w:val="00D939D4"/>
    <w:rsid w:val="00DA186E"/>
    <w:rsid w:val="00DA4116"/>
    <w:rsid w:val="00DB251C"/>
    <w:rsid w:val="00DB38AD"/>
    <w:rsid w:val="00DB4630"/>
    <w:rsid w:val="00DC2FBE"/>
    <w:rsid w:val="00DC4445"/>
    <w:rsid w:val="00DC4F88"/>
    <w:rsid w:val="00DC7297"/>
    <w:rsid w:val="00DD7050"/>
    <w:rsid w:val="00DE0A85"/>
    <w:rsid w:val="00DE32CF"/>
    <w:rsid w:val="00DE4550"/>
    <w:rsid w:val="00DE4AB4"/>
    <w:rsid w:val="00DE604F"/>
    <w:rsid w:val="00DE79F9"/>
    <w:rsid w:val="00DF31FC"/>
    <w:rsid w:val="00E03FFC"/>
    <w:rsid w:val="00E05704"/>
    <w:rsid w:val="00E06CC3"/>
    <w:rsid w:val="00E07F61"/>
    <w:rsid w:val="00E11E44"/>
    <w:rsid w:val="00E13AFA"/>
    <w:rsid w:val="00E2168B"/>
    <w:rsid w:val="00E21F03"/>
    <w:rsid w:val="00E338EF"/>
    <w:rsid w:val="00E40FF8"/>
    <w:rsid w:val="00E46937"/>
    <w:rsid w:val="00E544BB"/>
    <w:rsid w:val="00E553D0"/>
    <w:rsid w:val="00E578EC"/>
    <w:rsid w:val="00E60423"/>
    <w:rsid w:val="00E649D7"/>
    <w:rsid w:val="00E662CB"/>
    <w:rsid w:val="00E74DC7"/>
    <w:rsid w:val="00E8075A"/>
    <w:rsid w:val="00E818A6"/>
    <w:rsid w:val="00E81EE4"/>
    <w:rsid w:val="00E81F2B"/>
    <w:rsid w:val="00E838BF"/>
    <w:rsid w:val="00E85A91"/>
    <w:rsid w:val="00E87718"/>
    <w:rsid w:val="00E94D5E"/>
    <w:rsid w:val="00EA0BF6"/>
    <w:rsid w:val="00EA17A6"/>
    <w:rsid w:val="00EA7100"/>
    <w:rsid w:val="00EA7F9F"/>
    <w:rsid w:val="00EB0E70"/>
    <w:rsid w:val="00EB1274"/>
    <w:rsid w:val="00EC1F91"/>
    <w:rsid w:val="00EC4757"/>
    <w:rsid w:val="00EC6F10"/>
    <w:rsid w:val="00EC7EDB"/>
    <w:rsid w:val="00ED022D"/>
    <w:rsid w:val="00ED2BB6"/>
    <w:rsid w:val="00ED34E1"/>
    <w:rsid w:val="00ED3B8D"/>
    <w:rsid w:val="00ED4BCC"/>
    <w:rsid w:val="00ED5DEA"/>
    <w:rsid w:val="00ED75ED"/>
    <w:rsid w:val="00EF15D3"/>
    <w:rsid w:val="00EF1964"/>
    <w:rsid w:val="00EF2E3A"/>
    <w:rsid w:val="00EF45B7"/>
    <w:rsid w:val="00F02EF9"/>
    <w:rsid w:val="00F03BB5"/>
    <w:rsid w:val="00F047D8"/>
    <w:rsid w:val="00F058DA"/>
    <w:rsid w:val="00F072A7"/>
    <w:rsid w:val="00F078DC"/>
    <w:rsid w:val="00F1186C"/>
    <w:rsid w:val="00F14593"/>
    <w:rsid w:val="00F167B6"/>
    <w:rsid w:val="00F171A1"/>
    <w:rsid w:val="00F32ADD"/>
    <w:rsid w:val="00F32BA8"/>
    <w:rsid w:val="00F349F1"/>
    <w:rsid w:val="00F410B5"/>
    <w:rsid w:val="00F4215A"/>
    <w:rsid w:val="00F4350D"/>
    <w:rsid w:val="00F50532"/>
    <w:rsid w:val="00F567F7"/>
    <w:rsid w:val="00F60A3E"/>
    <w:rsid w:val="00F61B09"/>
    <w:rsid w:val="00F62036"/>
    <w:rsid w:val="00F65B52"/>
    <w:rsid w:val="00F67BCA"/>
    <w:rsid w:val="00F7175B"/>
    <w:rsid w:val="00F73BD6"/>
    <w:rsid w:val="00F800C9"/>
    <w:rsid w:val="00F8227E"/>
    <w:rsid w:val="00F83989"/>
    <w:rsid w:val="00F85099"/>
    <w:rsid w:val="00F9379C"/>
    <w:rsid w:val="00F94515"/>
    <w:rsid w:val="00F948AD"/>
    <w:rsid w:val="00F9632C"/>
    <w:rsid w:val="00FA0711"/>
    <w:rsid w:val="00FA1E52"/>
    <w:rsid w:val="00FA31DE"/>
    <w:rsid w:val="00FA7D17"/>
    <w:rsid w:val="00FB6ED1"/>
    <w:rsid w:val="00FC3EB8"/>
    <w:rsid w:val="00FC7D25"/>
    <w:rsid w:val="00FD13CC"/>
    <w:rsid w:val="00FE0034"/>
    <w:rsid w:val="00FE2FB8"/>
    <w:rsid w:val="00FE4688"/>
    <w:rsid w:val="00FE72D6"/>
    <w:rsid w:val="00FE79D0"/>
    <w:rsid w:val="19D37339"/>
    <w:rsid w:val="3E232A57"/>
    <w:rsid w:val="4CBA442A"/>
    <w:rsid w:val="55358418"/>
    <w:rsid w:val="557453E9"/>
    <w:rsid w:val="59282C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7BE0ADCB"/>
  <w15:chartTrackingRefBased/>
  <w15:docId w15:val="{36981BBD-65A4-4216-B0D9-B16C4025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F65CD"/>
    <w:pPr>
      <w:spacing w:line="260" w:lineRule="atLeast"/>
    </w:pPr>
    <w:rPr>
      <w:sz w:val="22"/>
      <w:lang w:val="en-AU"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lang w:val="en-AU" w:eastAsia="en-AU"/>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lang w:val="en-AU" w:eastAsia="en-AU"/>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lang w:eastAsia="en-AU"/>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val="en-AU"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val="en-AU"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val="en-AU"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semiHidden/>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ListParagraph">
    <w:name w:val="List Paragraph"/>
    <w:basedOn w:val="Normal"/>
    <w:uiPriority w:val="34"/>
    <w:qFormat/>
    <w:rsid w:val="00DE4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C Document" ma:contentTypeID="0x010100B5F685A1365F544391EF8C813B164F3A00B50707214F1026478865A38634A2267B" ma:contentTypeVersion="25" ma:contentTypeDescription="" ma:contentTypeScope="" ma:versionID="1037100e2b662dd3b2ae4586d9c1d0cb">
  <xsd:schema xmlns:xsd="http://www.w3.org/2001/XMLSchema" xmlns:xs="http://www.w3.org/2001/XMLSchema" xmlns:p="http://schemas.microsoft.com/office/2006/metadata/properties" xmlns:ns2="da7a9ac0-bc47-4684-84e6-3a8e9ac80c12" xmlns:ns3="e61c8409-2b3d-41a9-86ff-6de17ebba263" xmlns:ns4="17f478ab-373e-4295-9ff0-9b833ad01319" targetNamespace="http://schemas.microsoft.com/office/2006/metadata/properties" ma:root="true" ma:fieldsID="0fbd165b5b2307787b4ba304b0ec77f5" ns2:_="" ns3:_="" ns4:_="">
    <xsd:import namespace="da7a9ac0-bc47-4684-84e6-3a8e9ac80c12"/>
    <xsd:import namespace="e61c8409-2b3d-41a9-86ff-6de17ebba263"/>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NotesLinks" minOccurs="0"/>
                <xsd:element ref="ns3:p0defd040bb9426381491b2c186908cb"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p0defd040bb9426381491b2c186908cb" ma:index="18" ma:taxonomy="true" ma:internalName="p0defd040bb9426381491b2c186908cb" ma:taxonomyFieldName="SecurityClassification" ma:displayName="Security Classification" ma:readOnly="false"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otesLinks xmlns="da7a9ac0-bc47-4684-84e6-3a8e9ac80c12" xsi:nil="true"/>
    <Approvers xmlns="17f478ab-373e-4295-9ff0-9b833ad01319">
      <UserInfo>
        <DisplayName/>
        <AccountId xsi:nil="true"/>
        <AccountType/>
      </UserInfo>
    </Approvers>
    <SignificantFlag xmlns="da7a9ac0-bc47-4684-84e6-3a8e9ac80c12">false</SignificantFlag>
    <ObjectiveID xmlns="da7a9ac0-bc47-4684-84e6-3a8e9ac80c12" xsi:nil="true"/>
    <ded95d7ab059406991d558011d18c177 xmlns="da7a9ac0-bc47-4684-84e6-3a8e9ac80c12" xsi:nil="true"/>
    <RecordNumber xmlns="da7a9ac0-bc47-4684-84e6-3a8e9ac80c12">R20200000390279</RecordNumber>
    <SenateOrder12 xmlns="da7a9ac0-bc47-4684-84e6-3a8e9ac80c12">false</SenateOrder12>
    <SignificantReason xmlns="da7a9ac0-bc47-4684-84e6-3a8e9ac80c12" xsi:nil="true"/>
    <p0defd040bb9426381491b2c186908cb xmlns="e61c8409-2b3d-41a9-86ff-6de17ebba263">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0defd040bb9426381491b2c186908cb>
    <Reviewers xmlns="17f478ab-373e-4295-9ff0-9b833ad01319">
      <UserInfo>
        <DisplayName/>
        <AccountId xsi:nil="true"/>
        <AccountType/>
      </UserInfo>
    </Reviewers>
    <TaxCatchAll xmlns="e61c8409-2b3d-41a9-86ff-6de17ebba263">
      <Value>6</Value>
    </TaxCatchAl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3833A-C46E-44D9-BFBC-7C8883691FD1}">
  <ds:schemaRefs>
    <ds:schemaRef ds:uri="http://schemas.microsoft.com/sharepoint/v3/contenttype/forms"/>
  </ds:schemaRefs>
</ds:datastoreItem>
</file>

<file path=customXml/itemProps2.xml><?xml version="1.0" encoding="utf-8"?>
<ds:datastoreItem xmlns:ds="http://schemas.openxmlformats.org/officeDocument/2006/customXml" ds:itemID="{3C6317A8-694D-413B-A0B6-173307DC3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61c8409-2b3d-41a9-86ff-6de17ebba263"/>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71EB9-B846-445B-BA8C-07E78C51B5AD}">
  <ds:schemaRefs>
    <ds:schemaRef ds:uri="http://schemas.microsoft.com/sharepoint/events"/>
  </ds:schemaRefs>
</ds:datastoreItem>
</file>

<file path=customXml/itemProps4.xml><?xml version="1.0" encoding="utf-8"?>
<ds:datastoreItem xmlns:ds="http://schemas.openxmlformats.org/officeDocument/2006/customXml" ds:itemID="{A90B5CBD-83DB-44B6-81C0-F4DC60470BC4}">
  <ds:schemaRefs>
    <ds:schemaRef ds:uri="http://purl.org/dc/elements/1.1/"/>
    <ds:schemaRef ds:uri="da7a9ac0-bc47-4684-84e6-3a8e9ac80c12"/>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17f478ab-373e-4295-9ff0-9b833ad01319"/>
    <ds:schemaRef ds:uri="e61c8409-2b3d-41a9-86ff-6de17ebba263"/>
    <ds:schemaRef ds:uri="http://schemas.microsoft.com/office/2006/metadata/properties"/>
  </ds:schemaRefs>
</ds:datastoreItem>
</file>

<file path=customXml/itemProps5.xml><?xml version="1.0" encoding="utf-8"?>
<ds:datastoreItem xmlns:ds="http://schemas.openxmlformats.org/officeDocument/2006/customXml" ds:itemID="{9768B7C0-9358-4194-86C7-BC6F8F296D0E}">
  <ds:schemaRefs>
    <ds:schemaRef ds:uri="http://schemas.microsoft.com/office/2006/metadata/longProperties"/>
  </ds:schemaRefs>
</ds:datastoreItem>
</file>

<file path=customXml/itemProps6.xml><?xml version="1.0" encoding="utf-8"?>
<ds:datastoreItem xmlns:ds="http://schemas.openxmlformats.org/officeDocument/2006/customXml" ds:itemID="{E5F5BC9A-75A6-46B2-BD2F-03BF461E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415</TotalTime>
  <Pages>7</Pages>
  <Words>2224</Words>
  <Characters>12677</Characters>
  <Application>Microsoft Office Word</Application>
  <DocSecurity>0</DocSecurity>
  <PresentationFormat/>
  <Lines>105</Lines>
  <Paragraphs>29</Paragraphs>
  <ScaleCrop>false</ScaleCrop>
  <HeadingPairs>
    <vt:vector size="2" baseType="variant">
      <vt:variant>
        <vt:lpstr>Title</vt:lpstr>
      </vt:variant>
      <vt:variant>
        <vt:i4>1</vt:i4>
      </vt:variant>
    </vt:vector>
  </HeadingPairs>
  <TitlesOfParts>
    <vt:vector size="1" baseType="lpstr">
      <vt:lpstr>ASIC Template (Explanatory Statement - Jan 2019).docx</vt:lpstr>
    </vt:vector>
  </TitlesOfParts>
  <Company>ASIC</Company>
  <LinksUpToDate>false</LinksUpToDate>
  <CharactersWithSpaces>14872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Philip Russell</dc:creator>
  <cp:keywords/>
  <cp:lastModifiedBy>Grant Moodie</cp:lastModifiedBy>
  <cp:revision>132</cp:revision>
  <cp:lastPrinted>2019-01-03T03:56:00Z</cp:lastPrinted>
  <dcterms:created xsi:type="dcterms:W3CDTF">2020-06-23T11:47:00Z</dcterms:created>
  <dcterms:modified xsi:type="dcterms:W3CDTF">2020-07-20T23:20:00Z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6;#Sensitive|19fd2cb8-3e97-4464-ae71-8c2c2095d028</vt:lpwstr>
  </property>
  <property fmtid="{D5CDD505-2E9C-101B-9397-08002B2CF9AE}" pid="40" name="RecordPoint_WorkflowType">
    <vt:lpwstr>ActiveSubmitStub</vt:lpwstr>
  </property>
  <property fmtid="{D5CDD505-2E9C-101B-9397-08002B2CF9AE}" pid="41" name="RecordPoint_ActiveItemSiteId">
    <vt:lpwstr>{7c55c358-5415-4198-9ede-08a0775024ad}</vt:lpwstr>
  </property>
  <property fmtid="{D5CDD505-2E9C-101B-9397-08002B2CF9AE}" pid="42" name="RecordPoint_ActiveItemListId">
    <vt:lpwstr>{0ac98799-20dc-43fa-a7f5-120fca1d2db7}</vt:lpwstr>
  </property>
  <property fmtid="{D5CDD505-2E9C-101B-9397-08002B2CF9AE}" pid="43" name="RecordPoint_ActiveItemUniqueId">
    <vt:lpwstr>{95f6ed5d-33b9-47d6-b235-ce8e9a8364fc}</vt:lpwstr>
  </property>
  <property fmtid="{D5CDD505-2E9C-101B-9397-08002B2CF9AE}" pid="44" name="RecordPoint_ActiveItemWebId">
    <vt:lpwstr>{e61c8409-2b3d-41a9-86ff-6de17ebba263}</vt:lpwstr>
  </property>
  <property fmtid="{D5CDD505-2E9C-101B-9397-08002B2CF9AE}" pid="45" name="IconOverlay">
    <vt:lpwstr/>
  </property>
  <property fmtid="{D5CDD505-2E9C-101B-9397-08002B2CF9AE}" pid="46" name="RecordNumber">
    <vt:lpwstr>R20190005532715</vt:lpwstr>
  </property>
  <property fmtid="{D5CDD505-2E9C-101B-9397-08002B2CF9AE}" pid="47" name="RecordPoint_SubmissionCompleted">
    <vt:lpwstr>2020-07-21T08:28:18.7763571+10:00</vt:lpwstr>
  </property>
  <property fmtid="{D5CDD505-2E9C-101B-9397-08002B2CF9AE}" pid="48" name="RecordPoint_RecordNumberSubmitted">
    <vt:lpwstr>R20200000390279</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6;#Sensitive|19fd2cb8-3e97-4464-ae71-8c2c2095d028</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RecordPoint_ActiveItemMoved">
    <vt:lpwstr/>
  </property>
  <property fmtid="{D5CDD505-2E9C-101B-9397-08002B2CF9AE}" pid="62" name="f947e1037e3e49619e55f8843e0f11fe">
    <vt:lpwstr>Sensitive|19fd2cb8-3e97-4464-ae71-8c2c2095d028</vt:lpwstr>
  </property>
  <property fmtid="{D5CDD505-2E9C-101B-9397-08002B2CF9AE}" pid="63" name="ContentTypeId">
    <vt:lpwstr>0x010100B5F685A1365F544391EF8C813B164F3A00B50707214F1026478865A38634A2267B</vt:lpwstr>
  </property>
  <property fmtid="{D5CDD505-2E9C-101B-9397-08002B2CF9AE}" pid="64" name="p0defd040bb9426381491b2c186908cb">
    <vt:lpwstr>Sensitive|19fd2cb8-3e97-4464-ae71-8c2c2095d028</vt:lpwstr>
  </property>
  <property fmtid="{D5CDD505-2E9C-101B-9397-08002B2CF9AE}" pid="65" name="j9a53d7fe1554b91b170ef98e3957baf">
    <vt:lpwstr/>
  </property>
  <property fmtid="{D5CDD505-2E9C-101B-9397-08002B2CF9AE}" pid="66" name="e3d6af94617946d9813caf87b95826d7">
    <vt:lpwstr/>
  </property>
  <property fmtid="{D5CDD505-2E9C-101B-9397-08002B2CF9AE}" pid="67" name="k9c390b121b84919acb0b9151690da40">
    <vt:lpwstr/>
  </property>
  <property fmtid="{D5CDD505-2E9C-101B-9397-08002B2CF9AE}" pid="68" name="IMSFilesetProductType">
    <vt:lpwstr/>
  </property>
  <property fmtid="{D5CDD505-2E9C-101B-9397-08002B2CF9AE}" pid="69" name="Fileset search keywords">
    <vt:lpwstr/>
  </property>
  <property fmtid="{D5CDD505-2E9C-101B-9397-08002B2CF9AE}" pid="70" name="IMSFilesetEntity">
    <vt:lpwstr/>
  </property>
</Properties>
</file>