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85EF6" w14:textId="77777777" w:rsidR="00BA0727" w:rsidRDefault="00BA0727" w:rsidP="00BA0727">
      <w:pPr>
        <w:spacing w:after="160" w:line="259" w:lineRule="auto"/>
        <w:ind w:left="7200" w:firstLine="720"/>
        <w:rPr>
          <w:rFonts w:ascii="Times New Roman" w:eastAsia="Times New Roman" w:hAnsi="Times New Roman" w:cs="Times New Roman"/>
          <w:sz w:val="24"/>
          <w:szCs w:val="24"/>
          <w:u w:val="single"/>
          <w:lang w:eastAsia="en-AU"/>
        </w:rPr>
      </w:pPr>
    </w:p>
    <w:p w14:paraId="25E00478" w14:textId="77777777" w:rsidR="00BA0727" w:rsidRDefault="00BA0727" w:rsidP="00BA0727">
      <w:pPr>
        <w:spacing w:after="160" w:line="259" w:lineRule="auto"/>
        <w:ind w:left="7200" w:firstLine="720"/>
        <w:rPr>
          <w:rFonts w:ascii="Times New Roman" w:eastAsia="Times New Roman" w:hAnsi="Times New Roman" w:cs="Times New Roman"/>
          <w:sz w:val="24"/>
          <w:szCs w:val="24"/>
          <w:u w:val="single"/>
          <w:lang w:eastAsia="en-AU"/>
        </w:rPr>
      </w:pPr>
    </w:p>
    <w:p w14:paraId="6BBD5F86" w14:textId="77777777" w:rsidR="004E62FA" w:rsidRPr="00975C29" w:rsidRDefault="004E62FA" w:rsidP="004E62FA">
      <w:pPr>
        <w:jc w:val="center"/>
        <w:rPr>
          <w:rFonts w:eastAsia="Times New Roman"/>
          <w:b/>
          <w:sz w:val="24"/>
          <w:szCs w:val="24"/>
          <w:u w:val="single"/>
          <w:lang w:eastAsia="en-AU"/>
        </w:rPr>
      </w:pPr>
      <w:bookmarkStart w:id="0" w:name="_GoBack"/>
      <w:bookmarkEnd w:id="0"/>
      <w:r w:rsidRPr="00975C29">
        <w:rPr>
          <w:rFonts w:eastAsia="Times New Roman"/>
          <w:b/>
          <w:sz w:val="24"/>
          <w:szCs w:val="24"/>
          <w:u w:val="single"/>
          <w:lang w:eastAsia="en-AU"/>
        </w:rPr>
        <w:t>EXPLANATORY STATEMENT</w:t>
      </w:r>
    </w:p>
    <w:p w14:paraId="5B06756A" w14:textId="77777777" w:rsidR="004E62FA" w:rsidRPr="00975C29" w:rsidRDefault="004E62FA" w:rsidP="004E62FA">
      <w:pPr>
        <w:jc w:val="center"/>
        <w:rPr>
          <w:rFonts w:eastAsia="Times New Roman"/>
          <w:sz w:val="24"/>
          <w:szCs w:val="24"/>
          <w:lang w:eastAsia="en-AU"/>
        </w:rPr>
      </w:pPr>
      <w:r w:rsidRPr="00975C29">
        <w:rPr>
          <w:rFonts w:eastAsia="Times New Roman"/>
          <w:b/>
          <w:i/>
          <w:sz w:val="24"/>
          <w:szCs w:val="24"/>
          <w:lang w:eastAsia="en-AU"/>
        </w:rPr>
        <w:t>Determination made under subsection 41-45(1</w:t>
      </w:r>
      <w:r w:rsidR="00D7587A">
        <w:rPr>
          <w:rFonts w:eastAsia="Times New Roman"/>
          <w:b/>
          <w:i/>
          <w:sz w:val="24"/>
          <w:szCs w:val="24"/>
          <w:lang w:eastAsia="en-AU"/>
        </w:rPr>
        <w:t>D</w:t>
      </w:r>
      <w:r w:rsidRPr="00975C29">
        <w:rPr>
          <w:rFonts w:eastAsia="Times New Roman"/>
          <w:b/>
          <w:i/>
          <w:sz w:val="24"/>
          <w:szCs w:val="24"/>
          <w:lang w:eastAsia="en-AU"/>
        </w:rPr>
        <w:t>)</w:t>
      </w:r>
      <w:r>
        <w:rPr>
          <w:rFonts w:eastAsia="Times New Roman"/>
          <w:b/>
          <w:i/>
          <w:sz w:val="24"/>
          <w:szCs w:val="24"/>
          <w:lang w:eastAsia="en-AU"/>
        </w:rPr>
        <w:t xml:space="preserve"> </w:t>
      </w:r>
      <w:r w:rsidRPr="00975C29">
        <w:rPr>
          <w:rFonts w:eastAsia="Times New Roman"/>
          <w:b/>
          <w:i/>
          <w:sz w:val="24"/>
          <w:szCs w:val="24"/>
          <w:lang w:eastAsia="en-AU"/>
        </w:rPr>
        <w:t>of the Higher Education Support Act 2003</w:t>
      </w:r>
    </w:p>
    <w:p w14:paraId="21D34657" w14:textId="77777777" w:rsidR="004E62FA" w:rsidRPr="00975C29" w:rsidRDefault="004E62FA" w:rsidP="004E62FA">
      <w:pPr>
        <w:rPr>
          <w:rFonts w:eastAsia="Times New Roman"/>
          <w:sz w:val="24"/>
          <w:szCs w:val="24"/>
          <w:u w:val="single"/>
          <w:lang w:eastAsia="en-AU"/>
        </w:rPr>
      </w:pPr>
      <w:r w:rsidRPr="00975C29">
        <w:rPr>
          <w:rFonts w:eastAsia="Times New Roman"/>
          <w:sz w:val="24"/>
          <w:szCs w:val="24"/>
          <w:u w:val="single"/>
          <w:lang w:eastAsia="en-AU"/>
        </w:rPr>
        <w:t>Issued by the authorit</w:t>
      </w:r>
      <w:r w:rsidR="00F11D4C">
        <w:rPr>
          <w:rFonts w:eastAsia="Times New Roman"/>
          <w:sz w:val="24"/>
          <w:szCs w:val="24"/>
          <w:u w:val="single"/>
          <w:lang w:eastAsia="en-AU"/>
        </w:rPr>
        <w:t>y of the Minister for Education</w:t>
      </w:r>
    </w:p>
    <w:p w14:paraId="413E417C" w14:textId="77777777" w:rsidR="004E62FA" w:rsidRPr="00975C29" w:rsidRDefault="004E62FA" w:rsidP="004E62FA">
      <w:pPr>
        <w:rPr>
          <w:rFonts w:eastAsia="Times New Roman"/>
          <w:sz w:val="24"/>
          <w:szCs w:val="24"/>
          <w:lang w:eastAsia="en-AU"/>
        </w:rPr>
      </w:pPr>
      <w:r w:rsidRPr="00975C29">
        <w:rPr>
          <w:rFonts w:eastAsia="Times New Roman"/>
          <w:sz w:val="24"/>
          <w:szCs w:val="24"/>
          <w:lang w:eastAsia="en-AU"/>
        </w:rPr>
        <w:t>Subject:</w:t>
      </w:r>
      <w:r w:rsidRPr="00975C29">
        <w:rPr>
          <w:rFonts w:eastAsia="Times New Roman"/>
          <w:sz w:val="24"/>
          <w:szCs w:val="24"/>
          <w:lang w:eastAsia="en-AU"/>
        </w:rPr>
        <w:tab/>
      </w:r>
      <w:r w:rsidRPr="00975C29">
        <w:rPr>
          <w:rFonts w:eastAsia="Times New Roman"/>
          <w:sz w:val="24"/>
          <w:szCs w:val="24"/>
          <w:lang w:eastAsia="en-AU"/>
        </w:rPr>
        <w:tab/>
      </w:r>
      <w:r w:rsidRPr="00975C29">
        <w:rPr>
          <w:rFonts w:eastAsia="Times New Roman"/>
          <w:i/>
          <w:sz w:val="24"/>
          <w:szCs w:val="24"/>
          <w:lang w:eastAsia="en-AU"/>
        </w:rPr>
        <w:t xml:space="preserve">Higher Education Support Act 2003 </w:t>
      </w:r>
      <w:r w:rsidRPr="00975C29">
        <w:rPr>
          <w:rFonts w:eastAsia="Times New Roman"/>
          <w:sz w:val="24"/>
          <w:szCs w:val="24"/>
          <w:lang w:eastAsia="en-AU"/>
        </w:rPr>
        <w:t>(</w:t>
      </w:r>
      <w:r>
        <w:rPr>
          <w:rFonts w:eastAsia="Times New Roman"/>
          <w:sz w:val="24"/>
          <w:szCs w:val="24"/>
          <w:lang w:eastAsia="en-AU"/>
        </w:rPr>
        <w:t xml:space="preserve">the </w:t>
      </w:r>
      <w:r w:rsidRPr="00975C29">
        <w:rPr>
          <w:rFonts w:eastAsia="Times New Roman"/>
          <w:sz w:val="24"/>
          <w:szCs w:val="24"/>
          <w:lang w:eastAsia="en-AU"/>
        </w:rPr>
        <w:t>Act)</w:t>
      </w:r>
    </w:p>
    <w:p w14:paraId="0C630FA3" w14:textId="77777777" w:rsidR="004E62FA" w:rsidRPr="006401DE" w:rsidRDefault="004E62FA" w:rsidP="004E62FA">
      <w:pPr>
        <w:ind w:left="2160"/>
        <w:rPr>
          <w:rFonts w:eastAsia="Times New Roman"/>
          <w:sz w:val="24"/>
          <w:szCs w:val="24"/>
          <w:lang w:eastAsia="en-AU"/>
        </w:rPr>
      </w:pPr>
      <w:r w:rsidRPr="006401DE">
        <w:rPr>
          <w:rFonts w:eastAsia="Times New Roman"/>
          <w:i/>
          <w:sz w:val="24"/>
          <w:szCs w:val="24"/>
          <w:lang w:eastAsia="en-AU"/>
        </w:rPr>
        <w:t xml:space="preserve">Higher Education Support (Maximum Payments for Other Grants) </w:t>
      </w:r>
      <w:r w:rsidR="00D7587A" w:rsidRPr="006401DE">
        <w:rPr>
          <w:rFonts w:eastAsia="Times New Roman"/>
          <w:i/>
          <w:sz w:val="24"/>
          <w:szCs w:val="24"/>
          <w:lang w:eastAsia="en-AU"/>
        </w:rPr>
        <w:t xml:space="preserve">Amendment (No. 1) </w:t>
      </w:r>
      <w:r w:rsidR="00C10A44" w:rsidRPr="006401DE">
        <w:rPr>
          <w:rFonts w:eastAsia="Times New Roman"/>
          <w:i/>
          <w:sz w:val="24"/>
          <w:szCs w:val="24"/>
          <w:lang w:eastAsia="en-AU"/>
        </w:rPr>
        <w:t>2020</w:t>
      </w:r>
      <w:r w:rsidR="00C10A44" w:rsidRPr="006401DE">
        <w:rPr>
          <w:rFonts w:eastAsia="Times New Roman"/>
          <w:sz w:val="24"/>
          <w:szCs w:val="24"/>
          <w:lang w:eastAsia="en-AU"/>
        </w:rPr>
        <w:t xml:space="preserve"> </w:t>
      </w:r>
      <w:r w:rsidRPr="006401DE">
        <w:rPr>
          <w:rFonts w:eastAsia="Times New Roman"/>
          <w:sz w:val="24"/>
          <w:szCs w:val="24"/>
          <w:lang w:eastAsia="en-AU"/>
        </w:rPr>
        <w:t>(</w:t>
      </w:r>
      <w:r w:rsidR="00D7587A" w:rsidRPr="006401DE">
        <w:rPr>
          <w:rFonts w:eastAsia="Times New Roman"/>
          <w:sz w:val="24"/>
          <w:szCs w:val="24"/>
          <w:lang w:eastAsia="en-AU"/>
        </w:rPr>
        <w:t>Amendment</w:t>
      </w:r>
      <w:r w:rsidR="005A0663" w:rsidRPr="006401DE">
        <w:rPr>
          <w:rFonts w:eastAsia="Times New Roman"/>
          <w:sz w:val="24"/>
          <w:szCs w:val="24"/>
          <w:lang w:eastAsia="en-AU"/>
        </w:rPr>
        <w:t xml:space="preserve"> Determination</w:t>
      </w:r>
      <w:r w:rsidRPr="006401DE">
        <w:rPr>
          <w:rFonts w:eastAsia="Times New Roman"/>
          <w:sz w:val="24"/>
          <w:szCs w:val="24"/>
          <w:lang w:eastAsia="en-AU"/>
        </w:rPr>
        <w:t>)</w:t>
      </w:r>
    </w:p>
    <w:p w14:paraId="4F5B8EAB" w14:textId="77777777" w:rsidR="004E62FA" w:rsidRPr="006401DE" w:rsidRDefault="004E62FA" w:rsidP="004E62FA">
      <w:pPr>
        <w:tabs>
          <w:tab w:val="left" w:pos="7728"/>
        </w:tabs>
        <w:spacing w:after="0" w:line="240" w:lineRule="auto"/>
        <w:rPr>
          <w:rFonts w:eastAsia="Times New Roman"/>
          <w:b/>
          <w:sz w:val="24"/>
          <w:szCs w:val="24"/>
          <w:lang w:eastAsia="en-AU"/>
        </w:rPr>
      </w:pPr>
      <w:r w:rsidRPr="006401DE">
        <w:rPr>
          <w:rFonts w:eastAsia="Times New Roman"/>
          <w:b/>
          <w:sz w:val="24"/>
          <w:szCs w:val="24"/>
          <w:lang w:eastAsia="en-AU"/>
        </w:rPr>
        <w:t xml:space="preserve">Authority </w:t>
      </w:r>
    </w:p>
    <w:p w14:paraId="067D27A4" w14:textId="77777777" w:rsidR="004E62FA" w:rsidRPr="006401DE" w:rsidRDefault="004E62FA" w:rsidP="004E62FA">
      <w:pPr>
        <w:tabs>
          <w:tab w:val="left" w:pos="7728"/>
        </w:tabs>
        <w:rPr>
          <w:rFonts w:eastAsia="Times New Roman"/>
          <w:sz w:val="24"/>
          <w:szCs w:val="24"/>
          <w:lang w:eastAsia="en-AU"/>
        </w:rPr>
      </w:pPr>
      <w:r w:rsidRPr="006401DE">
        <w:rPr>
          <w:rFonts w:eastAsia="Times New Roman"/>
          <w:sz w:val="24"/>
          <w:szCs w:val="24"/>
          <w:lang w:eastAsia="en-AU"/>
        </w:rPr>
        <w:t>Subsection 41-45(1B) of the Act provides that the Minister must determine, by legislative instrument, the total payments made under Part 2-3</w:t>
      </w:r>
      <w:r w:rsidR="00911981" w:rsidRPr="006401DE">
        <w:rPr>
          <w:rFonts w:eastAsia="Times New Roman"/>
          <w:sz w:val="24"/>
          <w:szCs w:val="24"/>
          <w:lang w:eastAsia="en-AU"/>
        </w:rPr>
        <w:t xml:space="preserve"> of the </w:t>
      </w:r>
      <w:r w:rsidR="00911981" w:rsidRPr="006401DE">
        <w:rPr>
          <w:rFonts w:eastAsia="Times New Roman"/>
          <w:i/>
          <w:sz w:val="24"/>
          <w:szCs w:val="24"/>
          <w:lang w:eastAsia="en-AU"/>
        </w:rPr>
        <w:t>Higher Education Support Act 2003</w:t>
      </w:r>
      <w:r w:rsidR="00911981" w:rsidRPr="006401DE">
        <w:rPr>
          <w:rFonts w:eastAsia="Times New Roman"/>
          <w:sz w:val="24"/>
          <w:szCs w:val="24"/>
          <w:lang w:eastAsia="en-AU"/>
        </w:rPr>
        <w:t xml:space="preserve"> (Act)</w:t>
      </w:r>
      <w:r w:rsidRPr="006401DE">
        <w:rPr>
          <w:rFonts w:eastAsia="Times New Roman"/>
          <w:sz w:val="24"/>
          <w:szCs w:val="24"/>
          <w:lang w:eastAsia="en-AU"/>
        </w:rPr>
        <w:t xml:space="preserve"> in respect of a year starting on or after 1 January 2017. </w:t>
      </w:r>
      <w:r w:rsidR="00D7587A" w:rsidRPr="006401DE">
        <w:rPr>
          <w:rFonts w:eastAsia="Times New Roman"/>
          <w:sz w:val="24"/>
          <w:szCs w:val="24"/>
          <w:lang w:eastAsia="en-AU"/>
        </w:rPr>
        <w:t>Subsection 41-45(1D) of the Act provides that the Minister may, in writing, vary a determination under subsection 41-45(1B) for a year at any time before the end of that year.</w:t>
      </w:r>
    </w:p>
    <w:p w14:paraId="0A66792D" w14:textId="77777777" w:rsidR="004E62FA" w:rsidRPr="006401DE" w:rsidRDefault="004E62FA" w:rsidP="004E62FA">
      <w:pPr>
        <w:tabs>
          <w:tab w:val="left" w:pos="7728"/>
        </w:tabs>
        <w:spacing w:after="0" w:line="240" w:lineRule="auto"/>
        <w:rPr>
          <w:rFonts w:eastAsia="Times New Roman"/>
          <w:b/>
          <w:sz w:val="24"/>
          <w:szCs w:val="24"/>
          <w:lang w:eastAsia="en-AU"/>
        </w:rPr>
      </w:pPr>
      <w:r w:rsidRPr="006401DE">
        <w:rPr>
          <w:rFonts w:eastAsia="Times New Roman"/>
          <w:b/>
          <w:sz w:val="24"/>
          <w:szCs w:val="24"/>
          <w:lang w:eastAsia="en-AU"/>
        </w:rPr>
        <w:t xml:space="preserve">Purpose </w:t>
      </w:r>
    </w:p>
    <w:p w14:paraId="18436879" w14:textId="77777777" w:rsidR="004E62FA" w:rsidRPr="006401DE" w:rsidRDefault="004E62FA" w:rsidP="004E62FA">
      <w:pPr>
        <w:tabs>
          <w:tab w:val="left" w:pos="7728"/>
        </w:tabs>
        <w:spacing w:after="0" w:line="240" w:lineRule="auto"/>
        <w:rPr>
          <w:rFonts w:eastAsia="Times New Roman"/>
          <w:b/>
          <w:sz w:val="24"/>
          <w:szCs w:val="24"/>
          <w:lang w:eastAsia="en-AU"/>
        </w:rPr>
      </w:pPr>
    </w:p>
    <w:p w14:paraId="2B6F8806" w14:textId="1B063012" w:rsidR="004E62FA" w:rsidRPr="006401DE" w:rsidRDefault="004E62FA" w:rsidP="00D457C9">
      <w:pPr>
        <w:rPr>
          <w:rFonts w:eastAsia="Times New Roman"/>
          <w:sz w:val="24"/>
          <w:szCs w:val="24"/>
          <w:lang w:eastAsia="en-AU"/>
        </w:rPr>
      </w:pPr>
      <w:r w:rsidRPr="006401DE">
        <w:rPr>
          <w:rFonts w:eastAsia="Times New Roman"/>
          <w:sz w:val="24"/>
          <w:szCs w:val="24"/>
          <w:lang w:eastAsia="en-AU"/>
        </w:rPr>
        <w:t xml:space="preserve">The </w:t>
      </w:r>
      <w:r w:rsidR="00D7587A" w:rsidRPr="006401DE">
        <w:rPr>
          <w:rFonts w:eastAsia="Times New Roman"/>
          <w:sz w:val="24"/>
          <w:szCs w:val="24"/>
          <w:lang w:eastAsia="en-AU"/>
        </w:rPr>
        <w:t>Amendment</w:t>
      </w:r>
      <w:r w:rsidR="00A67A1E" w:rsidRPr="006401DE">
        <w:rPr>
          <w:rFonts w:eastAsia="Times New Roman"/>
          <w:sz w:val="24"/>
          <w:szCs w:val="24"/>
          <w:lang w:eastAsia="en-AU"/>
        </w:rPr>
        <w:t xml:space="preserve"> </w:t>
      </w:r>
      <w:r w:rsidR="005A0663" w:rsidRPr="006401DE">
        <w:rPr>
          <w:rFonts w:eastAsia="Times New Roman"/>
          <w:sz w:val="24"/>
          <w:szCs w:val="24"/>
          <w:lang w:eastAsia="en-AU"/>
        </w:rPr>
        <w:t>Determination</w:t>
      </w:r>
      <w:r w:rsidR="00957DB2" w:rsidRPr="006401DE">
        <w:rPr>
          <w:rFonts w:eastAsia="Times New Roman"/>
          <w:sz w:val="24"/>
          <w:szCs w:val="24"/>
          <w:lang w:eastAsia="en-AU"/>
        </w:rPr>
        <w:t xml:space="preserve"> </w:t>
      </w:r>
      <w:r w:rsidR="00D7587A" w:rsidRPr="006401DE">
        <w:rPr>
          <w:rFonts w:eastAsia="Times New Roman"/>
          <w:sz w:val="24"/>
          <w:szCs w:val="24"/>
          <w:lang w:eastAsia="en-AU"/>
        </w:rPr>
        <w:t xml:space="preserve">amends </w:t>
      </w:r>
      <w:r w:rsidRPr="006401DE">
        <w:rPr>
          <w:rFonts w:eastAsia="Times New Roman"/>
          <w:sz w:val="24"/>
          <w:szCs w:val="24"/>
          <w:lang w:eastAsia="en-AU"/>
        </w:rPr>
        <w:t xml:space="preserve">the </w:t>
      </w:r>
      <w:r w:rsidRPr="006401DE">
        <w:rPr>
          <w:rFonts w:eastAsia="Times New Roman"/>
          <w:i/>
          <w:sz w:val="24"/>
          <w:szCs w:val="24"/>
          <w:lang w:eastAsia="en-AU"/>
        </w:rPr>
        <w:t xml:space="preserve">Higher Education Support (Maximum Payments for </w:t>
      </w:r>
      <w:r w:rsidR="00C50617" w:rsidRPr="006401DE">
        <w:rPr>
          <w:rFonts w:eastAsia="Times New Roman"/>
          <w:i/>
          <w:sz w:val="24"/>
          <w:szCs w:val="24"/>
          <w:lang w:eastAsia="en-AU"/>
        </w:rPr>
        <w:t xml:space="preserve">Other </w:t>
      </w:r>
      <w:r w:rsidRPr="006401DE">
        <w:rPr>
          <w:rFonts w:eastAsia="Times New Roman"/>
          <w:i/>
          <w:sz w:val="24"/>
          <w:szCs w:val="24"/>
          <w:lang w:eastAsia="en-AU"/>
        </w:rPr>
        <w:t xml:space="preserve">Grants) Determination </w:t>
      </w:r>
      <w:r w:rsidR="007262FA" w:rsidRPr="006401DE">
        <w:rPr>
          <w:rFonts w:eastAsia="Times New Roman"/>
          <w:i/>
          <w:sz w:val="24"/>
          <w:szCs w:val="24"/>
          <w:lang w:eastAsia="en-AU"/>
        </w:rPr>
        <w:t>20</w:t>
      </w:r>
      <w:r w:rsidR="00C10A44" w:rsidRPr="006401DE">
        <w:rPr>
          <w:rFonts w:eastAsia="Times New Roman"/>
          <w:i/>
          <w:sz w:val="24"/>
          <w:szCs w:val="24"/>
          <w:lang w:eastAsia="en-AU"/>
        </w:rPr>
        <w:t>19</w:t>
      </w:r>
      <w:r w:rsidR="00210B6B" w:rsidRPr="006401DE">
        <w:rPr>
          <w:rFonts w:eastAsia="Times New Roman"/>
          <w:i/>
          <w:sz w:val="24"/>
          <w:szCs w:val="24"/>
          <w:lang w:eastAsia="en-AU"/>
        </w:rPr>
        <w:t xml:space="preserve"> </w:t>
      </w:r>
      <w:r w:rsidR="00B91447" w:rsidRPr="006401DE">
        <w:rPr>
          <w:rFonts w:eastAsia="Times New Roman"/>
          <w:sz w:val="24"/>
          <w:szCs w:val="24"/>
          <w:lang w:eastAsia="en-AU"/>
        </w:rPr>
        <w:t>(</w:t>
      </w:r>
      <w:r w:rsidR="00A67A1E" w:rsidRPr="006401DE">
        <w:rPr>
          <w:rFonts w:eastAsia="Times New Roman"/>
          <w:sz w:val="24"/>
          <w:szCs w:val="24"/>
          <w:lang w:eastAsia="en-AU"/>
        </w:rPr>
        <w:t xml:space="preserve">Principal </w:t>
      </w:r>
      <w:r w:rsidR="00B91447" w:rsidRPr="006401DE">
        <w:rPr>
          <w:rFonts w:eastAsia="Times New Roman"/>
          <w:sz w:val="24"/>
          <w:szCs w:val="24"/>
          <w:lang w:eastAsia="en-AU"/>
        </w:rPr>
        <w:t xml:space="preserve">Determination) </w:t>
      </w:r>
      <w:r w:rsidRPr="006401DE">
        <w:rPr>
          <w:rFonts w:eastAsia="Times New Roman"/>
          <w:sz w:val="24"/>
          <w:szCs w:val="24"/>
          <w:lang w:eastAsia="en-AU"/>
        </w:rPr>
        <w:t>and</w:t>
      </w:r>
      <w:r w:rsidR="00957DB2" w:rsidRPr="006401DE">
        <w:rPr>
          <w:rFonts w:eastAsia="Times New Roman"/>
          <w:sz w:val="24"/>
          <w:szCs w:val="24"/>
          <w:lang w:eastAsia="en-AU"/>
        </w:rPr>
        <w:t xml:space="preserve"> the </w:t>
      </w:r>
      <w:r w:rsidR="00957DB2" w:rsidRPr="006401DE">
        <w:rPr>
          <w:rFonts w:eastAsia="Times New Roman"/>
          <w:i/>
          <w:sz w:val="24"/>
          <w:szCs w:val="24"/>
          <w:lang w:eastAsia="en-AU"/>
        </w:rPr>
        <w:t xml:space="preserve">List of Maximum Grant Amounts under Division 41 </w:t>
      </w:r>
      <w:r w:rsidRPr="006401DE">
        <w:rPr>
          <w:rFonts w:eastAsia="Times New Roman"/>
          <w:i/>
          <w:sz w:val="24"/>
          <w:szCs w:val="24"/>
          <w:lang w:eastAsia="en-AU"/>
        </w:rPr>
        <w:t xml:space="preserve">for </w:t>
      </w:r>
      <w:r w:rsidR="00210B6B" w:rsidRPr="006401DE">
        <w:rPr>
          <w:rFonts w:eastAsia="Times New Roman"/>
          <w:i/>
          <w:sz w:val="24"/>
          <w:szCs w:val="24"/>
          <w:lang w:eastAsia="en-AU"/>
        </w:rPr>
        <w:t>20</w:t>
      </w:r>
      <w:r w:rsidR="007262FA" w:rsidRPr="006401DE">
        <w:rPr>
          <w:rFonts w:eastAsia="Times New Roman"/>
          <w:i/>
          <w:sz w:val="24"/>
          <w:szCs w:val="24"/>
          <w:lang w:eastAsia="en-AU"/>
        </w:rPr>
        <w:t>20</w:t>
      </w:r>
      <w:r w:rsidR="00210B6B" w:rsidRPr="006401DE">
        <w:rPr>
          <w:rFonts w:eastAsia="Times New Roman"/>
          <w:i/>
          <w:sz w:val="24"/>
          <w:szCs w:val="24"/>
          <w:lang w:eastAsia="en-AU"/>
        </w:rPr>
        <w:t xml:space="preserve"> </w:t>
      </w:r>
      <w:r w:rsidRPr="006401DE">
        <w:rPr>
          <w:rFonts w:eastAsia="Times New Roman"/>
          <w:i/>
          <w:sz w:val="24"/>
          <w:szCs w:val="24"/>
          <w:lang w:eastAsia="en-AU"/>
        </w:rPr>
        <w:t xml:space="preserve">to </w:t>
      </w:r>
      <w:r w:rsidR="00210B6B" w:rsidRPr="006401DE">
        <w:rPr>
          <w:rFonts w:eastAsia="Times New Roman"/>
          <w:i/>
          <w:sz w:val="24"/>
          <w:szCs w:val="24"/>
          <w:lang w:eastAsia="en-AU"/>
        </w:rPr>
        <w:t>2023</w:t>
      </w:r>
      <w:r w:rsidR="00957DB2" w:rsidRPr="006401DE">
        <w:rPr>
          <w:rFonts w:eastAsia="Times New Roman"/>
          <w:sz w:val="24"/>
          <w:szCs w:val="24"/>
          <w:lang w:eastAsia="en-AU"/>
        </w:rPr>
        <w:t xml:space="preserve"> (Principal List) to, respectively:</w:t>
      </w:r>
    </w:p>
    <w:p w14:paraId="6155BD5E" w14:textId="6FC6032D" w:rsidR="00957DB2" w:rsidRPr="006401DE" w:rsidRDefault="00957DB2" w:rsidP="000F4C86">
      <w:pPr>
        <w:pStyle w:val="ListParagraph"/>
        <w:numPr>
          <w:ilvl w:val="0"/>
          <w:numId w:val="4"/>
        </w:numPr>
        <w:rPr>
          <w:rFonts w:eastAsia="Times New Roman"/>
          <w:sz w:val="24"/>
          <w:szCs w:val="24"/>
          <w:lang w:eastAsia="en-AU"/>
        </w:rPr>
      </w:pPr>
      <w:r w:rsidRPr="006401DE">
        <w:rPr>
          <w:rFonts w:eastAsia="Times New Roman"/>
          <w:sz w:val="24"/>
          <w:szCs w:val="24"/>
          <w:lang w:eastAsia="en-AU"/>
        </w:rPr>
        <w:t xml:space="preserve">Increase the maximum amount of grants that may be made under Division 41 of the Act for 2020 by $4,171,000 (to $1,784,061,000) and </w:t>
      </w:r>
      <w:r w:rsidR="000F4C86" w:rsidRPr="006401DE">
        <w:rPr>
          <w:rFonts w:eastAsia="Times New Roman"/>
          <w:sz w:val="24"/>
          <w:szCs w:val="24"/>
          <w:lang w:eastAsia="en-AU"/>
        </w:rPr>
        <w:t xml:space="preserve">for 2021 by $2,000,000 </w:t>
      </w:r>
      <w:r w:rsidR="000F4C86" w:rsidRPr="006401DE">
        <w:rPr>
          <w:rFonts w:eastAsia="Times New Roman"/>
          <w:sz w:val="24"/>
          <w:szCs w:val="24"/>
          <w:lang w:eastAsia="en-AU"/>
        </w:rPr>
        <w:br/>
        <w:t xml:space="preserve">(to </w:t>
      </w:r>
      <w:r w:rsidR="000F4C86" w:rsidRPr="006401DE">
        <w:rPr>
          <w:rFonts w:eastAsia="Times New Roman" w:cs="Times New Roman"/>
          <w:sz w:val="24"/>
          <w:szCs w:val="24"/>
          <w:lang w:eastAsia="en-AU"/>
        </w:rPr>
        <w:t>$1,896,127,000</w:t>
      </w:r>
      <w:r w:rsidR="000F4C86" w:rsidRPr="006401DE">
        <w:rPr>
          <w:rFonts w:eastAsia="Times New Roman"/>
          <w:sz w:val="24"/>
          <w:szCs w:val="24"/>
          <w:lang w:eastAsia="en-AU"/>
        </w:rPr>
        <w:t>)</w:t>
      </w:r>
      <w:r w:rsidRPr="006401DE">
        <w:rPr>
          <w:rFonts w:eastAsia="Times New Roman"/>
          <w:sz w:val="24"/>
          <w:szCs w:val="24"/>
          <w:lang w:eastAsia="en-AU"/>
        </w:rPr>
        <w:t>;</w:t>
      </w:r>
      <w:r w:rsidR="000F4C86" w:rsidRPr="006401DE">
        <w:rPr>
          <w:rFonts w:eastAsia="Times New Roman"/>
          <w:sz w:val="24"/>
          <w:szCs w:val="24"/>
          <w:lang w:eastAsia="en-AU"/>
        </w:rPr>
        <w:t xml:space="preserve"> </w:t>
      </w:r>
      <w:r w:rsidRPr="006401DE">
        <w:rPr>
          <w:rFonts w:eastAsia="Times New Roman"/>
          <w:sz w:val="24"/>
          <w:szCs w:val="24"/>
          <w:lang w:eastAsia="en-AU"/>
        </w:rPr>
        <w:t>and</w:t>
      </w:r>
    </w:p>
    <w:p w14:paraId="7A340D40" w14:textId="5F25023B" w:rsidR="00957DB2" w:rsidRPr="006401DE" w:rsidRDefault="00957DB2" w:rsidP="00957DB2">
      <w:pPr>
        <w:pStyle w:val="ListParagraph"/>
        <w:numPr>
          <w:ilvl w:val="0"/>
          <w:numId w:val="4"/>
        </w:numPr>
        <w:rPr>
          <w:rFonts w:eastAsia="Times New Roman"/>
          <w:sz w:val="24"/>
          <w:szCs w:val="24"/>
          <w:lang w:eastAsia="en-AU"/>
        </w:rPr>
      </w:pPr>
      <w:r w:rsidRPr="006401DE">
        <w:rPr>
          <w:rFonts w:eastAsia="Times New Roman"/>
          <w:sz w:val="24"/>
          <w:szCs w:val="24"/>
          <w:lang w:eastAsia="en-AU"/>
        </w:rPr>
        <w:t>Increase the maximum amount of grants that may be made under Division 41 of the Act for 2020 for the purposes of:</w:t>
      </w:r>
    </w:p>
    <w:p w14:paraId="0C5734D2" w14:textId="19D61046" w:rsidR="000F4C86" w:rsidRPr="006401DE" w:rsidRDefault="000F4C86" w:rsidP="000F4C86">
      <w:pPr>
        <w:pStyle w:val="ListParagraph"/>
        <w:numPr>
          <w:ilvl w:val="1"/>
          <w:numId w:val="4"/>
        </w:numPr>
        <w:rPr>
          <w:rFonts w:eastAsia="Times New Roman"/>
          <w:sz w:val="24"/>
          <w:szCs w:val="24"/>
          <w:lang w:eastAsia="en-AU"/>
        </w:rPr>
      </w:pPr>
      <w:r w:rsidRPr="006401DE">
        <w:rPr>
          <w:rFonts w:eastAsia="Times New Roman"/>
          <w:sz w:val="24"/>
          <w:szCs w:val="24"/>
          <w:lang w:eastAsia="en-AU"/>
        </w:rPr>
        <w:t xml:space="preserve">fostering collaboration and reform in higher education by $2,000,000 </w:t>
      </w:r>
      <w:r w:rsidR="00CA2C34" w:rsidRPr="006401DE">
        <w:rPr>
          <w:rFonts w:eastAsia="Times New Roman"/>
          <w:sz w:val="24"/>
          <w:szCs w:val="24"/>
          <w:lang w:eastAsia="en-AU"/>
        </w:rPr>
        <w:br/>
      </w:r>
      <w:r w:rsidRPr="006401DE">
        <w:rPr>
          <w:rFonts w:eastAsia="Times New Roman"/>
          <w:sz w:val="24"/>
          <w:szCs w:val="24"/>
          <w:lang w:eastAsia="en-AU"/>
        </w:rPr>
        <w:t>(to $7,655,640)</w:t>
      </w:r>
    </w:p>
    <w:p w14:paraId="4752557D" w14:textId="2593ED21" w:rsidR="000F4C86" w:rsidRPr="006401DE" w:rsidRDefault="000F4C86" w:rsidP="000F4C86">
      <w:pPr>
        <w:pStyle w:val="ListParagraph"/>
        <w:numPr>
          <w:ilvl w:val="1"/>
          <w:numId w:val="4"/>
        </w:numPr>
        <w:rPr>
          <w:rFonts w:eastAsia="Times New Roman"/>
          <w:sz w:val="24"/>
          <w:szCs w:val="24"/>
          <w:lang w:eastAsia="en-AU"/>
        </w:rPr>
      </w:pPr>
      <w:r w:rsidRPr="006401DE">
        <w:rPr>
          <w:rFonts w:eastAsia="Times New Roman"/>
          <w:sz w:val="24"/>
          <w:szCs w:val="24"/>
          <w:lang w:eastAsia="en-AU"/>
        </w:rPr>
        <w:t>supporting the training of research students in higher education by $2,171,000 (</w:t>
      </w:r>
      <w:r w:rsidR="00C7211A" w:rsidRPr="006401DE">
        <w:rPr>
          <w:rFonts w:eastAsia="Times New Roman"/>
          <w:sz w:val="24"/>
          <w:szCs w:val="24"/>
          <w:lang w:eastAsia="en-AU"/>
        </w:rPr>
        <w:t xml:space="preserve">to </w:t>
      </w:r>
      <w:r w:rsidRPr="006401DE">
        <w:rPr>
          <w:rFonts w:eastAsia="Times New Roman"/>
          <w:sz w:val="24"/>
          <w:szCs w:val="24"/>
          <w:lang w:eastAsia="en-AU"/>
        </w:rPr>
        <w:t>$7,500,000)</w:t>
      </w:r>
    </w:p>
    <w:p w14:paraId="70C2240B" w14:textId="77777777" w:rsidR="004E62FA" w:rsidRPr="006401DE" w:rsidRDefault="004E62FA" w:rsidP="004E62FA">
      <w:pPr>
        <w:pStyle w:val="ListParagraph"/>
        <w:spacing w:after="0" w:line="240" w:lineRule="auto"/>
        <w:rPr>
          <w:rFonts w:eastAsia="Times New Roman"/>
          <w:sz w:val="24"/>
          <w:szCs w:val="24"/>
          <w:lang w:eastAsia="en-AU"/>
        </w:rPr>
      </w:pPr>
    </w:p>
    <w:p w14:paraId="62EDC057" w14:textId="77777777" w:rsidR="004E62FA" w:rsidRPr="006401DE" w:rsidRDefault="004E62FA" w:rsidP="004E62FA">
      <w:pPr>
        <w:rPr>
          <w:rFonts w:eastAsia="Times New Roman"/>
          <w:sz w:val="24"/>
          <w:szCs w:val="24"/>
          <w:lang w:eastAsia="en-AU"/>
        </w:rPr>
      </w:pPr>
      <w:r w:rsidRPr="006401DE">
        <w:rPr>
          <w:rFonts w:eastAsia="Times New Roman"/>
          <w:sz w:val="24"/>
          <w:szCs w:val="24"/>
          <w:lang w:eastAsia="en-AU"/>
        </w:rPr>
        <w:t xml:space="preserve">A determination made under subsection 41-45(1B) of the Act must be made before the start of the relevant year. </w:t>
      </w:r>
    </w:p>
    <w:p w14:paraId="55F8BDAB" w14:textId="77777777" w:rsidR="004E62FA" w:rsidRPr="006401DE" w:rsidRDefault="004E62FA" w:rsidP="004E62FA">
      <w:pPr>
        <w:rPr>
          <w:rFonts w:eastAsia="Times New Roman"/>
          <w:sz w:val="24"/>
          <w:szCs w:val="24"/>
          <w:lang w:eastAsia="en-AU"/>
        </w:rPr>
      </w:pPr>
      <w:r w:rsidRPr="006401DE">
        <w:rPr>
          <w:rFonts w:eastAsia="Times New Roman"/>
          <w:sz w:val="24"/>
          <w:szCs w:val="24"/>
          <w:lang w:eastAsia="en-AU"/>
        </w:rPr>
        <w:t xml:space="preserve">The amounts determined for </w:t>
      </w:r>
      <w:r w:rsidR="00210B6B" w:rsidRPr="006401DE">
        <w:rPr>
          <w:rFonts w:eastAsia="Times New Roman"/>
          <w:sz w:val="24"/>
          <w:szCs w:val="24"/>
          <w:lang w:eastAsia="en-AU"/>
        </w:rPr>
        <w:t xml:space="preserve">2020 </w:t>
      </w:r>
      <w:r w:rsidRPr="006401DE">
        <w:rPr>
          <w:rFonts w:eastAsia="Times New Roman"/>
          <w:sz w:val="24"/>
          <w:szCs w:val="24"/>
          <w:lang w:eastAsia="en-AU"/>
        </w:rPr>
        <w:t xml:space="preserve">to </w:t>
      </w:r>
      <w:r w:rsidR="00210B6B" w:rsidRPr="006401DE">
        <w:rPr>
          <w:rFonts w:eastAsia="Times New Roman"/>
          <w:sz w:val="24"/>
          <w:szCs w:val="24"/>
          <w:lang w:eastAsia="en-AU"/>
        </w:rPr>
        <w:t xml:space="preserve">2023 </w:t>
      </w:r>
      <w:r w:rsidRPr="006401DE">
        <w:rPr>
          <w:rFonts w:eastAsia="Times New Roman"/>
          <w:sz w:val="24"/>
          <w:szCs w:val="24"/>
          <w:lang w:eastAsia="en-AU"/>
        </w:rPr>
        <w:t xml:space="preserve">are expressed with the </w:t>
      </w:r>
      <w:r w:rsidR="00210B6B" w:rsidRPr="006401DE">
        <w:rPr>
          <w:rFonts w:eastAsia="Times New Roman"/>
          <w:sz w:val="24"/>
          <w:szCs w:val="24"/>
          <w:lang w:eastAsia="en-AU"/>
        </w:rPr>
        <w:t xml:space="preserve">2020 </w:t>
      </w:r>
      <w:r w:rsidRPr="006401DE">
        <w:rPr>
          <w:rFonts w:eastAsia="Times New Roman"/>
          <w:sz w:val="24"/>
          <w:szCs w:val="24"/>
          <w:lang w:eastAsia="en-AU"/>
        </w:rPr>
        <w:t xml:space="preserve">indexation factor applied. The indexation factors for </w:t>
      </w:r>
      <w:r w:rsidR="00210B6B" w:rsidRPr="006401DE">
        <w:rPr>
          <w:rFonts w:eastAsia="Times New Roman"/>
          <w:sz w:val="24"/>
          <w:szCs w:val="24"/>
          <w:lang w:eastAsia="en-AU"/>
        </w:rPr>
        <w:t xml:space="preserve">2021 </w:t>
      </w:r>
      <w:r w:rsidRPr="006401DE">
        <w:rPr>
          <w:rFonts w:eastAsia="Times New Roman"/>
          <w:sz w:val="24"/>
          <w:szCs w:val="24"/>
          <w:lang w:eastAsia="en-AU"/>
        </w:rPr>
        <w:t xml:space="preserve">to </w:t>
      </w:r>
      <w:r w:rsidR="00210B6B" w:rsidRPr="006401DE">
        <w:rPr>
          <w:rFonts w:eastAsia="Times New Roman"/>
          <w:sz w:val="24"/>
          <w:szCs w:val="24"/>
          <w:lang w:eastAsia="en-AU"/>
        </w:rPr>
        <w:t xml:space="preserve">2023 </w:t>
      </w:r>
      <w:r w:rsidRPr="006401DE">
        <w:rPr>
          <w:rFonts w:eastAsia="Times New Roman"/>
          <w:sz w:val="24"/>
          <w:szCs w:val="24"/>
          <w:lang w:eastAsia="en-AU"/>
        </w:rPr>
        <w:t>are yet to be determined.</w:t>
      </w:r>
    </w:p>
    <w:p w14:paraId="429130D2" w14:textId="77777777" w:rsidR="004E62FA" w:rsidRPr="006401DE" w:rsidRDefault="004E62FA" w:rsidP="004E62FA">
      <w:pPr>
        <w:tabs>
          <w:tab w:val="left" w:pos="7728"/>
        </w:tabs>
        <w:spacing w:after="0" w:line="240" w:lineRule="auto"/>
        <w:rPr>
          <w:rFonts w:eastAsia="Times New Roman"/>
          <w:b/>
          <w:sz w:val="24"/>
          <w:szCs w:val="24"/>
          <w:lang w:eastAsia="en-AU"/>
        </w:rPr>
      </w:pPr>
      <w:r w:rsidRPr="006401DE">
        <w:rPr>
          <w:rFonts w:eastAsia="Times New Roman"/>
          <w:b/>
          <w:sz w:val="24"/>
          <w:szCs w:val="24"/>
          <w:lang w:eastAsia="en-AU"/>
        </w:rPr>
        <w:t xml:space="preserve">Consultation </w:t>
      </w:r>
      <w:r w:rsidRPr="006401DE">
        <w:rPr>
          <w:rFonts w:eastAsia="Times New Roman"/>
          <w:b/>
          <w:sz w:val="24"/>
          <w:szCs w:val="24"/>
          <w:lang w:eastAsia="en-AU"/>
        </w:rPr>
        <w:br/>
      </w:r>
    </w:p>
    <w:p w14:paraId="570AD11D" w14:textId="56901586" w:rsidR="004E62FA" w:rsidRPr="006401DE" w:rsidRDefault="004E62FA" w:rsidP="004E62FA">
      <w:pPr>
        <w:tabs>
          <w:tab w:val="left" w:pos="7728"/>
        </w:tabs>
        <w:rPr>
          <w:rFonts w:eastAsia="Times New Roman"/>
          <w:sz w:val="24"/>
          <w:szCs w:val="24"/>
          <w:lang w:eastAsia="en-AU"/>
        </w:rPr>
      </w:pPr>
      <w:r w:rsidRPr="006401DE">
        <w:rPr>
          <w:rFonts w:eastAsia="Times New Roman"/>
          <w:sz w:val="24"/>
          <w:szCs w:val="24"/>
          <w:lang w:eastAsia="en-AU"/>
        </w:rPr>
        <w:t xml:space="preserve">Consultation was not undertaken </w:t>
      </w:r>
      <w:r w:rsidR="00911981" w:rsidRPr="006401DE">
        <w:rPr>
          <w:rFonts w:eastAsia="Times New Roman"/>
          <w:sz w:val="24"/>
          <w:szCs w:val="24"/>
          <w:lang w:eastAsia="en-AU"/>
        </w:rPr>
        <w:t>in relation to the</w:t>
      </w:r>
      <w:r w:rsidRPr="006401DE">
        <w:rPr>
          <w:rFonts w:eastAsia="Times New Roman"/>
          <w:sz w:val="24"/>
          <w:szCs w:val="24"/>
          <w:lang w:eastAsia="en-AU"/>
        </w:rPr>
        <w:t xml:space="preserve"> </w:t>
      </w:r>
      <w:r w:rsidR="00D7587A" w:rsidRPr="006401DE">
        <w:rPr>
          <w:rFonts w:eastAsia="Times New Roman"/>
          <w:sz w:val="24"/>
          <w:szCs w:val="24"/>
          <w:lang w:eastAsia="en-AU"/>
        </w:rPr>
        <w:t>Amendment</w:t>
      </w:r>
      <w:r w:rsidR="00911981" w:rsidRPr="006401DE">
        <w:rPr>
          <w:rFonts w:eastAsia="Times New Roman"/>
          <w:sz w:val="24"/>
          <w:szCs w:val="24"/>
          <w:lang w:eastAsia="en-AU"/>
        </w:rPr>
        <w:t xml:space="preserve"> Determination</w:t>
      </w:r>
      <w:r w:rsidR="00D7587A" w:rsidRPr="006401DE">
        <w:rPr>
          <w:rFonts w:eastAsia="Times New Roman"/>
          <w:sz w:val="24"/>
          <w:szCs w:val="24"/>
          <w:lang w:eastAsia="en-AU"/>
        </w:rPr>
        <w:t xml:space="preserve"> </w:t>
      </w:r>
      <w:r w:rsidRPr="006401DE">
        <w:rPr>
          <w:rFonts w:eastAsia="Times New Roman"/>
          <w:sz w:val="24"/>
          <w:szCs w:val="24"/>
          <w:lang w:eastAsia="en-AU"/>
        </w:rPr>
        <w:t xml:space="preserve">as it </w:t>
      </w:r>
      <w:r w:rsidR="00C10A44" w:rsidRPr="006401DE">
        <w:rPr>
          <w:rFonts w:eastAsia="Times New Roman"/>
          <w:sz w:val="24"/>
          <w:szCs w:val="24"/>
          <w:lang w:eastAsia="en-AU"/>
        </w:rPr>
        <w:t xml:space="preserve">is setting the maximum amount of funding available under </w:t>
      </w:r>
      <w:r w:rsidR="00911981" w:rsidRPr="006401DE">
        <w:rPr>
          <w:rFonts w:eastAsia="Times New Roman"/>
          <w:sz w:val="24"/>
          <w:szCs w:val="24"/>
          <w:lang w:eastAsia="en-AU"/>
        </w:rPr>
        <w:t>P</w:t>
      </w:r>
      <w:r w:rsidR="00C10A44" w:rsidRPr="006401DE">
        <w:rPr>
          <w:rFonts w:eastAsia="Times New Roman"/>
          <w:sz w:val="24"/>
          <w:szCs w:val="24"/>
          <w:lang w:eastAsia="en-AU"/>
        </w:rPr>
        <w:t xml:space="preserve">art 2-3 of the Act, and </w:t>
      </w:r>
      <w:r w:rsidRPr="006401DE">
        <w:rPr>
          <w:rFonts w:eastAsia="Times New Roman"/>
          <w:sz w:val="24"/>
          <w:szCs w:val="24"/>
          <w:lang w:eastAsia="en-AU"/>
        </w:rPr>
        <w:t xml:space="preserve">does not </w:t>
      </w:r>
      <w:r w:rsidR="00C10A44" w:rsidRPr="006401DE">
        <w:rPr>
          <w:rFonts w:eastAsia="Times New Roman"/>
          <w:sz w:val="24"/>
          <w:szCs w:val="24"/>
          <w:lang w:eastAsia="en-AU"/>
        </w:rPr>
        <w:t xml:space="preserve">in itself </w:t>
      </w:r>
      <w:r w:rsidRPr="006401DE">
        <w:rPr>
          <w:rFonts w:eastAsia="Times New Roman"/>
          <w:sz w:val="24"/>
          <w:szCs w:val="24"/>
          <w:lang w:eastAsia="en-AU"/>
        </w:rPr>
        <w:t>create new commitments</w:t>
      </w:r>
      <w:r w:rsidR="00C10A44" w:rsidRPr="006401DE">
        <w:rPr>
          <w:rFonts w:eastAsia="Times New Roman"/>
          <w:sz w:val="24"/>
          <w:szCs w:val="24"/>
          <w:lang w:eastAsia="en-AU"/>
        </w:rPr>
        <w:t xml:space="preserve"> of that funding</w:t>
      </w:r>
      <w:r w:rsidRPr="006401DE">
        <w:rPr>
          <w:rFonts w:eastAsia="Times New Roman"/>
          <w:sz w:val="24"/>
          <w:szCs w:val="24"/>
          <w:lang w:eastAsia="en-AU"/>
        </w:rPr>
        <w:t>.</w:t>
      </w:r>
    </w:p>
    <w:p w14:paraId="550523CB" w14:textId="77777777" w:rsidR="004E62FA" w:rsidRPr="006401DE" w:rsidRDefault="004E62FA" w:rsidP="004E62FA">
      <w:pPr>
        <w:tabs>
          <w:tab w:val="left" w:pos="7728"/>
        </w:tabs>
        <w:spacing w:after="0" w:line="240" w:lineRule="auto"/>
        <w:rPr>
          <w:rFonts w:eastAsia="Times New Roman"/>
          <w:b/>
          <w:sz w:val="24"/>
          <w:szCs w:val="24"/>
          <w:lang w:eastAsia="en-AU"/>
        </w:rPr>
      </w:pPr>
      <w:r w:rsidRPr="006401DE">
        <w:rPr>
          <w:rFonts w:eastAsia="Times New Roman"/>
          <w:b/>
          <w:sz w:val="24"/>
          <w:szCs w:val="24"/>
          <w:lang w:eastAsia="en-AU"/>
        </w:rPr>
        <w:lastRenderedPageBreak/>
        <w:t xml:space="preserve">Commencement </w:t>
      </w:r>
      <w:r w:rsidRPr="006401DE">
        <w:rPr>
          <w:rFonts w:eastAsia="Times New Roman"/>
          <w:b/>
          <w:sz w:val="24"/>
          <w:szCs w:val="24"/>
          <w:lang w:eastAsia="en-AU"/>
        </w:rPr>
        <w:br/>
      </w:r>
    </w:p>
    <w:p w14:paraId="413B0FEB" w14:textId="77777777" w:rsidR="004E62FA" w:rsidRPr="006401DE" w:rsidRDefault="004E62FA" w:rsidP="004E62FA">
      <w:pPr>
        <w:rPr>
          <w:rFonts w:eastAsia="Times New Roman"/>
          <w:sz w:val="24"/>
          <w:szCs w:val="24"/>
          <w:lang w:eastAsia="en-AU"/>
        </w:rPr>
      </w:pPr>
      <w:r w:rsidRPr="006401DE">
        <w:rPr>
          <w:rFonts w:eastAsia="Times New Roman"/>
          <w:sz w:val="24"/>
          <w:szCs w:val="24"/>
          <w:lang w:eastAsia="en-AU"/>
        </w:rPr>
        <w:t xml:space="preserve">The </w:t>
      </w:r>
      <w:r w:rsidR="00D7587A" w:rsidRPr="006401DE">
        <w:rPr>
          <w:rFonts w:eastAsia="Times New Roman"/>
          <w:sz w:val="24"/>
          <w:szCs w:val="24"/>
          <w:lang w:eastAsia="en-AU"/>
        </w:rPr>
        <w:t>Amendment</w:t>
      </w:r>
      <w:r w:rsidR="00911981" w:rsidRPr="006401DE">
        <w:rPr>
          <w:rFonts w:eastAsia="Times New Roman"/>
          <w:sz w:val="24"/>
          <w:szCs w:val="24"/>
          <w:lang w:eastAsia="en-AU"/>
        </w:rPr>
        <w:t xml:space="preserve"> Determination</w:t>
      </w:r>
      <w:r w:rsidR="00D7587A" w:rsidRPr="006401DE">
        <w:rPr>
          <w:rFonts w:eastAsia="Times New Roman"/>
          <w:sz w:val="24"/>
          <w:szCs w:val="24"/>
          <w:lang w:eastAsia="en-AU"/>
        </w:rPr>
        <w:t xml:space="preserve"> </w:t>
      </w:r>
      <w:r w:rsidRPr="006401DE">
        <w:rPr>
          <w:rFonts w:eastAsia="Times New Roman"/>
          <w:sz w:val="24"/>
          <w:szCs w:val="24"/>
          <w:lang w:eastAsia="en-AU"/>
        </w:rPr>
        <w:t xml:space="preserve">takes effect the day after it is registered on the Federal Register of Legislation. </w:t>
      </w:r>
    </w:p>
    <w:p w14:paraId="11DE76CD" w14:textId="77777777" w:rsidR="00570C46" w:rsidRPr="006401DE" w:rsidRDefault="00570C46" w:rsidP="00570C46">
      <w:pPr>
        <w:rPr>
          <w:rFonts w:cstheme="minorHAnsi"/>
          <w:b/>
          <w:sz w:val="24"/>
          <w:szCs w:val="24"/>
          <w:u w:val="single"/>
        </w:rPr>
      </w:pPr>
      <w:r w:rsidRPr="006401DE">
        <w:rPr>
          <w:rFonts w:eastAsia="Times New Roman" w:cstheme="minorHAnsi"/>
          <w:b/>
          <w:sz w:val="24"/>
          <w:szCs w:val="24"/>
          <w:lang w:eastAsia="en-AU"/>
        </w:rPr>
        <w:t>Regulatory Impact Statement</w:t>
      </w:r>
    </w:p>
    <w:p w14:paraId="7449E8B8" w14:textId="77777777" w:rsidR="00C7211A" w:rsidRPr="006401DE" w:rsidRDefault="00C7211A" w:rsidP="00C7211A">
      <w:pPr>
        <w:rPr>
          <w:rFonts w:eastAsia="Times New Roman" w:cstheme="minorHAnsi"/>
          <w:sz w:val="24"/>
          <w:szCs w:val="24"/>
          <w:lang w:eastAsia="en-AU"/>
        </w:rPr>
      </w:pPr>
      <w:r w:rsidRPr="006401DE">
        <w:rPr>
          <w:rFonts w:eastAsia="Times New Roman" w:cstheme="minorHAnsi"/>
          <w:sz w:val="24"/>
          <w:szCs w:val="24"/>
          <w:lang w:eastAsia="en-AU"/>
        </w:rPr>
        <w:t>The Office of Best Practice Regulation have determined that the Amendment Determination will result in no more than a minor economic impact and as such a regulatory impact statement is not required (OBPR ID 42566).</w:t>
      </w:r>
    </w:p>
    <w:p w14:paraId="3C342ED8" w14:textId="77777777" w:rsidR="00523C61" w:rsidRPr="006401DE" w:rsidRDefault="00523C61" w:rsidP="00523C61">
      <w:pPr>
        <w:rPr>
          <w:rFonts w:cstheme="minorHAnsi"/>
          <w:b/>
          <w:color w:val="000000"/>
          <w:sz w:val="24"/>
          <w:szCs w:val="24"/>
        </w:rPr>
      </w:pPr>
      <w:r w:rsidRPr="006401DE">
        <w:rPr>
          <w:rFonts w:cstheme="minorHAnsi"/>
          <w:b/>
          <w:color w:val="000000"/>
          <w:sz w:val="24"/>
          <w:szCs w:val="24"/>
        </w:rPr>
        <w:t>Explanation of the provisions</w:t>
      </w:r>
    </w:p>
    <w:p w14:paraId="4D7961BC" w14:textId="5221BDA4" w:rsidR="00523C61" w:rsidRPr="006401DE" w:rsidRDefault="00523C61" w:rsidP="00523C61">
      <w:pPr>
        <w:spacing w:before="120" w:after="120"/>
        <w:rPr>
          <w:rFonts w:cstheme="minorHAnsi"/>
          <w:bCs/>
          <w:color w:val="000000"/>
          <w:sz w:val="24"/>
          <w:szCs w:val="24"/>
        </w:rPr>
      </w:pPr>
      <w:r w:rsidRPr="006401DE">
        <w:rPr>
          <w:rFonts w:cstheme="minorHAnsi"/>
          <w:b/>
          <w:bCs/>
          <w:color w:val="000000"/>
          <w:sz w:val="24"/>
          <w:szCs w:val="24"/>
        </w:rPr>
        <w:t>Section 1</w:t>
      </w:r>
      <w:r w:rsidRPr="006401DE">
        <w:rPr>
          <w:rFonts w:cstheme="minorHAnsi"/>
          <w:bCs/>
          <w:color w:val="000000"/>
          <w:sz w:val="24"/>
          <w:szCs w:val="24"/>
        </w:rPr>
        <w:t xml:space="preserve"> provides that the name of the Amendment </w:t>
      </w:r>
      <w:r w:rsidR="00911981" w:rsidRPr="006401DE">
        <w:rPr>
          <w:rFonts w:cstheme="minorHAnsi"/>
          <w:bCs/>
          <w:color w:val="000000"/>
          <w:sz w:val="24"/>
          <w:szCs w:val="24"/>
        </w:rPr>
        <w:t xml:space="preserve">Determination </w:t>
      </w:r>
      <w:r w:rsidRPr="006401DE">
        <w:rPr>
          <w:rFonts w:cstheme="minorHAnsi"/>
          <w:bCs/>
          <w:color w:val="000000"/>
          <w:sz w:val="24"/>
          <w:szCs w:val="24"/>
        </w:rPr>
        <w:t xml:space="preserve">is the </w:t>
      </w:r>
      <w:r w:rsidR="00B91447" w:rsidRPr="006401DE">
        <w:rPr>
          <w:rFonts w:cstheme="minorHAnsi"/>
          <w:bCs/>
          <w:i/>
          <w:color w:val="000000"/>
          <w:sz w:val="24"/>
          <w:szCs w:val="24"/>
        </w:rPr>
        <w:t>Higher Education Support (Maximum Payments for Other Grants) Amendment (No. 1) 2020</w:t>
      </w:r>
      <w:r w:rsidRPr="006401DE">
        <w:rPr>
          <w:rFonts w:cstheme="minorHAnsi"/>
          <w:bCs/>
          <w:color w:val="000000"/>
          <w:sz w:val="24"/>
          <w:szCs w:val="24"/>
        </w:rPr>
        <w:t>.</w:t>
      </w:r>
    </w:p>
    <w:p w14:paraId="44A73ABE" w14:textId="73752939" w:rsidR="00523C61" w:rsidRPr="006401DE" w:rsidRDefault="00523C61" w:rsidP="00523C61">
      <w:pPr>
        <w:spacing w:before="120" w:after="120"/>
        <w:rPr>
          <w:rFonts w:cstheme="minorHAnsi"/>
          <w:bCs/>
          <w:color w:val="000000"/>
          <w:sz w:val="24"/>
          <w:szCs w:val="24"/>
        </w:rPr>
      </w:pPr>
      <w:r w:rsidRPr="006401DE">
        <w:rPr>
          <w:rFonts w:cstheme="minorHAnsi"/>
          <w:b/>
          <w:bCs/>
          <w:color w:val="000000"/>
          <w:sz w:val="24"/>
          <w:szCs w:val="24"/>
        </w:rPr>
        <w:t>Section 2</w:t>
      </w:r>
      <w:r w:rsidRPr="006401DE">
        <w:rPr>
          <w:rFonts w:cstheme="minorHAnsi"/>
          <w:bCs/>
          <w:color w:val="000000"/>
          <w:sz w:val="24"/>
          <w:szCs w:val="24"/>
        </w:rPr>
        <w:t xml:space="preserve"> provides </w:t>
      </w:r>
      <w:r w:rsidR="00A67A1E" w:rsidRPr="006401DE">
        <w:rPr>
          <w:rFonts w:cstheme="minorHAnsi"/>
          <w:bCs/>
          <w:color w:val="000000"/>
          <w:sz w:val="24"/>
          <w:szCs w:val="24"/>
        </w:rPr>
        <w:t>that the</w:t>
      </w:r>
      <w:r w:rsidRPr="006401DE">
        <w:rPr>
          <w:rFonts w:cstheme="minorHAnsi"/>
          <w:bCs/>
          <w:color w:val="000000"/>
          <w:sz w:val="24"/>
          <w:szCs w:val="24"/>
        </w:rPr>
        <w:t xml:space="preserve"> Amendment</w:t>
      </w:r>
      <w:r w:rsidR="00A67A1E" w:rsidRPr="006401DE">
        <w:rPr>
          <w:rFonts w:cstheme="minorHAnsi"/>
          <w:bCs/>
          <w:color w:val="000000"/>
          <w:sz w:val="24"/>
          <w:szCs w:val="24"/>
        </w:rPr>
        <w:t xml:space="preserve"> </w:t>
      </w:r>
      <w:r w:rsidR="005A0663" w:rsidRPr="006401DE">
        <w:rPr>
          <w:rFonts w:cstheme="minorHAnsi"/>
          <w:bCs/>
          <w:color w:val="000000"/>
          <w:sz w:val="24"/>
          <w:szCs w:val="24"/>
        </w:rPr>
        <w:t>Determination</w:t>
      </w:r>
      <w:r w:rsidRPr="006401DE">
        <w:rPr>
          <w:rFonts w:cstheme="minorHAnsi"/>
          <w:bCs/>
          <w:color w:val="000000"/>
          <w:sz w:val="24"/>
          <w:szCs w:val="24"/>
        </w:rPr>
        <w:t xml:space="preserve"> commences on the day after it is registered on the Federal Register of Legislation.</w:t>
      </w:r>
    </w:p>
    <w:p w14:paraId="5E8575DF" w14:textId="70BB5814" w:rsidR="00523C61" w:rsidRPr="006401DE" w:rsidRDefault="00523C61" w:rsidP="00523C61">
      <w:pPr>
        <w:spacing w:before="120" w:after="120"/>
        <w:rPr>
          <w:rFonts w:cstheme="minorHAnsi"/>
          <w:bCs/>
          <w:color w:val="000000"/>
          <w:sz w:val="24"/>
          <w:szCs w:val="24"/>
        </w:rPr>
      </w:pPr>
      <w:r w:rsidRPr="006401DE">
        <w:rPr>
          <w:rFonts w:cstheme="minorHAnsi"/>
          <w:b/>
          <w:bCs/>
          <w:color w:val="000000"/>
          <w:sz w:val="24"/>
          <w:szCs w:val="24"/>
        </w:rPr>
        <w:t>Section 3</w:t>
      </w:r>
      <w:r w:rsidRPr="006401DE">
        <w:rPr>
          <w:rFonts w:cstheme="minorHAnsi"/>
          <w:bCs/>
          <w:color w:val="000000"/>
          <w:sz w:val="24"/>
          <w:szCs w:val="24"/>
        </w:rPr>
        <w:t xml:space="preserve"> states that the Amendment</w:t>
      </w:r>
      <w:r w:rsidR="00A67A1E" w:rsidRPr="006401DE">
        <w:rPr>
          <w:rFonts w:cstheme="minorHAnsi"/>
          <w:bCs/>
          <w:color w:val="000000"/>
          <w:sz w:val="24"/>
          <w:szCs w:val="24"/>
        </w:rPr>
        <w:t xml:space="preserve"> </w:t>
      </w:r>
      <w:r w:rsidR="005A0663" w:rsidRPr="006401DE">
        <w:rPr>
          <w:rFonts w:cstheme="minorHAnsi"/>
          <w:bCs/>
          <w:color w:val="000000"/>
          <w:sz w:val="24"/>
          <w:szCs w:val="24"/>
        </w:rPr>
        <w:t>Determination</w:t>
      </w:r>
      <w:r w:rsidR="00911981" w:rsidRPr="006401DE">
        <w:rPr>
          <w:rFonts w:cstheme="minorHAnsi"/>
          <w:bCs/>
          <w:color w:val="000000"/>
          <w:sz w:val="24"/>
          <w:szCs w:val="24"/>
        </w:rPr>
        <w:t xml:space="preserve"> </w:t>
      </w:r>
      <w:r w:rsidRPr="006401DE">
        <w:rPr>
          <w:rFonts w:cstheme="minorHAnsi"/>
          <w:bCs/>
          <w:color w:val="000000"/>
          <w:sz w:val="24"/>
          <w:szCs w:val="24"/>
        </w:rPr>
        <w:t xml:space="preserve">is made under </w:t>
      </w:r>
      <w:r w:rsidR="00B91447" w:rsidRPr="006401DE">
        <w:rPr>
          <w:rFonts w:cstheme="minorHAnsi"/>
          <w:bCs/>
          <w:color w:val="000000"/>
          <w:sz w:val="24"/>
          <w:szCs w:val="24"/>
        </w:rPr>
        <w:t xml:space="preserve">subsection 41-45(1D) </w:t>
      </w:r>
      <w:r w:rsidRPr="006401DE">
        <w:rPr>
          <w:rFonts w:cstheme="minorHAnsi"/>
          <w:bCs/>
          <w:color w:val="000000"/>
          <w:sz w:val="24"/>
          <w:szCs w:val="24"/>
        </w:rPr>
        <w:t>of the Act.</w:t>
      </w:r>
    </w:p>
    <w:p w14:paraId="4107C69A" w14:textId="5E2EF884" w:rsidR="00523C61" w:rsidRPr="006401DE" w:rsidRDefault="00523C61" w:rsidP="00523C61">
      <w:pPr>
        <w:spacing w:before="120" w:after="120"/>
        <w:rPr>
          <w:rFonts w:cstheme="minorHAnsi"/>
          <w:bCs/>
          <w:color w:val="000000"/>
          <w:sz w:val="24"/>
          <w:szCs w:val="24"/>
        </w:rPr>
      </w:pPr>
      <w:r w:rsidRPr="006401DE">
        <w:rPr>
          <w:rFonts w:cstheme="minorHAnsi"/>
          <w:b/>
          <w:bCs/>
          <w:color w:val="000000"/>
          <w:sz w:val="24"/>
          <w:szCs w:val="24"/>
        </w:rPr>
        <w:t>Section 4</w:t>
      </w:r>
      <w:r w:rsidRPr="006401DE">
        <w:rPr>
          <w:rFonts w:cstheme="minorHAnsi"/>
          <w:bCs/>
          <w:color w:val="000000"/>
          <w:sz w:val="24"/>
          <w:szCs w:val="24"/>
        </w:rPr>
        <w:t xml:space="preserve"> provides that each instrument that is specified in a Schedule to the Amendment</w:t>
      </w:r>
      <w:r w:rsidR="00A67A1E" w:rsidRPr="006401DE">
        <w:rPr>
          <w:rFonts w:cstheme="minorHAnsi"/>
          <w:bCs/>
          <w:color w:val="000000"/>
          <w:sz w:val="24"/>
          <w:szCs w:val="24"/>
        </w:rPr>
        <w:t xml:space="preserve"> </w:t>
      </w:r>
      <w:r w:rsidR="005A0663" w:rsidRPr="00A96141">
        <w:rPr>
          <w:rFonts w:eastAsia="Times New Roman"/>
          <w:sz w:val="24"/>
          <w:szCs w:val="24"/>
          <w:lang w:eastAsia="en-AU"/>
        </w:rPr>
        <w:t>Determination</w:t>
      </w:r>
      <w:r w:rsidR="008A528E" w:rsidRPr="00A96141">
        <w:rPr>
          <w:rFonts w:eastAsia="Times New Roman"/>
          <w:sz w:val="24"/>
          <w:szCs w:val="24"/>
          <w:lang w:eastAsia="en-AU"/>
        </w:rPr>
        <w:t xml:space="preserve"> </w:t>
      </w:r>
      <w:r w:rsidRPr="00A96141">
        <w:rPr>
          <w:rFonts w:eastAsia="Times New Roman"/>
          <w:sz w:val="24"/>
          <w:szCs w:val="24"/>
          <w:lang w:eastAsia="en-AU"/>
        </w:rPr>
        <w:t>is amended or repealed as set out in the Schedule.</w:t>
      </w:r>
    </w:p>
    <w:p w14:paraId="5066F9F2" w14:textId="36675EC4" w:rsidR="00523C61" w:rsidRPr="00A96141" w:rsidRDefault="00523C61" w:rsidP="00A96141">
      <w:pPr>
        <w:rPr>
          <w:rFonts w:eastAsia="Times New Roman" w:cstheme="minorHAnsi"/>
          <w:b/>
          <w:sz w:val="24"/>
          <w:szCs w:val="24"/>
          <w:lang w:eastAsia="en-AU"/>
        </w:rPr>
      </w:pPr>
      <w:r w:rsidRPr="00A96141">
        <w:rPr>
          <w:rFonts w:eastAsia="Times New Roman" w:cstheme="minorHAnsi"/>
          <w:b/>
          <w:sz w:val="24"/>
          <w:szCs w:val="24"/>
          <w:lang w:eastAsia="en-AU"/>
        </w:rPr>
        <w:t>Schedule 1 – Amendments</w:t>
      </w:r>
    </w:p>
    <w:p w14:paraId="198F8AE3" w14:textId="3555B71C" w:rsidR="00A953AE" w:rsidRPr="006401DE" w:rsidRDefault="00523C61" w:rsidP="00523C61">
      <w:pPr>
        <w:rPr>
          <w:rFonts w:cstheme="minorHAnsi"/>
          <w:color w:val="000000"/>
          <w:sz w:val="24"/>
          <w:szCs w:val="24"/>
        </w:rPr>
      </w:pPr>
      <w:r w:rsidRPr="006401DE">
        <w:rPr>
          <w:rFonts w:cstheme="minorHAnsi"/>
          <w:color w:val="000000"/>
          <w:sz w:val="24"/>
          <w:szCs w:val="24"/>
        </w:rPr>
        <w:t>Item 1</w:t>
      </w:r>
      <w:r w:rsidR="00B91447" w:rsidRPr="006401DE">
        <w:rPr>
          <w:rFonts w:cstheme="minorHAnsi"/>
          <w:color w:val="000000"/>
          <w:sz w:val="24"/>
          <w:szCs w:val="24"/>
        </w:rPr>
        <w:t xml:space="preserve"> r</w:t>
      </w:r>
      <w:r w:rsidRPr="006401DE">
        <w:rPr>
          <w:rFonts w:cstheme="minorHAnsi"/>
          <w:color w:val="000000"/>
          <w:sz w:val="24"/>
          <w:szCs w:val="24"/>
        </w:rPr>
        <w:t xml:space="preserve">eplaces the amounts listed in section 5 </w:t>
      </w:r>
      <w:r w:rsidR="00B91447" w:rsidRPr="006401DE">
        <w:rPr>
          <w:rFonts w:cstheme="minorHAnsi"/>
          <w:color w:val="000000"/>
          <w:sz w:val="24"/>
          <w:szCs w:val="24"/>
        </w:rPr>
        <w:t xml:space="preserve">of the </w:t>
      </w:r>
      <w:r w:rsidR="00A67A1E" w:rsidRPr="006401DE">
        <w:rPr>
          <w:rFonts w:cstheme="minorHAnsi"/>
          <w:color w:val="000000"/>
          <w:sz w:val="24"/>
          <w:szCs w:val="24"/>
        </w:rPr>
        <w:t xml:space="preserve">Principal </w:t>
      </w:r>
      <w:r w:rsidR="00B91447" w:rsidRPr="006401DE">
        <w:rPr>
          <w:rFonts w:cstheme="minorHAnsi"/>
          <w:color w:val="000000"/>
          <w:sz w:val="24"/>
          <w:szCs w:val="24"/>
        </w:rPr>
        <w:t xml:space="preserve">Determination </w:t>
      </w:r>
      <w:r w:rsidRPr="006401DE">
        <w:rPr>
          <w:rFonts w:cstheme="minorHAnsi"/>
          <w:color w:val="000000"/>
          <w:sz w:val="24"/>
          <w:szCs w:val="24"/>
        </w:rPr>
        <w:t xml:space="preserve">for years 2020 </w:t>
      </w:r>
      <w:r w:rsidR="00A67A1E" w:rsidRPr="006401DE">
        <w:rPr>
          <w:rFonts w:cstheme="minorHAnsi"/>
          <w:color w:val="000000"/>
          <w:sz w:val="24"/>
          <w:szCs w:val="24"/>
        </w:rPr>
        <w:t xml:space="preserve">to </w:t>
      </w:r>
      <w:r w:rsidRPr="006401DE">
        <w:rPr>
          <w:rFonts w:cstheme="minorHAnsi"/>
          <w:color w:val="000000"/>
          <w:sz w:val="24"/>
          <w:szCs w:val="24"/>
        </w:rPr>
        <w:t xml:space="preserve">2023. In particular, </w:t>
      </w:r>
      <w:r w:rsidR="00A67A1E" w:rsidRPr="006401DE">
        <w:rPr>
          <w:rFonts w:cstheme="minorHAnsi"/>
          <w:color w:val="000000"/>
          <w:sz w:val="24"/>
          <w:szCs w:val="24"/>
        </w:rPr>
        <w:t>the A</w:t>
      </w:r>
      <w:r w:rsidRPr="006401DE">
        <w:rPr>
          <w:rFonts w:cstheme="minorHAnsi"/>
          <w:color w:val="000000"/>
          <w:sz w:val="24"/>
          <w:szCs w:val="24"/>
        </w:rPr>
        <w:t>mendment</w:t>
      </w:r>
      <w:r w:rsidR="00A67A1E" w:rsidRPr="006401DE">
        <w:rPr>
          <w:rFonts w:cstheme="minorHAnsi"/>
          <w:color w:val="000000"/>
          <w:sz w:val="24"/>
          <w:szCs w:val="24"/>
        </w:rPr>
        <w:t xml:space="preserve"> </w:t>
      </w:r>
      <w:r w:rsidR="005A0663" w:rsidRPr="006401DE">
        <w:rPr>
          <w:rFonts w:cstheme="minorHAnsi"/>
          <w:color w:val="000000"/>
          <w:sz w:val="24"/>
          <w:szCs w:val="24"/>
        </w:rPr>
        <w:t>Determination</w:t>
      </w:r>
      <w:r w:rsidRPr="006401DE">
        <w:rPr>
          <w:rFonts w:cstheme="minorHAnsi"/>
          <w:color w:val="000000"/>
          <w:sz w:val="24"/>
          <w:szCs w:val="24"/>
        </w:rPr>
        <w:t xml:space="preserve"> increases the maximum amount payable under </w:t>
      </w:r>
      <w:r w:rsidR="008A528E" w:rsidRPr="006401DE">
        <w:rPr>
          <w:rFonts w:cstheme="minorHAnsi"/>
          <w:color w:val="000000"/>
          <w:sz w:val="24"/>
          <w:szCs w:val="24"/>
        </w:rPr>
        <w:t>Division 41</w:t>
      </w:r>
      <w:r w:rsidRPr="006401DE">
        <w:rPr>
          <w:rFonts w:cstheme="minorHAnsi"/>
          <w:color w:val="000000"/>
          <w:sz w:val="24"/>
          <w:szCs w:val="24"/>
        </w:rPr>
        <w:t xml:space="preserve"> for years 2020 and 2021,</w:t>
      </w:r>
      <w:r w:rsidR="008A528E" w:rsidRPr="006401DE">
        <w:rPr>
          <w:rFonts w:cstheme="minorHAnsi"/>
          <w:color w:val="000000"/>
          <w:sz w:val="24"/>
          <w:szCs w:val="24"/>
        </w:rPr>
        <w:t xml:space="preserve"> as follows</w:t>
      </w:r>
      <w:r w:rsidR="00A953AE" w:rsidRPr="006401DE">
        <w:rPr>
          <w:rFonts w:cstheme="minorHAnsi"/>
          <w:color w:val="000000"/>
          <w:sz w:val="24"/>
          <w:szCs w:val="24"/>
        </w:rPr>
        <w:t>:</w:t>
      </w:r>
    </w:p>
    <w:p w14:paraId="13E26DBF" w14:textId="3AF8869F" w:rsidR="00CD7F90" w:rsidRPr="00CA4F89" w:rsidRDefault="008A528E" w:rsidP="00CA4F89">
      <w:pPr>
        <w:pStyle w:val="ListParagraph"/>
        <w:numPr>
          <w:ilvl w:val="0"/>
          <w:numId w:val="6"/>
        </w:numPr>
        <w:rPr>
          <w:rFonts w:cstheme="minorHAnsi"/>
          <w:sz w:val="24"/>
          <w:szCs w:val="24"/>
        </w:rPr>
      </w:pPr>
      <w:r w:rsidRPr="006401DE">
        <w:rPr>
          <w:rFonts w:cstheme="minorHAnsi"/>
          <w:sz w:val="24"/>
          <w:szCs w:val="24"/>
        </w:rPr>
        <w:t>At the 2019-20</w:t>
      </w:r>
      <w:r w:rsidR="00CA4F89">
        <w:rPr>
          <w:rFonts w:cstheme="minorHAnsi"/>
          <w:sz w:val="24"/>
          <w:szCs w:val="24"/>
        </w:rPr>
        <w:t>,</w:t>
      </w:r>
      <w:r w:rsidRPr="006401DE">
        <w:rPr>
          <w:rFonts w:cstheme="minorHAnsi"/>
          <w:sz w:val="24"/>
          <w:szCs w:val="24"/>
        </w:rPr>
        <w:t xml:space="preserve"> Mid-Year Economic and Fiscal Outlook for 2019-20, the Government decided to provide</w:t>
      </w:r>
      <w:r w:rsidR="00CD7F90" w:rsidRPr="006401DE">
        <w:rPr>
          <w:rFonts w:cstheme="minorHAnsi"/>
          <w:sz w:val="24"/>
          <w:szCs w:val="24"/>
        </w:rPr>
        <w:t xml:space="preserve"> $1</w:t>
      </w:r>
      <w:r w:rsidRPr="006401DE">
        <w:rPr>
          <w:rFonts w:cstheme="minorHAnsi"/>
          <w:sz w:val="24"/>
          <w:szCs w:val="24"/>
        </w:rPr>
        <w:t xml:space="preserve"> million </w:t>
      </w:r>
      <w:r w:rsidR="00CD7F90" w:rsidRPr="006401DE">
        <w:rPr>
          <w:rFonts w:cstheme="minorHAnsi"/>
          <w:sz w:val="24"/>
          <w:szCs w:val="24"/>
        </w:rPr>
        <w:t xml:space="preserve">in </w:t>
      </w:r>
      <w:r w:rsidRPr="006401DE">
        <w:rPr>
          <w:rFonts w:cstheme="minorHAnsi"/>
          <w:sz w:val="24"/>
          <w:szCs w:val="24"/>
        </w:rPr>
        <w:t xml:space="preserve">funding </w:t>
      </w:r>
      <w:r w:rsidR="00AE76E3" w:rsidRPr="006401DE">
        <w:rPr>
          <w:rFonts w:cstheme="minorHAnsi"/>
          <w:color w:val="000000"/>
          <w:sz w:val="24"/>
          <w:szCs w:val="24"/>
        </w:rPr>
        <w:t xml:space="preserve">for the </w:t>
      </w:r>
      <w:proofErr w:type="spellStart"/>
      <w:r w:rsidR="00AE76E3" w:rsidRPr="006401DE">
        <w:rPr>
          <w:rFonts w:cstheme="minorHAnsi"/>
          <w:sz w:val="24"/>
          <w:szCs w:val="24"/>
        </w:rPr>
        <w:t>Hycel</w:t>
      </w:r>
      <w:proofErr w:type="spellEnd"/>
      <w:r w:rsidR="00AE76E3" w:rsidRPr="006401DE">
        <w:rPr>
          <w:rFonts w:cstheme="minorHAnsi"/>
          <w:sz w:val="24"/>
          <w:szCs w:val="24"/>
        </w:rPr>
        <w:t xml:space="preserve"> Establishment Phase project </w:t>
      </w:r>
      <w:r w:rsidR="00CD7F90" w:rsidRPr="006401DE">
        <w:rPr>
          <w:rFonts w:cstheme="minorHAnsi"/>
          <w:sz w:val="24"/>
          <w:szCs w:val="24"/>
        </w:rPr>
        <w:t>and the</w:t>
      </w:r>
      <w:r w:rsidR="00AE76E3" w:rsidRPr="006401DE">
        <w:rPr>
          <w:rFonts w:cstheme="minorHAnsi"/>
          <w:sz w:val="24"/>
          <w:szCs w:val="24"/>
        </w:rPr>
        <w:t xml:space="preserve"> Nowra Agribusiness Industry 4.0 Hub project</w:t>
      </w:r>
      <w:r w:rsidR="00CD7F90" w:rsidRPr="006401DE">
        <w:rPr>
          <w:rFonts w:cstheme="minorHAnsi"/>
          <w:sz w:val="24"/>
          <w:szCs w:val="24"/>
        </w:rPr>
        <w:t xml:space="preserve"> respectively, for 2020 and 2021</w:t>
      </w:r>
      <w:r w:rsidR="005F5CBF" w:rsidRPr="006401DE">
        <w:rPr>
          <w:rFonts w:cstheme="minorHAnsi"/>
          <w:sz w:val="24"/>
          <w:szCs w:val="24"/>
        </w:rPr>
        <w:t xml:space="preserve">. </w:t>
      </w:r>
      <w:r w:rsidR="007075B7" w:rsidRPr="006401DE">
        <w:rPr>
          <w:rFonts w:cstheme="minorHAnsi"/>
          <w:sz w:val="24"/>
          <w:szCs w:val="24"/>
        </w:rPr>
        <w:t>This funding will be provided through a g</w:t>
      </w:r>
      <w:r w:rsidR="005F5CBF" w:rsidRPr="006401DE">
        <w:rPr>
          <w:rFonts w:cstheme="minorHAnsi"/>
          <w:sz w:val="24"/>
          <w:szCs w:val="24"/>
        </w:rPr>
        <w:t xml:space="preserve">rant under Division 41 of </w:t>
      </w:r>
      <w:r w:rsidR="00A67A1E" w:rsidRPr="006401DE">
        <w:rPr>
          <w:rFonts w:cstheme="minorHAnsi"/>
          <w:sz w:val="24"/>
          <w:szCs w:val="24"/>
        </w:rPr>
        <w:t>the Act</w:t>
      </w:r>
      <w:r w:rsidR="005F5CBF" w:rsidRPr="006401DE">
        <w:rPr>
          <w:rFonts w:cstheme="minorHAnsi"/>
          <w:sz w:val="24"/>
          <w:szCs w:val="24"/>
        </w:rPr>
        <w:t xml:space="preserve">, </w:t>
      </w:r>
      <w:r w:rsidR="00D63274" w:rsidRPr="006401DE">
        <w:rPr>
          <w:rFonts w:cstheme="minorHAnsi"/>
          <w:sz w:val="24"/>
          <w:szCs w:val="24"/>
        </w:rPr>
        <w:t xml:space="preserve">via </w:t>
      </w:r>
      <w:r w:rsidR="005F5CBF" w:rsidRPr="006401DE">
        <w:rPr>
          <w:rFonts w:cstheme="minorHAnsi"/>
          <w:sz w:val="24"/>
          <w:szCs w:val="24"/>
        </w:rPr>
        <w:t>s</w:t>
      </w:r>
      <w:r w:rsidR="00A67A1E" w:rsidRPr="006401DE">
        <w:rPr>
          <w:rFonts w:cstheme="minorHAnsi"/>
          <w:sz w:val="24"/>
          <w:szCs w:val="24"/>
        </w:rPr>
        <w:t>ubsection</w:t>
      </w:r>
      <w:r w:rsidR="005F5CBF" w:rsidRPr="006401DE">
        <w:rPr>
          <w:rFonts w:cstheme="minorHAnsi"/>
          <w:sz w:val="24"/>
          <w:szCs w:val="24"/>
        </w:rPr>
        <w:t xml:space="preserve"> </w:t>
      </w:r>
      <w:r w:rsidR="00CA2C34" w:rsidRPr="006401DE">
        <w:rPr>
          <w:rFonts w:cstheme="minorHAnsi"/>
          <w:sz w:val="24"/>
          <w:szCs w:val="24"/>
        </w:rPr>
        <w:br/>
      </w:r>
      <w:r w:rsidR="005F5CBF" w:rsidRPr="006401DE">
        <w:rPr>
          <w:rFonts w:cstheme="minorHAnsi"/>
          <w:sz w:val="24"/>
          <w:szCs w:val="24"/>
        </w:rPr>
        <w:t xml:space="preserve">41-10(2) Item 9 ‘Grants to foster collaboration and reform in higher education’. </w:t>
      </w:r>
    </w:p>
    <w:p w14:paraId="06B178BB" w14:textId="6B514545" w:rsidR="008A528E" w:rsidRPr="006401DE" w:rsidRDefault="003C16A4" w:rsidP="008A528E">
      <w:pPr>
        <w:pStyle w:val="ListParagraph"/>
        <w:numPr>
          <w:ilvl w:val="0"/>
          <w:numId w:val="6"/>
        </w:numPr>
        <w:rPr>
          <w:rFonts w:cstheme="minorHAnsi"/>
          <w:sz w:val="24"/>
          <w:szCs w:val="24"/>
        </w:rPr>
      </w:pPr>
      <w:r w:rsidRPr="006401DE">
        <w:rPr>
          <w:rFonts w:cstheme="minorHAnsi"/>
          <w:sz w:val="24"/>
          <w:szCs w:val="24"/>
        </w:rPr>
        <w:t>In June 2020</w:t>
      </w:r>
      <w:r w:rsidR="00CA4F89">
        <w:rPr>
          <w:rFonts w:cstheme="minorHAnsi"/>
          <w:sz w:val="24"/>
          <w:szCs w:val="24"/>
        </w:rPr>
        <w:t>,</w:t>
      </w:r>
      <w:r w:rsidRPr="006401DE">
        <w:rPr>
          <w:rFonts w:cstheme="minorHAnsi"/>
          <w:sz w:val="24"/>
          <w:szCs w:val="24"/>
        </w:rPr>
        <w:t xml:space="preserve"> </w:t>
      </w:r>
      <w:r w:rsidR="008A528E" w:rsidRPr="006401DE">
        <w:rPr>
          <w:rFonts w:cstheme="minorHAnsi"/>
          <w:sz w:val="24"/>
          <w:szCs w:val="24"/>
        </w:rPr>
        <w:t xml:space="preserve">the Government </w:t>
      </w:r>
      <w:r w:rsidRPr="006401DE">
        <w:rPr>
          <w:rFonts w:cstheme="minorHAnsi"/>
          <w:sz w:val="24"/>
          <w:szCs w:val="24"/>
        </w:rPr>
        <w:t>agreed</w:t>
      </w:r>
      <w:r w:rsidR="008A528E" w:rsidRPr="006401DE">
        <w:rPr>
          <w:rFonts w:cstheme="minorHAnsi"/>
          <w:sz w:val="24"/>
          <w:szCs w:val="24"/>
        </w:rPr>
        <w:t xml:space="preserve"> to rollover $2.171 million in existing funding allocated to the Australian Mathematical Sciences Institute (AMSI) </w:t>
      </w:r>
      <w:r w:rsidR="008A528E" w:rsidRPr="006401DE">
        <w:rPr>
          <w:rFonts w:cstheme="minorHAnsi"/>
          <w:i/>
          <w:sz w:val="24"/>
          <w:szCs w:val="24"/>
        </w:rPr>
        <w:t xml:space="preserve">Supporting More Women in STEM </w:t>
      </w:r>
      <w:r w:rsidR="008A528E" w:rsidRPr="006401DE">
        <w:rPr>
          <w:rFonts w:cstheme="minorHAnsi"/>
          <w:sz w:val="24"/>
          <w:szCs w:val="24"/>
        </w:rPr>
        <w:t>program</w:t>
      </w:r>
      <w:r w:rsidR="008A528E" w:rsidRPr="006401DE">
        <w:rPr>
          <w:rFonts w:cstheme="minorHAnsi"/>
          <w:i/>
          <w:sz w:val="24"/>
          <w:szCs w:val="24"/>
        </w:rPr>
        <w:t xml:space="preserve"> </w:t>
      </w:r>
      <w:r w:rsidR="00CD7F90" w:rsidRPr="006401DE">
        <w:rPr>
          <w:rFonts w:cstheme="minorHAnsi"/>
          <w:sz w:val="24"/>
          <w:szCs w:val="24"/>
        </w:rPr>
        <w:t>between the 2019 and 2020 calendar years.</w:t>
      </w:r>
    </w:p>
    <w:p w14:paraId="5F761232" w14:textId="09917716" w:rsidR="00CD7F90" w:rsidRDefault="008A528E" w:rsidP="00905AE0">
      <w:pPr>
        <w:pStyle w:val="ListParagraph"/>
        <w:numPr>
          <w:ilvl w:val="0"/>
          <w:numId w:val="6"/>
        </w:numPr>
        <w:rPr>
          <w:rFonts w:cstheme="minorHAnsi"/>
          <w:sz w:val="24"/>
          <w:szCs w:val="24"/>
        </w:rPr>
      </w:pPr>
      <w:r w:rsidRPr="006401DE">
        <w:rPr>
          <w:rFonts w:cstheme="minorHAnsi"/>
          <w:sz w:val="24"/>
          <w:szCs w:val="24"/>
        </w:rPr>
        <w:t>This funding was unspent in the 2019 calendar year due to slower than</w:t>
      </w:r>
      <w:r w:rsidRPr="008A528E">
        <w:rPr>
          <w:rFonts w:cstheme="minorHAnsi"/>
          <w:sz w:val="24"/>
          <w:szCs w:val="24"/>
        </w:rPr>
        <w:t xml:space="preserve"> anticipated progress against program milestones and is needed in 2020 to support delivery against program aims.</w:t>
      </w:r>
    </w:p>
    <w:p w14:paraId="122B5B92" w14:textId="1BDE3C10" w:rsidR="008A528E" w:rsidRPr="006401DE" w:rsidRDefault="008A528E" w:rsidP="008A528E">
      <w:pPr>
        <w:pStyle w:val="ListParagraph"/>
        <w:numPr>
          <w:ilvl w:val="0"/>
          <w:numId w:val="6"/>
        </w:numPr>
        <w:rPr>
          <w:rFonts w:cstheme="minorHAnsi"/>
          <w:i/>
          <w:sz w:val="24"/>
          <w:szCs w:val="24"/>
        </w:rPr>
      </w:pPr>
      <w:r w:rsidRPr="008A528E">
        <w:rPr>
          <w:rFonts w:cstheme="minorHAnsi"/>
          <w:sz w:val="24"/>
          <w:szCs w:val="24"/>
        </w:rPr>
        <w:t xml:space="preserve">The Australian Government is providing $19.1 million over four years </w:t>
      </w:r>
      <w:r w:rsidRPr="006401DE">
        <w:rPr>
          <w:rFonts w:cstheme="minorHAnsi"/>
          <w:sz w:val="24"/>
          <w:szCs w:val="24"/>
        </w:rPr>
        <w:t>to the University of Melbourne (as lead agency for AMSI),</w:t>
      </w:r>
      <w:r w:rsidRPr="008A528E">
        <w:rPr>
          <w:rFonts w:cstheme="minorHAnsi"/>
          <w:sz w:val="24"/>
          <w:szCs w:val="24"/>
        </w:rPr>
        <w:t xml:space="preserve"> to administer the </w:t>
      </w:r>
      <w:r w:rsidRPr="006401DE">
        <w:rPr>
          <w:rFonts w:cstheme="minorHAnsi"/>
          <w:sz w:val="24"/>
          <w:szCs w:val="24"/>
        </w:rPr>
        <w:t>program. The purpose of NRIP is to support up to 700 new PhD internships with industry, with a focus on getting more women into STEM careers.</w:t>
      </w:r>
    </w:p>
    <w:p w14:paraId="2767FC15" w14:textId="1DCFF1E4" w:rsidR="007075B7" w:rsidRPr="006401DE" w:rsidRDefault="00D63274" w:rsidP="008A528E">
      <w:pPr>
        <w:rPr>
          <w:rFonts w:cstheme="minorHAnsi"/>
          <w:sz w:val="24"/>
          <w:szCs w:val="24"/>
        </w:rPr>
      </w:pPr>
      <w:r w:rsidRPr="006401DE">
        <w:rPr>
          <w:rFonts w:cstheme="minorHAnsi"/>
          <w:sz w:val="24"/>
          <w:szCs w:val="24"/>
        </w:rPr>
        <w:t>As a result of th</w:t>
      </w:r>
      <w:r w:rsidR="008A528E" w:rsidRPr="006401DE">
        <w:rPr>
          <w:rFonts w:cstheme="minorHAnsi"/>
          <w:sz w:val="24"/>
          <w:szCs w:val="24"/>
        </w:rPr>
        <w:t>ese</w:t>
      </w:r>
      <w:r w:rsidRPr="006401DE">
        <w:rPr>
          <w:rFonts w:cstheme="minorHAnsi"/>
          <w:sz w:val="24"/>
          <w:szCs w:val="24"/>
        </w:rPr>
        <w:t xml:space="preserve"> decision</w:t>
      </w:r>
      <w:r w:rsidR="008A528E" w:rsidRPr="006401DE">
        <w:rPr>
          <w:rFonts w:cstheme="minorHAnsi"/>
          <w:sz w:val="24"/>
          <w:szCs w:val="24"/>
        </w:rPr>
        <w:t>s</w:t>
      </w:r>
      <w:r w:rsidR="005A0663" w:rsidRPr="006401DE">
        <w:rPr>
          <w:rFonts w:cstheme="minorHAnsi"/>
          <w:sz w:val="24"/>
          <w:szCs w:val="24"/>
        </w:rPr>
        <w:t>,</w:t>
      </w:r>
      <w:r w:rsidR="007075B7" w:rsidRPr="006401DE">
        <w:rPr>
          <w:rFonts w:cstheme="minorHAnsi"/>
          <w:sz w:val="24"/>
          <w:szCs w:val="24"/>
        </w:rPr>
        <w:t xml:space="preserve"> it is necessary to increase the maximum</w:t>
      </w:r>
      <w:r w:rsidR="00FC5B85" w:rsidRPr="006401DE">
        <w:rPr>
          <w:rFonts w:cstheme="minorHAnsi"/>
          <w:sz w:val="24"/>
          <w:szCs w:val="24"/>
        </w:rPr>
        <w:t xml:space="preserve"> grant</w:t>
      </w:r>
      <w:r w:rsidR="007075B7" w:rsidRPr="006401DE">
        <w:rPr>
          <w:rFonts w:cstheme="minorHAnsi"/>
          <w:sz w:val="24"/>
          <w:szCs w:val="24"/>
        </w:rPr>
        <w:t xml:space="preserve"> amount that can be paid</w:t>
      </w:r>
      <w:r w:rsidR="00FC5B85" w:rsidRPr="006401DE">
        <w:rPr>
          <w:rFonts w:cstheme="minorHAnsi"/>
          <w:sz w:val="24"/>
          <w:szCs w:val="24"/>
        </w:rPr>
        <w:t xml:space="preserve"> under Division 41 </w:t>
      </w:r>
      <w:r w:rsidR="008A528E" w:rsidRPr="006401DE">
        <w:rPr>
          <w:rFonts w:cstheme="minorHAnsi"/>
          <w:sz w:val="24"/>
          <w:szCs w:val="24"/>
        </w:rPr>
        <w:t>in 2020 and 2021:</w:t>
      </w:r>
    </w:p>
    <w:p w14:paraId="079962E5" w14:textId="5BCD4C7D" w:rsidR="008A528E" w:rsidRPr="006401DE" w:rsidRDefault="008A528E" w:rsidP="008A528E">
      <w:pPr>
        <w:pStyle w:val="ListParagraph"/>
        <w:numPr>
          <w:ilvl w:val="0"/>
          <w:numId w:val="5"/>
        </w:numPr>
        <w:rPr>
          <w:rFonts w:cstheme="minorHAnsi"/>
          <w:sz w:val="24"/>
          <w:szCs w:val="24"/>
        </w:rPr>
      </w:pPr>
      <w:r w:rsidRPr="006401DE">
        <w:rPr>
          <w:rFonts w:cstheme="minorHAnsi"/>
          <w:sz w:val="24"/>
          <w:szCs w:val="24"/>
        </w:rPr>
        <w:lastRenderedPageBreak/>
        <w:t xml:space="preserve">for the purpose of fostering collaboration and </w:t>
      </w:r>
      <w:r w:rsidR="00CD7F90" w:rsidRPr="006401DE">
        <w:rPr>
          <w:rFonts w:cstheme="minorHAnsi"/>
          <w:sz w:val="24"/>
          <w:szCs w:val="24"/>
        </w:rPr>
        <w:t>reform in higher education by $2</w:t>
      </w:r>
      <w:r w:rsidRPr="006401DE">
        <w:rPr>
          <w:rFonts w:cstheme="minorHAnsi"/>
          <w:sz w:val="24"/>
          <w:szCs w:val="24"/>
        </w:rPr>
        <w:t>,000,000</w:t>
      </w:r>
      <w:r w:rsidR="00CD7F90" w:rsidRPr="006401DE">
        <w:rPr>
          <w:rFonts w:cstheme="minorHAnsi"/>
          <w:sz w:val="24"/>
          <w:szCs w:val="24"/>
        </w:rPr>
        <w:t xml:space="preserve"> in 2020 and 2021 respectively</w:t>
      </w:r>
      <w:r w:rsidRPr="006401DE">
        <w:rPr>
          <w:rFonts w:cstheme="minorHAnsi"/>
          <w:sz w:val="24"/>
          <w:szCs w:val="24"/>
        </w:rPr>
        <w:t>;</w:t>
      </w:r>
    </w:p>
    <w:p w14:paraId="60BFE0F5" w14:textId="5C5A3B80" w:rsidR="008A528E" w:rsidRPr="006401DE" w:rsidRDefault="008A528E" w:rsidP="008A528E">
      <w:pPr>
        <w:pStyle w:val="ListParagraph"/>
        <w:numPr>
          <w:ilvl w:val="0"/>
          <w:numId w:val="5"/>
        </w:numPr>
        <w:rPr>
          <w:rFonts w:cstheme="minorHAnsi"/>
          <w:sz w:val="24"/>
          <w:szCs w:val="24"/>
        </w:rPr>
      </w:pPr>
      <w:r w:rsidRPr="006401DE">
        <w:rPr>
          <w:rFonts w:cstheme="minorHAnsi"/>
          <w:sz w:val="24"/>
          <w:szCs w:val="24"/>
        </w:rPr>
        <w:t>for the purpose</w:t>
      </w:r>
      <w:r w:rsidRPr="006401DE">
        <w:rPr>
          <w:rFonts w:eastAsia="Times New Roman"/>
          <w:sz w:val="24"/>
          <w:szCs w:val="24"/>
          <w:lang w:eastAsia="en-AU"/>
        </w:rPr>
        <w:t xml:space="preserve"> supporting the training of research students in higher education by $2,171,000</w:t>
      </w:r>
      <w:r w:rsidR="00CD7F90" w:rsidRPr="006401DE">
        <w:rPr>
          <w:rFonts w:eastAsia="Times New Roman"/>
          <w:sz w:val="24"/>
          <w:szCs w:val="24"/>
          <w:lang w:eastAsia="en-AU"/>
        </w:rPr>
        <w:t xml:space="preserve"> for 2020</w:t>
      </w:r>
      <w:r w:rsidRPr="006401DE">
        <w:rPr>
          <w:rFonts w:eastAsia="Times New Roman"/>
          <w:sz w:val="24"/>
          <w:szCs w:val="24"/>
          <w:lang w:eastAsia="en-AU"/>
        </w:rPr>
        <w:t>; and</w:t>
      </w:r>
    </w:p>
    <w:p w14:paraId="3679D7BF" w14:textId="056ADA9C" w:rsidR="008A528E" w:rsidRPr="006401DE" w:rsidRDefault="008A528E" w:rsidP="008A528E">
      <w:pPr>
        <w:pStyle w:val="ListParagraph"/>
        <w:numPr>
          <w:ilvl w:val="0"/>
          <w:numId w:val="5"/>
        </w:numPr>
        <w:rPr>
          <w:rFonts w:cstheme="minorHAnsi"/>
          <w:sz w:val="24"/>
          <w:szCs w:val="24"/>
        </w:rPr>
      </w:pPr>
      <w:r w:rsidRPr="006401DE">
        <w:rPr>
          <w:rFonts w:eastAsia="Times New Roman"/>
          <w:sz w:val="24"/>
          <w:szCs w:val="24"/>
          <w:lang w:eastAsia="en-AU"/>
        </w:rPr>
        <w:t>as a consequence – in total by $4,171,000 for 2020 and $2,000,00 for 2021.</w:t>
      </w:r>
    </w:p>
    <w:p w14:paraId="054BFC61" w14:textId="77777777" w:rsidR="007075B7" w:rsidRPr="00E03E05" w:rsidRDefault="007075B7" w:rsidP="00523C61">
      <w:pPr>
        <w:rPr>
          <w:rFonts w:cstheme="minorHAnsi"/>
          <w:color w:val="000000"/>
          <w:sz w:val="24"/>
          <w:szCs w:val="24"/>
        </w:rPr>
      </w:pPr>
      <w:r w:rsidRPr="006401DE">
        <w:rPr>
          <w:rFonts w:cstheme="minorHAnsi"/>
          <w:sz w:val="24"/>
          <w:szCs w:val="24"/>
        </w:rPr>
        <w:t>The Amendment Determination amends the Principal Determination t</w:t>
      </w:r>
      <w:r w:rsidR="009B7814" w:rsidRPr="006401DE">
        <w:rPr>
          <w:rFonts w:cstheme="minorHAnsi"/>
          <w:sz w:val="24"/>
          <w:szCs w:val="24"/>
        </w:rPr>
        <w:t>o give</w:t>
      </w:r>
      <w:r w:rsidR="00D63274" w:rsidRPr="006401DE">
        <w:rPr>
          <w:rFonts w:cstheme="minorHAnsi"/>
          <w:sz w:val="24"/>
          <w:szCs w:val="24"/>
        </w:rPr>
        <w:t xml:space="preserve"> effect to th</w:t>
      </w:r>
      <w:r w:rsidR="009B7814" w:rsidRPr="006401DE">
        <w:rPr>
          <w:rFonts w:cstheme="minorHAnsi"/>
          <w:sz w:val="24"/>
          <w:szCs w:val="24"/>
        </w:rPr>
        <w:t>e above items</w:t>
      </w:r>
      <w:r w:rsidRPr="006401DE">
        <w:rPr>
          <w:rFonts w:cstheme="minorHAnsi"/>
          <w:sz w:val="24"/>
          <w:szCs w:val="24"/>
        </w:rPr>
        <w:t>.</w:t>
      </w:r>
    </w:p>
    <w:p w14:paraId="4F1DC6C4" w14:textId="77777777" w:rsidR="00523C61" w:rsidRDefault="00523C61" w:rsidP="00523C61">
      <w:pPr>
        <w:rPr>
          <w:rFonts w:ascii="Times New Roman" w:hAnsi="Times New Roman"/>
          <w:color w:val="000000"/>
          <w:sz w:val="24"/>
          <w:szCs w:val="24"/>
        </w:rPr>
      </w:pPr>
      <w:r>
        <w:rPr>
          <w:rFonts w:ascii="Times New Roman" w:hAnsi="Times New Roman"/>
          <w:color w:val="000000"/>
          <w:sz w:val="24"/>
          <w:szCs w:val="24"/>
        </w:rPr>
        <w:t xml:space="preserve"> </w:t>
      </w:r>
    </w:p>
    <w:p w14:paraId="445F2984" w14:textId="77777777" w:rsidR="00570C46" w:rsidRDefault="00570C46" w:rsidP="004E62FA">
      <w:pPr>
        <w:rPr>
          <w:rFonts w:eastAsia="Times New Roman"/>
          <w:sz w:val="24"/>
          <w:szCs w:val="24"/>
          <w:lang w:eastAsia="en-AU"/>
        </w:rPr>
      </w:pPr>
    </w:p>
    <w:p w14:paraId="11C87E67" w14:textId="77777777" w:rsidR="004E62FA" w:rsidRDefault="004E62FA" w:rsidP="004E62FA">
      <w:pPr>
        <w:rPr>
          <w:rFonts w:eastAsia="Times New Roman"/>
          <w:sz w:val="24"/>
          <w:szCs w:val="24"/>
          <w:lang w:eastAsia="en-AU"/>
        </w:rPr>
      </w:pPr>
    </w:p>
    <w:p w14:paraId="53A5F9E7" w14:textId="77777777" w:rsidR="004E62FA" w:rsidRDefault="004E62FA" w:rsidP="004E62FA">
      <w:pPr>
        <w:rPr>
          <w:rFonts w:eastAsia="Times New Roman"/>
          <w:sz w:val="24"/>
          <w:szCs w:val="24"/>
          <w:lang w:eastAsia="en-AU"/>
        </w:rPr>
        <w:sectPr w:rsidR="004E62FA" w:rsidSect="00C451BB">
          <w:pgSz w:w="11906" w:h="16838"/>
          <w:pgMar w:top="520" w:right="1133" w:bottom="1440" w:left="1440" w:header="284" w:footer="708" w:gutter="0"/>
          <w:cols w:space="708"/>
          <w:docGrid w:linePitch="360"/>
        </w:sectPr>
      </w:pPr>
    </w:p>
    <w:p w14:paraId="2170ED82" w14:textId="77777777" w:rsidR="004E62FA" w:rsidRPr="0018747A" w:rsidRDefault="004E62FA" w:rsidP="004E62FA">
      <w:pPr>
        <w:rPr>
          <w:rFonts w:eastAsia="Times New Roman"/>
          <w:sz w:val="16"/>
          <w:szCs w:val="16"/>
          <w:lang w:eastAsia="en-AU"/>
        </w:rPr>
      </w:pPr>
    </w:p>
    <w:p w14:paraId="04545EDC" w14:textId="77777777" w:rsidR="004E62FA" w:rsidRPr="0018747A" w:rsidRDefault="004E62FA" w:rsidP="004E62FA">
      <w:pPr>
        <w:autoSpaceDE w:val="0"/>
        <w:autoSpaceDN w:val="0"/>
        <w:adjustRightInd w:val="0"/>
        <w:jc w:val="center"/>
        <w:rPr>
          <w:rFonts w:eastAsia="Times New Roman"/>
          <w:b/>
          <w:bCs/>
          <w:sz w:val="24"/>
          <w:szCs w:val="24"/>
          <w:lang w:eastAsia="en-AU"/>
        </w:rPr>
      </w:pPr>
      <w:r w:rsidRPr="0018747A">
        <w:rPr>
          <w:rFonts w:eastAsia="Times New Roman"/>
          <w:b/>
          <w:bCs/>
          <w:sz w:val="24"/>
          <w:szCs w:val="24"/>
          <w:lang w:eastAsia="en-AU"/>
        </w:rPr>
        <w:t>Statement of Compatibility with Human Rights</w:t>
      </w:r>
    </w:p>
    <w:p w14:paraId="33C7CE1A" w14:textId="77777777" w:rsidR="004E62FA" w:rsidRPr="0018747A" w:rsidRDefault="004E62FA" w:rsidP="004E62FA">
      <w:pPr>
        <w:autoSpaceDE w:val="0"/>
        <w:autoSpaceDN w:val="0"/>
        <w:adjustRightInd w:val="0"/>
        <w:jc w:val="center"/>
        <w:rPr>
          <w:rFonts w:eastAsia="Times New Roman"/>
          <w:bCs/>
          <w:i/>
          <w:sz w:val="24"/>
          <w:szCs w:val="24"/>
          <w:lang w:eastAsia="en-AU"/>
        </w:rPr>
      </w:pPr>
      <w:r w:rsidRPr="0018747A">
        <w:rPr>
          <w:rFonts w:eastAsia="Times New Roman"/>
          <w:bCs/>
          <w:i/>
          <w:sz w:val="24"/>
          <w:szCs w:val="24"/>
          <w:lang w:eastAsia="en-AU"/>
        </w:rPr>
        <w:t>Prepared in accordance with Part 3 of the Human Rights (Parliamentary Scrutiny) Act 2011</w:t>
      </w:r>
    </w:p>
    <w:p w14:paraId="133A8D6C" w14:textId="77777777" w:rsidR="004E62FA" w:rsidRPr="0018747A" w:rsidRDefault="004E62FA" w:rsidP="004E62FA">
      <w:pPr>
        <w:autoSpaceDE w:val="0"/>
        <w:autoSpaceDN w:val="0"/>
        <w:adjustRightInd w:val="0"/>
        <w:spacing w:after="0" w:line="240" w:lineRule="auto"/>
        <w:jc w:val="center"/>
        <w:rPr>
          <w:rFonts w:eastAsia="Times New Roman"/>
          <w:b/>
          <w:sz w:val="24"/>
          <w:szCs w:val="24"/>
          <w:lang w:eastAsia="en-AU"/>
        </w:rPr>
      </w:pPr>
      <w:r w:rsidRPr="0018747A">
        <w:rPr>
          <w:rFonts w:eastAsia="Times New Roman"/>
          <w:b/>
          <w:sz w:val="24"/>
          <w:szCs w:val="24"/>
          <w:lang w:eastAsia="en-AU"/>
        </w:rPr>
        <w:t xml:space="preserve">Higher Education Support (Maximum Payments for Other Grants) </w:t>
      </w:r>
    </w:p>
    <w:p w14:paraId="485010C5" w14:textId="77777777" w:rsidR="004E62FA" w:rsidRDefault="00D7587A" w:rsidP="004E62FA">
      <w:pPr>
        <w:autoSpaceDE w:val="0"/>
        <w:autoSpaceDN w:val="0"/>
        <w:adjustRightInd w:val="0"/>
        <w:spacing w:after="0" w:line="240" w:lineRule="auto"/>
        <w:jc w:val="center"/>
        <w:rPr>
          <w:rFonts w:eastAsia="Times New Roman"/>
          <w:b/>
          <w:sz w:val="24"/>
          <w:szCs w:val="24"/>
          <w:lang w:eastAsia="en-AU"/>
        </w:rPr>
      </w:pPr>
      <w:r>
        <w:rPr>
          <w:rFonts w:eastAsia="Times New Roman"/>
          <w:b/>
          <w:sz w:val="24"/>
          <w:szCs w:val="24"/>
          <w:lang w:eastAsia="en-AU"/>
        </w:rPr>
        <w:t>Amendment (No. 1)</w:t>
      </w:r>
      <w:r w:rsidR="004E62FA" w:rsidRPr="0018747A">
        <w:rPr>
          <w:rFonts w:eastAsia="Times New Roman"/>
          <w:b/>
          <w:sz w:val="24"/>
          <w:szCs w:val="24"/>
          <w:lang w:eastAsia="en-AU"/>
        </w:rPr>
        <w:t xml:space="preserve"> </w:t>
      </w:r>
      <w:r w:rsidR="00C10A44" w:rsidRPr="0018747A">
        <w:rPr>
          <w:rFonts w:eastAsia="Times New Roman"/>
          <w:b/>
          <w:sz w:val="24"/>
          <w:szCs w:val="24"/>
          <w:lang w:eastAsia="en-AU"/>
        </w:rPr>
        <w:t>20</w:t>
      </w:r>
      <w:r w:rsidR="00C10A44">
        <w:rPr>
          <w:rFonts w:eastAsia="Times New Roman"/>
          <w:b/>
          <w:sz w:val="24"/>
          <w:szCs w:val="24"/>
          <w:lang w:eastAsia="en-AU"/>
        </w:rPr>
        <w:t>20</w:t>
      </w:r>
      <w:r w:rsidR="00C10A44" w:rsidRPr="0018747A">
        <w:rPr>
          <w:rFonts w:eastAsia="Times New Roman"/>
          <w:b/>
          <w:sz w:val="24"/>
          <w:szCs w:val="24"/>
          <w:lang w:eastAsia="en-AU"/>
        </w:rPr>
        <w:t xml:space="preserve"> </w:t>
      </w:r>
    </w:p>
    <w:p w14:paraId="42A039AC" w14:textId="77777777" w:rsidR="004E62FA" w:rsidRPr="0018747A" w:rsidRDefault="004E62FA" w:rsidP="004E62FA">
      <w:pPr>
        <w:autoSpaceDE w:val="0"/>
        <w:autoSpaceDN w:val="0"/>
        <w:adjustRightInd w:val="0"/>
        <w:spacing w:after="0" w:line="240" w:lineRule="auto"/>
        <w:jc w:val="center"/>
        <w:rPr>
          <w:rFonts w:eastAsia="Times New Roman"/>
          <w:sz w:val="24"/>
          <w:szCs w:val="24"/>
          <w:lang w:eastAsia="en-AU"/>
        </w:rPr>
      </w:pPr>
    </w:p>
    <w:p w14:paraId="17D148BD" w14:textId="10FC0F12" w:rsidR="004E62FA" w:rsidRPr="0018747A" w:rsidRDefault="005A0663" w:rsidP="004E62FA">
      <w:pPr>
        <w:autoSpaceDE w:val="0"/>
        <w:autoSpaceDN w:val="0"/>
        <w:adjustRightInd w:val="0"/>
        <w:spacing w:after="120" w:line="240" w:lineRule="auto"/>
        <w:rPr>
          <w:rFonts w:eastAsia="Times New Roman"/>
          <w:bCs/>
          <w:sz w:val="24"/>
          <w:szCs w:val="24"/>
          <w:lang w:eastAsia="en-AU"/>
        </w:rPr>
      </w:pPr>
      <w:r w:rsidRPr="0018747A">
        <w:rPr>
          <w:rFonts w:eastAsia="Times New Roman"/>
          <w:bCs/>
          <w:sz w:val="24"/>
          <w:szCs w:val="24"/>
          <w:lang w:eastAsia="en-AU"/>
        </w:rPr>
        <w:t>Th</w:t>
      </w:r>
      <w:r>
        <w:rPr>
          <w:rFonts w:eastAsia="Times New Roman"/>
          <w:bCs/>
          <w:sz w:val="24"/>
          <w:szCs w:val="24"/>
          <w:lang w:eastAsia="en-AU"/>
        </w:rPr>
        <w:t xml:space="preserve">e </w:t>
      </w:r>
      <w:r w:rsidR="004E62FA" w:rsidRPr="0018747A">
        <w:rPr>
          <w:rFonts w:eastAsia="Times New Roman"/>
          <w:bCs/>
          <w:i/>
          <w:sz w:val="24"/>
          <w:szCs w:val="24"/>
          <w:lang w:eastAsia="en-AU"/>
        </w:rPr>
        <w:t xml:space="preserve">Higher Education Support (Maximum Payments for Other Grants) </w:t>
      </w:r>
      <w:r w:rsidR="00D7587A">
        <w:rPr>
          <w:rFonts w:eastAsia="Times New Roman"/>
          <w:bCs/>
          <w:i/>
          <w:sz w:val="24"/>
          <w:szCs w:val="24"/>
          <w:lang w:eastAsia="en-AU"/>
        </w:rPr>
        <w:t>Amendment (No. 1)</w:t>
      </w:r>
      <w:r w:rsidR="00D7587A" w:rsidRPr="0018747A">
        <w:rPr>
          <w:rFonts w:eastAsia="Times New Roman"/>
          <w:bCs/>
          <w:i/>
          <w:sz w:val="24"/>
          <w:szCs w:val="24"/>
          <w:lang w:eastAsia="en-AU"/>
        </w:rPr>
        <w:t xml:space="preserve"> </w:t>
      </w:r>
      <w:r w:rsidR="00C10A44" w:rsidRPr="0018747A">
        <w:rPr>
          <w:rFonts w:eastAsia="Times New Roman"/>
          <w:bCs/>
          <w:i/>
          <w:sz w:val="24"/>
          <w:szCs w:val="24"/>
          <w:lang w:eastAsia="en-AU"/>
        </w:rPr>
        <w:t>20</w:t>
      </w:r>
      <w:r w:rsidR="00C10A44">
        <w:rPr>
          <w:rFonts w:eastAsia="Times New Roman"/>
          <w:bCs/>
          <w:i/>
          <w:sz w:val="24"/>
          <w:szCs w:val="24"/>
          <w:lang w:eastAsia="en-AU"/>
        </w:rPr>
        <w:t>20</w:t>
      </w:r>
      <w:r w:rsidR="00C10A44" w:rsidRPr="0018747A">
        <w:rPr>
          <w:rFonts w:eastAsia="Times New Roman"/>
          <w:bCs/>
          <w:sz w:val="24"/>
          <w:szCs w:val="24"/>
          <w:lang w:eastAsia="en-AU"/>
        </w:rPr>
        <w:t xml:space="preserve"> </w:t>
      </w:r>
      <w:r w:rsidR="004E62FA" w:rsidRPr="0018747A">
        <w:rPr>
          <w:rFonts w:eastAsia="Times New Roman"/>
          <w:bCs/>
          <w:sz w:val="24"/>
          <w:szCs w:val="24"/>
          <w:lang w:eastAsia="en-AU"/>
        </w:rPr>
        <w:t>(</w:t>
      </w:r>
      <w:r w:rsidR="00D7587A">
        <w:rPr>
          <w:rFonts w:eastAsia="Times New Roman"/>
          <w:bCs/>
          <w:sz w:val="24"/>
          <w:szCs w:val="24"/>
          <w:lang w:eastAsia="en-AU"/>
        </w:rPr>
        <w:t>Amendment</w:t>
      </w:r>
      <w:r>
        <w:rPr>
          <w:rFonts w:eastAsia="Times New Roman"/>
          <w:bCs/>
          <w:sz w:val="24"/>
          <w:szCs w:val="24"/>
          <w:lang w:eastAsia="en-AU"/>
        </w:rPr>
        <w:t xml:space="preserve"> Determination</w:t>
      </w:r>
      <w:r w:rsidR="004E62FA" w:rsidRPr="0018747A">
        <w:rPr>
          <w:rFonts w:eastAsia="Times New Roman"/>
          <w:bCs/>
          <w:sz w:val="24"/>
          <w:szCs w:val="24"/>
          <w:lang w:eastAsia="en-AU"/>
        </w:rPr>
        <w:t xml:space="preserve">) is compatible with human rights and freedoms recognised or declared in the international instruments listed in section 3 of the </w:t>
      </w:r>
      <w:r w:rsidR="004E62FA" w:rsidRPr="0018747A">
        <w:rPr>
          <w:rFonts w:eastAsia="Times New Roman"/>
          <w:bCs/>
          <w:i/>
          <w:sz w:val="24"/>
          <w:szCs w:val="24"/>
          <w:lang w:eastAsia="en-AU"/>
        </w:rPr>
        <w:t>Human Rights (Parliamentary Scrutiny) Act 2011</w:t>
      </w:r>
      <w:r w:rsidR="004E62FA" w:rsidRPr="0018747A">
        <w:rPr>
          <w:rFonts w:eastAsia="Times New Roman"/>
          <w:bCs/>
          <w:sz w:val="24"/>
          <w:szCs w:val="24"/>
          <w:lang w:eastAsia="en-AU"/>
        </w:rPr>
        <w:t>.</w:t>
      </w:r>
    </w:p>
    <w:p w14:paraId="52E0388D" w14:textId="77777777" w:rsidR="004E62FA" w:rsidRPr="0018747A" w:rsidRDefault="004E62FA" w:rsidP="004E62FA">
      <w:pPr>
        <w:autoSpaceDE w:val="0"/>
        <w:autoSpaceDN w:val="0"/>
        <w:adjustRightInd w:val="0"/>
        <w:spacing w:after="120" w:line="240" w:lineRule="auto"/>
        <w:ind w:left="142" w:hanging="142"/>
        <w:rPr>
          <w:rFonts w:eastAsia="Times New Roman"/>
          <w:b/>
          <w:bCs/>
          <w:sz w:val="24"/>
          <w:szCs w:val="24"/>
          <w:lang w:eastAsia="en-AU"/>
        </w:rPr>
      </w:pPr>
      <w:r w:rsidRPr="0018747A">
        <w:rPr>
          <w:rFonts w:eastAsia="Times New Roman"/>
          <w:b/>
          <w:bCs/>
          <w:sz w:val="24"/>
          <w:szCs w:val="24"/>
          <w:lang w:eastAsia="en-AU"/>
        </w:rPr>
        <w:t xml:space="preserve">Overview of the </w:t>
      </w:r>
      <w:r w:rsidR="00D7587A">
        <w:rPr>
          <w:rFonts w:eastAsia="Times New Roman"/>
          <w:b/>
          <w:bCs/>
          <w:sz w:val="24"/>
          <w:szCs w:val="24"/>
          <w:lang w:eastAsia="en-AU"/>
        </w:rPr>
        <w:t>Amendment</w:t>
      </w:r>
    </w:p>
    <w:p w14:paraId="7EE65468" w14:textId="77777777" w:rsidR="004E62FA" w:rsidRPr="0018747A" w:rsidRDefault="004E62FA" w:rsidP="004E62FA">
      <w:pPr>
        <w:spacing w:after="120" w:line="240" w:lineRule="auto"/>
        <w:rPr>
          <w:rFonts w:eastAsia="Times New Roman"/>
          <w:sz w:val="24"/>
          <w:szCs w:val="24"/>
          <w:lang w:eastAsia="en-AU"/>
        </w:rPr>
      </w:pPr>
      <w:r w:rsidRPr="0018747A">
        <w:rPr>
          <w:rFonts w:eastAsia="Times New Roman"/>
          <w:sz w:val="24"/>
          <w:szCs w:val="24"/>
          <w:lang w:eastAsia="en-AU"/>
        </w:rPr>
        <w:t xml:space="preserve">Subsection 41-45(1B) of </w:t>
      </w:r>
      <w:r>
        <w:rPr>
          <w:rFonts w:eastAsia="Times New Roman"/>
          <w:sz w:val="24"/>
          <w:szCs w:val="24"/>
          <w:lang w:eastAsia="en-AU"/>
        </w:rPr>
        <w:t xml:space="preserve">the </w:t>
      </w:r>
      <w:r w:rsidRPr="0009161A">
        <w:rPr>
          <w:rFonts w:eastAsia="Times New Roman"/>
          <w:i/>
          <w:sz w:val="24"/>
          <w:szCs w:val="24"/>
          <w:lang w:eastAsia="en-AU"/>
        </w:rPr>
        <w:t>Higher Education Support Act 2003</w:t>
      </w:r>
      <w:r>
        <w:rPr>
          <w:rFonts w:eastAsia="Times New Roman"/>
          <w:sz w:val="24"/>
          <w:szCs w:val="24"/>
          <w:lang w:eastAsia="en-AU"/>
        </w:rPr>
        <w:t xml:space="preserve"> (</w:t>
      </w:r>
      <w:r w:rsidRPr="0018747A">
        <w:rPr>
          <w:rFonts w:eastAsia="Times New Roman"/>
          <w:sz w:val="24"/>
          <w:szCs w:val="24"/>
          <w:lang w:eastAsia="en-AU"/>
        </w:rPr>
        <w:t>the Act</w:t>
      </w:r>
      <w:r>
        <w:rPr>
          <w:rFonts w:eastAsia="Times New Roman"/>
          <w:sz w:val="24"/>
          <w:szCs w:val="24"/>
          <w:lang w:eastAsia="en-AU"/>
        </w:rPr>
        <w:t>)</w:t>
      </w:r>
      <w:r w:rsidRPr="0018747A">
        <w:rPr>
          <w:rFonts w:eastAsia="Times New Roman"/>
          <w:sz w:val="24"/>
          <w:szCs w:val="24"/>
          <w:lang w:eastAsia="en-AU"/>
        </w:rPr>
        <w:t xml:space="preserve"> provides that the Minister must, by legislative instrument, determine the total payments made under Part 2-3 in respect of a year starting on or after 1 January 2017. </w:t>
      </w:r>
      <w:r w:rsidR="00D7587A">
        <w:rPr>
          <w:rFonts w:eastAsia="Times New Roman"/>
          <w:sz w:val="24"/>
          <w:szCs w:val="24"/>
          <w:lang w:eastAsia="en-AU"/>
        </w:rPr>
        <w:t xml:space="preserve">Subsection 41-45(1D) of the Act provides that the Minister may, in writing, vary a determination under subsection 41-45(1B) for a year at any time before the end of that year. </w:t>
      </w:r>
      <w:r>
        <w:rPr>
          <w:rFonts w:eastAsia="Times New Roman"/>
          <w:sz w:val="24"/>
          <w:szCs w:val="24"/>
          <w:lang w:eastAsia="en-AU"/>
        </w:rPr>
        <w:t xml:space="preserve">The </w:t>
      </w:r>
      <w:r w:rsidR="00D7587A">
        <w:rPr>
          <w:rFonts w:eastAsia="Times New Roman"/>
          <w:sz w:val="24"/>
          <w:szCs w:val="24"/>
          <w:lang w:eastAsia="en-AU"/>
        </w:rPr>
        <w:t xml:space="preserve">Amendment </w:t>
      </w:r>
      <w:r w:rsidR="005A0663">
        <w:rPr>
          <w:rFonts w:eastAsia="Times New Roman"/>
          <w:sz w:val="24"/>
          <w:szCs w:val="24"/>
          <w:lang w:eastAsia="en-AU"/>
        </w:rPr>
        <w:t xml:space="preserve">Determination </w:t>
      </w:r>
      <w:r>
        <w:rPr>
          <w:rFonts w:eastAsia="Times New Roman"/>
          <w:sz w:val="24"/>
          <w:szCs w:val="24"/>
          <w:lang w:eastAsia="en-AU"/>
        </w:rPr>
        <w:t>specifies, for the purpose of subsection 41-45(1B) of the Act, an amount in respect of the year</w:t>
      </w:r>
      <w:r w:rsidR="00C10A44">
        <w:rPr>
          <w:rFonts w:eastAsia="Times New Roman"/>
          <w:sz w:val="24"/>
          <w:szCs w:val="24"/>
          <w:lang w:eastAsia="en-AU"/>
        </w:rPr>
        <w:t>s</w:t>
      </w:r>
      <w:r>
        <w:rPr>
          <w:rFonts w:eastAsia="Times New Roman"/>
          <w:sz w:val="24"/>
          <w:szCs w:val="24"/>
          <w:lang w:eastAsia="en-AU"/>
        </w:rPr>
        <w:t xml:space="preserve"> </w:t>
      </w:r>
      <w:r w:rsidR="00BA1160">
        <w:rPr>
          <w:rFonts w:eastAsia="Times New Roman"/>
          <w:sz w:val="24"/>
          <w:szCs w:val="24"/>
          <w:lang w:eastAsia="en-AU"/>
        </w:rPr>
        <w:t>2020</w:t>
      </w:r>
      <w:r w:rsidR="00C10A44">
        <w:rPr>
          <w:rFonts w:eastAsia="Times New Roman"/>
          <w:sz w:val="24"/>
          <w:szCs w:val="24"/>
          <w:lang w:eastAsia="en-AU"/>
        </w:rPr>
        <w:t xml:space="preserve"> - 2023</w:t>
      </w:r>
      <w:r>
        <w:rPr>
          <w:rFonts w:eastAsia="Times New Roman"/>
          <w:sz w:val="24"/>
          <w:szCs w:val="24"/>
          <w:lang w:eastAsia="en-AU"/>
        </w:rPr>
        <w:t>.</w:t>
      </w:r>
    </w:p>
    <w:p w14:paraId="65411C28" w14:textId="77777777" w:rsidR="004E62FA" w:rsidRPr="0018747A" w:rsidRDefault="004E62FA" w:rsidP="004E62FA">
      <w:pPr>
        <w:spacing w:after="120"/>
        <w:rPr>
          <w:rFonts w:eastAsia="Times New Roman"/>
          <w:sz w:val="24"/>
          <w:szCs w:val="24"/>
          <w:lang w:eastAsia="en-AU"/>
        </w:rPr>
      </w:pPr>
      <w:r w:rsidRPr="0018747A">
        <w:rPr>
          <w:rFonts w:eastAsia="Times New Roman"/>
          <w:sz w:val="24"/>
          <w:szCs w:val="24"/>
          <w:lang w:eastAsia="en-AU"/>
        </w:rPr>
        <w:t xml:space="preserve">The </w:t>
      </w:r>
      <w:r w:rsidR="005A0663">
        <w:rPr>
          <w:rFonts w:eastAsia="Times New Roman"/>
          <w:sz w:val="24"/>
          <w:szCs w:val="24"/>
          <w:lang w:eastAsia="en-AU"/>
        </w:rPr>
        <w:t xml:space="preserve">Amendment </w:t>
      </w:r>
      <w:r w:rsidRPr="0018747A">
        <w:rPr>
          <w:rFonts w:eastAsia="Times New Roman"/>
          <w:sz w:val="24"/>
          <w:szCs w:val="24"/>
          <w:lang w:eastAsia="en-AU"/>
        </w:rPr>
        <w:t>Determination:</w:t>
      </w:r>
    </w:p>
    <w:p w14:paraId="0DE20679" w14:textId="77777777" w:rsidR="004E62FA" w:rsidRPr="0018747A" w:rsidRDefault="004E62FA" w:rsidP="004E62FA">
      <w:pPr>
        <w:numPr>
          <w:ilvl w:val="0"/>
          <w:numId w:val="1"/>
        </w:numPr>
        <w:spacing w:after="120" w:line="240" w:lineRule="auto"/>
        <w:ind w:hanging="357"/>
        <w:rPr>
          <w:rFonts w:eastAsia="Times New Roman"/>
          <w:sz w:val="24"/>
          <w:szCs w:val="24"/>
          <w:lang w:eastAsia="en-AU"/>
        </w:rPr>
      </w:pPr>
      <w:r w:rsidRPr="0018747A">
        <w:rPr>
          <w:rFonts w:eastAsia="Times New Roman"/>
          <w:sz w:val="24"/>
          <w:szCs w:val="24"/>
          <w:lang w:eastAsia="en-AU"/>
        </w:rPr>
        <w:t xml:space="preserve">revokes the </w:t>
      </w:r>
      <w:r w:rsidRPr="0018747A">
        <w:rPr>
          <w:rFonts w:eastAsia="Times New Roman"/>
          <w:i/>
          <w:sz w:val="24"/>
          <w:szCs w:val="24"/>
          <w:lang w:eastAsia="en-AU"/>
        </w:rPr>
        <w:t xml:space="preserve">Higher Education Support (Maximum Payments for </w:t>
      </w:r>
      <w:r w:rsidR="00C50617">
        <w:rPr>
          <w:rFonts w:eastAsia="Times New Roman"/>
          <w:i/>
          <w:sz w:val="24"/>
          <w:szCs w:val="24"/>
          <w:lang w:eastAsia="en-AU"/>
        </w:rPr>
        <w:t>O</w:t>
      </w:r>
      <w:r w:rsidR="00C50617" w:rsidRPr="0018747A">
        <w:rPr>
          <w:rFonts w:eastAsia="Times New Roman"/>
          <w:i/>
          <w:sz w:val="24"/>
          <w:szCs w:val="24"/>
          <w:lang w:eastAsia="en-AU"/>
        </w:rPr>
        <w:t xml:space="preserve">ther </w:t>
      </w:r>
      <w:r w:rsidRPr="0018747A">
        <w:rPr>
          <w:rFonts w:eastAsia="Times New Roman"/>
          <w:i/>
          <w:sz w:val="24"/>
          <w:szCs w:val="24"/>
          <w:lang w:eastAsia="en-AU"/>
        </w:rPr>
        <w:t xml:space="preserve">Grants) Determination </w:t>
      </w:r>
      <w:r w:rsidR="00210B6B">
        <w:rPr>
          <w:rFonts w:eastAsia="Times New Roman"/>
          <w:i/>
          <w:sz w:val="24"/>
          <w:szCs w:val="24"/>
          <w:lang w:eastAsia="en-AU"/>
        </w:rPr>
        <w:t>201</w:t>
      </w:r>
      <w:r w:rsidR="00C10A44">
        <w:rPr>
          <w:rFonts w:eastAsia="Times New Roman"/>
          <w:i/>
          <w:sz w:val="24"/>
          <w:szCs w:val="24"/>
          <w:lang w:eastAsia="en-AU"/>
        </w:rPr>
        <w:t>9</w:t>
      </w:r>
      <w:r w:rsidR="00210B6B" w:rsidRPr="0018747A">
        <w:rPr>
          <w:rFonts w:eastAsia="Times New Roman"/>
          <w:sz w:val="24"/>
          <w:szCs w:val="24"/>
          <w:lang w:eastAsia="en-AU"/>
        </w:rPr>
        <w:t xml:space="preserve"> </w:t>
      </w:r>
      <w:r w:rsidRPr="0018747A">
        <w:rPr>
          <w:rFonts w:eastAsia="Times New Roman"/>
          <w:sz w:val="24"/>
          <w:szCs w:val="24"/>
          <w:lang w:eastAsia="en-AU"/>
        </w:rPr>
        <w:t>and</w:t>
      </w:r>
    </w:p>
    <w:p w14:paraId="331EFE90" w14:textId="77777777" w:rsidR="004E62FA" w:rsidRPr="0018747A" w:rsidRDefault="004E62FA" w:rsidP="004E62FA">
      <w:pPr>
        <w:numPr>
          <w:ilvl w:val="0"/>
          <w:numId w:val="1"/>
        </w:numPr>
        <w:spacing w:after="0" w:line="240" w:lineRule="auto"/>
        <w:rPr>
          <w:rFonts w:eastAsia="Times New Roman"/>
          <w:sz w:val="24"/>
          <w:szCs w:val="24"/>
          <w:lang w:eastAsia="en-AU"/>
        </w:rPr>
      </w:pPr>
      <w:r w:rsidRPr="0018747A">
        <w:rPr>
          <w:rFonts w:eastAsia="Times New Roman"/>
          <w:sz w:val="24"/>
          <w:szCs w:val="24"/>
          <w:lang w:eastAsia="en-AU"/>
        </w:rPr>
        <w:t xml:space="preserve">sets out the maximum total payments to be made under Part 2-3 for Other Grants for the </w:t>
      </w:r>
      <w:r w:rsidR="00C10A44" w:rsidRPr="0018747A">
        <w:rPr>
          <w:rFonts w:eastAsia="Times New Roman"/>
          <w:sz w:val="24"/>
          <w:szCs w:val="24"/>
          <w:lang w:eastAsia="en-AU"/>
        </w:rPr>
        <w:t>20</w:t>
      </w:r>
      <w:r w:rsidR="00C10A44">
        <w:rPr>
          <w:rFonts w:eastAsia="Times New Roman"/>
          <w:sz w:val="24"/>
          <w:szCs w:val="24"/>
          <w:lang w:eastAsia="en-AU"/>
        </w:rPr>
        <w:t>20</w:t>
      </w:r>
      <w:r w:rsidR="00C10A44" w:rsidRPr="0018747A">
        <w:rPr>
          <w:rFonts w:eastAsia="Times New Roman"/>
          <w:sz w:val="24"/>
          <w:szCs w:val="24"/>
          <w:lang w:eastAsia="en-AU"/>
        </w:rPr>
        <w:t xml:space="preserve"> </w:t>
      </w:r>
      <w:r w:rsidRPr="0018747A">
        <w:rPr>
          <w:rFonts w:eastAsia="Times New Roman"/>
          <w:sz w:val="24"/>
          <w:szCs w:val="24"/>
          <w:lang w:eastAsia="en-AU"/>
        </w:rPr>
        <w:t xml:space="preserve">to </w:t>
      </w:r>
      <w:r w:rsidR="00210B6B" w:rsidRPr="0018747A">
        <w:rPr>
          <w:rFonts w:eastAsia="Times New Roman"/>
          <w:sz w:val="24"/>
          <w:szCs w:val="24"/>
          <w:lang w:eastAsia="en-AU"/>
        </w:rPr>
        <w:t>202</w:t>
      </w:r>
      <w:r w:rsidR="00210B6B">
        <w:rPr>
          <w:rFonts w:eastAsia="Times New Roman"/>
          <w:sz w:val="24"/>
          <w:szCs w:val="24"/>
          <w:lang w:eastAsia="en-AU"/>
        </w:rPr>
        <w:t>3</w:t>
      </w:r>
      <w:r w:rsidR="00210B6B" w:rsidRPr="0018747A">
        <w:rPr>
          <w:rFonts w:eastAsia="Times New Roman"/>
          <w:sz w:val="24"/>
          <w:szCs w:val="24"/>
          <w:lang w:eastAsia="en-AU"/>
        </w:rPr>
        <w:t xml:space="preserve"> </w:t>
      </w:r>
      <w:r w:rsidRPr="0018747A">
        <w:rPr>
          <w:rFonts w:eastAsia="Times New Roman"/>
          <w:sz w:val="24"/>
          <w:szCs w:val="24"/>
          <w:lang w:eastAsia="en-AU"/>
        </w:rPr>
        <w:t>calendar years.</w:t>
      </w:r>
    </w:p>
    <w:p w14:paraId="19A74F23" w14:textId="77777777" w:rsidR="004E62FA" w:rsidRPr="0018747A" w:rsidRDefault="004E62FA" w:rsidP="004E62FA">
      <w:pPr>
        <w:tabs>
          <w:tab w:val="left" w:pos="7728"/>
        </w:tabs>
        <w:spacing w:after="120" w:line="240" w:lineRule="auto"/>
        <w:rPr>
          <w:rFonts w:eastAsia="Times New Roman"/>
          <w:sz w:val="24"/>
          <w:szCs w:val="24"/>
          <w:lang w:eastAsia="en-AU"/>
        </w:rPr>
      </w:pPr>
    </w:p>
    <w:p w14:paraId="4293A797" w14:textId="77777777" w:rsidR="004E62FA" w:rsidRPr="0018747A" w:rsidRDefault="004E62FA" w:rsidP="004E62FA">
      <w:pPr>
        <w:autoSpaceDE w:val="0"/>
        <w:autoSpaceDN w:val="0"/>
        <w:adjustRightInd w:val="0"/>
        <w:spacing w:after="120" w:line="240" w:lineRule="auto"/>
        <w:ind w:left="142" w:hanging="142"/>
        <w:rPr>
          <w:rFonts w:eastAsia="Times New Roman"/>
          <w:b/>
          <w:bCs/>
          <w:sz w:val="24"/>
          <w:szCs w:val="24"/>
          <w:lang w:eastAsia="en-AU"/>
        </w:rPr>
      </w:pPr>
      <w:r w:rsidRPr="0018747A">
        <w:rPr>
          <w:rFonts w:eastAsia="Times New Roman"/>
          <w:b/>
          <w:bCs/>
          <w:sz w:val="24"/>
          <w:szCs w:val="24"/>
          <w:lang w:eastAsia="en-AU"/>
        </w:rPr>
        <w:t>Human rights implications</w:t>
      </w:r>
    </w:p>
    <w:p w14:paraId="35911656" w14:textId="77777777" w:rsidR="004E62FA" w:rsidRPr="0018747A" w:rsidRDefault="004E62FA" w:rsidP="004E62FA">
      <w:pPr>
        <w:autoSpaceDE w:val="0"/>
        <w:autoSpaceDN w:val="0"/>
        <w:adjustRightInd w:val="0"/>
        <w:rPr>
          <w:rFonts w:eastAsia="Times New Roman"/>
          <w:b/>
          <w:bCs/>
          <w:sz w:val="24"/>
          <w:szCs w:val="24"/>
          <w:lang w:eastAsia="en-AU"/>
        </w:rPr>
      </w:pPr>
      <w:r w:rsidRPr="0018747A">
        <w:rPr>
          <w:rFonts w:eastAsia="Times New Roman"/>
          <w:bCs/>
          <w:i/>
          <w:sz w:val="24"/>
          <w:szCs w:val="24"/>
          <w:lang w:eastAsia="en-AU"/>
        </w:rPr>
        <w:t>Right to education</w:t>
      </w:r>
    </w:p>
    <w:p w14:paraId="1A12A9DA" w14:textId="77777777" w:rsidR="004E62FA" w:rsidRPr="000E429E" w:rsidRDefault="004E62FA" w:rsidP="004E62FA">
      <w:pPr>
        <w:spacing w:after="120" w:line="240" w:lineRule="auto"/>
        <w:rPr>
          <w:rFonts w:eastAsia="Times New Roman"/>
          <w:sz w:val="24"/>
          <w:szCs w:val="24"/>
          <w:lang w:eastAsia="en-AU"/>
        </w:rPr>
      </w:pPr>
      <w:r w:rsidRPr="000E429E">
        <w:rPr>
          <w:rFonts w:eastAsia="Times New Roman"/>
          <w:sz w:val="24"/>
          <w:szCs w:val="24"/>
          <w:lang w:eastAsia="en-AU"/>
        </w:rPr>
        <w:t xml:space="preserve">The </w:t>
      </w:r>
      <w:r w:rsidR="00D7587A">
        <w:rPr>
          <w:rFonts w:eastAsia="Times New Roman"/>
          <w:sz w:val="24"/>
          <w:szCs w:val="24"/>
          <w:lang w:eastAsia="en-AU"/>
        </w:rPr>
        <w:t>Amendment</w:t>
      </w:r>
      <w:r w:rsidR="005A0663">
        <w:rPr>
          <w:rFonts w:eastAsia="Times New Roman"/>
          <w:sz w:val="24"/>
          <w:szCs w:val="24"/>
          <w:lang w:eastAsia="en-AU"/>
        </w:rPr>
        <w:t xml:space="preserve"> Determination</w:t>
      </w:r>
      <w:r w:rsidR="00D7587A" w:rsidRPr="000E429E">
        <w:rPr>
          <w:rFonts w:eastAsia="Times New Roman"/>
          <w:sz w:val="24"/>
          <w:szCs w:val="24"/>
          <w:lang w:eastAsia="en-AU"/>
        </w:rPr>
        <w:t xml:space="preserve"> </w:t>
      </w:r>
      <w:r w:rsidRPr="000E429E">
        <w:rPr>
          <w:rFonts w:eastAsia="Times New Roman"/>
          <w:sz w:val="24"/>
          <w:szCs w:val="24"/>
          <w:lang w:eastAsia="en-AU"/>
        </w:rPr>
        <w:t xml:space="preserve">engages the right to education contained in Article 13 of the </w:t>
      </w:r>
      <w:r w:rsidRPr="0009161A">
        <w:rPr>
          <w:rFonts w:eastAsia="Times New Roman"/>
          <w:i/>
          <w:sz w:val="24"/>
          <w:szCs w:val="24"/>
          <w:lang w:eastAsia="en-AU"/>
        </w:rPr>
        <w:t xml:space="preserve">International Covenant on Economic, Social and Cultural Rights. </w:t>
      </w:r>
    </w:p>
    <w:p w14:paraId="590AC40B" w14:textId="35B0FE02" w:rsidR="004E62FA" w:rsidRPr="000E429E" w:rsidRDefault="004E62FA" w:rsidP="004E62FA">
      <w:pPr>
        <w:spacing w:after="120" w:line="240" w:lineRule="auto"/>
        <w:rPr>
          <w:rFonts w:eastAsia="Times New Roman"/>
          <w:sz w:val="24"/>
          <w:szCs w:val="24"/>
          <w:lang w:eastAsia="en-AU"/>
        </w:rPr>
      </w:pPr>
      <w:r w:rsidRPr="000E429E">
        <w:rPr>
          <w:rFonts w:eastAsia="Times New Roman"/>
          <w:sz w:val="24"/>
          <w:szCs w:val="24"/>
          <w:lang w:eastAsia="en-AU"/>
        </w:rPr>
        <w:t xml:space="preserve">The Minister is empowered to determine maximum amounts payable for Other Grants for the </w:t>
      </w:r>
      <w:r w:rsidR="00210B6B" w:rsidRPr="000E429E">
        <w:rPr>
          <w:rFonts w:eastAsia="Times New Roman"/>
          <w:sz w:val="24"/>
          <w:szCs w:val="24"/>
          <w:lang w:eastAsia="en-AU"/>
        </w:rPr>
        <w:t>20</w:t>
      </w:r>
      <w:r w:rsidR="00BA1160">
        <w:rPr>
          <w:rFonts w:eastAsia="Times New Roman"/>
          <w:sz w:val="24"/>
          <w:szCs w:val="24"/>
          <w:lang w:eastAsia="en-AU"/>
        </w:rPr>
        <w:t>20</w:t>
      </w:r>
      <w:r w:rsidR="00210B6B">
        <w:rPr>
          <w:rFonts w:eastAsia="Times New Roman"/>
          <w:sz w:val="24"/>
          <w:szCs w:val="24"/>
          <w:lang w:eastAsia="en-AU"/>
        </w:rPr>
        <w:t xml:space="preserve"> </w:t>
      </w:r>
      <w:r w:rsidR="00BA1160">
        <w:rPr>
          <w:rFonts w:eastAsia="Times New Roman"/>
          <w:sz w:val="24"/>
          <w:szCs w:val="24"/>
          <w:lang w:eastAsia="en-AU"/>
        </w:rPr>
        <w:t xml:space="preserve">to 2023 </w:t>
      </w:r>
      <w:r w:rsidRPr="000E429E">
        <w:rPr>
          <w:rFonts w:eastAsia="Times New Roman"/>
          <w:sz w:val="24"/>
          <w:szCs w:val="24"/>
          <w:lang w:eastAsia="en-AU"/>
        </w:rPr>
        <w:t>calendar year</w:t>
      </w:r>
      <w:r w:rsidR="00BA1160">
        <w:rPr>
          <w:rFonts w:eastAsia="Times New Roman"/>
          <w:sz w:val="24"/>
          <w:szCs w:val="24"/>
          <w:lang w:eastAsia="en-AU"/>
        </w:rPr>
        <w:t>s</w:t>
      </w:r>
      <w:r w:rsidRPr="000E429E">
        <w:rPr>
          <w:rFonts w:eastAsia="Times New Roman"/>
          <w:sz w:val="24"/>
          <w:szCs w:val="24"/>
          <w:lang w:eastAsia="en-AU"/>
        </w:rPr>
        <w:t xml:space="preserve">. By </w:t>
      </w:r>
      <w:r w:rsidR="005A0663">
        <w:rPr>
          <w:rFonts w:eastAsia="Times New Roman"/>
          <w:sz w:val="24"/>
          <w:szCs w:val="24"/>
          <w:lang w:eastAsia="en-AU"/>
        </w:rPr>
        <w:t>facilitating the grant of funding</w:t>
      </w:r>
      <w:r w:rsidR="00911981">
        <w:rPr>
          <w:rFonts w:eastAsia="Times New Roman"/>
          <w:sz w:val="24"/>
          <w:szCs w:val="24"/>
          <w:lang w:eastAsia="en-AU"/>
        </w:rPr>
        <w:t xml:space="preserve"> and providing a framework for its allocation</w:t>
      </w:r>
      <w:r w:rsidRPr="000E429E">
        <w:rPr>
          <w:rFonts w:eastAsia="Times New Roman"/>
          <w:sz w:val="24"/>
          <w:szCs w:val="24"/>
          <w:lang w:eastAsia="en-AU"/>
        </w:rPr>
        <w:t xml:space="preserve">, the </w:t>
      </w:r>
      <w:r w:rsidR="00D7587A">
        <w:rPr>
          <w:rFonts w:eastAsia="Times New Roman"/>
          <w:sz w:val="24"/>
          <w:szCs w:val="24"/>
          <w:lang w:eastAsia="en-AU"/>
        </w:rPr>
        <w:t>Amendment</w:t>
      </w:r>
      <w:r w:rsidR="005A0663">
        <w:rPr>
          <w:rFonts w:eastAsia="Times New Roman"/>
          <w:sz w:val="24"/>
          <w:szCs w:val="24"/>
          <w:lang w:eastAsia="en-AU"/>
        </w:rPr>
        <w:t xml:space="preserve"> Determination</w:t>
      </w:r>
      <w:r w:rsidR="00D7587A" w:rsidRPr="000E429E">
        <w:rPr>
          <w:rFonts w:eastAsia="Times New Roman"/>
          <w:sz w:val="24"/>
          <w:szCs w:val="24"/>
          <w:lang w:eastAsia="en-AU"/>
        </w:rPr>
        <w:t xml:space="preserve"> </w:t>
      </w:r>
      <w:r w:rsidRPr="000E429E">
        <w:rPr>
          <w:rFonts w:eastAsia="Times New Roman"/>
          <w:sz w:val="24"/>
          <w:szCs w:val="24"/>
          <w:lang w:eastAsia="en-AU"/>
        </w:rPr>
        <w:t>support</w:t>
      </w:r>
      <w:r w:rsidR="00911981">
        <w:rPr>
          <w:rFonts w:eastAsia="Times New Roman"/>
          <w:sz w:val="24"/>
          <w:szCs w:val="24"/>
          <w:lang w:eastAsia="en-AU"/>
        </w:rPr>
        <w:t>s</w:t>
      </w:r>
      <w:r w:rsidRPr="000E429E">
        <w:rPr>
          <w:rFonts w:eastAsia="Times New Roman"/>
          <w:sz w:val="24"/>
          <w:szCs w:val="24"/>
          <w:lang w:eastAsia="en-AU"/>
        </w:rPr>
        <w:t xml:space="preserve"> the payments of the Other Grants for the purposes specified in the table in section 41-10 of the Act. As the purposes of the Other Grants include the promotion of equality of opportunity in higher education, the support of diversity and structural reform and the support of the training of research students (amongst other purposes) the </w:t>
      </w:r>
      <w:r w:rsidR="00D7587A">
        <w:rPr>
          <w:rFonts w:eastAsia="Times New Roman"/>
          <w:sz w:val="24"/>
          <w:szCs w:val="24"/>
          <w:lang w:eastAsia="en-AU"/>
        </w:rPr>
        <w:t>Amendment</w:t>
      </w:r>
      <w:r w:rsidR="00D7587A" w:rsidRPr="000E429E">
        <w:rPr>
          <w:rFonts w:eastAsia="Times New Roman"/>
          <w:sz w:val="24"/>
          <w:szCs w:val="24"/>
          <w:lang w:eastAsia="en-AU"/>
        </w:rPr>
        <w:t xml:space="preserve"> </w:t>
      </w:r>
      <w:r w:rsidR="005A0663">
        <w:rPr>
          <w:rFonts w:eastAsia="Times New Roman"/>
          <w:sz w:val="24"/>
          <w:szCs w:val="24"/>
          <w:lang w:eastAsia="en-AU"/>
        </w:rPr>
        <w:t>Determination supports and promotes</w:t>
      </w:r>
      <w:r w:rsidR="005A0663" w:rsidRPr="000E429E">
        <w:rPr>
          <w:rFonts w:eastAsia="Times New Roman"/>
          <w:sz w:val="24"/>
          <w:szCs w:val="24"/>
          <w:lang w:eastAsia="en-AU"/>
        </w:rPr>
        <w:t xml:space="preserve"> </w:t>
      </w:r>
      <w:r w:rsidRPr="000E429E">
        <w:rPr>
          <w:rFonts w:eastAsia="Times New Roman"/>
          <w:sz w:val="24"/>
          <w:szCs w:val="24"/>
          <w:lang w:eastAsia="en-AU"/>
        </w:rPr>
        <w:t>access to education and therefore is compatible with</w:t>
      </w:r>
      <w:r>
        <w:rPr>
          <w:rFonts w:eastAsia="Times New Roman"/>
          <w:sz w:val="24"/>
          <w:szCs w:val="24"/>
          <w:lang w:eastAsia="en-AU"/>
        </w:rPr>
        <w:t xml:space="preserve">, and </w:t>
      </w:r>
      <w:r w:rsidR="005A0663">
        <w:rPr>
          <w:rFonts w:eastAsia="Times New Roman"/>
          <w:sz w:val="24"/>
          <w:szCs w:val="24"/>
          <w:lang w:eastAsia="en-AU"/>
        </w:rPr>
        <w:t>in furtherance of</w:t>
      </w:r>
      <w:r>
        <w:rPr>
          <w:rFonts w:eastAsia="Times New Roman"/>
          <w:sz w:val="24"/>
          <w:szCs w:val="24"/>
          <w:lang w:eastAsia="en-AU"/>
        </w:rPr>
        <w:t>,</w:t>
      </w:r>
      <w:r w:rsidRPr="000E429E">
        <w:rPr>
          <w:rFonts w:eastAsia="Times New Roman"/>
          <w:sz w:val="24"/>
          <w:szCs w:val="24"/>
          <w:lang w:eastAsia="en-AU"/>
        </w:rPr>
        <w:t xml:space="preserve"> the right to education.</w:t>
      </w:r>
    </w:p>
    <w:p w14:paraId="0D0FCE83" w14:textId="77777777" w:rsidR="005A0663" w:rsidRDefault="005A0663" w:rsidP="004E62FA">
      <w:pPr>
        <w:autoSpaceDE w:val="0"/>
        <w:autoSpaceDN w:val="0"/>
        <w:adjustRightInd w:val="0"/>
        <w:spacing w:after="120" w:line="240" w:lineRule="auto"/>
        <w:ind w:left="142" w:hanging="142"/>
        <w:rPr>
          <w:rFonts w:eastAsia="Times New Roman"/>
          <w:b/>
          <w:bCs/>
          <w:sz w:val="24"/>
          <w:szCs w:val="24"/>
          <w:lang w:eastAsia="en-AU"/>
        </w:rPr>
      </w:pPr>
    </w:p>
    <w:p w14:paraId="32723C60" w14:textId="77777777" w:rsidR="005A0663" w:rsidRDefault="005A0663" w:rsidP="004E62FA">
      <w:pPr>
        <w:autoSpaceDE w:val="0"/>
        <w:autoSpaceDN w:val="0"/>
        <w:adjustRightInd w:val="0"/>
        <w:spacing w:after="120" w:line="240" w:lineRule="auto"/>
        <w:ind w:left="142" w:hanging="142"/>
        <w:rPr>
          <w:rFonts w:eastAsia="Times New Roman"/>
          <w:b/>
          <w:bCs/>
          <w:sz w:val="24"/>
          <w:szCs w:val="24"/>
          <w:lang w:eastAsia="en-AU"/>
        </w:rPr>
      </w:pPr>
    </w:p>
    <w:p w14:paraId="6382FEF9" w14:textId="77777777" w:rsidR="004E62FA" w:rsidRPr="0018747A" w:rsidRDefault="004E62FA" w:rsidP="004E62FA">
      <w:pPr>
        <w:autoSpaceDE w:val="0"/>
        <w:autoSpaceDN w:val="0"/>
        <w:adjustRightInd w:val="0"/>
        <w:spacing w:after="120" w:line="240" w:lineRule="auto"/>
        <w:ind w:left="142" w:hanging="142"/>
        <w:rPr>
          <w:rFonts w:eastAsia="Times New Roman"/>
          <w:b/>
          <w:bCs/>
          <w:sz w:val="24"/>
          <w:szCs w:val="24"/>
          <w:lang w:eastAsia="en-AU"/>
        </w:rPr>
      </w:pPr>
      <w:r w:rsidRPr="0018747A">
        <w:rPr>
          <w:rFonts w:eastAsia="Times New Roman"/>
          <w:b/>
          <w:bCs/>
          <w:sz w:val="24"/>
          <w:szCs w:val="24"/>
          <w:lang w:eastAsia="en-AU"/>
        </w:rPr>
        <w:lastRenderedPageBreak/>
        <w:t>Conclusion</w:t>
      </w:r>
    </w:p>
    <w:p w14:paraId="337C76F7" w14:textId="620D5902" w:rsidR="004E62FA" w:rsidRPr="000E429E" w:rsidRDefault="005A0663" w:rsidP="004E62FA">
      <w:pPr>
        <w:spacing w:after="120" w:line="240" w:lineRule="auto"/>
        <w:rPr>
          <w:rFonts w:eastAsia="Times New Roman"/>
          <w:sz w:val="24"/>
          <w:szCs w:val="24"/>
          <w:lang w:eastAsia="en-AU"/>
        </w:rPr>
      </w:pPr>
      <w:r w:rsidRPr="000E429E">
        <w:rPr>
          <w:rFonts w:eastAsia="Times New Roman"/>
          <w:sz w:val="24"/>
          <w:szCs w:val="24"/>
          <w:lang w:eastAsia="en-AU"/>
        </w:rPr>
        <w:t>Th</w:t>
      </w:r>
      <w:r>
        <w:rPr>
          <w:rFonts w:eastAsia="Times New Roman"/>
          <w:sz w:val="24"/>
          <w:szCs w:val="24"/>
          <w:lang w:eastAsia="en-AU"/>
        </w:rPr>
        <w:t>e</w:t>
      </w:r>
      <w:r w:rsidRPr="000E429E">
        <w:rPr>
          <w:rFonts w:eastAsia="Times New Roman"/>
          <w:sz w:val="24"/>
          <w:szCs w:val="24"/>
          <w:lang w:eastAsia="en-AU"/>
        </w:rPr>
        <w:t xml:space="preserve"> </w:t>
      </w:r>
      <w:r w:rsidR="00D7587A">
        <w:rPr>
          <w:rFonts w:eastAsia="Times New Roman"/>
          <w:sz w:val="24"/>
          <w:szCs w:val="24"/>
          <w:lang w:eastAsia="en-AU"/>
        </w:rPr>
        <w:t>Amendment</w:t>
      </w:r>
      <w:r>
        <w:rPr>
          <w:rFonts w:eastAsia="Times New Roman"/>
          <w:sz w:val="24"/>
          <w:szCs w:val="24"/>
          <w:lang w:eastAsia="en-AU"/>
        </w:rPr>
        <w:t xml:space="preserve"> Determination</w:t>
      </w:r>
      <w:r w:rsidR="00D7587A" w:rsidRPr="000E429E">
        <w:rPr>
          <w:rFonts w:eastAsia="Times New Roman"/>
          <w:sz w:val="24"/>
          <w:szCs w:val="24"/>
          <w:lang w:eastAsia="en-AU"/>
        </w:rPr>
        <w:t xml:space="preserve"> </w:t>
      </w:r>
      <w:r w:rsidR="004E62FA" w:rsidRPr="000E429E">
        <w:rPr>
          <w:rFonts w:eastAsia="Times New Roman"/>
          <w:sz w:val="24"/>
          <w:szCs w:val="24"/>
          <w:lang w:eastAsia="en-AU"/>
        </w:rPr>
        <w:t>is compatible with human rights because it provides clarity of funding for programs that support access and equality in higher education.</w:t>
      </w:r>
    </w:p>
    <w:p w14:paraId="48ECB9C5" w14:textId="77777777" w:rsidR="00B77EB2" w:rsidRDefault="004E62FA" w:rsidP="00186315">
      <w:r>
        <w:rPr>
          <w:b/>
          <w:sz w:val="24"/>
          <w:szCs w:val="24"/>
        </w:rPr>
        <w:t>T</w:t>
      </w:r>
      <w:r w:rsidRPr="00F1226C">
        <w:rPr>
          <w:b/>
          <w:sz w:val="24"/>
          <w:szCs w:val="24"/>
        </w:rPr>
        <w:t>he</w:t>
      </w:r>
      <w:r w:rsidRPr="00F1226C">
        <w:rPr>
          <w:rFonts w:eastAsia="Times New Roman"/>
          <w:b/>
          <w:sz w:val="24"/>
          <w:szCs w:val="24"/>
          <w:lang w:eastAsia="en-AU"/>
        </w:rPr>
        <w:t xml:space="preserve"> Hon </w:t>
      </w:r>
      <w:r>
        <w:rPr>
          <w:rFonts w:eastAsia="Times New Roman"/>
          <w:b/>
          <w:sz w:val="24"/>
          <w:szCs w:val="24"/>
          <w:lang w:eastAsia="en-AU"/>
        </w:rPr>
        <w:t>Dan Tehan</w:t>
      </w:r>
      <w:r w:rsidR="00371CCB">
        <w:rPr>
          <w:rFonts w:eastAsia="Times New Roman"/>
          <w:b/>
          <w:sz w:val="24"/>
          <w:szCs w:val="24"/>
          <w:lang w:eastAsia="en-AU"/>
        </w:rPr>
        <w:t xml:space="preserve"> MP</w:t>
      </w:r>
      <w:r w:rsidR="00186315">
        <w:rPr>
          <w:rFonts w:eastAsia="Times New Roman"/>
          <w:b/>
          <w:sz w:val="24"/>
          <w:szCs w:val="24"/>
          <w:lang w:eastAsia="en-AU"/>
        </w:rPr>
        <w:t>, Minister for Education</w:t>
      </w:r>
    </w:p>
    <w:sectPr w:rsidR="00B77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4E7C"/>
    <w:multiLevelType w:val="hybridMultilevel"/>
    <w:tmpl w:val="79702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14E3240"/>
    <w:multiLevelType w:val="hybridMultilevel"/>
    <w:tmpl w:val="0AA011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341777"/>
    <w:multiLevelType w:val="hybridMultilevel"/>
    <w:tmpl w:val="D046C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7A2349"/>
    <w:multiLevelType w:val="hybridMultilevel"/>
    <w:tmpl w:val="6F965D7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4" w15:restartNumberingAfterBreak="0">
    <w:nsid w:val="5E110375"/>
    <w:multiLevelType w:val="hybridMultilevel"/>
    <w:tmpl w:val="7A22EDB0"/>
    <w:lvl w:ilvl="0" w:tplc="C48CA7BA">
      <w:start w:val="1"/>
      <w:numFmt w:val="bullet"/>
      <w:lvlText w:val=""/>
      <w:lvlJc w:val="left"/>
      <w:pPr>
        <w:tabs>
          <w:tab w:val="num" w:pos="720"/>
        </w:tabs>
        <w:ind w:left="720" w:hanging="360"/>
      </w:pPr>
      <w:rPr>
        <w:rFonts w:ascii="Symbol" w:hAnsi="Symbol" w:hint="default"/>
      </w:rPr>
    </w:lvl>
    <w:lvl w:ilvl="1" w:tplc="2E48E95A" w:tentative="1">
      <w:start w:val="1"/>
      <w:numFmt w:val="bullet"/>
      <w:lvlText w:val="o"/>
      <w:lvlJc w:val="left"/>
      <w:pPr>
        <w:tabs>
          <w:tab w:val="num" w:pos="1440"/>
        </w:tabs>
        <w:ind w:left="1440" w:hanging="360"/>
      </w:pPr>
      <w:rPr>
        <w:rFonts w:ascii="Courier New" w:hAnsi="Courier New" w:cs="Courier New" w:hint="default"/>
      </w:rPr>
    </w:lvl>
    <w:lvl w:ilvl="2" w:tplc="DDFA52BE" w:tentative="1">
      <w:start w:val="1"/>
      <w:numFmt w:val="bullet"/>
      <w:lvlText w:val=""/>
      <w:lvlJc w:val="left"/>
      <w:pPr>
        <w:tabs>
          <w:tab w:val="num" w:pos="2160"/>
        </w:tabs>
        <w:ind w:left="2160" w:hanging="360"/>
      </w:pPr>
      <w:rPr>
        <w:rFonts w:ascii="Wingdings" w:hAnsi="Wingdings" w:hint="default"/>
      </w:rPr>
    </w:lvl>
    <w:lvl w:ilvl="3" w:tplc="DD464DD6" w:tentative="1">
      <w:start w:val="1"/>
      <w:numFmt w:val="bullet"/>
      <w:lvlText w:val=""/>
      <w:lvlJc w:val="left"/>
      <w:pPr>
        <w:tabs>
          <w:tab w:val="num" w:pos="2880"/>
        </w:tabs>
        <w:ind w:left="2880" w:hanging="360"/>
      </w:pPr>
      <w:rPr>
        <w:rFonts w:ascii="Symbol" w:hAnsi="Symbol" w:hint="default"/>
      </w:rPr>
    </w:lvl>
    <w:lvl w:ilvl="4" w:tplc="8D8CA990" w:tentative="1">
      <w:start w:val="1"/>
      <w:numFmt w:val="bullet"/>
      <w:lvlText w:val="o"/>
      <w:lvlJc w:val="left"/>
      <w:pPr>
        <w:tabs>
          <w:tab w:val="num" w:pos="3600"/>
        </w:tabs>
        <w:ind w:left="3600" w:hanging="360"/>
      </w:pPr>
      <w:rPr>
        <w:rFonts w:ascii="Courier New" w:hAnsi="Courier New" w:cs="Courier New" w:hint="default"/>
      </w:rPr>
    </w:lvl>
    <w:lvl w:ilvl="5" w:tplc="71648672" w:tentative="1">
      <w:start w:val="1"/>
      <w:numFmt w:val="bullet"/>
      <w:lvlText w:val=""/>
      <w:lvlJc w:val="left"/>
      <w:pPr>
        <w:tabs>
          <w:tab w:val="num" w:pos="4320"/>
        </w:tabs>
        <w:ind w:left="4320" w:hanging="360"/>
      </w:pPr>
      <w:rPr>
        <w:rFonts w:ascii="Wingdings" w:hAnsi="Wingdings" w:hint="default"/>
      </w:rPr>
    </w:lvl>
    <w:lvl w:ilvl="6" w:tplc="583EC9E6" w:tentative="1">
      <w:start w:val="1"/>
      <w:numFmt w:val="bullet"/>
      <w:lvlText w:val=""/>
      <w:lvlJc w:val="left"/>
      <w:pPr>
        <w:tabs>
          <w:tab w:val="num" w:pos="5040"/>
        </w:tabs>
        <w:ind w:left="5040" w:hanging="360"/>
      </w:pPr>
      <w:rPr>
        <w:rFonts w:ascii="Symbol" w:hAnsi="Symbol" w:hint="default"/>
      </w:rPr>
    </w:lvl>
    <w:lvl w:ilvl="7" w:tplc="0660064A" w:tentative="1">
      <w:start w:val="1"/>
      <w:numFmt w:val="bullet"/>
      <w:lvlText w:val="o"/>
      <w:lvlJc w:val="left"/>
      <w:pPr>
        <w:tabs>
          <w:tab w:val="num" w:pos="5760"/>
        </w:tabs>
        <w:ind w:left="5760" w:hanging="360"/>
      </w:pPr>
      <w:rPr>
        <w:rFonts w:ascii="Courier New" w:hAnsi="Courier New" w:cs="Courier New" w:hint="default"/>
      </w:rPr>
    </w:lvl>
    <w:lvl w:ilvl="8" w:tplc="883CF9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841857"/>
    <w:multiLevelType w:val="hybridMultilevel"/>
    <w:tmpl w:val="34388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FA"/>
    <w:rsid w:val="000B3598"/>
    <w:rsid w:val="000B600C"/>
    <w:rsid w:val="000D560D"/>
    <w:rsid w:val="000F4C86"/>
    <w:rsid w:val="00100E65"/>
    <w:rsid w:val="00186315"/>
    <w:rsid w:val="001C4282"/>
    <w:rsid w:val="00210B6B"/>
    <w:rsid w:val="002160D4"/>
    <w:rsid w:val="002A4002"/>
    <w:rsid w:val="002C0B5B"/>
    <w:rsid w:val="00371CCB"/>
    <w:rsid w:val="003754EB"/>
    <w:rsid w:val="003B6B28"/>
    <w:rsid w:val="003C16A4"/>
    <w:rsid w:val="003D3348"/>
    <w:rsid w:val="00436816"/>
    <w:rsid w:val="0046544E"/>
    <w:rsid w:val="004903B6"/>
    <w:rsid w:val="004B5C16"/>
    <w:rsid w:val="004E200D"/>
    <w:rsid w:val="004E62FA"/>
    <w:rsid w:val="005163BD"/>
    <w:rsid w:val="00523C61"/>
    <w:rsid w:val="00570C46"/>
    <w:rsid w:val="005931B8"/>
    <w:rsid w:val="005A0663"/>
    <w:rsid w:val="005C1B91"/>
    <w:rsid w:val="005F5CBF"/>
    <w:rsid w:val="00616019"/>
    <w:rsid w:val="006401DE"/>
    <w:rsid w:val="006775C6"/>
    <w:rsid w:val="006B458F"/>
    <w:rsid w:val="006D71A9"/>
    <w:rsid w:val="007075B7"/>
    <w:rsid w:val="007262FA"/>
    <w:rsid w:val="00733918"/>
    <w:rsid w:val="00793ECC"/>
    <w:rsid w:val="007D3FAD"/>
    <w:rsid w:val="007D49B3"/>
    <w:rsid w:val="00823176"/>
    <w:rsid w:val="00864142"/>
    <w:rsid w:val="008A528E"/>
    <w:rsid w:val="008E5EB6"/>
    <w:rsid w:val="00905AE0"/>
    <w:rsid w:val="00911981"/>
    <w:rsid w:val="00957DB2"/>
    <w:rsid w:val="00960608"/>
    <w:rsid w:val="009A3708"/>
    <w:rsid w:val="009B7814"/>
    <w:rsid w:val="009D35C0"/>
    <w:rsid w:val="009E46FD"/>
    <w:rsid w:val="009F50F7"/>
    <w:rsid w:val="00A30FF1"/>
    <w:rsid w:val="00A67A1E"/>
    <w:rsid w:val="00A90387"/>
    <w:rsid w:val="00A953AE"/>
    <w:rsid w:val="00A96141"/>
    <w:rsid w:val="00AB503E"/>
    <w:rsid w:val="00AD3D69"/>
    <w:rsid w:val="00AE76E3"/>
    <w:rsid w:val="00B56563"/>
    <w:rsid w:val="00B57EE2"/>
    <w:rsid w:val="00B77EB2"/>
    <w:rsid w:val="00B91447"/>
    <w:rsid w:val="00BA0727"/>
    <w:rsid w:val="00BA1160"/>
    <w:rsid w:val="00C10A44"/>
    <w:rsid w:val="00C23825"/>
    <w:rsid w:val="00C50617"/>
    <w:rsid w:val="00C5196E"/>
    <w:rsid w:val="00C55347"/>
    <w:rsid w:val="00C7211A"/>
    <w:rsid w:val="00C734F1"/>
    <w:rsid w:val="00CA2C34"/>
    <w:rsid w:val="00CA4F89"/>
    <w:rsid w:val="00CD7F90"/>
    <w:rsid w:val="00CF1720"/>
    <w:rsid w:val="00D03AB9"/>
    <w:rsid w:val="00D457C9"/>
    <w:rsid w:val="00D63274"/>
    <w:rsid w:val="00D7587A"/>
    <w:rsid w:val="00E03E05"/>
    <w:rsid w:val="00E1676F"/>
    <w:rsid w:val="00EB776B"/>
    <w:rsid w:val="00EF3137"/>
    <w:rsid w:val="00EF555B"/>
    <w:rsid w:val="00F11D4C"/>
    <w:rsid w:val="00FC5B85"/>
    <w:rsid w:val="00FD5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6962"/>
  <w15:chartTrackingRefBased/>
  <w15:docId w15:val="{58DB3B56-13CD-44E8-A8DD-9A9CE85A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2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4E62FA"/>
    <w:pPr>
      <w:ind w:left="720"/>
      <w:contextualSpacing/>
    </w:pPr>
  </w:style>
  <w:style w:type="paragraph" w:styleId="BalloonText">
    <w:name w:val="Balloon Text"/>
    <w:basedOn w:val="Normal"/>
    <w:link w:val="BalloonTextChar"/>
    <w:uiPriority w:val="99"/>
    <w:semiHidden/>
    <w:unhideWhenUsed/>
    <w:rsid w:val="00C50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617"/>
    <w:rPr>
      <w:rFonts w:ascii="Segoe UI" w:hAnsi="Segoe UI" w:cs="Segoe UI"/>
      <w:sz w:val="18"/>
      <w:szCs w:val="18"/>
    </w:rPr>
  </w:style>
  <w:style w:type="character" w:styleId="CommentReference">
    <w:name w:val="annotation reference"/>
    <w:basedOn w:val="DefaultParagraphFont"/>
    <w:uiPriority w:val="99"/>
    <w:semiHidden/>
    <w:unhideWhenUsed/>
    <w:rsid w:val="00C50617"/>
    <w:rPr>
      <w:sz w:val="16"/>
      <w:szCs w:val="16"/>
    </w:rPr>
  </w:style>
  <w:style w:type="paragraph" w:styleId="CommentText">
    <w:name w:val="annotation text"/>
    <w:basedOn w:val="Normal"/>
    <w:link w:val="CommentTextChar"/>
    <w:uiPriority w:val="99"/>
    <w:semiHidden/>
    <w:unhideWhenUsed/>
    <w:rsid w:val="00C50617"/>
    <w:pPr>
      <w:spacing w:line="240" w:lineRule="auto"/>
    </w:pPr>
    <w:rPr>
      <w:sz w:val="20"/>
      <w:szCs w:val="20"/>
    </w:rPr>
  </w:style>
  <w:style w:type="character" w:customStyle="1" w:styleId="CommentTextChar">
    <w:name w:val="Comment Text Char"/>
    <w:basedOn w:val="DefaultParagraphFont"/>
    <w:link w:val="CommentText"/>
    <w:uiPriority w:val="99"/>
    <w:semiHidden/>
    <w:rsid w:val="00C50617"/>
    <w:rPr>
      <w:sz w:val="20"/>
      <w:szCs w:val="20"/>
    </w:rPr>
  </w:style>
  <w:style w:type="paragraph" w:styleId="CommentSubject">
    <w:name w:val="annotation subject"/>
    <w:basedOn w:val="CommentText"/>
    <w:next w:val="CommentText"/>
    <w:link w:val="CommentSubjectChar"/>
    <w:uiPriority w:val="99"/>
    <w:semiHidden/>
    <w:unhideWhenUsed/>
    <w:rsid w:val="00C50617"/>
    <w:rPr>
      <w:b/>
      <w:bCs/>
    </w:rPr>
  </w:style>
  <w:style w:type="character" w:customStyle="1" w:styleId="CommentSubjectChar">
    <w:name w:val="Comment Subject Char"/>
    <w:basedOn w:val="CommentTextChar"/>
    <w:link w:val="CommentSubject"/>
    <w:uiPriority w:val="99"/>
    <w:semiHidden/>
    <w:rsid w:val="00C50617"/>
    <w:rPr>
      <w:b/>
      <w:bCs/>
      <w:sz w:val="20"/>
      <w:szCs w:val="20"/>
    </w:r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34"/>
    <w:locked/>
    <w:rsid w:val="00523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77983">
      <w:bodyDiv w:val="1"/>
      <w:marLeft w:val="0"/>
      <w:marRight w:val="0"/>
      <w:marTop w:val="0"/>
      <w:marBottom w:val="0"/>
      <w:divBdr>
        <w:top w:val="none" w:sz="0" w:space="0" w:color="auto"/>
        <w:left w:val="none" w:sz="0" w:space="0" w:color="auto"/>
        <w:bottom w:val="none" w:sz="0" w:space="0" w:color="auto"/>
        <w:right w:val="none" w:sz="0" w:space="0" w:color="auto"/>
      </w:divBdr>
    </w:div>
    <w:div w:id="622462274">
      <w:bodyDiv w:val="1"/>
      <w:marLeft w:val="0"/>
      <w:marRight w:val="0"/>
      <w:marTop w:val="0"/>
      <w:marBottom w:val="0"/>
      <w:divBdr>
        <w:top w:val="none" w:sz="0" w:space="0" w:color="auto"/>
        <w:left w:val="none" w:sz="0" w:space="0" w:color="auto"/>
        <w:bottom w:val="none" w:sz="0" w:space="0" w:color="auto"/>
        <w:right w:val="none" w:sz="0" w:space="0" w:color="auto"/>
      </w:divBdr>
    </w:div>
    <w:div w:id="1521889056">
      <w:bodyDiv w:val="1"/>
      <w:marLeft w:val="0"/>
      <w:marRight w:val="0"/>
      <w:marTop w:val="0"/>
      <w:marBottom w:val="0"/>
      <w:divBdr>
        <w:top w:val="none" w:sz="0" w:space="0" w:color="auto"/>
        <w:left w:val="none" w:sz="0" w:space="0" w:color="auto"/>
        <w:bottom w:val="none" w:sz="0" w:space="0" w:color="auto"/>
        <w:right w:val="none" w:sz="0" w:space="0" w:color="auto"/>
      </w:divBdr>
    </w:div>
    <w:div w:id="171215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5EB2FCF-9378-4EF2-B2D0-7ADB349C10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982EF4B39865645B99934FA4FDD57BA" ma:contentTypeVersion="" ma:contentTypeDescription="PDMS Document Site Content Type" ma:contentTypeScope="" ma:versionID="c6a52f7a17104da39f3efa9f4eda0a34">
  <xsd:schema xmlns:xsd="http://www.w3.org/2001/XMLSchema" xmlns:xs="http://www.w3.org/2001/XMLSchema" xmlns:p="http://schemas.microsoft.com/office/2006/metadata/properties" xmlns:ns2="F5EB2FCF-9378-4EF2-B2D0-7ADB349C1032" targetNamespace="http://schemas.microsoft.com/office/2006/metadata/properties" ma:root="true" ma:fieldsID="c0a8375a9609f3c827da4dd6dd750d77" ns2:_="">
    <xsd:import namespace="F5EB2FCF-9378-4EF2-B2D0-7ADB349C103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B2FCF-9378-4EF2-B2D0-7ADB349C103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3263C-F71C-4B67-8186-203AD63321C9}">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F5EB2FCF-9378-4EF2-B2D0-7ADB349C1032"/>
    <ds:schemaRef ds:uri="http://www.w3.org/XML/1998/namespace"/>
  </ds:schemaRefs>
</ds:datastoreItem>
</file>

<file path=customXml/itemProps2.xml><?xml version="1.0" encoding="utf-8"?>
<ds:datastoreItem xmlns:ds="http://schemas.openxmlformats.org/officeDocument/2006/customXml" ds:itemID="{58C927D7-FCF5-458A-B990-89BFD2727383}">
  <ds:schemaRefs>
    <ds:schemaRef ds:uri="http://schemas.microsoft.com/sharepoint/v3/contenttype/forms"/>
  </ds:schemaRefs>
</ds:datastoreItem>
</file>

<file path=customXml/itemProps3.xml><?xml version="1.0" encoding="utf-8"?>
<ds:datastoreItem xmlns:ds="http://schemas.openxmlformats.org/officeDocument/2006/customXml" ds:itemID="{7A4875F1-91A0-4668-84EB-521BEAF41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B2FCF-9378-4EF2-B2D0-7ADB349C1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6E4436B8</Template>
  <TotalTime>3</TotalTime>
  <Pages>5</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CARLE,Jennifer</dc:creator>
  <cp:keywords/>
  <dc:description/>
  <cp:lastModifiedBy>MASON,Rob</cp:lastModifiedBy>
  <cp:revision>3</cp:revision>
  <dcterms:created xsi:type="dcterms:W3CDTF">2020-07-21T01:13:00Z</dcterms:created>
  <dcterms:modified xsi:type="dcterms:W3CDTF">2020-07-21T01:15:00Z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0x010100266966F133664895A6EE3632470D45F5007982EF4B39865645B99934FA4FDD57BA</vt:lpwstr>
  </property>
</Properties>
</file>