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7E7F4" w14:textId="77777777" w:rsidR="00CB7C40" w:rsidRPr="00641906" w:rsidRDefault="00CB7C40" w:rsidP="00CB7C40">
      <w:pPr>
        <w:jc w:val="center"/>
        <w:rPr>
          <w:rFonts w:ascii="Times New Roman" w:hAnsi="Times New Roman" w:cs="Times New Roman"/>
          <w:b/>
          <w:sz w:val="28"/>
          <w:szCs w:val="28"/>
        </w:rPr>
      </w:pPr>
      <w:bookmarkStart w:id="0" w:name="_GoBack"/>
      <w:bookmarkEnd w:id="0"/>
      <w:r w:rsidRPr="00641906">
        <w:rPr>
          <w:rFonts w:ascii="Times New Roman" w:hAnsi="Times New Roman" w:cs="Times New Roman"/>
          <w:b/>
          <w:sz w:val="28"/>
          <w:szCs w:val="28"/>
        </w:rPr>
        <w:t>EXPLANATORY STATEMENT</w:t>
      </w:r>
    </w:p>
    <w:p w14:paraId="2C9A5CC0" w14:textId="77777777" w:rsidR="00CB7C40" w:rsidRPr="0079789F" w:rsidRDefault="00CE7BCF" w:rsidP="00CB7C40">
      <w:pPr>
        <w:jc w:val="center"/>
        <w:rPr>
          <w:rFonts w:ascii="Times New Roman" w:hAnsi="Times New Roman" w:cs="Times New Roman"/>
          <w:sz w:val="24"/>
          <w:szCs w:val="24"/>
        </w:rPr>
      </w:pPr>
      <w:r w:rsidRPr="0079789F">
        <w:rPr>
          <w:rFonts w:ascii="Times New Roman" w:hAnsi="Times New Roman" w:cs="Times New Roman"/>
          <w:sz w:val="24"/>
          <w:szCs w:val="24"/>
        </w:rPr>
        <w:t>Issued by authority of the Minister for Education and Training</w:t>
      </w:r>
    </w:p>
    <w:p w14:paraId="38E4F4D0" w14:textId="77777777" w:rsidR="00CB7C40" w:rsidRPr="0079789F" w:rsidRDefault="00CE7BCF" w:rsidP="00CB7C40">
      <w:pPr>
        <w:jc w:val="center"/>
        <w:rPr>
          <w:rFonts w:ascii="Times New Roman" w:hAnsi="Times New Roman" w:cs="Times New Roman"/>
          <w:i/>
          <w:sz w:val="24"/>
          <w:szCs w:val="24"/>
        </w:rPr>
      </w:pPr>
      <w:r w:rsidRPr="0079789F">
        <w:rPr>
          <w:rFonts w:ascii="Times New Roman" w:hAnsi="Times New Roman" w:cs="Times New Roman"/>
          <w:i/>
          <w:sz w:val="24"/>
          <w:szCs w:val="24"/>
        </w:rPr>
        <w:t>Higher Education Support Act 2003</w:t>
      </w:r>
    </w:p>
    <w:p w14:paraId="429098D8" w14:textId="77777777" w:rsidR="00E07AB3" w:rsidRPr="0079789F" w:rsidRDefault="00197048" w:rsidP="00E07AB3">
      <w:pPr>
        <w:jc w:val="center"/>
        <w:rPr>
          <w:rFonts w:ascii="Times New Roman" w:hAnsi="Times New Roman" w:cs="Times New Roman"/>
          <w:b/>
          <w:i/>
          <w:sz w:val="24"/>
          <w:szCs w:val="24"/>
        </w:rPr>
      </w:pPr>
      <w:r>
        <w:rPr>
          <w:rFonts w:ascii="Times New Roman" w:hAnsi="Times New Roman" w:cs="Times New Roman"/>
          <w:b/>
          <w:i/>
          <w:sz w:val="24"/>
          <w:szCs w:val="24"/>
        </w:rPr>
        <w:t>Commonwealth</w:t>
      </w:r>
      <w:r w:rsidR="00E07AB3" w:rsidRPr="0079789F">
        <w:rPr>
          <w:rFonts w:ascii="Times New Roman" w:hAnsi="Times New Roman" w:cs="Times New Roman"/>
          <w:b/>
          <w:i/>
          <w:sz w:val="24"/>
          <w:szCs w:val="24"/>
        </w:rPr>
        <w:t xml:space="preserve"> Grant </w:t>
      </w:r>
      <w:r>
        <w:rPr>
          <w:rFonts w:ascii="Times New Roman" w:hAnsi="Times New Roman" w:cs="Times New Roman"/>
          <w:b/>
          <w:i/>
          <w:sz w:val="24"/>
          <w:szCs w:val="24"/>
        </w:rPr>
        <w:t>Scheme Guidelines Amendment</w:t>
      </w:r>
      <w:r w:rsidR="00E07AB3" w:rsidRPr="0079789F">
        <w:rPr>
          <w:rFonts w:ascii="Times New Roman" w:hAnsi="Times New Roman" w:cs="Times New Roman"/>
          <w:b/>
          <w:i/>
          <w:sz w:val="24"/>
          <w:szCs w:val="24"/>
        </w:rPr>
        <w:t xml:space="preserve"> (No. 1) </w:t>
      </w:r>
      <w:r>
        <w:rPr>
          <w:rFonts w:ascii="Times New Roman" w:hAnsi="Times New Roman" w:cs="Times New Roman"/>
          <w:b/>
          <w:i/>
          <w:sz w:val="24"/>
          <w:szCs w:val="24"/>
        </w:rPr>
        <w:t>2020</w:t>
      </w:r>
    </w:p>
    <w:p w14:paraId="404462AC" w14:textId="77777777" w:rsidR="00CB7C40" w:rsidRPr="0079789F" w:rsidRDefault="00CB7C40" w:rsidP="00CB7C40">
      <w:pPr>
        <w:spacing w:before="280"/>
        <w:rPr>
          <w:rFonts w:ascii="Times New Roman" w:hAnsi="Times New Roman" w:cs="Times New Roman"/>
          <w:b/>
          <w:sz w:val="24"/>
          <w:szCs w:val="24"/>
        </w:rPr>
      </w:pPr>
      <w:r w:rsidRPr="0079789F">
        <w:rPr>
          <w:rFonts w:ascii="Times New Roman" w:hAnsi="Times New Roman" w:cs="Times New Roman"/>
          <w:b/>
          <w:sz w:val="24"/>
          <w:szCs w:val="24"/>
        </w:rPr>
        <w:t>Authority</w:t>
      </w:r>
    </w:p>
    <w:p w14:paraId="1A8A2FE9" w14:textId="77777777" w:rsidR="00F65724" w:rsidRPr="00AE5E72" w:rsidRDefault="00F65724" w:rsidP="00F65724">
      <w:pPr>
        <w:rPr>
          <w:rFonts w:ascii="Times New Roman" w:hAnsi="Times New Roman" w:cs="Times New Roman"/>
          <w:sz w:val="24"/>
          <w:szCs w:val="24"/>
        </w:rPr>
      </w:pPr>
      <w:r w:rsidRPr="00AE5E72">
        <w:rPr>
          <w:rFonts w:ascii="Times New Roman" w:hAnsi="Times New Roman" w:cs="Times New Roman"/>
          <w:sz w:val="24"/>
          <w:szCs w:val="24"/>
        </w:rPr>
        <w:t>Section 238</w:t>
      </w:r>
      <w:r w:rsidRPr="00AE5E72">
        <w:rPr>
          <w:rFonts w:ascii="Times New Roman" w:hAnsi="Times New Roman" w:cs="Times New Roman"/>
          <w:sz w:val="24"/>
          <w:szCs w:val="24"/>
        </w:rPr>
        <w:noBreakHyphen/>
        <w:t xml:space="preserve">10 of the </w:t>
      </w:r>
      <w:r w:rsidR="00DB0017" w:rsidRPr="00667CDD">
        <w:rPr>
          <w:rFonts w:ascii="Times New Roman" w:hAnsi="Times New Roman" w:cs="Times New Roman"/>
          <w:i/>
          <w:sz w:val="24"/>
          <w:szCs w:val="24"/>
        </w:rPr>
        <w:t>Higher Education Support Act 2003</w:t>
      </w:r>
      <w:r w:rsidR="00DB0017">
        <w:rPr>
          <w:rFonts w:ascii="Times New Roman" w:hAnsi="Times New Roman" w:cs="Times New Roman"/>
          <w:sz w:val="24"/>
          <w:szCs w:val="24"/>
        </w:rPr>
        <w:t xml:space="preserve"> (‘</w:t>
      </w:r>
      <w:r w:rsidRPr="00AE5E72">
        <w:rPr>
          <w:rFonts w:ascii="Times New Roman" w:hAnsi="Times New Roman" w:cs="Times New Roman"/>
          <w:sz w:val="24"/>
          <w:szCs w:val="24"/>
        </w:rPr>
        <w:t>Act</w:t>
      </w:r>
      <w:r w:rsidR="00DB0017">
        <w:rPr>
          <w:rFonts w:ascii="Times New Roman" w:hAnsi="Times New Roman" w:cs="Times New Roman"/>
          <w:sz w:val="24"/>
          <w:szCs w:val="24"/>
        </w:rPr>
        <w:t>’)</w:t>
      </w:r>
      <w:r w:rsidRPr="00AE5E72">
        <w:rPr>
          <w:rFonts w:ascii="Times New Roman" w:hAnsi="Times New Roman" w:cs="Times New Roman"/>
          <w:sz w:val="24"/>
          <w:szCs w:val="24"/>
        </w:rPr>
        <w:t xml:space="preserve"> provides that the Minister may make guidelines for the purposes of the Act. In particular, item 2 of the table at section 238</w:t>
      </w:r>
      <w:r w:rsidRPr="00AE5E72">
        <w:rPr>
          <w:rFonts w:ascii="Times New Roman" w:hAnsi="Times New Roman" w:cs="Times New Roman"/>
          <w:sz w:val="24"/>
          <w:szCs w:val="24"/>
        </w:rPr>
        <w:noBreakHyphen/>
        <w:t>10 specifies that the Minister may make the Commonwealth Grant Scheme Guidelines in order to carry out or give effect to the matters set out in Part 2</w:t>
      </w:r>
      <w:r w:rsidRPr="00AE5E72">
        <w:rPr>
          <w:rFonts w:ascii="Times New Roman" w:hAnsi="Times New Roman" w:cs="Times New Roman"/>
          <w:sz w:val="24"/>
          <w:szCs w:val="24"/>
        </w:rPr>
        <w:noBreakHyphen/>
        <w:t>2 and section 93-10 of the Act.</w:t>
      </w:r>
    </w:p>
    <w:p w14:paraId="425CC5CD" w14:textId="77777777" w:rsidR="00CB7C40" w:rsidRPr="00AE5E72" w:rsidRDefault="00CB7C40" w:rsidP="00CB7C40">
      <w:pPr>
        <w:rPr>
          <w:rFonts w:ascii="Times New Roman" w:hAnsi="Times New Roman" w:cs="Times New Roman"/>
          <w:b/>
          <w:sz w:val="24"/>
          <w:szCs w:val="24"/>
        </w:rPr>
      </w:pPr>
      <w:r w:rsidRPr="00AE5E72">
        <w:rPr>
          <w:rFonts w:ascii="Times New Roman" w:hAnsi="Times New Roman" w:cs="Times New Roman"/>
          <w:b/>
          <w:sz w:val="24"/>
          <w:szCs w:val="24"/>
        </w:rPr>
        <w:t>Purpose</w:t>
      </w:r>
    </w:p>
    <w:p w14:paraId="7C1D203C" w14:textId="77777777" w:rsidR="00CB58B7" w:rsidRPr="00AE5E72" w:rsidRDefault="00CB58B7" w:rsidP="00CB58B7">
      <w:pPr>
        <w:rPr>
          <w:rFonts w:ascii="Times New Roman" w:hAnsi="Times New Roman"/>
          <w:sz w:val="24"/>
          <w:szCs w:val="24"/>
        </w:rPr>
      </w:pPr>
      <w:r w:rsidRPr="00AE5E72">
        <w:rPr>
          <w:rFonts w:ascii="Times New Roman" w:hAnsi="Times New Roman" w:cs="Times New Roman"/>
          <w:sz w:val="24"/>
          <w:szCs w:val="24"/>
        </w:rPr>
        <w:t xml:space="preserve">The </w:t>
      </w:r>
      <w:r w:rsidR="00AE5E72" w:rsidRPr="00667CDD">
        <w:rPr>
          <w:rFonts w:ascii="Times New Roman" w:hAnsi="Times New Roman" w:cs="Times New Roman"/>
          <w:sz w:val="24"/>
          <w:szCs w:val="24"/>
        </w:rPr>
        <w:t>Commonwealth</w:t>
      </w:r>
      <w:r w:rsidR="00AE5E72" w:rsidRPr="009965F9">
        <w:rPr>
          <w:rFonts w:ascii="Times New Roman" w:hAnsi="Times New Roman" w:cs="Times New Roman"/>
          <w:sz w:val="24"/>
          <w:szCs w:val="24"/>
        </w:rPr>
        <w:t xml:space="preserve"> </w:t>
      </w:r>
      <w:r w:rsidR="00AE5E72" w:rsidRPr="00CF15C5">
        <w:rPr>
          <w:rFonts w:ascii="Times New Roman" w:hAnsi="Times New Roman" w:cs="Times New Roman"/>
          <w:sz w:val="24"/>
          <w:szCs w:val="24"/>
        </w:rPr>
        <w:t>Grant Scheme Guidelines Amendment (No. 1</w:t>
      </w:r>
      <w:r w:rsidRPr="00CF15C5">
        <w:rPr>
          <w:rFonts w:ascii="Times New Roman" w:hAnsi="Times New Roman" w:cs="Times New Roman"/>
          <w:sz w:val="24"/>
          <w:szCs w:val="24"/>
        </w:rPr>
        <w:t>) 2020</w:t>
      </w:r>
      <w:r w:rsidRPr="00AE5E72">
        <w:rPr>
          <w:rFonts w:ascii="Times New Roman" w:hAnsi="Times New Roman" w:cs="Times New Roman"/>
          <w:i/>
          <w:sz w:val="24"/>
          <w:szCs w:val="24"/>
        </w:rPr>
        <w:t xml:space="preserve"> </w:t>
      </w:r>
      <w:r w:rsidRPr="00AE5E72">
        <w:rPr>
          <w:rFonts w:ascii="Times New Roman" w:hAnsi="Times New Roman" w:cs="Times New Roman"/>
          <w:sz w:val="24"/>
          <w:szCs w:val="24"/>
        </w:rPr>
        <w:t xml:space="preserve">(‘Amendment Instrument’) amends the </w:t>
      </w:r>
      <w:r w:rsidRPr="00AE5E72">
        <w:rPr>
          <w:rFonts w:ascii="Times New Roman" w:hAnsi="Times New Roman" w:cs="Times New Roman"/>
          <w:i/>
          <w:sz w:val="24"/>
          <w:szCs w:val="24"/>
        </w:rPr>
        <w:t xml:space="preserve">Commonwealth Grant Scheme Guidelines (Education) 2012 </w:t>
      </w:r>
      <w:r w:rsidRPr="00AE5E72">
        <w:rPr>
          <w:rFonts w:ascii="Times New Roman" w:hAnsi="Times New Roman" w:cs="Times New Roman"/>
          <w:sz w:val="24"/>
          <w:szCs w:val="24"/>
        </w:rPr>
        <w:t xml:space="preserve">(‘Principal Instrument’) to </w:t>
      </w:r>
      <w:r w:rsidRPr="00AE5E72">
        <w:rPr>
          <w:rFonts w:ascii="Times New Roman" w:hAnsi="Times New Roman"/>
          <w:sz w:val="24"/>
          <w:szCs w:val="24"/>
        </w:rPr>
        <w:t>allow</w:t>
      </w:r>
      <w:r w:rsidRPr="00AE5E72">
        <w:rPr>
          <w:rFonts w:ascii="Times New Roman" w:hAnsi="Times New Roman" w:cs="Times New Roman"/>
          <w:sz w:val="24"/>
          <w:szCs w:val="24"/>
        </w:rPr>
        <w:t xml:space="preserve"> grants </w:t>
      </w:r>
      <w:r w:rsidRPr="00AE5E72">
        <w:rPr>
          <w:rFonts w:ascii="Times New Roman" w:hAnsi="Times New Roman"/>
          <w:sz w:val="24"/>
          <w:szCs w:val="24"/>
        </w:rPr>
        <w:t xml:space="preserve">to </w:t>
      </w:r>
      <w:r w:rsidRPr="00AE5E72">
        <w:rPr>
          <w:rFonts w:ascii="Times New Roman" w:hAnsi="Times New Roman" w:cs="Times New Roman"/>
          <w:sz w:val="24"/>
          <w:szCs w:val="24"/>
        </w:rPr>
        <w:t xml:space="preserve">be paid </w:t>
      </w:r>
      <w:r w:rsidRPr="00AE5E72">
        <w:rPr>
          <w:rFonts w:ascii="Times New Roman" w:hAnsi="Times New Roman"/>
          <w:sz w:val="24"/>
          <w:szCs w:val="24"/>
        </w:rPr>
        <w:t xml:space="preserve">to a number of </w:t>
      </w:r>
      <w:r w:rsidRPr="00AE5E72">
        <w:rPr>
          <w:rFonts w:ascii="Times New Roman" w:hAnsi="Times New Roman" w:cs="Times New Roman"/>
          <w:sz w:val="24"/>
          <w:szCs w:val="24"/>
        </w:rPr>
        <w:t>Non-University Higher Education Providers (NUHEP</w:t>
      </w:r>
      <w:r w:rsidR="004F4DE4">
        <w:rPr>
          <w:rFonts w:ascii="Times New Roman" w:hAnsi="Times New Roman" w:cs="Times New Roman"/>
          <w:sz w:val="24"/>
          <w:szCs w:val="24"/>
        </w:rPr>
        <w:t>s</w:t>
      </w:r>
      <w:r w:rsidRPr="00AE5E72">
        <w:rPr>
          <w:rFonts w:ascii="Times New Roman" w:hAnsi="Times New Roman" w:cs="Times New Roman"/>
          <w:sz w:val="24"/>
          <w:szCs w:val="24"/>
        </w:rPr>
        <w:t>)</w:t>
      </w:r>
      <w:r w:rsidRPr="00AE5E72">
        <w:rPr>
          <w:rFonts w:ascii="Times New Roman" w:hAnsi="Times New Roman"/>
          <w:sz w:val="24"/>
          <w:szCs w:val="24"/>
        </w:rPr>
        <w:t xml:space="preserve"> </w:t>
      </w:r>
      <w:r w:rsidR="00CE45BF">
        <w:rPr>
          <w:rFonts w:ascii="Times New Roman" w:hAnsi="Times New Roman" w:cs="Times New Roman"/>
          <w:sz w:val="24"/>
          <w:szCs w:val="24"/>
        </w:rPr>
        <w:t>to provide retraining and upskilling opportunities in 2020 in national priority fields of education.</w:t>
      </w:r>
      <w:r w:rsidRPr="00AE5E72">
        <w:rPr>
          <w:rFonts w:ascii="Times New Roman" w:hAnsi="Times New Roman" w:cs="Times New Roman"/>
          <w:sz w:val="24"/>
          <w:szCs w:val="24"/>
        </w:rPr>
        <w:t xml:space="preserve">  </w:t>
      </w:r>
    </w:p>
    <w:p w14:paraId="046AAB0A" w14:textId="77777777" w:rsidR="00CB58B7" w:rsidRPr="00AE5E72" w:rsidRDefault="00CB58B7" w:rsidP="00CB58B7">
      <w:pPr>
        <w:rPr>
          <w:rFonts w:ascii="Times New Roman" w:hAnsi="Times New Roman"/>
          <w:sz w:val="24"/>
          <w:szCs w:val="24"/>
        </w:rPr>
      </w:pPr>
      <w:r w:rsidRPr="00AE5E72">
        <w:rPr>
          <w:rFonts w:ascii="Times New Roman" w:hAnsi="Times New Roman" w:cs="Times New Roman"/>
          <w:sz w:val="24"/>
          <w:szCs w:val="24"/>
        </w:rPr>
        <w:t>The purpose of the Amendment Instrument is to address the situation where employment for many Australians has been disrupted</w:t>
      </w:r>
      <w:r w:rsidR="00C6409A">
        <w:rPr>
          <w:rFonts w:ascii="Times New Roman" w:hAnsi="Times New Roman" w:cs="Times New Roman"/>
          <w:sz w:val="24"/>
          <w:szCs w:val="24"/>
        </w:rPr>
        <w:t xml:space="preserve"> by t</w:t>
      </w:r>
      <w:r w:rsidR="00C6409A" w:rsidRPr="00C020EF">
        <w:rPr>
          <w:rFonts w:ascii="Times New Roman" w:hAnsi="Times New Roman" w:cs="Times New Roman"/>
          <w:sz w:val="24"/>
          <w:szCs w:val="24"/>
        </w:rPr>
        <w:t xml:space="preserve">he </w:t>
      </w:r>
      <w:r w:rsidR="004D5345" w:rsidRPr="00C020EF">
        <w:rPr>
          <w:rFonts w:ascii="Times New Roman" w:hAnsi="Times New Roman" w:cs="Times New Roman"/>
          <w:sz w:val="24"/>
          <w:szCs w:val="24"/>
        </w:rPr>
        <w:t>COVID</w:t>
      </w:r>
      <w:r w:rsidR="00C6409A" w:rsidRPr="00C020EF">
        <w:rPr>
          <w:rFonts w:ascii="Times New Roman" w:hAnsi="Times New Roman" w:cs="Times New Roman"/>
          <w:sz w:val="24"/>
          <w:szCs w:val="24"/>
        </w:rPr>
        <w:t>-19 pandemic</w:t>
      </w:r>
      <w:r w:rsidRPr="00C020EF">
        <w:rPr>
          <w:rFonts w:ascii="Times New Roman" w:hAnsi="Times New Roman" w:cs="Times New Roman"/>
          <w:sz w:val="24"/>
          <w:szCs w:val="24"/>
        </w:rPr>
        <w:t xml:space="preserve">. </w:t>
      </w:r>
      <w:r w:rsidR="00CE45BF" w:rsidRPr="00C020EF">
        <w:rPr>
          <w:rFonts w:ascii="Times New Roman" w:hAnsi="Times New Roman" w:cs="Times New Roman"/>
          <w:sz w:val="24"/>
          <w:szCs w:val="24"/>
        </w:rPr>
        <w:t xml:space="preserve">The Minister for Education has allocated </w:t>
      </w:r>
      <w:r w:rsidR="00CF15C5" w:rsidRPr="00C020EF">
        <w:rPr>
          <w:rFonts w:ascii="Times New Roman" w:hAnsi="Times New Roman" w:cs="Times New Roman"/>
          <w:sz w:val="24"/>
          <w:szCs w:val="24"/>
        </w:rPr>
        <w:t xml:space="preserve">Commonwealth supported places </w:t>
      </w:r>
      <w:r w:rsidR="00CE45BF" w:rsidRPr="00C020EF">
        <w:rPr>
          <w:rFonts w:ascii="Times New Roman" w:hAnsi="Times New Roman" w:cs="Times New Roman"/>
          <w:sz w:val="24"/>
          <w:szCs w:val="24"/>
        </w:rPr>
        <w:t>for selected NUHEP</w:t>
      </w:r>
      <w:r w:rsidR="00CE45BF" w:rsidRPr="00C020EF">
        <w:rPr>
          <w:rFonts w:ascii="Times New Roman" w:hAnsi="Times New Roman"/>
          <w:sz w:val="24"/>
          <w:szCs w:val="24"/>
        </w:rPr>
        <w:t>s</w:t>
      </w:r>
      <w:r w:rsidR="00C6409A" w:rsidRPr="00C020EF">
        <w:rPr>
          <w:rFonts w:ascii="Times New Roman" w:hAnsi="Times New Roman"/>
          <w:sz w:val="24"/>
          <w:szCs w:val="24"/>
        </w:rPr>
        <w:t xml:space="preserve"> to deliver short online courses of study</w:t>
      </w:r>
      <w:r w:rsidR="00CE45BF" w:rsidRPr="00C020EF">
        <w:rPr>
          <w:rFonts w:ascii="Times New Roman" w:hAnsi="Times New Roman" w:cs="Times New Roman"/>
          <w:sz w:val="24"/>
          <w:szCs w:val="24"/>
        </w:rPr>
        <w:t xml:space="preserve"> </w:t>
      </w:r>
      <w:r w:rsidRPr="00C020EF">
        <w:rPr>
          <w:rFonts w:ascii="Times New Roman" w:hAnsi="Times New Roman" w:cs="Times New Roman"/>
          <w:sz w:val="24"/>
          <w:szCs w:val="24"/>
        </w:rPr>
        <w:t xml:space="preserve">(each half an </w:t>
      </w:r>
      <w:r w:rsidR="005E6EFB" w:rsidRPr="00C020EF">
        <w:rPr>
          <w:rFonts w:ascii="Times New Roman" w:hAnsi="Times New Roman" w:cs="Times New Roman"/>
          <w:sz w:val="24"/>
          <w:szCs w:val="24"/>
        </w:rPr>
        <w:t>equivalent full-t</w:t>
      </w:r>
      <w:r w:rsidRPr="00C020EF">
        <w:rPr>
          <w:rFonts w:ascii="Times New Roman" w:hAnsi="Times New Roman" w:cs="Times New Roman"/>
          <w:sz w:val="24"/>
          <w:szCs w:val="24"/>
        </w:rPr>
        <w:t>im</w:t>
      </w:r>
      <w:r w:rsidR="00302295" w:rsidRPr="00C020EF">
        <w:rPr>
          <w:rFonts w:ascii="Times New Roman" w:hAnsi="Times New Roman" w:cs="Times New Roman"/>
          <w:sz w:val="24"/>
          <w:szCs w:val="24"/>
        </w:rPr>
        <w:t>e study</w:t>
      </w:r>
      <w:r w:rsidR="005E6EFB" w:rsidRPr="00C020EF">
        <w:rPr>
          <w:rFonts w:ascii="Times New Roman" w:hAnsi="Times New Roman" w:cs="Times New Roman"/>
          <w:sz w:val="24"/>
          <w:szCs w:val="24"/>
        </w:rPr>
        <w:t xml:space="preserve"> load</w:t>
      </w:r>
      <w:r w:rsidRPr="00C020EF">
        <w:rPr>
          <w:rFonts w:ascii="Times New Roman" w:hAnsi="Times New Roman"/>
          <w:sz w:val="24"/>
          <w:szCs w:val="24"/>
        </w:rPr>
        <w:t>)</w:t>
      </w:r>
      <w:r w:rsidR="00C6409A" w:rsidRPr="00C020EF">
        <w:rPr>
          <w:rFonts w:ascii="Times New Roman" w:hAnsi="Times New Roman"/>
          <w:sz w:val="24"/>
          <w:szCs w:val="24"/>
        </w:rPr>
        <w:t xml:space="preserve"> in 2020</w:t>
      </w:r>
      <w:r w:rsidR="00CF15C5" w:rsidRPr="00C020EF">
        <w:rPr>
          <w:rFonts w:ascii="Times New Roman" w:hAnsi="Times New Roman"/>
          <w:sz w:val="24"/>
          <w:szCs w:val="24"/>
        </w:rPr>
        <w:t xml:space="preserve"> to around 1000 students. These courses will</w:t>
      </w:r>
      <w:r w:rsidR="00C6409A" w:rsidRPr="00C020EF">
        <w:rPr>
          <w:rFonts w:ascii="Times New Roman" w:hAnsi="Times New Roman"/>
          <w:sz w:val="24"/>
          <w:szCs w:val="24"/>
        </w:rPr>
        <w:t xml:space="preserve"> </w:t>
      </w:r>
      <w:r w:rsidR="00C6409A" w:rsidRPr="00C020EF">
        <w:rPr>
          <w:rFonts w:ascii="Times New Roman" w:hAnsi="Times New Roman" w:cs="Times New Roman"/>
          <w:sz w:val="24"/>
          <w:szCs w:val="24"/>
        </w:rPr>
        <w:t>support</w:t>
      </w:r>
      <w:r w:rsidRPr="00C020EF">
        <w:rPr>
          <w:rFonts w:ascii="Times New Roman" w:hAnsi="Times New Roman" w:cs="Times New Roman"/>
          <w:sz w:val="24"/>
          <w:szCs w:val="24"/>
        </w:rPr>
        <w:t xml:space="preserve"> </w:t>
      </w:r>
      <w:r w:rsidR="00C6409A" w:rsidRPr="00C020EF">
        <w:rPr>
          <w:rFonts w:ascii="Times New Roman" w:hAnsi="Times New Roman" w:cs="Times New Roman"/>
          <w:sz w:val="24"/>
          <w:szCs w:val="24"/>
        </w:rPr>
        <w:t xml:space="preserve">retraining </w:t>
      </w:r>
      <w:r w:rsidR="00B643EF" w:rsidRPr="00C020EF">
        <w:rPr>
          <w:rFonts w:ascii="Times New Roman" w:hAnsi="Times New Roman" w:cs="Times New Roman"/>
          <w:sz w:val="24"/>
          <w:szCs w:val="24"/>
        </w:rPr>
        <w:t>and</w:t>
      </w:r>
      <w:r w:rsidR="00C6409A" w:rsidRPr="00C020EF">
        <w:rPr>
          <w:rFonts w:ascii="Times New Roman" w:hAnsi="Times New Roman" w:cs="Times New Roman"/>
          <w:sz w:val="24"/>
          <w:szCs w:val="24"/>
        </w:rPr>
        <w:t xml:space="preserve"> upskilling </w:t>
      </w:r>
      <w:r w:rsidR="00100B14" w:rsidRPr="00C020EF">
        <w:rPr>
          <w:rFonts w:ascii="Times New Roman" w:hAnsi="Times New Roman" w:cs="Times New Roman"/>
          <w:sz w:val="24"/>
          <w:szCs w:val="24"/>
        </w:rPr>
        <w:t>to assist</w:t>
      </w:r>
      <w:r w:rsidR="00C6409A" w:rsidRPr="00C020EF">
        <w:rPr>
          <w:rFonts w:ascii="Times New Roman" w:hAnsi="Times New Roman" w:cs="Times New Roman"/>
          <w:sz w:val="24"/>
          <w:szCs w:val="24"/>
        </w:rPr>
        <w:t xml:space="preserve"> </w:t>
      </w:r>
      <w:r w:rsidR="00B643EF" w:rsidRPr="00C020EF">
        <w:rPr>
          <w:rFonts w:ascii="Times New Roman" w:hAnsi="Times New Roman" w:cs="Times New Roman"/>
          <w:sz w:val="24"/>
          <w:szCs w:val="24"/>
        </w:rPr>
        <w:t xml:space="preserve">workers displaced by </w:t>
      </w:r>
      <w:r w:rsidR="004D5345" w:rsidRPr="00C020EF">
        <w:rPr>
          <w:rFonts w:ascii="Times New Roman" w:hAnsi="Times New Roman" w:cs="Times New Roman"/>
          <w:sz w:val="24"/>
          <w:szCs w:val="24"/>
        </w:rPr>
        <w:t>COVID</w:t>
      </w:r>
      <w:r w:rsidR="00B643EF">
        <w:rPr>
          <w:rFonts w:ascii="Times New Roman" w:hAnsi="Times New Roman" w:cs="Times New Roman"/>
          <w:sz w:val="24"/>
          <w:szCs w:val="24"/>
        </w:rPr>
        <w:t>-19</w:t>
      </w:r>
      <w:r w:rsidRPr="00AE5E72">
        <w:rPr>
          <w:rFonts w:ascii="Times New Roman" w:hAnsi="Times New Roman" w:cs="Times New Roman"/>
          <w:sz w:val="24"/>
          <w:szCs w:val="24"/>
        </w:rPr>
        <w:t xml:space="preserve"> </w:t>
      </w:r>
      <w:r w:rsidR="00C6409A">
        <w:rPr>
          <w:rFonts w:ascii="Times New Roman" w:hAnsi="Times New Roman" w:cs="Times New Roman"/>
          <w:sz w:val="24"/>
          <w:szCs w:val="24"/>
        </w:rPr>
        <w:t>to regain employment</w:t>
      </w:r>
      <w:r w:rsidRPr="00AE5E72">
        <w:rPr>
          <w:rFonts w:ascii="Times New Roman" w:hAnsi="Times New Roman" w:cs="Times New Roman"/>
          <w:sz w:val="24"/>
          <w:szCs w:val="24"/>
        </w:rPr>
        <w:t xml:space="preserve"> when current economic constraints </w:t>
      </w:r>
      <w:r w:rsidR="00100B14">
        <w:rPr>
          <w:rFonts w:ascii="Times New Roman" w:hAnsi="Times New Roman" w:cs="Times New Roman"/>
          <w:sz w:val="24"/>
          <w:szCs w:val="24"/>
        </w:rPr>
        <w:t>improve</w:t>
      </w:r>
      <w:r w:rsidRPr="00AE5E72">
        <w:rPr>
          <w:rFonts w:ascii="Times New Roman" w:hAnsi="Times New Roman" w:cs="Times New Roman"/>
          <w:sz w:val="24"/>
          <w:szCs w:val="24"/>
        </w:rPr>
        <w:t>.</w:t>
      </w:r>
    </w:p>
    <w:p w14:paraId="0B30613F" w14:textId="77777777" w:rsidR="00C6409A" w:rsidRPr="00C020EF" w:rsidRDefault="00C6409A" w:rsidP="00CB58B7">
      <w:pPr>
        <w:rPr>
          <w:rFonts w:ascii="Times New Roman" w:hAnsi="Times New Roman" w:cs="Times New Roman"/>
          <w:sz w:val="24"/>
          <w:szCs w:val="24"/>
        </w:rPr>
      </w:pPr>
      <w:r>
        <w:rPr>
          <w:rFonts w:ascii="Times New Roman" w:hAnsi="Times New Roman" w:cs="Times New Roman"/>
          <w:sz w:val="24"/>
          <w:szCs w:val="24"/>
        </w:rPr>
        <w:t>Implemen</w:t>
      </w:r>
      <w:r w:rsidRPr="00AE5E72">
        <w:rPr>
          <w:rFonts w:ascii="Times New Roman" w:hAnsi="Times New Roman" w:cs="Times New Roman"/>
          <w:sz w:val="24"/>
          <w:szCs w:val="24"/>
        </w:rPr>
        <w:t>t</w:t>
      </w:r>
      <w:r>
        <w:rPr>
          <w:rFonts w:ascii="Times New Roman" w:hAnsi="Times New Roman" w:cs="Times New Roman"/>
          <w:sz w:val="24"/>
          <w:szCs w:val="24"/>
        </w:rPr>
        <w:t>ing</w:t>
      </w:r>
      <w:r w:rsidRPr="00AE5E72">
        <w:rPr>
          <w:rFonts w:ascii="Times New Roman" w:hAnsi="Times New Roman" w:cs="Times New Roman"/>
          <w:sz w:val="24"/>
          <w:szCs w:val="24"/>
        </w:rPr>
        <w:t xml:space="preserve"> </w:t>
      </w:r>
      <w:r w:rsidR="00CB58B7" w:rsidRPr="00AE5E72">
        <w:rPr>
          <w:rFonts w:ascii="Times New Roman" w:hAnsi="Times New Roman" w:cs="Times New Roman"/>
          <w:sz w:val="24"/>
          <w:szCs w:val="24"/>
        </w:rPr>
        <w:t>this</w:t>
      </w:r>
      <w:r>
        <w:rPr>
          <w:rFonts w:ascii="Times New Roman" w:hAnsi="Times New Roman" w:cs="Times New Roman"/>
          <w:sz w:val="24"/>
          <w:szCs w:val="24"/>
        </w:rPr>
        <w:t xml:space="preserve"> measure requires an amendment to</w:t>
      </w:r>
      <w:r w:rsidR="00CB58B7" w:rsidRPr="00AE5E72">
        <w:rPr>
          <w:rFonts w:ascii="Times New Roman" w:hAnsi="Times New Roman" w:cs="Times New Roman"/>
          <w:sz w:val="24"/>
          <w:szCs w:val="24"/>
        </w:rPr>
        <w:t xml:space="preserve"> the </w:t>
      </w:r>
      <w:r w:rsidR="000C4FAD" w:rsidRPr="00CF15C5">
        <w:rPr>
          <w:rFonts w:ascii="Times New Roman" w:hAnsi="Times New Roman" w:cs="Times New Roman"/>
          <w:sz w:val="24"/>
          <w:szCs w:val="24"/>
        </w:rPr>
        <w:t>Principal Instrument</w:t>
      </w:r>
      <w:r w:rsidR="00CB58B7" w:rsidRPr="00AE5E72">
        <w:rPr>
          <w:rFonts w:ascii="Times New Roman" w:hAnsi="Times New Roman" w:cs="Times New Roman"/>
          <w:sz w:val="24"/>
          <w:szCs w:val="24"/>
        </w:rPr>
        <w:t xml:space="preserve"> to allow </w:t>
      </w:r>
      <w:r w:rsidRPr="00AE5E72">
        <w:rPr>
          <w:rFonts w:ascii="Times New Roman" w:hAnsi="Times New Roman" w:cs="Times New Roman"/>
          <w:sz w:val="24"/>
          <w:szCs w:val="24"/>
        </w:rPr>
        <w:t>s</w:t>
      </w:r>
      <w:r>
        <w:rPr>
          <w:rFonts w:ascii="Times New Roman" w:hAnsi="Times New Roman" w:cs="Times New Roman"/>
          <w:sz w:val="24"/>
          <w:szCs w:val="24"/>
        </w:rPr>
        <w:t>elected</w:t>
      </w:r>
      <w:r w:rsidRPr="00AE5E72">
        <w:rPr>
          <w:rFonts w:ascii="Times New Roman" w:hAnsi="Times New Roman" w:cs="Times New Roman"/>
          <w:sz w:val="24"/>
          <w:szCs w:val="24"/>
        </w:rPr>
        <w:t xml:space="preserve"> </w:t>
      </w:r>
      <w:r w:rsidR="00CB58B7" w:rsidRPr="00AE5E72">
        <w:rPr>
          <w:rFonts w:ascii="Times New Roman" w:hAnsi="Times New Roman" w:cs="Times New Roman"/>
          <w:sz w:val="24"/>
          <w:szCs w:val="24"/>
        </w:rPr>
        <w:t>additional NUHEPs to be funded under</w:t>
      </w:r>
      <w:r w:rsidR="000C4FAD">
        <w:rPr>
          <w:rFonts w:ascii="Times New Roman" w:hAnsi="Times New Roman" w:cs="Times New Roman"/>
          <w:sz w:val="24"/>
          <w:szCs w:val="24"/>
        </w:rPr>
        <w:t xml:space="preserve"> Part 2-2 of </w:t>
      </w:r>
      <w:r w:rsidR="00D12241">
        <w:rPr>
          <w:rFonts w:ascii="Times New Roman" w:hAnsi="Times New Roman" w:cs="Times New Roman"/>
          <w:sz w:val="24"/>
          <w:szCs w:val="24"/>
        </w:rPr>
        <w:t xml:space="preserve">the </w:t>
      </w:r>
      <w:r w:rsidR="0055327F" w:rsidRPr="0055327F">
        <w:rPr>
          <w:rFonts w:ascii="Times New Roman" w:hAnsi="Times New Roman" w:cs="Times New Roman"/>
          <w:sz w:val="24"/>
          <w:szCs w:val="24"/>
        </w:rPr>
        <w:t>Act</w:t>
      </w:r>
      <w:r>
        <w:rPr>
          <w:rFonts w:ascii="Times New Roman" w:hAnsi="Times New Roman" w:cs="Times New Roman"/>
          <w:i/>
          <w:sz w:val="24"/>
          <w:szCs w:val="24"/>
        </w:rPr>
        <w:t xml:space="preserve"> </w:t>
      </w:r>
      <w:r>
        <w:rPr>
          <w:rFonts w:ascii="Times New Roman" w:hAnsi="Times New Roman" w:cs="Times New Roman"/>
          <w:sz w:val="24"/>
          <w:szCs w:val="24"/>
        </w:rPr>
        <w:t xml:space="preserve">and to specify the national </w:t>
      </w:r>
      <w:r w:rsidRPr="00C020EF">
        <w:rPr>
          <w:rFonts w:ascii="Times New Roman" w:hAnsi="Times New Roman" w:cs="Times New Roman"/>
          <w:sz w:val="24"/>
          <w:szCs w:val="24"/>
        </w:rPr>
        <w:t>priority fields of education that will apply for 2020</w:t>
      </w:r>
      <w:r w:rsidR="00CB58B7" w:rsidRPr="00C020EF">
        <w:rPr>
          <w:rFonts w:ascii="Times New Roman" w:hAnsi="Times New Roman" w:cs="Times New Roman"/>
          <w:sz w:val="24"/>
          <w:szCs w:val="24"/>
        </w:rPr>
        <w:t xml:space="preserve">. </w:t>
      </w:r>
    </w:p>
    <w:p w14:paraId="5A0F73B8" w14:textId="77777777" w:rsidR="008109EA" w:rsidRDefault="008109EA" w:rsidP="00CB58B7">
      <w:pPr>
        <w:rPr>
          <w:rFonts w:ascii="Times New Roman" w:hAnsi="Times New Roman" w:cs="Times New Roman"/>
          <w:sz w:val="24"/>
          <w:szCs w:val="24"/>
        </w:rPr>
      </w:pPr>
      <w:r w:rsidRPr="00C020EF">
        <w:rPr>
          <w:rFonts w:ascii="Times New Roman" w:hAnsi="Times New Roman" w:cs="Times New Roman"/>
          <w:sz w:val="24"/>
          <w:szCs w:val="24"/>
        </w:rPr>
        <w:t xml:space="preserve">The national priority fields of education have been identified as areas of community and industry need in Australia’s labour market, where training opportunities will improve the employability of displaced workers in 2020 </w:t>
      </w:r>
      <w:r w:rsidR="00146DCB" w:rsidRPr="00C020EF">
        <w:rPr>
          <w:rFonts w:ascii="Times New Roman" w:hAnsi="Times New Roman" w:cs="Times New Roman"/>
          <w:sz w:val="24"/>
          <w:szCs w:val="24"/>
        </w:rPr>
        <w:t>to help</w:t>
      </w:r>
      <w:r w:rsidRPr="00C020EF">
        <w:rPr>
          <w:rFonts w:ascii="Times New Roman" w:hAnsi="Times New Roman" w:cs="Times New Roman"/>
          <w:sz w:val="24"/>
          <w:szCs w:val="24"/>
        </w:rPr>
        <w:t xml:space="preserve"> ensure they will be job ready as the economy recovers from the COVID-19 pandemic.</w:t>
      </w:r>
      <w:r>
        <w:rPr>
          <w:rFonts w:ascii="Times New Roman" w:hAnsi="Times New Roman" w:cs="Times New Roman"/>
          <w:sz w:val="24"/>
          <w:szCs w:val="24"/>
        </w:rPr>
        <w:t xml:space="preserve"> </w:t>
      </w:r>
    </w:p>
    <w:p w14:paraId="1DD73EC6" w14:textId="77777777" w:rsidR="00CB58B7" w:rsidRPr="00AE5E72" w:rsidRDefault="00C6409A" w:rsidP="00CB58B7">
      <w:pPr>
        <w:rPr>
          <w:rFonts w:ascii="Times New Roman" w:hAnsi="Times New Roman" w:cs="Times New Roman"/>
          <w:sz w:val="24"/>
          <w:szCs w:val="24"/>
        </w:rPr>
      </w:pPr>
      <w:r>
        <w:rPr>
          <w:rFonts w:ascii="Times New Roman" w:hAnsi="Times New Roman" w:cs="Times New Roman"/>
          <w:sz w:val="24"/>
          <w:szCs w:val="24"/>
        </w:rPr>
        <w:t xml:space="preserve">This amendment also proposes </w:t>
      </w:r>
      <w:r w:rsidR="00496059">
        <w:rPr>
          <w:rFonts w:ascii="Times New Roman" w:hAnsi="Times New Roman" w:cs="Times New Roman"/>
          <w:sz w:val="24"/>
          <w:szCs w:val="24"/>
        </w:rPr>
        <w:t>to update</w:t>
      </w:r>
      <w:r w:rsidR="00100B14">
        <w:rPr>
          <w:rFonts w:ascii="Times New Roman" w:hAnsi="Times New Roman" w:cs="Times New Roman"/>
          <w:sz w:val="24"/>
          <w:szCs w:val="24"/>
        </w:rPr>
        <w:t xml:space="preserve"> the</w:t>
      </w:r>
      <w:r>
        <w:rPr>
          <w:rFonts w:ascii="Times New Roman" w:hAnsi="Times New Roman" w:cs="Times New Roman"/>
          <w:sz w:val="24"/>
          <w:szCs w:val="24"/>
        </w:rPr>
        <w:t xml:space="preserve"> legal</w:t>
      </w:r>
      <w:r w:rsidR="006902C0">
        <w:rPr>
          <w:rFonts w:ascii="Times New Roman" w:hAnsi="Times New Roman" w:cs="Times New Roman"/>
          <w:sz w:val="24"/>
          <w:szCs w:val="24"/>
        </w:rPr>
        <w:t xml:space="preserve"> entity titles </w:t>
      </w:r>
      <w:r>
        <w:rPr>
          <w:rFonts w:ascii="Times New Roman" w:hAnsi="Times New Roman" w:cs="Times New Roman"/>
          <w:sz w:val="24"/>
          <w:szCs w:val="24"/>
        </w:rPr>
        <w:t>for</w:t>
      </w:r>
      <w:r w:rsidR="006902C0">
        <w:rPr>
          <w:rFonts w:ascii="Times New Roman" w:hAnsi="Times New Roman" w:cs="Times New Roman"/>
          <w:sz w:val="24"/>
          <w:szCs w:val="24"/>
        </w:rPr>
        <w:t xml:space="preserve"> providers already listed at </w:t>
      </w:r>
      <w:r w:rsidR="0042691A">
        <w:rPr>
          <w:rFonts w:ascii="Times New Roman" w:hAnsi="Times New Roman" w:cs="Times New Roman"/>
          <w:sz w:val="24"/>
          <w:szCs w:val="24"/>
        </w:rPr>
        <w:t>paragraph</w:t>
      </w:r>
      <w:r w:rsidR="009965F9">
        <w:rPr>
          <w:rFonts w:ascii="Times New Roman" w:hAnsi="Times New Roman" w:cs="Times New Roman"/>
          <w:sz w:val="24"/>
          <w:szCs w:val="24"/>
        </w:rPr>
        <w:t>s</w:t>
      </w:r>
      <w:r w:rsidR="006902C0">
        <w:rPr>
          <w:rFonts w:ascii="Times New Roman" w:hAnsi="Times New Roman" w:cs="Times New Roman"/>
          <w:sz w:val="24"/>
          <w:szCs w:val="24"/>
        </w:rPr>
        <w:t xml:space="preserve"> 2.5.1 (a</w:t>
      </w:r>
      <w:r w:rsidR="00F42F61">
        <w:rPr>
          <w:rFonts w:ascii="Times New Roman" w:hAnsi="Times New Roman" w:cs="Times New Roman"/>
          <w:sz w:val="24"/>
          <w:szCs w:val="24"/>
        </w:rPr>
        <w:t>-</w:t>
      </w:r>
      <w:r w:rsidR="006902C0">
        <w:rPr>
          <w:rFonts w:ascii="Times New Roman" w:hAnsi="Times New Roman" w:cs="Times New Roman"/>
          <w:sz w:val="24"/>
          <w:szCs w:val="24"/>
        </w:rPr>
        <w:t xml:space="preserve">i) in the </w:t>
      </w:r>
      <w:r w:rsidR="009965F9" w:rsidRPr="00CF15C5">
        <w:rPr>
          <w:rFonts w:ascii="Times New Roman" w:hAnsi="Times New Roman" w:cs="Times New Roman"/>
          <w:sz w:val="24"/>
          <w:szCs w:val="24"/>
        </w:rPr>
        <w:t>Principal Instrument</w:t>
      </w:r>
      <w:r w:rsidR="006902C0">
        <w:rPr>
          <w:rFonts w:ascii="Times New Roman" w:hAnsi="Times New Roman" w:cs="Times New Roman"/>
          <w:i/>
          <w:sz w:val="24"/>
          <w:szCs w:val="24"/>
        </w:rPr>
        <w:t>.</w:t>
      </w:r>
      <w:r>
        <w:rPr>
          <w:rFonts w:ascii="Times New Roman" w:hAnsi="Times New Roman" w:cs="Times New Roman"/>
          <w:sz w:val="24"/>
          <w:szCs w:val="24"/>
        </w:rPr>
        <w:t xml:space="preserve"> </w:t>
      </w:r>
      <w:r w:rsidR="006902C0">
        <w:rPr>
          <w:rFonts w:ascii="Times New Roman" w:hAnsi="Times New Roman" w:cs="Times New Roman"/>
          <w:sz w:val="24"/>
          <w:szCs w:val="24"/>
        </w:rPr>
        <w:t xml:space="preserve">Of these, two providers have changed </w:t>
      </w:r>
      <w:r w:rsidR="006902C0">
        <w:rPr>
          <w:rFonts w:ascii="Times New Roman" w:hAnsi="Times New Roman" w:cs="Times New Roman"/>
          <w:sz w:val="24"/>
          <w:szCs w:val="24"/>
        </w:rPr>
        <w:lastRenderedPageBreak/>
        <w:t>their legal entity names: a</w:t>
      </w:r>
      <w:r w:rsidR="00100B14">
        <w:rPr>
          <w:rFonts w:ascii="Times New Roman" w:hAnsi="Times New Roman" w:cs="Times New Roman"/>
          <w:sz w:val="24"/>
          <w:szCs w:val="24"/>
        </w:rPr>
        <w:t xml:space="preserve">t </w:t>
      </w:r>
      <w:r w:rsidR="0042691A">
        <w:rPr>
          <w:rFonts w:ascii="Times New Roman" w:hAnsi="Times New Roman" w:cs="Times New Roman"/>
          <w:sz w:val="24"/>
          <w:szCs w:val="24"/>
        </w:rPr>
        <w:t>paragraph</w:t>
      </w:r>
      <w:r w:rsidR="00100B14">
        <w:rPr>
          <w:rFonts w:ascii="Times New Roman" w:hAnsi="Times New Roman" w:cs="Times New Roman"/>
          <w:sz w:val="24"/>
          <w:szCs w:val="24"/>
        </w:rPr>
        <w:t xml:space="preserve"> 2.5.1 (f)</w:t>
      </w:r>
      <w:r w:rsidR="006902C0">
        <w:rPr>
          <w:rFonts w:ascii="Times New Roman" w:hAnsi="Times New Roman" w:cs="Times New Roman"/>
          <w:sz w:val="24"/>
          <w:szCs w:val="24"/>
        </w:rPr>
        <w:t>,</w:t>
      </w:r>
      <w:r w:rsidR="00100B14">
        <w:rPr>
          <w:rFonts w:ascii="Times New Roman" w:hAnsi="Times New Roman" w:cs="Times New Roman"/>
          <w:sz w:val="24"/>
          <w:szCs w:val="24"/>
        </w:rPr>
        <w:t xml:space="preserve"> Eastern College was formerly known as T</w:t>
      </w:r>
      <w:r w:rsidR="0042691A">
        <w:rPr>
          <w:rFonts w:ascii="Times New Roman" w:hAnsi="Times New Roman" w:cs="Times New Roman"/>
          <w:sz w:val="24"/>
          <w:szCs w:val="24"/>
        </w:rPr>
        <w:t>abor College Victoria</w:t>
      </w:r>
      <w:r w:rsidR="009965F9">
        <w:rPr>
          <w:rFonts w:ascii="Times New Roman" w:hAnsi="Times New Roman" w:cs="Times New Roman"/>
          <w:sz w:val="24"/>
          <w:szCs w:val="24"/>
        </w:rPr>
        <w:t>,</w:t>
      </w:r>
      <w:r w:rsidR="0042691A">
        <w:rPr>
          <w:rFonts w:ascii="Times New Roman" w:hAnsi="Times New Roman" w:cs="Times New Roman"/>
          <w:sz w:val="24"/>
          <w:szCs w:val="24"/>
        </w:rPr>
        <w:t xml:space="preserve"> and at paragraph</w:t>
      </w:r>
      <w:r w:rsidR="00100B14">
        <w:rPr>
          <w:rFonts w:ascii="Times New Roman" w:hAnsi="Times New Roman" w:cs="Times New Roman"/>
          <w:sz w:val="24"/>
          <w:szCs w:val="24"/>
        </w:rPr>
        <w:t xml:space="preserve"> 2.5.1 (i), </w:t>
      </w:r>
      <w:r w:rsidR="006902C0">
        <w:rPr>
          <w:rFonts w:ascii="Times New Roman" w:hAnsi="Times New Roman" w:cs="Times New Roman"/>
          <w:sz w:val="24"/>
          <w:szCs w:val="24"/>
        </w:rPr>
        <w:t xml:space="preserve">Melbourne Polytechnic was formerly known as Northern Melbourne Institute of TAFE. </w:t>
      </w:r>
    </w:p>
    <w:p w14:paraId="658FFF1B" w14:textId="77777777" w:rsidR="00496059" w:rsidRDefault="00C55CAF">
      <w:pPr>
        <w:rPr>
          <w:rFonts w:ascii="Times New Roman" w:hAnsi="Times New Roman" w:cs="Times New Roman"/>
          <w:b/>
          <w:sz w:val="24"/>
          <w:szCs w:val="24"/>
        </w:rPr>
      </w:pPr>
      <w:r w:rsidRPr="00AE5E72">
        <w:rPr>
          <w:rFonts w:ascii="Times New Roman" w:hAnsi="Times New Roman" w:cs="Times New Roman"/>
          <w:sz w:val="24"/>
          <w:szCs w:val="24"/>
        </w:rPr>
        <w:t xml:space="preserve">The </w:t>
      </w:r>
      <w:r w:rsidR="0048649E" w:rsidRPr="00AE5E72">
        <w:rPr>
          <w:rFonts w:ascii="Times New Roman" w:hAnsi="Times New Roman" w:cs="Times New Roman"/>
          <w:sz w:val="24"/>
          <w:szCs w:val="24"/>
        </w:rPr>
        <w:t>Schedule</w:t>
      </w:r>
      <w:r w:rsidRPr="00AE5E72">
        <w:rPr>
          <w:rFonts w:ascii="Times New Roman" w:hAnsi="Times New Roman" w:cs="Times New Roman"/>
          <w:sz w:val="24"/>
          <w:szCs w:val="24"/>
        </w:rPr>
        <w:t xml:space="preserve"> </w:t>
      </w:r>
      <w:r w:rsidR="0048649E" w:rsidRPr="00AE5E72">
        <w:rPr>
          <w:rFonts w:ascii="Times New Roman" w:hAnsi="Times New Roman" w:cs="Times New Roman"/>
          <w:sz w:val="24"/>
          <w:szCs w:val="24"/>
        </w:rPr>
        <w:t xml:space="preserve">to the Amendment </w:t>
      </w:r>
      <w:r w:rsidR="009965F9">
        <w:rPr>
          <w:rFonts w:ascii="Times New Roman" w:hAnsi="Times New Roman" w:cs="Times New Roman"/>
          <w:sz w:val="24"/>
          <w:szCs w:val="24"/>
        </w:rPr>
        <w:t xml:space="preserve">Instrument </w:t>
      </w:r>
      <w:r w:rsidR="0048649E" w:rsidRPr="00AE5E72">
        <w:rPr>
          <w:rFonts w:ascii="Times New Roman" w:hAnsi="Times New Roman" w:cs="Times New Roman"/>
          <w:sz w:val="24"/>
          <w:szCs w:val="24"/>
        </w:rPr>
        <w:t>incorporate</w:t>
      </w:r>
      <w:r w:rsidRPr="00AE5E72">
        <w:rPr>
          <w:rFonts w:ascii="Times New Roman" w:hAnsi="Times New Roman" w:cs="Times New Roman"/>
          <w:sz w:val="24"/>
          <w:szCs w:val="24"/>
        </w:rPr>
        <w:t>s</w:t>
      </w:r>
      <w:r w:rsidR="0048649E" w:rsidRPr="00AE5E72">
        <w:rPr>
          <w:rFonts w:ascii="Times New Roman" w:hAnsi="Times New Roman" w:cs="Times New Roman"/>
          <w:sz w:val="24"/>
          <w:szCs w:val="24"/>
        </w:rPr>
        <w:t xml:space="preserve"> by reference the </w:t>
      </w:r>
      <w:r w:rsidRPr="00AE5E72">
        <w:rPr>
          <w:rFonts w:ascii="Times New Roman" w:hAnsi="Times New Roman" w:cs="Times New Roman"/>
          <w:sz w:val="24"/>
          <w:szCs w:val="24"/>
        </w:rPr>
        <w:t>Principal Instrument. The Principal Instrument</w:t>
      </w:r>
      <w:r w:rsidR="00E47DF2" w:rsidRPr="00AE5E72">
        <w:rPr>
          <w:rFonts w:ascii="Times New Roman" w:hAnsi="Times New Roman" w:cs="Times New Roman"/>
          <w:sz w:val="24"/>
          <w:szCs w:val="24"/>
        </w:rPr>
        <w:t xml:space="preserve"> </w:t>
      </w:r>
      <w:r w:rsidR="0048649E" w:rsidRPr="00AE5E72">
        <w:rPr>
          <w:rFonts w:ascii="Times New Roman" w:hAnsi="Times New Roman" w:cs="Times New Roman"/>
          <w:sz w:val="24"/>
          <w:szCs w:val="24"/>
        </w:rPr>
        <w:t>specif</w:t>
      </w:r>
      <w:r w:rsidRPr="00AE5E72">
        <w:rPr>
          <w:rFonts w:ascii="Times New Roman" w:hAnsi="Times New Roman" w:cs="Times New Roman"/>
          <w:sz w:val="24"/>
          <w:szCs w:val="24"/>
        </w:rPr>
        <w:t>ies</w:t>
      </w:r>
      <w:r w:rsidR="0048649E" w:rsidRPr="00AE5E72">
        <w:rPr>
          <w:rFonts w:ascii="Times New Roman" w:hAnsi="Times New Roman" w:cs="Times New Roman"/>
          <w:sz w:val="24"/>
          <w:szCs w:val="24"/>
        </w:rPr>
        <w:t xml:space="preserve"> </w:t>
      </w:r>
      <w:r w:rsidR="00F65724" w:rsidRPr="00AE5E72">
        <w:rPr>
          <w:rFonts w:ascii="Times New Roman" w:hAnsi="Times New Roman" w:cs="Times New Roman"/>
          <w:sz w:val="24"/>
          <w:szCs w:val="24"/>
        </w:rPr>
        <w:t>the conditions</w:t>
      </w:r>
      <w:r w:rsidR="0048649E" w:rsidRPr="00AE5E72">
        <w:rPr>
          <w:rFonts w:ascii="Times New Roman" w:hAnsi="Times New Roman" w:cs="Times New Roman"/>
          <w:sz w:val="24"/>
          <w:szCs w:val="24"/>
        </w:rPr>
        <w:t xml:space="preserve"> under which grants for particular purposes</w:t>
      </w:r>
      <w:r w:rsidR="00F65724" w:rsidRPr="00AE5E72">
        <w:rPr>
          <w:rFonts w:ascii="Times New Roman" w:hAnsi="Times New Roman" w:cs="Times New Roman"/>
          <w:sz w:val="24"/>
          <w:szCs w:val="24"/>
        </w:rPr>
        <w:t>,</w:t>
      </w:r>
      <w:r w:rsidR="0048649E" w:rsidRPr="00AE5E72">
        <w:rPr>
          <w:rFonts w:ascii="Times New Roman" w:hAnsi="Times New Roman" w:cs="Times New Roman"/>
          <w:sz w:val="24"/>
          <w:szCs w:val="24"/>
        </w:rPr>
        <w:t xml:space="preserve"> specified </w:t>
      </w:r>
      <w:r w:rsidR="00F65724" w:rsidRPr="00AE5E72">
        <w:rPr>
          <w:rFonts w:ascii="Times New Roman" w:hAnsi="Times New Roman" w:cs="Times New Roman"/>
          <w:sz w:val="24"/>
          <w:szCs w:val="24"/>
        </w:rPr>
        <w:t>in Part 2-2</w:t>
      </w:r>
      <w:r w:rsidR="00AA146C">
        <w:rPr>
          <w:rFonts w:ascii="Times New Roman" w:hAnsi="Times New Roman" w:cs="Times New Roman"/>
          <w:sz w:val="24"/>
          <w:szCs w:val="24"/>
        </w:rPr>
        <w:t>,</w:t>
      </w:r>
      <w:r w:rsidR="00F65724" w:rsidRPr="00AE5E72">
        <w:rPr>
          <w:rFonts w:ascii="Times New Roman" w:hAnsi="Times New Roman" w:cs="Times New Roman"/>
          <w:sz w:val="24"/>
          <w:szCs w:val="24"/>
        </w:rPr>
        <w:t xml:space="preserve"> Division 30</w:t>
      </w:r>
      <w:r w:rsidR="0048649E" w:rsidRPr="00AE5E72">
        <w:rPr>
          <w:rFonts w:ascii="Times New Roman" w:hAnsi="Times New Roman" w:cs="Times New Roman"/>
          <w:sz w:val="24"/>
          <w:szCs w:val="24"/>
        </w:rPr>
        <w:t xml:space="preserve"> of the Act</w:t>
      </w:r>
      <w:r w:rsidR="00F65724" w:rsidRPr="00AE5E72">
        <w:rPr>
          <w:rFonts w:ascii="Times New Roman" w:hAnsi="Times New Roman" w:cs="Times New Roman"/>
          <w:sz w:val="24"/>
          <w:szCs w:val="24"/>
        </w:rPr>
        <w:t>,</w:t>
      </w:r>
      <w:r w:rsidR="0048649E" w:rsidRPr="00AE5E72">
        <w:rPr>
          <w:rFonts w:ascii="Times New Roman" w:hAnsi="Times New Roman" w:cs="Times New Roman"/>
          <w:sz w:val="24"/>
          <w:szCs w:val="24"/>
        </w:rPr>
        <w:t xml:space="preserve"> are to be paid</w:t>
      </w:r>
      <w:r w:rsidR="00E47DF2" w:rsidRPr="00AE5E72">
        <w:rPr>
          <w:rFonts w:ascii="Times New Roman" w:hAnsi="Times New Roman" w:cs="Times New Roman"/>
          <w:sz w:val="24"/>
          <w:szCs w:val="24"/>
        </w:rPr>
        <w:t>.</w:t>
      </w:r>
      <w:r w:rsidR="0048649E" w:rsidRPr="00AE5E72">
        <w:rPr>
          <w:rFonts w:ascii="Times New Roman" w:hAnsi="Times New Roman" w:cs="Times New Roman"/>
          <w:sz w:val="24"/>
          <w:szCs w:val="24"/>
        </w:rPr>
        <w:t xml:space="preserve"> The manner of incorporation is as a disallowable Commonwealth legislative instrument as in force from time to time. The incorporated document is readily and freely accessible on the Federal Register of Legislation a</w:t>
      </w:r>
      <w:r w:rsidR="0079789F" w:rsidRPr="00AE5E72">
        <w:rPr>
          <w:rFonts w:ascii="Times New Roman" w:hAnsi="Times New Roman" w:cs="Times New Roman"/>
          <w:sz w:val="24"/>
          <w:szCs w:val="24"/>
        </w:rPr>
        <w:t xml:space="preserve">t </w:t>
      </w:r>
      <w:hyperlink r:id="rId11" w:history="1">
        <w:r w:rsidR="00AA146C" w:rsidRPr="00CF15C5">
          <w:rPr>
            <w:rStyle w:val="Hyperlink"/>
            <w:rFonts w:ascii="Times New Roman" w:hAnsi="Times New Roman" w:cs="Times New Roman"/>
            <w:sz w:val="24"/>
            <w:szCs w:val="24"/>
          </w:rPr>
          <w:t>https://www.legislation.gov.au/Series/F2012L00281</w:t>
        </w:r>
      </w:hyperlink>
      <w:r w:rsidR="00AA146C">
        <w:rPr>
          <w:rFonts w:ascii="Times New Roman" w:hAnsi="Times New Roman" w:cs="Times New Roman"/>
          <w:sz w:val="24"/>
          <w:szCs w:val="24"/>
        </w:rPr>
        <w:t xml:space="preserve">. </w:t>
      </w:r>
      <w:r w:rsidR="00496059">
        <w:rPr>
          <w:rFonts w:ascii="Times New Roman" w:hAnsi="Times New Roman" w:cs="Times New Roman"/>
          <w:b/>
          <w:sz w:val="24"/>
          <w:szCs w:val="24"/>
        </w:rPr>
        <w:br w:type="page"/>
      </w:r>
    </w:p>
    <w:p w14:paraId="603A8C18" w14:textId="77777777" w:rsidR="00160701" w:rsidRPr="00AE5E72" w:rsidRDefault="00160701" w:rsidP="00CB7C40">
      <w:pPr>
        <w:rPr>
          <w:rFonts w:ascii="Times New Roman" w:hAnsi="Times New Roman" w:cs="Times New Roman"/>
          <w:b/>
          <w:sz w:val="24"/>
          <w:szCs w:val="24"/>
        </w:rPr>
      </w:pPr>
      <w:r w:rsidRPr="00AE5E72">
        <w:rPr>
          <w:rFonts w:ascii="Times New Roman" w:hAnsi="Times New Roman" w:cs="Times New Roman"/>
          <w:b/>
          <w:sz w:val="24"/>
          <w:szCs w:val="24"/>
        </w:rPr>
        <w:lastRenderedPageBreak/>
        <w:t>Commencement</w:t>
      </w:r>
      <w:r w:rsidR="003268E4">
        <w:rPr>
          <w:rFonts w:ascii="Times New Roman" w:hAnsi="Times New Roman" w:cs="Times New Roman"/>
          <w:b/>
          <w:sz w:val="24"/>
          <w:szCs w:val="24"/>
        </w:rPr>
        <w:t xml:space="preserve"> and Application</w:t>
      </w:r>
    </w:p>
    <w:p w14:paraId="411D5407" w14:textId="77777777" w:rsidR="00160701" w:rsidRDefault="00160701" w:rsidP="00CB7C40">
      <w:pPr>
        <w:rPr>
          <w:rFonts w:ascii="Times New Roman" w:hAnsi="Times New Roman"/>
          <w:bCs/>
          <w:sz w:val="24"/>
          <w:szCs w:val="24"/>
        </w:rPr>
      </w:pPr>
      <w:r w:rsidRPr="00AE5E72">
        <w:rPr>
          <w:rFonts w:ascii="Times New Roman" w:hAnsi="Times New Roman" w:cs="Times New Roman"/>
          <w:sz w:val="24"/>
          <w:szCs w:val="24"/>
        </w:rPr>
        <w:t>The</w:t>
      </w:r>
      <w:r w:rsidR="005C0880" w:rsidRPr="00AE5E72">
        <w:rPr>
          <w:rFonts w:ascii="Times New Roman" w:hAnsi="Times New Roman" w:cs="Times New Roman"/>
          <w:sz w:val="24"/>
          <w:szCs w:val="24"/>
        </w:rPr>
        <w:t xml:space="preserve"> Amendment Instrument</w:t>
      </w:r>
      <w:r w:rsidR="005C0880" w:rsidRPr="00AE5E72">
        <w:rPr>
          <w:rFonts w:ascii="Times New Roman" w:hAnsi="Times New Roman" w:cs="Times New Roman"/>
          <w:b/>
          <w:sz w:val="24"/>
          <w:szCs w:val="24"/>
        </w:rPr>
        <w:t xml:space="preserve"> </w:t>
      </w:r>
      <w:r w:rsidR="005C0880" w:rsidRPr="00AE5E72">
        <w:rPr>
          <w:rFonts w:ascii="Times New Roman" w:hAnsi="Times New Roman"/>
          <w:bCs/>
          <w:sz w:val="24"/>
          <w:szCs w:val="24"/>
        </w:rPr>
        <w:t>takes effect on the day after it is registered on the Federal Register of Legislation.</w:t>
      </w:r>
      <w:r w:rsidR="003268E4">
        <w:rPr>
          <w:rFonts w:ascii="Times New Roman" w:hAnsi="Times New Roman"/>
          <w:bCs/>
          <w:sz w:val="24"/>
          <w:szCs w:val="24"/>
        </w:rPr>
        <w:t xml:space="preserve"> This amendment applies from </w:t>
      </w:r>
      <w:r w:rsidR="000907A5">
        <w:rPr>
          <w:rFonts w:ascii="Times New Roman" w:hAnsi="Times New Roman"/>
          <w:bCs/>
          <w:sz w:val="24"/>
          <w:szCs w:val="24"/>
        </w:rPr>
        <w:t xml:space="preserve">its </w:t>
      </w:r>
      <w:r w:rsidR="003268E4">
        <w:rPr>
          <w:rFonts w:ascii="Times New Roman" w:hAnsi="Times New Roman"/>
          <w:bCs/>
          <w:sz w:val="24"/>
          <w:szCs w:val="24"/>
        </w:rPr>
        <w:t xml:space="preserve">commencement </w:t>
      </w:r>
      <w:r w:rsidR="000907A5">
        <w:rPr>
          <w:rFonts w:ascii="Times New Roman" w:hAnsi="Times New Roman"/>
          <w:bCs/>
          <w:sz w:val="24"/>
          <w:szCs w:val="24"/>
        </w:rPr>
        <w:t xml:space="preserve">on the day after registration </w:t>
      </w:r>
      <w:r w:rsidR="003268E4" w:rsidRPr="00900767">
        <w:rPr>
          <w:rFonts w:ascii="Times New Roman" w:hAnsi="Times New Roman"/>
          <w:bCs/>
          <w:sz w:val="24"/>
          <w:szCs w:val="24"/>
        </w:rPr>
        <w:t>2020</w:t>
      </w:r>
      <w:r w:rsidR="003268E4">
        <w:rPr>
          <w:rFonts w:ascii="Times New Roman" w:hAnsi="Times New Roman"/>
          <w:bCs/>
          <w:sz w:val="24"/>
          <w:szCs w:val="24"/>
        </w:rPr>
        <w:t xml:space="preserve"> and </w:t>
      </w:r>
      <w:r w:rsidR="000907A5">
        <w:rPr>
          <w:rFonts w:ascii="Times New Roman" w:hAnsi="Times New Roman"/>
          <w:bCs/>
          <w:sz w:val="24"/>
          <w:szCs w:val="24"/>
        </w:rPr>
        <w:t xml:space="preserve">in </w:t>
      </w:r>
      <w:r w:rsidR="003268E4">
        <w:rPr>
          <w:rFonts w:ascii="Times New Roman" w:hAnsi="Times New Roman"/>
          <w:bCs/>
          <w:sz w:val="24"/>
          <w:szCs w:val="24"/>
        </w:rPr>
        <w:t>subsequent years.</w:t>
      </w:r>
    </w:p>
    <w:p w14:paraId="1D2D6C2F" w14:textId="77777777" w:rsidR="00CB7C40" w:rsidRPr="00C020EF" w:rsidRDefault="00CB7C40" w:rsidP="00CB7C40">
      <w:pPr>
        <w:rPr>
          <w:rFonts w:ascii="Times New Roman" w:hAnsi="Times New Roman" w:cs="Times New Roman"/>
          <w:b/>
          <w:sz w:val="24"/>
          <w:szCs w:val="24"/>
        </w:rPr>
      </w:pPr>
      <w:r w:rsidRPr="00C020EF">
        <w:rPr>
          <w:rFonts w:ascii="Times New Roman" w:hAnsi="Times New Roman" w:cs="Times New Roman"/>
          <w:b/>
          <w:sz w:val="24"/>
          <w:szCs w:val="24"/>
        </w:rPr>
        <w:t>Consultation</w:t>
      </w:r>
    </w:p>
    <w:p w14:paraId="729C002B" w14:textId="77777777" w:rsidR="00A73CC9" w:rsidRPr="00C75B91" w:rsidRDefault="00A73CC9" w:rsidP="00A73CC9">
      <w:pPr>
        <w:rPr>
          <w:rFonts w:ascii="Times New Roman" w:hAnsi="Times New Roman" w:cs="Times New Roman"/>
          <w:sz w:val="24"/>
          <w:szCs w:val="24"/>
        </w:rPr>
      </w:pPr>
      <w:r w:rsidRPr="00C020EF">
        <w:rPr>
          <w:rFonts w:ascii="Times New Roman" w:hAnsi="Times New Roman" w:cs="Times New Roman"/>
          <w:sz w:val="24"/>
          <w:szCs w:val="24"/>
        </w:rPr>
        <w:t>The Department of Education, Skills and Employment</w:t>
      </w:r>
      <w:r w:rsidR="009965F9" w:rsidRPr="00C020EF">
        <w:rPr>
          <w:rFonts w:ascii="Times New Roman" w:hAnsi="Times New Roman" w:cs="Times New Roman"/>
          <w:sz w:val="24"/>
          <w:szCs w:val="24"/>
        </w:rPr>
        <w:t xml:space="preserve"> (‘department’)</w:t>
      </w:r>
      <w:r w:rsidRPr="00C020EF">
        <w:rPr>
          <w:rFonts w:ascii="Times New Roman" w:hAnsi="Times New Roman" w:cs="Times New Roman"/>
          <w:sz w:val="24"/>
          <w:szCs w:val="24"/>
        </w:rPr>
        <w:t xml:space="preserve"> </w:t>
      </w:r>
      <w:r w:rsidR="006D0196" w:rsidRPr="00C020EF">
        <w:rPr>
          <w:rFonts w:ascii="Times New Roman" w:hAnsi="Times New Roman" w:cs="Times New Roman"/>
          <w:sz w:val="24"/>
          <w:szCs w:val="24"/>
        </w:rPr>
        <w:t xml:space="preserve">recently </w:t>
      </w:r>
      <w:r w:rsidR="009965F9" w:rsidRPr="00C020EF">
        <w:rPr>
          <w:rFonts w:ascii="Times New Roman" w:hAnsi="Times New Roman" w:cs="Times New Roman"/>
          <w:sz w:val="24"/>
          <w:szCs w:val="24"/>
        </w:rPr>
        <w:t>sought</w:t>
      </w:r>
      <w:r w:rsidR="006D0196" w:rsidRPr="00C020EF">
        <w:rPr>
          <w:rFonts w:ascii="Times New Roman" w:hAnsi="Times New Roman" w:cs="Times New Roman"/>
          <w:sz w:val="24"/>
          <w:szCs w:val="24"/>
        </w:rPr>
        <w:t xml:space="preserve"> </w:t>
      </w:r>
      <w:r w:rsidR="009965F9" w:rsidRPr="00C020EF">
        <w:rPr>
          <w:rFonts w:ascii="Times New Roman" w:hAnsi="Times New Roman" w:cs="Times New Roman"/>
          <w:sz w:val="24"/>
          <w:szCs w:val="24"/>
        </w:rPr>
        <w:t>e</w:t>
      </w:r>
      <w:r w:rsidR="006D0196" w:rsidRPr="00C020EF">
        <w:rPr>
          <w:rFonts w:ascii="Times New Roman" w:hAnsi="Times New Roman" w:cs="Times New Roman"/>
          <w:sz w:val="24"/>
          <w:szCs w:val="24"/>
        </w:rPr>
        <w:t>xpression</w:t>
      </w:r>
      <w:r w:rsidR="009965F9" w:rsidRPr="00C020EF">
        <w:rPr>
          <w:rFonts w:ascii="Times New Roman" w:hAnsi="Times New Roman" w:cs="Times New Roman"/>
          <w:sz w:val="24"/>
          <w:szCs w:val="24"/>
        </w:rPr>
        <w:t>s</w:t>
      </w:r>
      <w:r w:rsidR="006D0196" w:rsidRPr="00C020EF">
        <w:rPr>
          <w:rFonts w:ascii="Times New Roman" w:hAnsi="Times New Roman" w:cs="Times New Roman"/>
          <w:sz w:val="24"/>
          <w:szCs w:val="24"/>
        </w:rPr>
        <w:t xml:space="preserve"> of </w:t>
      </w:r>
      <w:r w:rsidR="009965F9" w:rsidRPr="00C020EF">
        <w:rPr>
          <w:rFonts w:ascii="Times New Roman" w:hAnsi="Times New Roman" w:cs="Times New Roman"/>
          <w:sz w:val="24"/>
          <w:szCs w:val="24"/>
        </w:rPr>
        <w:t>i</w:t>
      </w:r>
      <w:r w:rsidR="006D0196" w:rsidRPr="00C020EF">
        <w:rPr>
          <w:rFonts w:ascii="Times New Roman" w:hAnsi="Times New Roman" w:cs="Times New Roman"/>
          <w:sz w:val="24"/>
          <w:szCs w:val="24"/>
        </w:rPr>
        <w:t>nterest</w:t>
      </w:r>
      <w:r w:rsidR="009965F9" w:rsidRPr="00C020EF">
        <w:rPr>
          <w:rFonts w:ascii="Times New Roman" w:hAnsi="Times New Roman" w:cs="Times New Roman"/>
          <w:sz w:val="24"/>
          <w:szCs w:val="24"/>
        </w:rPr>
        <w:t xml:space="preserve"> from</w:t>
      </w:r>
      <w:r w:rsidR="006D0196" w:rsidRPr="00C020EF">
        <w:rPr>
          <w:rFonts w:ascii="Times New Roman" w:hAnsi="Times New Roman" w:cs="Times New Roman"/>
          <w:sz w:val="24"/>
          <w:szCs w:val="24"/>
        </w:rPr>
        <w:t xml:space="preserve"> </w:t>
      </w:r>
      <w:r w:rsidR="00100B14" w:rsidRPr="00C020EF">
        <w:rPr>
          <w:rFonts w:ascii="Times New Roman" w:hAnsi="Times New Roman" w:cs="Times New Roman"/>
          <w:sz w:val="24"/>
          <w:szCs w:val="24"/>
        </w:rPr>
        <w:t>NUHEPs for the allocation of</w:t>
      </w:r>
      <w:r w:rsidR="006D0196" w:rsidRPr="00C020EF">
        <w:rPr>
          <w:rFonts w:ascii="Times New Roman" w:hAnsi="Times New Roman" w:cs="Times New Roman"/>
          <w:sz w:val="24"/>
          <w:szCs w:val="24"/>
        </w:rPr>
        <w:t xml:space="preserve"> the </w:t>
      </w:r>
      <w:r w:rsidR="00CF15C5" w:rsidRPr="00C020EF">
        <w:rPr>
          <w:rFonts w:ascii="Times New Roman" w:hAnsi="Times New Roman" w:cs="Times New Roman"/>
          <w:sz w:val="24"/>
          <w:szCs w:val="24"/>
        </w:rPr>
        <w:t>Commonwealth supported places to support</w:t>
      </w:r>
      <w:r w:rsidR="000907A5">
        <w:rPr>
          <w:rFonts w:ascii="Times New Roman" w:hAnsi="Times New Roman" w:cs="Times New Roman"/>
          <w:sz w:val="24"/>
          <w:szCs w:val="24"/>
        </w:rPr>
        <w:t xml:space="preserve"> </w:t>
      </w:r>
      <w:r w:rsidR="00D0031F" w:rsidRPr="00C020EF">
        <w:rPr>
          <w:rFonts w:ascii="Times New Roman" w:hAnsi="Times New Roman" w:cs="Times New Roman"/>
          <w:sz w:val="24"/>
          <w:szCs w:val="24"/>
        </w:rPr>
        <w:t>1000</w:t>
      </w:r>
      <w:r w:rsidR="00CF15C5" w:rsidRPr="00C020EF">
        <w:rPr>
          <w:rFonts w:ascii="Times New Roman" w:hAnsi="Times New Roman" w:cs="Times New Roman"/>
          <w:sz w:val="24"/>
          <w:szCs w:val="24"/>
        </w:rPr>
        <w:t xml:space="preserve"> students to undertake online short courses.</w:t>
      </w:r>
      <w:r w:rsidR="006D0196" w:rsidRPr="00C020EF">
        <w:rPr>
          <w:rFonts w:ascii="Times New Roman" w:hAnsi="Times New Roman" w:cs="Times New Roman"/>
          <w:sz w:val="24"/>
          <w:szCs w:val="24"/>
        </w:rPr>
        <w:t xml:space="preserve"> </w:t>
      </w:r>
      <w:r w:rsidR="00D0031F" w:rsidRPr="00C020EF">
        <w:rPr>
          <w:rFonts w:ascii="Times New Roman" w:hAnsi="Times New Roman" w:cs="Times New Roman"/>
          <w:sz w:val="24"/>
          <w:szCs w:val="24"/>
        </w:rPr>
        <w:t>On</w:t>
      </w:r>
      <w:r w:rsidR="00D0031F">
        <w:rPr>
          <w:rFonts w:ascii="Times New Roman" w:hAnsi="Times New Roman" w:cs="Times New Roman"/>
          <w:sz w:val="24"/>
          <w:szCs w:val="24"/>
        </w:rPr>
        <w:t xml:space="preserve"> 13 May 2020, t</w:t>
      </w:r>
      <w:r w:rsidR="006D0196">
        <w:rPr>
          <w:rFonts w:ascii="Times New Roman" w:hAnsi="Times New Roman" w:cs="Times New Roman"/>
          <w:sz w:val="24"/>
          <w:szCs w:val="24"/>
        </w:rPr>
        <w:t xml:space="preserve">he Minister for Education advised successful </w:t>
      </w:r>
      <w:r w:rsidR="009965F9">
        <w:rPr>
          <w:rFonts w:ascii="Times New Roman" w:hAnsi="Times New Roman" w:cs="Times New Roman"/>
          <w:sz w:val="24"/>
          <w:szCs w:val="24"/>
        </w:rPr>
        <w:t xml:space="preserve">NUHEPs of </w:t>
      </w:r>
      <w:r w:rsidR="00D0031F">
        <w:rPr>
          <w:rFonts w:ascii="Times New Roman" w:hAnsi="Times New Roman" w:cs="Times New Roman"/>
          <w:sz w:val="24"/>
          <w:szCs w:val="24"/>
        </w:rPr>
        <w:t xml:space="preserve">their allocation of places and the department advised unsuccessful applicants. </w:t>
      </w:r>
    </w:p>
    <w:p w14:paraId="65BF5B31" w14:textId="77777777" w:rsidR="00CB7C40" w:rsidRDefault="00CB7C40" w:rsidP="00E85DF4">
      <w:pPr>
        <w:keepNext/>
        <w:rPr>
          <w:rFonts w:ascii="Times New Roman" w:hAnsi="Times New Roman" w:cs="Times New Roman"/>
          <w:b/>
          <w:sz w:val="24"/>
          <w:szCs w:val="24"/>
        </w:rPr>
      </w:pPr>
      <w:r w:rsidRPr="0079789F">
        <w:rPr>
          <w:rFonts w:ascii="Times New Roman" w:hAnsi="Times New Roman" w:cs="Times New Roman"/>
          <w:b/>
          <w:sz w:val="24"/>
          <w:szCs w:val="24"/>
        </w:rPr>
        <w:t xml:space="preserve">Regulatory impact </w:t>
      </w:r>
      <w:r w:rsidR="00092275" w:rsidRPr="0079789F">
        <w:rPr>
          <w:rFonts w:ascii="Times New Roman" w:hAnsi="Times New Roman" w:cs="Times New Roman"/>
          <w:b/>
          <w:sz w:val="24"/>
          <w:szCs w:val="24"/>
        </w:rPr>
        <w:t>statement</w:t>
      </w:r>
    </w:p>
    <w:p w14:paraId="791A6474" w14:textId="77777777" w:rsidR="00403468" w:rsidRPr="00C75B91" w:rsidRDefault="00403468" w:rsidP="00403468">
      <w:pPr>
        <w:pStyle w:val="MBNumbering"/>
        <w:numPr>
          <w:ilvl w:val="0"/>
          <w:numId w:val="0"/>
        </w:numPr>
        <w:rPr>
          <w:rFonts w:ascii="Times New Roman" w:hAnsi="Times New Roman" w:cs="Times New Roman"/>
          <w:sz w:val="24"/>
          <w:szCs w:val="24"/>
        </w:rPr>
      </w:pPr>
      <w:r w:rsidRPr="00C75B91">
        <w:rPr>
          <w:rFonts w:ascii="Times New Roman" w:hAnsi="Times New Roman" w:cs="Times New Roman"/>
          <w:sz w:val="24"/>
          <w:szCs w:val="24"/>
        </w:rPr>
        <w:t xml:space="preserve">The Office of Best Practice Regulation has </w:t>
      </w:r>
      <w:r w:rsidR="006D0196">
        <w:rPr>
          <w:rFonts w:ascii="Times New Roman" w:hAnsi="Times New Roman" w:cs="Times New Roman"/>
          <w:sz w:val="24"/>
          <w:szCs w:val="24"/>
        </w:rPr>
        <w:t>determined</w:t>
      </w:r>
      <w:r w:rsidRPr="00C75B91">
        <w:rPr>
          <w:rFonts w:ascii="Times New Roman" w:hAnsi="Times New Roman" w:cs="Times New Roman"/>
          <w:sz w:val="24"/>
          <w:szCs w:val="24"/>
        </w:rPr>
        <w:t xml:space="preserve"> </w:t>
      </w:r>
      <w:r w:rsidR="000907A5">
        <w:rPr>
          <w:rFonts w:ascii="Times New Roman" w:hAnsi="Times New Roman" w:cs="Times New Roman"/>
          <w:sz w:val="24"/>
          <w:szCs w:val="24"/>
        </w:rPr>
        <w:t>that</w:t>
      </w:r>
      <w:r w:rsidR="00D0031F" w:rsidRPr="006D0196">
        <w:rPr>
          <w:rFonts w:ascii="Times New Roman" w:hAnsi="Times New Roman" w:cs="Times New Roman"/>
          <w:sz w:val="24"/>
          <w:szCs w:val="24"/>
        </w:rPr>
        <w:t xml:space="preserve"> a regulation impact statement</w:t>
      </w:r>
      <w:r w:rsidR="000907A5">
        <w:rPr>
          <w:rFonts w:ascii="Times New Roman" w:hAnsi="Times New Roman" w:cs="Times New Roman"/>
          <w:sz w:val="24"/>
          <w:szCs w:val="24"/>
        </w:rPr>
        <w:t xml:space="preserve"> is not required</w:t>
      </w:r>
      <w:r w:rsidRPr="00C75B91">
        <w:rPr>
          <w:rFonts w:ascii="Times New Roman" w:hAnsi="Times New Roman" w:cs="Times New Roman"/>
          <w:sz w:val="24"/>
          <w:szCs w:val="24"/>
        </w:rPr>
        <w:t xml:space="preserve"> (OPBR ID 26451)</w:t>
      </w:r>
      <w:r w:rsidR="002F2593" w:rsidRPr="00C75B91">
        <w:rPr>
          <w:rFonts w:ascii="Times New Roman" w:hAnsi="Times New Roman" w:cs="Times New Roman"/>
          <w:sz w:val="24"/>
          <w:szCs w:val="24"/>
        </w:rPr>
        <w:t>.</w:t>
      </w:r>
    </w:p>
    <w:p w14:paraId="048CA770" w14:textId="77777777" w:rsidR="005B58CE" w:rsidRPr="00CF15C5" w:rsidRDefault="005B58CE" w:rsidP="00E91393">
      <w:pPr>
        <w:keepNext/>
        <w:rPr>
          <w:rFonts w:ascii="Times New Roman" w:hAnsi="Times New Roman" w:cs="Times New Roman"/>
          <w:b/>
          <w:sz w:val="24"/>
          <w:szCs w:val="24"/>
        </w:rPr>
      </w:pPr>
      <w:r w:rsidRPr="00CF15C5">
        <w:rPr>
          <w:rFonts w:ascii="Times New Roman" w:hAnsi="Times New Roman" w:cs="Times New Roman"/>
          <w:b/>
          <w:sz w:val="24"/>
          <w:szCs w:val="24"/>
        </w:rPr>
        <w:t xml:space="preserve">Explanation of the provisions </w:t>
      </w:r>
    </w:p>
    <w:p w14:paraId="23001961" w14:textId="77777777" w:rsidR="009631DD" w:rsidRPr="00AE5E72" w:rsidRDefault="009631DD" w:rsidP="0023116C">
      <w:pPr>
        <w:rPr>
          <w:rFonts w:ascii="Times New Roman" w:hAnsi="Times New Roman" w:cs="Times New Roman"/>
          <w:sz w:val="24"/>
          <w:szCs w:val="24"/>
        </w:rPr>
      </w:pPr>
      <w:r>
        <w:rPr>
          <w:rFonts w:ascii="Times New Roman" w:hAnsi="Times New Roman" w:cs="Times New Roman"/>
          <w:b/>
          <w:sz w:val="24"/>
          <w:szCs w:val="24"/>
        </w:rPr>
        <w:t>Item 1</w:t>
      </w:r>
      <w:r w:rsidRPr="00AE5E72">
        <w:rPr>
          <w:rFonts w:ascii="Times New Roman" w:hAnsi="Times New Roman" w:cs="Times New Roman"/>
          <w:sz w:val="24"/>
          <w:szCs w:val="24"/>
        </w:rPr>
        <w:t xml:space="preserve"> of the Amendment Instrument </w:t>
      </w:r>
      <w:r w:rsidR="00F42F61">
        <w:rPr>
          <w:rFonts w:ascii="Times New Roman" w:hAnsi="Times New Roman" w:cs="Times New Roman"/>
          <w:sz w:val="24"/>
          <w:szCs w:val="24"/>
        </w:rPr>
        <w:t>replaces</w:t>
      </w:r>
      <w:r w:rsidR="0042691A">
        <w:rPr>
          <w:rFonts w:ascii="Times New Roman" w:hAnsi="Times New Roman" w:cs="Times New Roman"/>
          <w:sz w:val="24"/>
          <w:szCs w:val="24"/>
        </w:rPr>
        <w:t xml:space="preserve"> the existing </w:t>
      </w:r>
      <w:r w:rsidR="00340ECA">
        <w:rPr>
          <w:rFonts w:ascii="Times New Roman" w:hAnsi="Times New Roman" w:cs="Times New Roman"/>
          <w:sz w:val="24"/>
          <w:szCs w:val="24"/>
        </w:rPr>
        <w:t>subsection</w:t>
      </w:r>
      <w:r w:rsidR="00340ECA" w:rsidRPr="00AE5E72">
        <w:rPr>
          <w:rFonts w:ascii="Times New Roman" w:hAnsi="Times New Roman" w:cs="Times New Roman"/>
          <w:sz w:val="24"/>
          <w:szCs w:val="24"/>
        </w:rPr>
        <w:t xml:space="preserve"> </w:t>
      </w:r>
      <w:r w:rsidRPr="00AE5E72">
        <w:rPr>
          <w:rFonts w:ascii="Times New Roman" w:hAnsi="Times New Roman" w:cs="Times New Roman"/>
          <w:sz w:val="24"/>
          <w:szCs w:val="24"/>
        </w:rPr>
        <w:t>2</w:t>
      </w:r>
      <w:r>
        <w:rPr>
          <w:rFonts w:ascii="Times New Roman" w:hAnsi="Times New Roman" w:cs="Times New Roman"/>
          <w:sz w:val="24"/>
          <w:szCs w:val="24"/>
        </w:rPr>
        <w:t>.5.1</w:t>
      </w:r>
      <w:r w:rsidRPr="00AE5E72">
        <w:rPr>
          <w:rFonts w:ascii="Times New Roman" w:hAnsi="Times New Roman" w:cs="Times New Roman"/>
          <w:sz w:val="24"/>
          <w:szCs w:val="24"/>
        </w:rPr>
        <w:t xml:space="preserve"> to </w:t>
      </w:r>
      <w:r w:rsidR="00F42F61">
        <w:rPr>
          <w:rFonts w:ascii="Times New Roman" w:hAnsi="Times New Roman" w:cs="Times New Roman"/>
          <w:sz w:val="24"/>
          <w:szCs w:val="24"/>
        </w:rPr>
        <w:t>include</w:t>
      </w:r>
      <w:r w:rsidRPr="00AE5E72">
        <w:rPr>
          <w:rFonts w:ascii="Times New Roman" w:hAnsi="Times New Roman" w:cs="Times New Roman"/>
          <w:sz w:val="24"/>
          <w:szCs w:val="24"/>
        </w:rPr>
        <w:t xml:space="preserve"> </w:t>
      </w:r>
      <w:r w:rsidR="00F42F61">
        <w:rPr>
          <w:rFonts w:ascii="Times New Roman" w:hAnsi="Times New Roman" w:cs="Times New Roman"/>
          <w:sz w:val="24"/>
          <w:szCs w:val="24"/>
        </w:rPr>
        <w:t>providers</w:t>
      </w:r>
      <w:r w:rsidRPr="00AE5E72">
        <w:rPr>
          <w:rFonts w:ascii="Times New Roman" w:hAnsi="Times New Roman" w:cs="Times New Roman"/>
          <w:sz w:val="24"/>
          <w:szCs w:val="24"/>
        </w:rPr>
        <w:t xml:space="preserve"> who will be </w:t>
      </w:r>
      <w:r>
        <w:rPr>
          <w:rFonts w:ascii="Times New Roman" w:hAnsi="Times New Roman" w:cs="Times New Roman"/>
          <w:sz w:val="24"/>
          <w:szCs w:val="24"/>
        </w:rPr>
        <w:t>funded to provide</w:t>
      </w:r>
      <w:r w:rsidR="00F42F61">
        <w:rPr>
          <w:rFonts w:ascii="Times New Roman" w:hAnsi="Times New Roman" w:cs="Times New Roman"/>
          <w:sz w:val="24"/>
          <w:szCs w:val="24"/>
        </w:rPr>
        <w:t xml:space="preserve"> retraining and upskilling courses of study in 2020 in national priority fields of education, and to update legal entity </w:t>
      </w:r>
      <w:r w:rsidR="00E91393">
        <w:rPr>
          <w:rFonts w:ascii="Times New Roman" w:hAnsi="Times New Roman" w:cs="Times New Roman"/>
          <w:sz w:val="24"/>
          <w:szCs w:val="24"/>
        </w:rPr>
        <w:t xml:space="preserve">names </w:t>
      </w:r>
      <w:r w:rsidR="00F42F61">
        <w:rPr>
          <w:rFonts w:ascii="Times New Roman" w:hAnsi="Times New Roman" w:cs="Times New Roman"/>
          <w:sz w:val="24"/>
          <w:szCs w:val="24"/>
        </w:rPr>
        <w:t xml:space="preserve">for providers whose names have changed since their </w:t>
      </w:r>
      <w:r w:rsidR="00C75B91">
        <w:rPr>
          <w:rFonts w:ascii="Times New Roman" w:hAnsi="Times New Roman" w:cs="Times New Roman"/>
          <w:sz w:val="24"/>
          <w:szCs w:val="24"/>
        </w:rPr>
        <w:t>original listing</w:t>
      </w:r>
      <w:r w:rsidR="00E91393">
        <w:rPr>
          <w:rFonts w:ascii="Times New Roman" w:hAnsi="Times New Roman" w:cs="Times New Roman"/>
          <w:sz w:val="24"/>
          <w:szCs w:val="24"/>
        </w:rPr>
        <w:t xml:space="preserve"> in the Principal Instrument</w:t>
      </w:r>
      <w:r w:rsidR="00AC4272">
        <w:rPr>
          <w:rFonts w:ascii="Times New Roman" w:hAnsi="Times New Roman" w:cs="Times New Roman"/>
          <w:sz w:val="24"/>
          <w:szCs w:val="24"/>
        </w:rPr>
        <w:t>.</w:t>
      </w:r>
    </w:p>
    <w:p w14:paraId="55DA5FB9" w14:textId="77777777" w:rsidR="00F42F61" w:rsidRDefault="00F42F61" w:rsidP="00F42F61">
      <w:pPr>
        <w:pStyle w:val="MBHeading2"/>
        <w:rPr>
          <w:lang w:eastAsia="en-AU"/>
        </w:rPr>
      </w:pPr>
      <w:r>
        <w:rPr>
          <w:lang w:eastAsia="en-AU"/>
        </w:rPr>
        <w:t xml:space="preserve">Existing </w:t>
      </w:r>
      <w:r w:rsidR="0042691A">
        <w:rPr>
          <w:lang w:eastAsia="en-AU"/>
        </w:rPr>
        <w:t xml:space="preserve">providers </w:t>
      </w:r>
      <w:r>
        <w:rPr>
          <w:lang w:eastAsia="en-AU"/>
        </w:rPr>
        <w:t>with legal entity name changes</w:t>
      </w:r>
    </w:p>
    <w:p w14:paraId="359732F8" w14:textId="77777777" w:rsidR="0042691A" w:rsidRPr="0023116C" w:rsidRDefault="0042691A" w:rsidP="0023116C">
      <w:pPr>
        <w:pStyle w:val="ListParagraph"/>
        <w:numPr>
          <w:ilvl w:val="0"/>
          <w:numId w:val="17"/>
        </w:numPr>
        <w:rPr>
          <w:rFonts w:ascii="Times New Roman" w:hAnsi="Times New Roman" w:cs="Times New Roman"/>
          <w:sz w:val="24"/>
          <w:szCs w:val="24"/>
        </w:rPr>
      </w:pPr>
      <w:r w:rsidRPr="0023116C">
        <w:rPr>
          <w:rFonts w:ascii="Times New Roman" w:hAnsi="Times New Roman" w:cs="Times New Roman"/>
          <w:sz w:val="24"/>
          <w:szCs w:val="24"/>
        </w:rPr>
        <w:t xml:space="preserve">Avondale University College Ltd </w:t>
      </w:r>
      <w:r w:rsidR="00340ECA" w:rsidRPr="0023116C">
        <w:rPr>
          <w:rFonts w:ascii="Times New Roman" w:hAnsi="Times New Roman" w:cs="Times New Roman"/>
          <w:sz w:val="24"/>
          <w:szCs w:val="24"/>
        </w:rPr>
        <w:t>trading as</w:t>
      </w:r>
      <w:r w:rsidRPr="0023116C">
        <w:rPr>
          <w:rFonts w:ascii="Times New Roman" w:hAnsi="Times New Roman" w:cs="Times New Roman"/>
          <w:sz w:val="24"/>
          <w:szCs w:val="24"/>
        </w:rPr>
        <w:t xml:space="preserve"> Avondale University College</w:t>
      </w:r>
    </w:p>
    <w:p w14:paraId="048B2A1E" w14:textId="77777777" w:rsidR="0042691A" w:rsidRPr="0023116C" w:rsidRDefault="0042691A" w:rsidP="0023116C">
      <w:pPr>
        <w:pStyle w:val="ListParagraph"/>
        <w:numPr>
          <w:ilvl w:val="0"/>
          <w:numId w:val="17"/>
        </w:numPr>
        <w:rPr>
          <w:rFonts w:ascii="Times New Roman" w:hAnsi="Times New Roman" w:cs="Times New Roman"/>
          <w:sz w:val="24"/>
          <w:szCs w:val="24"/>
        </w:rPr>
      </w:pPr>
      <w:r w:rsidRPr="0023116C">
        <w:rPr>
          <w:rFonts w:ascii="Times New Roman" w:hAnsi="Times New Roman" w:cs="Times New Roman"/>
          <w:sz w:val="24"/>
          <w:szCs w:val="24"/>
        </w:rPr>
        <w:t xml:space="preserve">The University of Notre Dame Australia </w:t>
      </w:r>
      <w:r w:rsidR="00340ECA" w:rsidRPr="0023116C">
        <w:rPr>
          <w:rFonts w:ascii="Times New Roman" w:hAnsi="Times New Roman" w:cs="Times New Roman"/>
          <w:sz w:val="24"/>
          <w:szCs w:val="24"/>
        </w:rPr>
        <w:t>trading as</w:t>
      </w:r>
      <w:r w:rsidRPr="0023116C">
        <w:rPr>
          <w:rFonts w:ascii="Times New Roman" w:hAnsi="Times New Roman" w:cs="Times New Roman"/>
          <w:sz w:val="24"/>
          <w:szCs w:val="24"/>
        </w:rPr>
        <w:t xml:space="preserve"> University of Notre Dame Australia</w:t>
      </w:r>
    </w:p>
    <w:p w14:paraId="69DB6217" w14:textId="77777777" w:rsidR="0042691A" w:rsidRPr="0023116C" w:rsidRDefault="0042691A" w:rsidP="0023116C">
      <w:pPr>
        <w:pStyle w:val="ListParagraph"/>
        <w:numPr>
          <w:ilvl w:val="0"/>
          <w:numId w:val="17"/>
        </w:numPr>
        <w:rPr>
          <w:rFonts w:ascii="Times New Roman" w:hAnsi="Times New Roman" w:cs="Times New Roman"/>
          <w:sz w:val="24"/>
          <w:szCs w:val="24"/>
        </w:rPr>
      </w:pPr>
      <w:r w:rsidRPr="0023116C">
        <w:rPr>
          <w:rFonts w:ascii="Times New Roman" w:hAnsi="Times New Roman" w:cs="Times New Roman"/>
          <w:sz w:val="24"/>
          <w:szCs w:val="24"/>
        </w:rPr>
        <w:t>Bond University Ltd</w:t>
      </w:r>
    </w:p>
    <w:p w14:paraId="204EF81B" w14:textId="77777777" w:rsidR="0042691A" w:rsidRPr="0023116C" w:rsidRDefault="0042691A" w:rsidP="0023116C">
      <w:pPr>
        <w:pStyle w:val="ListParagraph"/>
        <w:numPr>
          <w:ilvl w:val="0"/>
          <w:numId w:val="17"/>
        </w:numPr>
        <w:rPr>
          <w:rFonts w:ascii="Times New Roman" w:hAnsi="Times New Roman" w:cs="Times New Roman"/>
          <w:sz w:val="24"/>
          <w:szCs w:val="24"/>
        </w:rPr>
      </w:pPr>
      <w:r w:rsidRPr="0023116C">
        <w:rPr>
          <w:rFonts w:ascii="Times New Roman" w:hAnsi="Times New Roman" w:cs="Times New Roman"/>
          <w:sz w:val="24"/>
          <w:szCs w:val="24"/>
        </w:rPr>
        <w:t xml:space="preserve">University of Divinity </w:t>
      </w:r>
      <w:r w:rsidR="00340ECA" w:rsidRPr="0023116C">
        <w:rPr>
          <w:rFonts w:ascii="Times New Roman" w:hAnsi="Times New Roman" w:cs="Times New Roman"/>
          <w:sz w:val="24"/>
          <w:szCs w:val="24"/>
        </w:rPr>
        <w:t>trading as</w:t>
      </w:r>
      <w:r w:rsidRPr="0023116C">
        <w:rPr>
          <w:rFonts w:ascii="Times New Roman" w:hAnsi="Times New Roman" w:cs="Times New Roman"/>
          <w:sz w:val="24"/>
          <w:szCs w:val="24"/>
        </w:rPr>
        <w:t xml:space="preserve"> MCD University of Divinity</w:t>
      </w:r>
    </w:p>
    <w:p w14:paraId="1090DEEE" w14:textId="77777777" w:rsidR="0042691A" w:rsidRPr="0023116C" w:rsidRDefault="0042691A" w:rsidP="0023116C">
      <w:pPr>
        <w:pStyle w:val="ListParagraph"/>
        <w:numPr>
          <w:ilvl w:val="0"/>
          <w:numId w:val="17"/>
        </w:numPr>
        <w:rPr>
          <w:rFonts w:ascii="Times New Roman" w:hAnsi="Times New Roman" w:cs="Times New Roman"/>
          <w:sz w:val="24"/>
          <w:szCs w:val="24"/>
        </w:rPr>
      </w:pPr>
      <w:r w:rsidRPr="0023116C">
        <w:rPr>
          <w:rFonts w:ascii="Times New Roman" w:hAnsi="Times New Roman" w:cs="Times New Roman"/>
          <w:sz w:val="24"/>
          <w:szCs w:val="24"/>
        </w:rPr>
        <w:t xml:space="preserve">Tabor College Inc </w:t>
      </w:r>
      <w:r w:rsidR="00340ECA" w:rsidRPr="0023116C">
        <w:rPr>
          <w:rFonts w:ascii="Times New Roman" w:hAnsi="Times New Roman" w:cs="Times New Roman"/>
          <w:sz w:val="24"/>
          <w:szCs w:val="24"/>
        </w:rPr>
        <w:t>trading as</w:t>
      </w:r>
      <w:r w:rsidRPr="0023116C">
        <w:rPr>
          <w:rFonts w:ascii="Times New Roman" w:hAnsi="Times New Roman" w:cs="Times New Roman"/>
          <w:sz w:val="24"/>
          <w:szCs w:val="24"/>
        </w:rPr>
        <w:t xml:space="preserve"> Tabor Adelaide</w:t>
      </w:r>
    </w:p>
    <w:p w14:paraId="20C51001" w14:textId="77777777" w:rsidR="0042691A" w:rsidRPr="0023116C" w:rsidRDefault="0042691A" w:rsidP="0023116C">
      <w:pPr>
        <w:pStyle w:val="ListParagraph"/>
        <w:numPr>
          <w:ilvl w:val="0"/>
          <w:numId w:val="17"/>
        </w:numPr>
        <w:rPr>
          <w:rFonts w:ascii="Times New Roman" w:hAnsi="Times New Roman" w:cs="Times New Roman"/>
          <w:sz w:val="24"/>
          <w:szCs w:val="24"/>
        </w:rPr>
      </w:pPr>
      <w:r w:rsidRPr="0023116C">
        <w:rPr>
          <w:rFonts w:ascii="Times New Roman" w:hAnsi="Times New Roman" w:cs="Times New Roman"/>
          <w:sz w:val="24"/>
          <w:szCs w:val="24"/>
        </w:rPr>
        <w:t xml:space="preserve">Eastern College Australia Inc </w:t>
      </w:r>
    </w:p>
    <w:p w14:paraId="4303AB0A" w14:textId="77777777" w:rsidR="0042691A" w:rsidRPr="0023116C" w:rsidRDefault="0042691A" w:rsidP="0023116C">
      <w:pPr>
        <w:pStyle w:val="ListParagraph"/>
        <w:numPr>
          <w:ilvl w:val="0"/>
          <w:numId w:val="17"/>
        </w:numPr>
        <w:rPr>
          <w:rFonts w:ascii="Times New Roman" w:hAnsi="Times New Roman" w:cs="Times New Roman"/>
          <w:sz w:val="24"/>
          <w:szCs w:val="24"/>
        </w:rPr>
      </w:pPr>
      <w:r w:rsidRPr="0023116C">
        <w:rPr>
          <w:rFonts w:ascii="Times New Roman" w:hAnsi="Times New Roman" w:cs="Times New Roman"/>
          <w:sz w:val="24"/>
          <w:szCs w:val="24"/>
        </w:rPr>
        <w:t>Christian Heritage College</w:t>
      </w:r>
    </w:p>
    <w:p w14:paraId="7EC56CB4" w14:textId="77777777" w:rsidR="0042691A" w:rsidRPr="0023116C" w:rsidRDefault="0042691A" w:rsidP="0023116C">
      <w:pPr>
        <w:pStyle w:val="ListParagraph"/>
        <w:numPr>
          <w:ilvl w:val="0"/>
          <w:numId w:val="17"/>
        </w:numPr>
        <w:rPr>
          <w:rFonts w:ascii="Times New Roman" w:hAnsi="Times New Roman" w:cs="Times New Roman"/>
          <w:sz w:val="24"/>
          <w:szCs w:val="24"/>
        </w:rPr>
      </w:pPr>
      <w:r w:rsidRPr="0023116C">
        <w:rPr>
          <w:rFonts w:ascii="Times New Roman" w:hAnsi="Times New Roman" w:cs="Times New Roman"/>
          <w:sz w:val="24"/>
          <w:szCs w:val="24"/>
        </w:rPr>
        <w:t>Holmesglen Institute</w:t>
      </w:r>
      <w:r w:rsidR="00877586" w:rsidRPr="0023116C">
        <w:rPr>
          <w:rFonts w:ascii="Times New Roman" w:hAnsi="Times New Roman" w:cs="Times New Roman"/>
          <w:sz w:val="24"/>
          <w:szCs w:val="24"/>
        </w:rPr>
        <w:t xml:space="preserve"> </w:t>
      </w:r>
      <w:r w:rsidR="00340ECA" w:rsidRPr="0023116C">
        <w:rPr>
          <w:rFonts w:ascii="Times New Roman" w:hAnsi="Times New Roman" w:cs="Times New Roman"/>
          <w:sz w:val="24"/>
          <w:szCs w:val="24"/>
        </w:rPr>
        <w:t>trading as</w:t>
      </w:r>
      <w:r w:rsidR="00877586" w:rsidRPr="0023116C">
        <w:rPr>
          <w:rFonts w:ascii="Times New Roman" w:hAnsi="Times New Roman" w:cs="Times New Roman"/>
          <w:sz w:val="24"/>
          <w:szCs w:val="24"/>
        </w:rPr>
        <w:t xml:space="preserve"> Holmesglen Institute of TAFE</w:t>
      </w:r>
    </w:p>
    <w:p w14:paraId="76E83FEE" w14:textId="77777777" w:rsidR="00F42F61" w:rsidRPr="0023116C" w:rsidRDefault="0042691A" w:rsidP="0023116C">
      <w:pPr>
        <w:pStyle w:val="ListParagraph"/>
        <w:numPr>
          <w:ilvl w:val="0"/>
          <w:numId w:val="17"/>
        </w:numPr>
      </w:pPr>
      <w:r w:rsidRPr="0023116C">
        <w:rPr>
          <w:rFonts w:ascii="Times New Roman" w:hAnsi="Times New Roman" w:cs="Times New Roman"/>
          <w:sz w:val="24"/>
          <w:szCs w:val="24"/>
        </w:rPr>
        <w:t>Melbourne Polytechnic</w:t>
      </w:r>
    </w:p>
    <w:p w14:paraId="46E9881E" w14:textId="77777777" w:rsidR="00AC4272" w:rsidRPr="00AD41BA" w:rsidRDefault="00E91393" w:rsidP="00AC4272">
      <w:pPr>
        <w:pStyle w:val="MBHeading2"/>
      </w:pPr>
      <w:r>
        <w:t>New p</w:t>
      </w:r>
      <w:r w:rsidR="00F42F61">
        <w:t>roviders to be funded to provide retraining and upskilling courses of study in 2020 in national priority fields of education</w:t>
      </w:r>
    </w:p>
    <w:p w14:paraId="0817CE14" w14:textId="77777777" w:rsidR="0042691A" w:rsidRPr="0023116C" w:rsidRDefault="0042691A" w:rsidP="0023116C">
      <w:pPr>
        <w:pStyle w:val="ListParagraph"/>
        <w:numPr>
          <w:ilvl w:val="0"/>
          <w:numId w:val="18"/>
        </w:numPr>
        <w:rPr>
          <w:rFonts w:ascii="Times New Roman" w:hAnsi="Times New Roman" w:cs="Times New Roman"/>
          <w:sz w:val="24"/>
          <w:szCs w:val="24"/>
        </w:rPr>
      </w:pPr>
      <w:r w:rsidRPr="0023116C">
        <w:rPr>
          <w:rFonts w:ascii="Times New Roman" w:hAnsi="Times New Roman" w:cs="Times New Roman"/>
          <w:sz w:val="24"/>
          <w:szCs w:val="24"/>
        </w:rPr>
        <w:t>Alphacrucis College Ltd</w:t>
      </w:r>
    </w:p>
    <w:p w14:paraId="14498D51" w14:textId="77777777" w:rsidR="0042691A" w:rsidRPr="0023116C" w:rsidRDefault="0042691A" w:rsidP="0023116C">
      <w:pPr>
        <w:pStyle w:val="ListParagraph"/>
        <w:numPr>
          <w:ilvl w:val="0"/>
          <w:numId w:val="18"/>
        </w:numPr>
        <w:rPr>
          <w:rFonts w:ascii="Times New Roman" w:hAnsi="Times New Roman" w:cs="Times New Roman"/>
          <w:sz w:val="24"/>
          <w:szCs w:val="24"/>
        </w:rPr>
      </w:pPr>
      <w:r w:rsidRPr="0023116C">
        <w:rPr>
          <w:rFonts w:ascii="Times New Roman" w:hAnsi="Times New Roman" w:cs="Times New Roman"/>
          <w:sz w:val="24"/>
          <w:szCs w:val="24"/>
        </w:rPr>
        <w:t>Australian College of Nursing Ltd</w:t>
      </w:r>
    </w:p>
    <w:p w14:paraId="64BF0ACE" w14:textId="77777777" w:rsidR="0042691A" w:rsidRPr="0023116C" w:rsidRDefault="0042691A" w:rsidP="0023116C">
      <w:pPr>
        <w:pStyle w:val="ListParagraph"/>
        <w:numPr>
          <w:ilvl w:val="0"/>
          <w:numId w:val="18"/>
        </w:numPr>
        <w:rPr>
          <w:rFonts w:ascii="Times New Roman" w:hAnsi="Times New Roman" w:cs="Times New Roman"/>
          <w:sz w:val="24"/>
          <w:szCs w:val="24"/>
        </w:rPr>
      </w:pPr>
      <w:r w:rsidRPr="0023116C">
        <w:rPr>
          <w:rFonts w:ascii="Times New Roman" w:hAnsi="Times New Roman" w:cs="Times New Roman"/>
          <w:sz w:val="24"/>
          <w:szCs w:val="24"/>
        </w:rPr>
        <w:lastRenderedPageBreak/>
        <w:t>ACPE Ltd</w:t>
      </w:r>
      <w:r w:rsidRPr="0023116C" w:rsidDel="00770617">
        <w:rPr>
          <w:rFonts w:ascii="Times New Roman" w:hAnsi="Times New Roman" w:cs="Times New Roman"/>
          <w:sz w:val="24"/>
          <w:szCs w:val="24"/>
        </w:rPr>
        <w:t xml:space="preserve"> </w:t>
      </w:r>
      <w:r w:rsidR="00340ECA" w:rsidRPr="0023116C">
        <w:rPr>
          <w:rFonts w:ascii="Times New Roman" w:hAnsi="Times New Roman" w:cs="Times New Roman"/>
          <w:sz w:val="24"/>
          <w:szCs w:val="24"/>
        </w:rPr>
        <w:t>trading as</w:t>
      </w:r>
      <w:r w:rsidRPr="0023116C">
        <w:rPr>
          <w:rFonts w:ascii="Times New Roman" w:hAnsi="Times New Roman" w:cs="Times New Roman"/>
          <w:sz w:val="24"/>
          <w:szCs w:val="24"/>
        </w:rPr>
        <w:t xml:space="preserve"> </w:t>
      </w:r>
      <w:r w:rsidR="0023116C">
        <w:rPr>
          <w:rFonts w:ascii="Times New Roman" w:hAnsi="Times New Roman" w:cs="Times New Roman"/>
          <w:sz w:val="24"/>
          <w:szCs w:val="24"/>
        </w:rPr>
        <w:t xml:space="preserve">The </w:t>
      </w:r>
      <w:r w:rsidRPr="0023116C">
        <w:rPr>
          <w:rFonts w:ascii="Times New Roman" w:hAnsi="Times New Roman" w:cs="Times New Roman"/>
          <w:sz w:val="24"/>
          <w:szCs w:val="24"/>
        </w:rPr>
        <w:t>Australian College of Physical Education</w:t>
      </w:r>
    </w:p>
    <w:p w14:paraId="100E6B63" w14:textId="77777777" w:rsidR="0042691A" w:rsidRPr="0023116C" w:rsidRDefault="0042691A" w:rsidP="0023116C">
      <w:pPr>
        <w:pStyle w:val="ListParagraph"/>
        <w:numPr>
          <w:ilvl w:val="0"/>
          <w:numId w:val="18"/>
        </w:numPr>
        <w:rPr>
          <w:rFonts w:ascii="Times New Roman" w:hAnsi="Times New Roman" w:cs="Times New Roman"/>
          <w:sz w:val="24"/>
          <w:szCs w:val="24"/>
        </w:rPr>
      </w:pPr>
      <w:r w:rsidRPr="0023116C">
        <w:rPr>
          <w:rFonts w:ascii="Times New Roman" w:hAnsi="Times New Roman" w:cs="Times New Roman"/>
          <w:sz w:val="24"/>
          <w:szCs w:val="24"/>
        </w:rPr>
        <w:t xml:space="preserve">Box Hill Institute </w:t>
      </w:r>
    </w:p>
    <w:p w14:paraId="143A73AF" w14:textId="77777777" w:rsidR="0042691A" w:rsidRPr="0023116C" w:rsidRDefault="0042691A" w:rsidP="0023116C">
      <w:pPr>
        <w:pStyle w:val="ListParagraph"/>
        <w:numPr>
          <w:ilvl w:val="0"/>
          <w:numId w:val="18"/>
        </w:numPr>
        <w:rPr>
          <w:rFonts w:ascii="Times New Roman" w:hAnsi="Times New Roman" w:cs="Times New Roman"/>
          <w:sz w:val="24"/>
          <w:szCs w:val="24"/>
        </w:rPr>
      </w:pPr>
      <w:r w:rsidRPr="0023116C">
        <w:rPr>
          <w:rFonts w:ascii="Times New Roman" w:hAnsi="Times New Roman" w:cs="Times New Roman"/>
          <w:sz w:val="24"/>
          <w:szCs w:val="24"/>
        </w:rPr>
        <w:t xml:space="preserve">Australian College of Natural Medicine Pty Ltd </w:t>
      </w:r>
      <w:r w:rsidR="00340ECA" w:rsidRPr="0023116C">
        <w:rPr>
          <w:rFonts w:ascii="Times New Roman" w:hAnsi="Times New Roman" w:cs="Times New Roman"/>
          <w:sz w:val="24"/>
          <w:szCs w:val="24"/>
        </w:rPr>
        <w:t>trading as</w:t>
      </w:r>
      <w:r w:rsidRPr="0023116C">
        <w:rPr>
          <w:rFonts w:ascii="Times New Roman" w:hAnsi="Times New Roman" w:cs="Times New Roman"/>
          <w:sz w:val="24"/>
          <w:szCs w:val="24"/>
        </w:rPr>
        <w:t xml:space="preserve"> Endeavour College of Natural Health</w:t>
      </w:r>
    </w:p>
    <w:p w14:paraId="2174B553" w14:textId="77777777" w:rsidR="0042691A" w:rsidRPr="0023116C" w:rsidRDefault="0042691A" w:rsidP="0023116C">
      <w:pPr>
        <w:pStyle w:val="ListParagraph"/>
        <w:numPr>
          <w:ilvl w:val="0"/>
          <w:numId w:val="18"/>
        </w:numPr>
        <w:rPr>
          <w:rFonts w:ascii="Times New Roman" w:hAnsi="Times New Roman" w:cs="Times New Roman"/>
          <w:sz w:val="24"/>
          <w:szCs w:val="24"/>
        </w:rPr>
      </w:pPr>
      <w:r w:rsidRPr="0023116C">
        <w:rPr>
          <w:rFonts w:ascii="Times New Roman" w:hAnsi="Times New Roman" w:cs="Times New Roman"/>
          <w:sz w:val="24"/>
          <w:szCs w:val="24"/>
        </w:rPr>
        <w:t>Engineering Institute of Technology Pty Ltd</w:t>
      </w:r>
    </w:p>
    <w:p w14:paraId="155D0633" w14:textId="77777777" w:rsidR="0042691A" w:rsidRPr="0023116C" w:rsidRDefault="0042691A" w:rsidP="0023116C">
      <w:pPr>
        <w:pStyle w:val="ListParagraph"/>
        <w:numPr>
          <w:ilvl w:val="0"/>
          <w:numId w:val="18"/>
        </w:numPr>
        <w:rPr>
          <w:rFonts w:ascii="Times New Roman" w:hAnsi="Times New Roman" w:cs="Times New Roman"/>
          <w:sz w:val="24"/>
          <w:szCs w:val="24"/>
        </w:rPr>
      </w:pPr>
      <w:r w:rsidRPr="0023116C">
        <w:rPr>
          <w:rFonts w:ascii="Times New Roman" w:hAnsi="Times New Roman" w:cs="Times New Roman"/>
          <w:sz w:val="24"/>
          <w:szCs w:val="24"/>
        </w:rPr>
        <w:t>Excelsia College</w:t>
      </w:r>
    </w:p>
    <w:p w14:paraId="2CC38C39" w14:textId="77777777" w:rsidR="0042691A" w:rsidRPr="0023116C" w:rsidRDefault="0042691A" w:rsidP="0023116C">
      <w:pPr>
        <w:pStyle w:val="ListParagraph"/>
        <w:numPr>
          <w:ilvl w:val="0"/>
          <w:numId w:val="18"/>
        </w:numPr>
        <w:rPr>
          <w:rFonts w:ascii="Times New Roman" w:hAnsi="Times New Roman" w:cs="Times New Roman"/>
          <w:sz w:val="24"/>
          <w:szCs w:val="24"/>
        </w:rPr>
      </w:pPr>
      <w:r w:rsidRPr="0023116C">
        <w:rPr>
          <w:rFonts w:ascii="Times New Roman" w:hAnsi="Times New Roman" w:cs="Times New Roman"/>
          <w:sz w:val="24"/>
          <w:szCs w:val="24"/>
        </w:rPr>
        <w:t xml:space="preserve">Queensland Institute of Business &amp; Technology Pty Ltd </w:t>
      </w:r>
      <w:r w:rsidR="00340ECA" w:rsidRPr="0023116C">
        <w:rPr>
          <w:rFonts w:ascii="Times New Roman" w:hAnsi="Times New Roman" w:cs="Times New Roman"/>
          <w:sz w:val="24"/>
          <w:szCs w:val="24"/>
        </w:rPr>
        <w:t>trading as</w:t>
      </w:r>
      <w:r w:rsidRPr="0023116C">
        <w:rPr>
          <w:rFonts w:ascii="Times New Roman" w:hAnsi="Times New Roman" w:cs="Times New Roman"/>
          <w:sz w:val="24"/>
          <w:szCs w:val="24"/>
        </w:rPr>
        <w:t xml:space="preserve"> Griffith College</w:t>
      </w:r>
    </w:p>
    <w:p w14:paraId="64E73B4D" w14:textId="77777777" w:rsidR="0042691A" w:rsidRPr="0023116C" w:rsidRDefault="0042691A" w:rsidP="0023116C">
      <w:pPr>
        <w:pStyle w:val="ListParagraph"/>
        <w:numPr>
          <w:ilvl w:val="0"/>
          <w:numId w:val="18"/>
        </w:numPr>
        <w:rPr>
          <w:rFonts w:ascii="Times New Roman" w:hAnsi="Times New Roman" w:cs="Times New Roman"/>
          <w:sz w:val="24"/>
          <w:szCs w:val="24"/>
        </w:rPr>
      </w:pPr>
      <w:r w:rsidRPr="0023116C">
        <w:rPr>
          <w:rFonts w:ascii="Times New Roman" w:hAnsi="Times New Roman" w:cs="Times New Roman"/>
          <w:sz w:val="24"/>
          <w:szCs w:val="24"/>
        </w:rPr>
        <w:t>Health Education and Training Institute</w:t>
      </w:r>
    </w:p>
    <w:p w14:paraId="15DAD596" w14:textId="77777777" w:rsidR="0042691A" w:rsidRPr="0023116C" w:rsidRDefault="0042691A" w:rsidP="0023116C">
      <w:pPr>
        <w:pStyle w:val="ListParagraph"/>
        <w:numPr>
          <w:ilvl w:val="0"/>
          <w:numId w:val="18"/>
        </w:numPr>
        <w:rPr>
          <w:rFonts w:ascii="Times New Roman" w:hAnsi="Times New Roman" w:cs="Times New Roman"/>
          <w:sz w:val="24"/>
          <w:szCs w:val="24"/>
        </w:rPr>
      </w:pPr>
      <w:r w:rsidRPr="0023116C">
        <w:rPr>
          <w:rFonts w:ascii="Times New Roman" w:hAnsi="Times New Roman" w:cs="Times New Roman"/>
          <w:sz w:val="24"/>
          <w:szCs w:val="24"/>
        </w:rPr>
        <w:t xml:space="preserve">Navitas Bundoora Pty Ltd </w:t>
      </w:r>
      <w:r w:rsidR="00340ECA" w:rsidRPr="0023116C">
        <w:rPr>
          <w:rFonts w:ascii="Times New Roman" w:hAnsi="Times New Roman" w:cs="Times New Roman"/>
          <w:sz w:val="24"/>
          <w:szCs w:val="24"/>
        </w:rPr>
        <w:t>trading as</w:t>
      </w:r>
      <w:r w:rsidRPr="0023116C">
        <w:rPr>
          <w:rFonts w:ascii="Times New Roman" w:hAnsi="Times New Roman" w:cs="Times New Roman"/>
          <w:sz w:val="24"/>
          <w:szCs w:val="24"/>
        </w:rPr>
        <w:t xml:space="preserve"> La Trobe College Australia</w:t>
      </w:r>
    </w:p>
    <w:p w14:paraId="0740A274" w14:textId="77777777" w:rsidR="0042691A" w:rsidRPr="0023116C" w:rsidRDefault="0042691A" w:rsidP="0023116C">
      <w:pPr>
        <w:pStyle w:val="ListParagraph"/>
        <w:numPr>
          <w:ilvl w:val="0"/>
          <w:numId w:val="18"/>
        </w:numPr>
        <w:rPr>
          <w:rFonts w:ascii="Times New Roman" w:hAnsi="Times New Roman" w:cs="Times New Roman"/>
          <w:sz w:val="24"/>
          <w:szCs w:val="24"/>
        </w:rPr>
      </w:pPr>
      <w:r w:rsidRPr="0023116C">
        <w:rPr>
          <w:rFonts w:ascii="Times New Roman" w:hAnsi="Times New Roman" w:cs="Times New Roman"/>
          <w:sz w:val="24"/>
          <w:szCs w:val="24"/>
        </w:rPr>
        <w:t>Marcus Oldham College</w:t>
      </w:r>
    </w:p>
    <w:p w14:paraId="55A4F024" w14:textId="77777777" w:rsidR="0042691A" w:rsidRPr="0023116C" w:rsidRDefault="0042691A" w:rsidP="0023116C">
      <w:pPr>
        <w:pStyle w:val="ListParagraph"/>
        <w:numPr>
          <w:ilvl w:val="0"/>
          <w:numId w:val="18"/>
        </w:numPr>
        <w:rPr>
          <w:rFonts w:ascii="Times New Roman" w:hAnsi="Times New Roman" w:cs="Times New Roman"/>
          <w:sz w:val="24"/>
          <w:szCs w:val="24"/>
        </w:rPr>
      </w:pPr>
      <w:r w:rsidRPr="0023116C">
        <w:rPr>
          <w:rFonts w:ascii="Times New Roman" w:hAnsi="Times New Roman" w:cs="Times New Roman"/>
          <w:sz w:val="24"/>
          <w:szCs w:val="24"/>
        </w:rPr>
        <w:t xml:space="preserve">Melbourne Institute of Business and Technology Pty Ltd </w:t>
      </w:r>
      <w:r w:rsidR="00340ECA" w:rsidRPr="0023116C">
        <w:rPr>
          <w:rFonts w:ascii="Times New Roman" w:hAnsi="Times New Roman" w:cs="Times New Roman"/>
          <w:sz w:val="24"/>
          <w:szCs w:val="24"/>
        </w:rPr>
        <w:t>trading as</w:t>
      </w:r>
      <w:r w:rsidRPr="0023116C">
        <w:rPr>
          <w:rFonts w:ascii="Times New Roman" w:hAnsi="Times New Roman" w:cs="Times New Roman"/>
          <w:sz w:val="24"/>
          <w:szCs w:val="24"/>
        </w:rPr>
        <w:t xml:space="preserve"> Melbourne Institute of Business and Technology</w:t>
      </w:r>
    </w:p>
    <w:p w14:paraId="339D712B" w14:textId="77777777" w:rsidR="0042691A" w:rsidRPr="0023116C" w:rsidRDefault="0042691A" w:rsidP="0023116C">
      <w:pPr>
        <w:pStyle w:val="ListParagraph"/>
        <w:numPr>
          <w:ilvl w:val="0"/>
          <w:numId w:val="18"/>
        </w:numPr>
        <w:rPr>
          <w:rFonts w:ascii="Times New Roman" w:hAnsi="Times New Roman" w:cs="Times New Roman"/>
          <w:sz w:val="24"/>
          <w:szCs w:val="24"/>
        </w:rPr>
      </w:pPr>
      <w:r w:rsidRPr="0023116C">
        <w:rPr>
          <w:rFonts w:ascii="Times New Roman" w:hAnsi="Times New Roman" w:cs="Times New Roman"/>
          <w:sz w:val="24"/>
          <w:szCs w:val="24"/>
        </w:rPr>
        <w:t>SAE Institute Pty Ltd</w:t>
      </w:r>
    </w:p>
    <w:p w14:paraId="3A0B3B2A" w14:textId="77777777" w:rsidR="0042691A" w:rsidRPr="0023116C" w:rsidRDefault="0042691A" w:rsidP="0023116C">
      <w:pPr>
        <w:pStyle w:val="ListParagraph"/>
        <w:numPr>
          <w:ilvl w:val="0"/>
          <w:numId w:val="18"/>
        </w:numPr>
        <w:rPr>
          <w:rFonts w:ascii="Times New Roman" w:hAnsi="Times New Roman" w:cs="Times New Roman"/>
          <w:sz w:val="24"/>
          <w:szCs w:val="24"/>
        </w:rPr>
      </w:pPr>
      <w:r w:rsidRPr="0023116C">
        <w:rPr>
          <w:rFonts w:ascii="Times New Roman" w:hAnsi="Times New Roman" w:cs="Times New Roman"/>
          <w:sz w:val="24"/>
          <w:szCs w:val="24"/>
        </w:rPr>
        <w:t xml:space="preserve">Technical and Further Education Commission </w:t>
      </w:r>
      <w:r w:rsidR="00340ECA" w:rsidRPr="0023116C">
        <w:rPr>
          <w:rFonts w:ascii="Times New Roman" w:hAnsi="Times New Roman" w:cs="Times New Roman"/>
          <w:sz w:val="24"/>
          <w:szCs w:val="24"/>
        </w:rPr>
        <w:t>trading as</w:t>
      </w:r>
      <w:r w:rsidRPr="0023116C">
        <w:rPr>
          <w:rFonts w:ascii="Times New Roman" w:hAnsi="Times New Roman" w:cs="Times New Roman"/>
          <w:sz w:val="24"/>
          <w:szCs w:val="24"/>
        </w:rPr>
        <w:t xml:space="preserve"> TAFE NSW</w:t>
      </w:r>
    </w:p>
    <w:p w14:paraId="5BE98B1B" w14:textId="77777777" w:rsidR="0042691A" w:rsidRPr="0023116C" w:rsidRDefault="0042691A" w:rsidP="0023116C">
      <w:pPr>
        <w:pStyle w:val="ListParagraph"/>
        <w:numPr>
          <w:ilvl w:val="0"/>
          <w:numId w:val="18"/>
        </w:numPr>
        <w:rPr>
          <w:rFonts w:ascii="Times New Roman" w:hAnsi="Times New Roman" w:cs="Times New Roman"/>
          <w:sz w:val="24"/>
          <w:szCs w:val="24"/>
        </w:rPr>
      </w:pPr>
      <w:r w:rsidRPr="0023116C">
        <w:rPr>
          <w:rFonts w:ascii="Times New Roman" w:hAnsi="Times New Roman" w:cs="Times New Roman"/>
          <w:sz w:val="24"/>
          <w:szCs w:val="24"/>
        </w:rPr>
        <w:t>TAFE Queensland</w:t>
      </w:r>
    </w:p>
    <w:p w14:paraId="298A6446" w14:textId="77777777" w:rsidR="00D84B7E" w:rsidRPr="00503B4E" w:rsidRDefault="0042691A" w:rsidP="0023116C">
      <w:pPr>
        <w:pStyle w:val="ListParagraph"/>
        <w:numPr>
          <w:ilvl w:val="0"/>
          <w:numId w:val="18"/>
        </w:numPr>
        <w:rPr>
          <w:rFonts w:eastAsia="Times New Roman"/>
          <w:lang w:eastAsia="en-AU"/>
        </w:rPr>
      </w:pPr>
      <w:r w:rsidRPr="0023116C">
        <w:rPr>
          <w:rFonts w:ascii="Times New Roman" w:hAnsi="Times New Roman" w:cs="Times New Roman"/>
          <w:sz w:val="24"/>
          <w:szCs w:val="24"/>
        </w:rPr>
        <w:t xml:space="preserve">UOWC Ltd </w:t>
      </w:r>
      <w:r w:rsidR="00340ECA" w:rsidRPr="0023116C">
        <w:rPr>
          <w:rFonts w:ascii="Times New Roman" w:hAnsi="Times New Roman" w:cs="Times New Roman"/>
          <w:sz w:val="24"/>
          <w:szCs w:val="24"/>
        </w:rPr>
        <w:t>trading as</w:t>
      </w:r>
      <w:r w:rsidRPr="0023116C">
        <w:rPr>
          <w:rFonts w:ascii="Times New Roman" w:hAnsi="Times New Roman" w:cs="Times New Roman"/>
          <w:sz w:val="24"/>
          <w:szCs w:val="24"/>
        </w:rPr>
        <w:t xml:space="preserve"> UOW College Australia</w:t>
      </w:r>
    </w:p>
    <w:p w14:paraId="3D35A6A0" w14:textId="77777777" w:rsidR="00D84B7E" w:rsidRDefault="00D400A8">
      <w:pPr>
        <w:pStyle w:val="subsection"/>
        <w:ind w:left="0" w:firstLine="0"/>
        <w:rPr>
          <w:sz w:val="24"/>
          <w:szCs w:val="24"/>
        </w:rPr>
      </w:pPr>
      <w:r>
        <w:rPr>
          <w:b/>
          <w:sz w:val="24"/>
          <w:szCs w:val="24"/>
        </w:rPr>
        <w:t>Item 2</w:t>
      </w:r>
      <w:r w:rsidR="00303E8C" w:rsidRPr="00AE5E72">
        <w:rPr>
          <w:sz w:val="24"/>
          <w:szCs w:val="24"/>
        </w:rPr>
        <w:t xml:space="preserve"> of the Amendment Instrument inserts a new </w:t>
      </w:r>
      <w:r w:rsidR="00E87D07">
        <w:rPr>
          <w:sz w:val="24"/>
          <w:szCs w:val="24"/>
        </w:rPr>
        <w:t>paragraph</w:t>
      </w:r>
      <w:r w:rsidR="00E87D07" w:rsidRPr="00AE5E72">
        <w:rPr>
          <w:sz w:val="24"/>
          <w:szCs w:val="24"/>
        </w:rPr>
        <w:t xml:space="preserve"> </w:t>
      </w:r>
      <w:r w:rsidR="00B17513" w:rsidRPr="00AE5E72">
        <w:rPr>
          <w:sz w:val="24"/>
          <w:szCs w:val="24"/>
        </w:rPr>
        <w:t xml:space="preserve">in </w:t>
      </w:r>
      <w:r w:rsidR="00E87D07">
        <w:rPr>
          <w:sz w:val="24"/>
          <w:szCs w:val="24"/>
        </w:rPr>
        <w:t>subsection 3.5.1</w:t>
      </w:r>
      <w:r w:rsidR="00B17513" w:rsidRPr="00AE5E72">
        <w:rPr>
          <w:sz w:val="24"/>
          <w:szCs w:val="24"/>
        </w:rPr>
        <w:t xml:space="preserve"> to specify</w:t>
      </w:r>
      <w:r w:rsidR="009A4167">
        <w:rPr>
          <w:sz w:val="24"/>
          <w:szCs w:val="24"/>
        </w:rPr>
        <w:t>, for 2020 only,</w:t>
      </w:r>
      <w:r w:rsidR="00B17513" w:rsidRPr="00AE5E72">
        <w:rPr>
          <w:sz w:val="24"/>
          <w:szCs w:val="24"/>
        </w:rPr>
        <w:t xml:space="preserve"> </w:t>
      </w:r>
      <w:r w:rsidR="009A4167">
        <w:rPr>
          <w:sz w:val="24"/>
          <w:szCs w:val="24"/>
        </w:rPr>
        <w:t xml:space="preserve">additional </w:t>
      </w:r>
      <w:r w:rsidR="00B17513" w:rsidRPr="00AE5E72">
        <w:rPr>
          <w:sz w:val="24"/>
          <w:szCs w:val="24"/>
        </w:rPr>
        <w:t xml:space="preserve">outcomes in the provision of higher education </w:t>
      </w:r>
      <w:r w:rsidR="009A4167">
        <w:rPr>
          <w:sz w:val="24"/>
          <w:szCs w:val="24"/>
        </w:rPr>
        <w:t xml:space="preserve">that are </w:t>
      </w:r>
      <w:r w:rsidR="00B17513" w:rsidRPr="00AE5E72">
        <w:rPr>
          <w:sz w:val="24"/>
          <w:szCs w:val="24"/>
        </w:rPr>
        <w:t xml:space="preserve">national priorities </w:t>
      </w:r>
      <w:r w:rsidR="00FA4858">
        <w:rPr>
          <w:sz w:val="24"/>
          <w:szCs w:val="24"/>
        </w:rPr>
        <w:t>for the purposes of</w:t>
      </w:r>
      <w:r w:rsidR="00E91393">
        <w:rPr>
          <w:sz w:val="24"/>
          <w:szCs w:val="24"/>
        </w:rPr>
        <w:t xml:space="preserve"> </w:t>
      </w:r>
      <w:r w:rsidR="009A4167">
        <w:rPr>
          <w:sz w:val="24"/>
          <w:szCs w:val="24"/>
        </w:rPr>
        <w:t xml:space="preserve">paragraph </w:t>
      </w:r>
      <w:r w:rsidR="00B17513" w:rsidRPr="00AE5E72">
        <w:rPr>
          <w:sz w:val="24"/>
          <w:szCs w:val="24"/>
        </w:rPr>
        <w:t>30-20</w:t>
      </w:r>
      <w:r w:rsidR="009A4167">
        <w:rPr>
          <w:sz w:val="24"/>
          <w:szCs w:val="24"/>
        </w:rPr>
        <w:t>(b)</w:t>
      </w:r>
      <w:r w:rsidR="00B17513" w:rsidRPr="00AE5E72">
        <w:rPr>
          <w:sz w:val="24"/>
          <w:szCs w:val="24"/>
        </w:rPr>
        <w:t xml:space="preserve"> of the Act.</w:t>
      </w:r>
      <w:r w:rsidR="00E87D07">
        <w:rPr>
          <w:sz w:val="24"/>
          <w:szCs w:val="24"/>
        </w:rPr>
        <w:t xml:space="preserve"> </w:t>
      </w:r>
    </w:p>
    <w:p w14:paraId="4E460FC2" w14:textId="77777777" w:rsidR="009631DD" w:rsidRPr="009631DD" w:rsidRDefault="00E87D07" w:rsidP="0023116C">
      <w:pPr>
        <w:keepNext/>
        <w:spacing w:before="180"/>
      </w:pPr>
      <w:r>
        <w:rPr>
          <w:rFonts w:ascii="Times New Roman" w:hAnsi="Times New Roman" w:cs="Times New Roman"/>
          <w:sz w:val="24"/>
          <w:szCs w:val="24"/>
        </w:rPr>
        <w:t>New paragraph (d) specifies that for 2020</w:t>
      </w:r>
      <w:r w:rsidR="00E91393">
        <w:rPr>
          <w:rFonts w:ascii="Times New Roman" w:hAnsi="Times New Roman" w:cs="Times New Roman"/>
          <w:sz w:val="24"/>
          <w:szCs w:val="24"/>
        </w:rPr>
        <w:t>,</w:t>
      </w:r>
      <w:r>
        <w:rPr>
          <w:rFonts w:ascii="Times New Roman" w:hAnsi="Times New Roman" w:cs="Times New Roman"/>
          <w:sz w:val="24"/>
          <w:szCs w:val="24"/>
        </w:rPr>
        <w:t xml:space="preserve"> national priorities include</w:t>
      </w:r>
      <w:r w:rsidR="005B58CE">
        <w:rPr>
          <w:rFonts w:ascii="Times New Roman" w:hAnsi="Times New Roman" w:cs="Times New Roman"/>
          <w:sz w:val="24"/>
          <w:szCs w:val="24"/>
        </w:rPr>
        <w:t xml:space="preserve"> </w:t>
      </w:r>
      <w:r w:rsidR="009631DD" w:rsidRPr="0023116C">
        <w:rPr>
          <w:rFonts w:ascii="Times New Roman" w:hAnsi="Times New Roman" w:cs="Times New Roman"/>
          <w:sz w:val="24"/>
          <w:szCs w:val="24"/>
        </w:rPr>
        <w:t xml:space="preserve">providing retraining and upskilling opportunities in the following areas of study: </w:t>
      </w:r>
      <w:r w:rsidR="00FD6B29">
        <w:rPr>
          <w:rFonts w:ascii="Times New Roman" w:hAnsi="Times New Roman" w:cs="Times New Roman"/>
          <w:sz w:val="24"/>
          <w:szCs w:val="24"/>
        </w:rPr>
        <w:t>Education,</w:t>
      </w:r>
      <w:r w:rsidR="009631DD" w:rsidRPr="0023116C">
        <w:rPr>
          <w:rFonts w:ascii="Times New Roman" w:hAnsi="Times New Roman" w:cs="Times New Roman"/>
          <w:sz w:val="24"/>
          <w:szCs w:val="24"/>
        </w:rPr>
        <w:t xml:space="preserve"> Nursing, Psychology, English, Mathematic</w:t>
      </w:r>
      <w:r w:rsidR="00FD6B29">
        <w:rPr>
          <w:rFonts w:ascii="Times New Roman" w:hAnsi="Times New Roman" w:cs="Times New Roman"/>
          <w:sz w:val="24"/>
          <w:szCs w:val="24"/>
        </w:rPr>
        <w:t>al Science</w:t>
      </w:r>
      <w:r w:rsidR="009631DD" w:rsidRPr="0023116C">
        <w:rPr>
          <w:rFonts w:ascii="Times New Roman" w:hAnsi="Times New Roman" w:cs="Times New Roman"/>
          <w:sz w:val="24"/>
          <w:szCs w:val="24"/>
        </w:rPr>
        <w:t xml:space="preserve">s, Languages, Agriculture, Allied Health, Other Health, </w:t>
      </w:r>
      <w:r w:rsidR="00FD6B29">
        <w:rPr>
          <w:rFonts w:ascii="Times New Roman" w:hAnsi="Times New Roman" w:cs="Times New Roman"/>
          <w:sz w:val="24"/>
          <w:szCs w:val="24"/>
        </w:rPr>
        <w:t xml:space="preserve">Counselling, </w:t>
      </w:r>
      <w:r w:rsidR="009631DD" w:rsidRPr="0023116C">
        <w:rPr>
          <w:rFonts w:ascii="Times New Roman" w:hAnsi="Times New Roman" w:cs="Times New Roman"/>
          <w:sz w:val="24"/>
          <w:szCs w:val="24"/>
        </w:rPr>
        <w:t>Information Technology, Architecture and Building,</w:t>
      </w:r>
      <w:r w:rsidR="00732882" w:rsidRPr="0023116C">
        <w:rPr>
          <w:rFonts w:ascii="Times New Roman" w:hAnsi="Times New Roman" w:cs="Times New Roman"/>
          <w:sz w:val="24"/>
          <w:szCs w:val="24"/>
        </w:rPr>
        <w:t xml:space="preserve"> Science, Engineering</w:t>
      </w:r>
      <w:r w:rsidR="00FD6B29">
        <w:rPr>
          <w:rFonts w:ascii="Times New Roman" w:hAnsi="Times New Roman" w:cs="Times New Roman"/>
          <w:sz w:val="24"/>
          <w:szCs w:val="24"/>
        </w:rPr>
        <w:t xml:space="preserve"> and Related Technologies</w:t>
      </w:r>
      <w:r w:rsidR="00732882" w:rsidRPr="0023116C">
        <w:rPr>
          <w:rFonts w:ascii="Times New Roman" w:hAnsi="Times New Roman" w:cs="Times New Roman"/>
          <w:sz w:val="24"/>
          <w:szCs w:val="24"/>
        </w:rPr>
        <w:t>, Medical S</w:t>
      </w:r>
      <w:r w:rsidR="00FD6B29">
        <w:rPr>
          <w:rFonts w:ascii="Times New Roman" w:hAnsi="Times New Roman" w:cs="Times New Roman"/>
          <w:sz w:val="24"/>
          <w:szCs w:val="24"/>
        </w:rPr>
        <w:t>cience, Environmental S</w:t>
      </w:r>
      <w:r w:rsidR="009631DD" w:rsidRPr="0023116C">
        <w:rPr>
          <w:rFonts w:ascii="Times New Roman" w:hAnsi="Times New Roman" w:cs="Times New Roman"/>
          <w:sz w:val="24"/>
          <w:szCs w:val="24"/>
        </w:rPr>
        <w:t>tudies.</w:t>
      </w:r>
      <w:r w:rsidR="009631DD">
        <w:t xml:space="preserve">  </w:t>
      </w:r>
    </w:p>
    <w:p w14:paraId="70D751D3" w14:textId="77777777" w:rsidR="00780215" w:rsidRDefault="00780215" w:rsidP="00197B1F">
      <w:pPr>
        <w:rPr>
          <w:rFonts w:ascii="Times New Roman" w:hAnsi="Times New Roman" w:cs="Times New Roman"/>
        </w:rPr>
      </w:pPr>
    </w:p>
    <w:p w14:paraId="0F6B0F61" w14:textId="77777777" w:rsidR="005B58CE" w:rsidRDefault="005B58CE">
      <w:pPr>
        <w:rPr>
          <w:rFonts w:ascii="Times New Roman" w:hAnsi="Times New Roman"/>
          <w:b/>
          <w:sz w:val="24"/>
          <w:szCs w:val="24"/>
        </w:rPr>
      </w:pPr>
      <w:r>
        <w:rPr>
          <w:rFonts w:ascii="Times New Roman" w:hAnsi="Times New Roman"/>
          <w:b/>
          <w:sz w:val="24"/>
          <w:szCs w:val="24"/>
        </w:rPr>
        <w:br w:type="page"/>
      </w:r>
    </w:p>
    <w:p w14:paraId="1939BC4E" w14:textId="77777777" w:rsidR="004807E8" w:rsidRPr="00D03D0C" w:rsidRDefault="004807E8" w:rsidP="004807E8">
      <w:pPr>
        <w:jc w:val="center"/>
        <w:rPr>
          <w:rFonts w:ascii="Times New Roman" w:hAnsi="Times New Roman"/>
          <w:b/>
          <w:sz w:val="24"/>
          <w:szCs w:val="24"/>
        </w:rPr>
      </w:pPr>
      <w:r w:rsidRPr="00D03D0C">
        <w:rPr>
          <w:rFonts w:ascii="Times New Roman" w:hAnsi="Times New Roman"/>
          <w:b/>
          <w:sz w:val="24"/>
          <w:szCs w:val="24"/>
        </w:rPr>
        <w:lastRenderedPageBreak/>
        <w:t>Statement of Compatibility with Human Rights</w:t>
      </w:r>
    </w:p>
    <w:p w14:paraId="56F9BB6D" w14:textId="77777777" w:rsidR="004807E8" w:rsidRPr="00D03D0C" w:rsidRDefault="004807E8" w:rsidP="004807E8">
      <w:pPr>
        <w:jc w:val="center"/>
        <w:rPr>
          <w:rFonts w:ascii="Times New Roman" w:hAnsi="Times New Roman"/>
          <w:i/>
          <w:sz w:val="24"/>
          <w:szCs w:val="24"/>
        </w:rPr>
      </w:pPr>
      <w:r w:rsidRPr="00D03D0C">
        <w:rPr>
          <w:rFonts w:ascii="Times New Roman" w:hAnsi="Times New Roman"/>
          <w:i/>
          <w:sz w:val="24"/>
          <w:szCs w:val="24"/>
        </w:rPr>
        <w:t>Prepared in accordance with Part 3 of the Human Rights (Parliamentary Scrutiny) Act 2011</w:t>
      </w:r>
    </w:p>
    <w:p w14:paraId="45981C30" w14:textId="77777777" w:rsidR="004807E8" w:rsidRPr="00AE5E72" w:rsidRDefault="00EF22CC" w:rsidP="00EF22CC">
      <w:pPr>
        <w:rPr>
          <w:rFonts w:ascii="Times New Roman" w:hAnsi="Times New Roman"/>
          <w:b/>
          <w:sz w:val="24"/>
          <w:szCs w:val="24"/>
        </w:rPr>
      </w:pPr>
      <w:r w:rsidRPr="00AE5E72">
        <w:rPr>
          <w:rFonts w:ascii="Times New Roman" w:hAnsi="Times New Roman"/>
          <w:b/>
          <w:sz w:val="24"/>
          <w:szCs w:val="24"/>
        </w:rPr>
        <w:t>Commonwealth</w:t>
      </w:r>
      <w:r w:rsidR="004807E8" w:rsidRPr="00AE5E72">
        <w:rPr>
          <w:rFonts w:ascii="Times New Roman" w:hAnsi="Times New Roman"/>
          <w:b/>
          <w:sz w:val="24"/>
          <w:szCs w:val="24"/>
        </w:rPr>
        <w:t xml:space="preserve"> Grants Guidelines </w:t>
      </w:r>
      <w:r w:rsidRPr="00AE5E72">
        <w:rPr>
          <w:rFonts w:ascii="Times New Roman" w:hAnsi="Times New Roman"/>
          <w:b/>
          <w:sz w:val="24"/>
          <w:szCs w:val="24"/>
        </w:rPr>
        <w:t xml:space="preserve">Amendment (No. </w:t>
      </w:r>
      <w:r w:rsidR="00945498">
        <w:rPr>
          <w:rFonts w:ascii="Times New Roman" w:hAnsi="Times New Roman"/>
          <w:b/>
          <w:sz w:val="24"/>
          <w:szCs w:val="24"/>
        </w:rPr>
        <w:t>1</w:t>
      </w:r>
      <w:r w:rsidR="004807E8" w:rsidRPr="00AE5E72">
        <w:rPr>
          <w:rFonts w:ascii="Times New Roman" w:hAnsi="Times New Roman"/>
          <w:b/>
          <w:sz w:val="24"/>
          <w:szCs w:val="24"/>
        </w:rPr>
        <w:t xml:space="preserve">) </w:t>
      </w:r>
      <w:r w:rsidRPr="00AE5E72">
        <w:rPr>
          <w:rFonts w:ascii="Times New Roman" w:hAnsi="Times New Roman"/>
          <w:b/>
          <w:sz w:val="24"/>
          <w:szCs w:val="24"/>
        </w:rPr>
        <w:t>2020</w:t>
      </w:r>
    </w:p>
    <w:p w14:paraId="777E443C" w14:textId="77777777" w:rsidR="004807E8" w:rsidRPr="00AE5E72" w:rsidRDefault="004807E8" w:rsidP="004807E8">
      <w:pPr>
        <w:rPr>
          <w:rFonts w:ascii="Times New Roman" w:hAnsi="Times New Roman"/>
          <w:sz w:val="24"/>
          <w:szCs w:val="24"/>
        </w:rPr>
      </w:pPr>
      <w:r w:rsidRPr="00AE5E72">
        <w:rPr>
          <w:rFonts w:ascii="Times New Roman" w:hAnsi="Times New Roman"/>
          <w:sz w:val="24"/>
          <w:szCs w:val="24"/>
        </w:rPr>
        <w:t>Th</w:t>
      </w:r>
      <w:r w:rsidR="00161485" w:rsidRPr="00AE5E72">
        <w:rPr>
          <w:rFonts w:ascii="Times New Roman" w:hAnsi="Times New Roman"/>
          <w:sz w:val="24"/>
          <w:szCs w:val="24"/>
        </w:rPr>
        <w:t>e</w:t>
      </w:r>
      <w:r w:rsidRPr="00AE5E72">
        <w:rPr>
          <w:rFonts w:ascii="Times New Roman" w:hAnsi="Times New Roman"/>
          <w:sz w:val="24"/>
          <w:szCs w:val="24"/>
        </w:rPr>
        <w:t xml:space="preserve"> </w:t>
      </w:r>
      <w:r w:rsidR="00EF22CC" w:rsidRPr="00AE5E72">
        <w:rPr>
          <w:rFonts w:ascii="Times New Roman" w:hAnsi="Times New Roman"/>
          <w:i/>
          <w:sz w:val="24"/>
          <w:szCs w:val="24"/>
        </w:rPr>
        <w:t>Commonwealth</w:t>
      </w:r>
      <w:r w:rsidR="00945498">
        <w:rPr>
          <w:rFonts w:ascii="Times New Roman" w:hAnsi="Times New Roman"/>
          <w:i/>
          <w:sz w:val="24"/>
          <w:szCs w:val="24"/>
        </w:rPr>
        <w:t xml:space="preserve"> Grant</w:t>
      </w:r>
      <w:r w:rsidR="0042691A">
        <w:rPr>
          <w:rFonts w:ascii="Times New Roman" w:hAnsi="Times New Roman"/>
          <w:i/>
          <w:sz w:val="24"/>
          <w:szCs w:val="24"/>
        </w:rPr>
        <w:t xml:space="preserve"> Scheme</w:t>
      </w:r>
      <w:r w:rsidR="00945498">
        <w:rPr>
          <w:rFonts w:ascii="Times New Roman" w:hAnsi="Times New Roman"/>
          <w:i/>
          <w:sz w:val="24"/>
          <w:szCs w:val="24"/>
        </w:rPr>
        <w:t xml:space="preserve"> Guidelines</w:t>
      </w:r>
      <w:r w:rsidR="00EF22CC" w:rsidRPr="00AE5E72">
        <w:rPr>
          <w:rFonts w:ascii="Times New Roman" w:hAnsi="Times New Roman"/>
          <w:i/>
          <w:sz w:val="24"/>
          <w:szCs w:val="24"/>
        </w:rPr>
        <w:t xml:space="preserve"> Amendment </w:t>
      </w:r>
      <w:r w:rsidR="00945498">
        <w:rPr>
          <w:rFonts w:ascii="Times New Roman" w:hAnsi="Times New Roman"/>
          <w:i/>
          <w:sz w:val="24"/>
          <w:szCs w:val="24"/>
        </w:rPr>
        <w:t>(No. 1</w:t>
      </w:r>
      <w:r w:rsidRPr="00AE5E72">
        <w:rPr>
          <w:rFonts w:ascii="Times New Roman" w:hAnsi="Times New Roman"/>
          <w:i/>
          <w:sz w:val="24"/>
          <w:szCs w:val="24"/>
        </w:rPr>
        <w:t>)</w:t>
      </w:r>
      <w:r w:rsidR="00EF22CC" w:rsidRPr="00AE5E72">
        <w:rPr>
          <w:rFonts w:ascii="Times New Roman" w:hAnsi="Times New Roman"/>
          <w:i/>
          <w:sz w:val="24"/>
          <w:szCs w:val="24"/>
        </w:rPr>
        <w:t xml:space="preserve"> 2020</w:t>
      </w:r>
      <w:r w:rsidRPr="00AE5E72">
        <w:rPr>
          <w:rFonts w:ascii="Times New Roman" w:hAnsi="Times New Roman"/>
          <w:sz w:val="24"/>
          <w:szCs w:val="24"/>
        </w:rPr>
        <w:t xml:space="preserve"> (</w:t>
      </w:r>
      <w:r w:rsidR="004A1450">
        <w:rPr>
          <w:rFonts w:ascii="Times New Roman" w:hAnsi="Times New Roman"/>
          <w:sz w:val="24"/>
          <w:szCs w:val="24"/>
        </w:rPr>
        <w:t>‘</w:t>
      </w:r>
      <w:r w:rsidRPr="00AE5E72">
        <w:rPr>
          <w:rFonts w:ascii="Times New Roman" w:hAnsi="Times New Roman"/>
          <w:sz w:val="24"/>
          <w:szCs w:val="24"/>
        </w:rPr>
        <w:t>Amendment Instrument</w:t>
      </w:r>
      <w:r w:rsidR="004A1450">
        <w:rPr>
          <w:rFonts w:ascii="Times New Roman" w:hAnsi="Times New Roman"/>
          <w:sz w:val="24"/>
          <w:szCs w:val="24"/>
        </w:rPr>
        <w:t>’</w:t>
      </w:r>
      <w:r w:rsidRPr="00AE5E72">
        <w:rPr>
          <w:rFonts w:ascii="Times New Roman" w:hAnsi="Times New Roman"/>
          <w:sz w:val="24"/>
          <w:szCs w:val="24"/>
        </w:rPr>
        <w:t xml:space="preserve">) is compatible with human rights and freedoms recognised or declared in the international instruments listed in section 3 of the </w:t>
      </w:r>
      <w:r w:rsidRPr="00AE5E72">
        <w:rPr>
          <w:rFonts w:ascii="Times New Roman" w:hAnsi="Times New Roman"/>
          <w:i/>
          <w:sz w:val="24"/>
          <w:szCs w:val="24"/>
        </w:rPr>
        <w:t>Human Rights (Parliamentary Scrutiny) Act 2011</w:t>
      </w:r>
      <w:r w:rsidRPr="00AE5E72">
        <w:rPr>
          <w:rFonts w:ascii="Times New Roman" w:hAnsi="Times New Roman"/>
          <w:sz w:val="24"/>
          <w:szCs w:val="24"/>
        </w:rPr>
        <w:t>.</w:t>
      </w:r>
    </w:p>
    <w:p w14:paraId="420CBA17" w14:textId="77777777" w:rsidR="004807E8" w:rsidRPr="00AE5E72" w:rsidRDefault="004807E8" w:rsidP="004807E8">
      <w:pPr>
        <w:rPr>
          <w:rFonts w:ascii="Times New Roman" w:hAnsi="Times New Roman"/>
          <w:b/>
          <w:sz w:val="24"/>
          <w:szCs w:val="24"/>
        </w:rPr>
      </w:pPr>
      <w:r w:rsidRPr="00AE5E72">
        <w:rPr>
          <w:rFonts w:ascii="Times New Roman" w:hAnsi="Times New Roman"/>
          <w:b/>
          <w:sz w:val="24"/>
          <w:szCs w:val="24"/>
        </w:rPr>
        <w:t>Overview of the Amendment Instrument</w:t>
      </w:r>
    </w:p>
    <w:p w14:paraId="7D4BEDC7" w14:textId="77777777" w:rsidR="004807E8" w:rsidRPr="00AE5E72" w:rsidRDefault="004807E8" w:rsidP="004807E8">
      <w:pPr>
        <w:rPr>
          <w:rFonts w:ascii="Times New Roman" w:hAnsi="Times New Roman"/>
          <w:sz w:val="24"/>
          <w:szCs w:val="24"/>
        </w:rPr>
      </w:pPr>
      <w:r w:rsidRPr="00AE5E72">
        <w:rPr>
          <w:rFonts w:ascii="Times New Roman" w:hAnsi="Times New Roman"/>
          <w:sz w:val="24"/>
          <w:szCs w:val="24"/>
        </w:rPr>
        <w:t>The</w:t>
      </w:r>
      <w:r w:rsidR="00A54211" w:rsidRPr="00AE5E72">
        <w:rPr>
          <w:rFonts w:ascii="Times New Roman" w:hAnsi="Times New Roman"/>
          <w:sz w:val="24"/>
          <w:szCs w:val="24"/>
        </w:rPr>
        <w:t xml:space="preserve"> </w:t>
      </w:r>
      <w:r w:rsidR="00EF22CC" w:rsidRPr="00AE5E72">
        <w:rPr>
          <w:rFonts w:ascii="Times New Roman" w:hAnsi="Times New Roman"/>
          <w:i/>
          <w:sz w:val="24"/>
          <w:szCs w:val="24"/>
        </w:rPr>
        <w:t>Commonwealth</w:t>
      </w:r>
      <w:r w:rsidR="00A54211" w:rsidRPr="00AE5E72">
        <w:rPr>
          <w:rFonts w:ascii="Times New Roman" w:hAnsi="Times New Roman"/>
          <w:i/>
          <w:sz w:val="24"/>
          <w:szCs w:val="24"/>
        </w:rPr>
        <w:t xml:space="preserve"> Grant </w:t>
      </w:r>
      <w:r w:rsidR="00EF22CC" w:rsidRPr="00AE5E72">
        <w:rPr>
          <w:rFonts w:ascii="Times New Roman" w:hAnsi="Times New Roman"/>
          <w:i/>
          <w:sz w:val="24"/>
          <w:szCs w:val="24"/>
        </w:rPr>
        <w:t xml:space="preserve">Scheme </w:t>
      </w:r>
      <w:r w:rsidR="00A54211" w:rsidRPr="00AE5E72">
        <w:rPr>
          <w:rFonts w:ascii="Times New Roman" w:hAnsi="Times New Roman"/>
          <w:i/>
          <w:sz w:val="24"/>
          <w:szCs w:val="24"/>
        </w:rPr>
        <w:t>Guidelines 2012</w:t>
      </w:r>
      <w:r w:rsidRPr="00AE5E72">
        <w:rPr>
          <w:rFonts w:ascii="Times New Roman" w:hAnsi="Times New Roman"/>
          <w:sz w:val="24"/>
          <w:szCs w:val="24"/>
        </w:rPr>
        <w:t xml:space="preserve"> </w:t>
      </w:r>
      <w:r w:rsidR="00A54211" w:rsidRPr="00AE5E72">
        <w:rPr>
          <w:rFonts w:ascii="Times New Roman" w:hAnsi="Times New Roman"/>
          <w:sz w:val="24"/>
          <w:szCs w:val="24"/>
        </w:rPr>
        <w:t>(</w:t>
      </w:r>
      <w:r w:rsidR="004A1450">
        <w:rPr>
          <w:rFonts w:ascii="Times New Roman" w:hAnsi="Times New Roman"/>
          <w:sz w:val="24"/>
          <w:szCs w:val="24"/>
        </w:rPr>
        <w:t>‘</w:t>
      </w:r>
      <w:r w:rsidRPr="00AE5E72">
        <w:rPr>
          <w:rFonts w:ascii="Times New Roman" w:hAnsi="Times New Roman"/>
          <w:sz w:val="24"/>
          <w:szCs w:val="24"/>
        </w:rPr>
        <w:t>Principal Instrument</w:t>
      </w:r>
      <w:r w:rsidR="004A1450">
        <w:rPr>
          <w:rFonts w:ascii="Times New Roman" w:hAnsi="Times New Roman"/>
          <w:sz w:val="24"/>
          <w:szCs w:val="24"/>
        </w:rPr>
        <w:t>’</w:t>
      </w:r>
      <w:r w:rsidR="00A54211" w:rsidRPr="00AE5E72">
        <w:rPr>
          <w:rFonts w:ascii="Times New Roman" w:hAnsi="Times New Roman"/>
          <w:sz w:val="24"/>
          <w:szCs w:val="24"/>
        </w:rPr>
        <w:t>)</w:t>
      </w:r>
      <w:r w:rsidRPr="00AE5E72">
        <w:rPr>
          <w:rFonts w:ascii="Times New Roman" w:hAnsi="Times New Roman"/>
          <w:sz w:val="24"/>
          <w:szCs w:val="24"/>
        </w:rPr>
        <w:t xml:space="preserve"> sets out a number of program</w:t>
      </w:r>
      <w:r w:rsidR="00161485" w:rsidRPr="00AE5E72">
        <w:rPr>
          <w:rFonts w:ascii="Times New Roman" w:hAnsi="Times New Roman"/>
          <w:sz w:val="24"/>
          <w:szCs w:val="24"/>
        </w:rPr>
        <w:t>s</w:t>
      </w:r>
      <w:r w:rsidRPr="00AE5E72">
        <w:rPr>
          <w:rFonts w:ascii="Times New Roman" w:hAnsi="Times New Roman"/>
          <w:sz w:val="24"/>
          <w:szCs w:val="24"/>
        </w:rPr>
        <w:t xml:space="preserve"> under which grants may be provided in accordance with </w:t>
      </w:r>
      <w:r w:rsidR="00161485" w:rsidRPr="00AE5E72">
        <w:rPr>
          <w:rFonts w:ascii="Times New Roman" w:hAnsi="Times New Roman"/>
          <w:sz w:val="24"/>
          <w:szCs w:val="24"/>
        </w:rPr>
        <w:t>P</w:t>
      </w:r>
      <w:r w:rsidRPr="00AE5E72">
        <w:rPr>
          <w:rFonts w:ascii="Times New Roman" w:hAnsi="Times New Roman"/>
          <w:sz w:val="24"/>
          <w:szCs w:val="24"/>
        </w:rPr>
        <w:t>art 2-</w:t>
      </w:r>
      <w:r w:rsidR="00123878" w:rsidRPr="00AE5E72">
        <w:rPr>
          <w:rFonts w:ascii="Times New Roman" w:hAnsi="Times New Roman"/>
          <w:sz w:val="24"/>
          <w:szCs w:val="24"/>
        </w:rPr>
        <w:t>2</w:t>
      </w:r>
      <w:r w:rsidRPr="00AE5E72">
        <w:rPr>
          <w:rFonts w:ascii="Times New Roman" w:hAnsi="Times New Roman"/>
          <w:sz w:val="24"/>
          <w:szCs w:val="24"/>
        </w:rPr>
        <w:t xml:space="preserve"> </w:t>
      </w:r>
      <w:r w:rsidR="0076493E">
        <w:rPr>
          <w:rFonts w:ascii="Times New Roman" w:hAnsi="Times New Roman"/>
          <w:sz w:val="24"/>
          <w:szCs w:val="24"/>
        </w:rPr>
        <w:t xml:space="preserve">the </w:t>
      </w:r>
      <w:r w:rsidR="0076493E" w:rsidRPr="0023116C">
        <w:rPr>
          <w:rFonts w:ascii="Times New Roman" w:hAnsi="Times New Roman"/>
          <w:i/>
          <w:sz w:val="24"/>
          <w:szCs w:val="24"/>
        </w:rPr>
        <w:t>Higher Education Support Act 2003</w:t>
      </w:r>
      <w:r w:rsidR="0076493E">
        <w:rPr>
          <w:rFonts w:ascii="Times New Roman" w:hAnsi="Times New Roman"/>
          <w:sz w:val="24"/>
          <w:szCs w:val="24"/>
        </w:rPr>
        <w:t xml:space="preserve"> (‘Act’)</w:t>
      </w:r>
      <w:r w:rsidRPr="00AE5E72">
        <w:rPr>
          <w:rFonts w:ascii="Times New Roman" w:hAnsi="Times New Roman"/>
          <w:sz w:val="24"/>
          <w:szCs w:val="24"/>
        </w:rPr>
        <w:t>. The Principal Instrument also sets out some conditions on the grants m</w:t>
      </w:r>
      <w:r w:rsidR="006D6301" w:rsidRPr="00AE5E72">
        <w:rPr>
          <w:rFonts w:ascii="Times New Roman" w:hAnsi="Times New Roman"/>
          <w:sz w:val="24"/>
          <w:szCs w:val="24"/>
        </w:rPr>
        <w:t>ade under the programs specified in the instrument</w:t>
      </w:r>
      <w:r w:rsidRPr="00AE5E72">
        <w:rPr>
          <w:rFonts w:ascii="Times New Roman" w:hAnsi="Times New Roman"/>
          <w:sz w:val="24"/>
          <w:szCs w:val="24"/>
        </w:rPr>
        <w:t>.</w:t>
      </w:r>
    </w:p>
    <w:p w14:paraId="64EDDAEF" w14:textId="77777777" w:rsidR="000907A5" w:rsidRDefault="006D6301" w:rsidP="004807E8">
      <w:pPr>
        <w:rPr>
          <w:rFonts w:ascii="Times New Roman" w:hAnsi="Times New Roman" w:cs="Times New Roman"/>
          <w:sz w:val="24"/>
          <w:szCs w:val="24"/>
        </w:rPr>
      </w:pPr>
      <w:r w:rsidRPr="00AE5E72">
        <w:rPr>
          <w:rFonts w:ascii="Times New Roman" w:hAnsi="Times New Roman"/>
          <w:sz w:val="24"/>
          <w:szCs w:val="24"/>
        </w:rPr>
        <w:t xml:space="preserve">The Amendment Instrument </w:t>
      </w:r>
      <w:r w:rsidR="00B643EF">
        <w:rPr>
          <w:rFonts w:ascii="Times New Roman" w:hAnsi="Times New Roman"/>
          <w:sz w:val="24"/>
          <w:szCs w:val="24"/>
        </w:rPr>
        <w:t>identifies new providers to be funded</w:t>
      </w:r>
      <w:r w:rsidRPr="00AE5E72">
        <w:rPr>
          <w:rFonts w:ascii="Times New Roman" w:hAnsi="Times New Roman"/>
          <w:sz w:val="24"/>
          <w:szCs w:val="24"/>
        </w:rPr>
        <w:t xml:space="preserve"> </w:t>
      </w:r>
      <w:r w:rsidR="00B643EF" w:rsidRPr="00AE5E72">
        <w:rPr>
          <w:rFonts w:ascii="Times New Roman" w:hAnsi="Times New Roman" w:cs="Times New Roman"/>
          <w:sz w:val="24"/>
          <w:szCs w:val="24"/>
        </w:rPr>
        <w:t xml:space="preserve">under </w:t>
      </w:r>
      <w:r w:rsidR="00A12A67" w:rsidRPr="0023116C">
        <w:rPr>
          <w:rFonts w:ascii="Times New Roman" w:hAnsi="Times New Roman" w:cs="Times New Roman"/>
          <w:sz w:val="24"/>
          <w:szCs w:val="24"/>
        </w:rPr>
        <w:t>Part 2-2 of the Act</w:t>
      </w:r>
      <w:r w:rsidR="00B643EF">
        <w:rPr>
          <w:rFonts w:ascii="Times New Roman" w:hAnsi="Times New Roman" w:cs="Times New Roman"/>
          <w:i/>
          <w:sz w:val="24"/>
          <w:szCs w:val="24"/>
        </w:rPr>
        <w:t xml:space="preserve"> </w:t>
      </w:r>
      <w:r w:rsidR="00B643EF">
        <w:rPr>
          <w:rFonts w:ascii="Times New Roman" w:hAnsi="Times New Roman" w:cs="Times New Roman"/>
          <w:sz w:val="24"/>
          <w:szCs w:val="24"/>
        </w:rPr>
        <w:t xml:space="preserve">to </w:t>
      </w:r>
      <w:r w:rsidR="00B643EF">
        <w:rPr>
          <w:rFonts w:ascii="Times New Roman" w:hAnsi="Times New Roman"/>
          <w:sz w:val="24"/>
          <w:szCs w:val="24"/>
        </w:rPr>
        <w:t>deliver short online courses of study</w:t>
      </w:r>
      <w:r w:rsidR="00B643EF" w:rsidRPr="00AE5E72">
        <w:rPr>
          <w:rFonts w:ascii="Times New Roman" w:hAnsi="Times New Roman" w:cs="Times New Roman"/>
          <w:sz w:val="24"/>
          <w:szCs w:val="24"/>
        </w:rPr>
        <w:t xml:space="preserve"> (each</w:t>
      </w:r>
      <w:r w:rsidR="000907A5">
        <w:rPr>
          <w:rFonts w:ascii="Times New Roman" w:hAnsi="Times New Roman" w:cs="Times New Roman"/>
          <w:sz w:val="24"/>
          <w:szCs w:val="24"/>
        </w:rPr>
        <w:t xml:space="preserve"> consisting of</w:t>
      </w:r>
      <w:r w:rsidR="00B643EF" w:rsidRPr="00AE5E72">
        <w:rPr>
          <w:rFonts w:ascii="Times New Roman" w:hAnsi="Times New Roman" w:cs="Times New Roman"/>
          <w:sz w:val="24"/>
          <w:szCs w:val="24"/>
        </w:rPr>
        <w:t xml:space="preserve"> half an </w:t>
      </w:r>
      <w:r w:rsidR="00B643EF" w:rsidRPr="005E6EFB">
        <w:rPr>
          <w:rFonts w:ascii="Times New Roman" w:hAnsi="Times New Roman" w:cs="Times New Roman"/>
          <w:sz w:val="24"/>
          <w:szCs w:val="24"/>
        </w:rPr>
        <w:t>equivalent full-tim</w:t>
      </w:r>
      <w:r w:rsidR="00B643EF">
        <w:rPr>
          <w:rFonts w:ascii="Times New Roman" w:hAnsi="Times New Roman" w:cs="Times New Roman"/>
          <w:sz w:val="24"/>
          <w:szCs w:val="24"/>
        </w:rPr>
        <w:t>e study</w:t>
      </w:r>
      <w:r w:rsidR="00B643EF" w:rsidRPr="005E6EFB">
        <w:rPr>
          <w:rFonts w:ascii="Times New Roman" w:hAnsi="Times New Roman" w:cs="Times New Roman"/>
          <w:sz w:val="24"/>
          <w:szCs w:val="24"/>
        </w:rPr>
        <w:t xml:space="preserve"> load</w:t>
      </w:r>
      <w:r w:rsidR="00B643EF" w:rsidRPr="005E6EFB">
        <w:rPr>
          <w:rFonts w:ascii="Times New Roman" w:hAnsi="Times New Roman"/>
          <w:sz w:val="24"/>
          <w:szCs w:val="24"/>
        </w:rPr>
        <w:t>)</w:t>
      </w:r>
      <w:r w:rsidR="00B643EF">
        <w:rPr>
          <w:rFonts w:ascii="Times New Roman" w:hAnsi="Times New Roman"/>
          <w:sz w:val="24"/>
          <w:szCs w:val="24"/>
        </w:rPr>
        <w:t xml:space="preserve"> in 2020</w:t>
      </w:r>
      <w:r w:rsidR="00A12A67">
        <w:rPr>
          <w:rFonts w:ascii="Times New Roman" w:hAnsi="Times New Roman"/>
          <w:sz w:val="24"/>
          <w:szCs w:val="24"/>
        </w:rPr>
        <w:t xml:space="preserve">, </w:t>
      </w:r>
      <w:r w:rsidR="00B643EF">
        <w:rPr>
          <w:rFonts w:ascii="Times New Roman" w:hAnsi="Times New Roman"/>
          <w:sz w:val="24"/>
          <w:szCs w:val="24"/>
        </w:rPr>
        <w:t>The</w:t>
      </w:r>
      <w:r w:rsidR="000907A5">
        <w:rPr>
          <w:rFonts w:ascii="Times New Roman" w:hAnsi="Times New Roman"/>
          <w:sz w:val="24"/>
          <w:szCs w:val="24"/>
        </w:rPr>
        <w:t>se</w:t>
      </w:r>
      <w:r w:rsidR="00B643EF">
        <w:rPr>
          <w:rFonts w:ascii="Times New Roman" w:hAnsi="Times New Roman"/>
          <w:sz w:val="24"/>
          <w:szCs w:val="24"/>
        </w:rPr>
        <w:t xml:space="preserve"> courses will </w:t>
      </w:r>
      <w:r w:rsidR="00B643EF">
        <w:rPr>
          <w:rFonts w:ascii="Times New Roman" w:hAnsi="Times New Roman" w:cs="Times New Roman"/>
          <w:sz w:val="24"/>
          <w:szCs w:val="24"/>
        </w:rPr>
        <w:t>support</w:t>
      </w:r>
      <w:r w:rsidR="00B643EF" w:rsidRPr="00AE5E72">
        <w:rPr>
          <w:rFonts w:ascii="Times New Roman" w:hAnsi="Times New Roman" w:cs="Times New Roman"/>
          <w:sz w:val="24"/>
          <w:szCs w:val="24"/>
        </w:rPr>
        <w:t xml:space="preserve"> </w:t>
      </w:r>
      <w:r w:rsidR="00B643EF">
        <w:rPr>
          <w:rFonts w:ascii="Times New Roman" w:hAnsi="Times New Roman" w:cs="Times New Roman"/>
          <w:sz w:val="24"/>
          <w:szCs w:val="24"/>
        </w:rPr>
        <w:t xml:space="preserve">retraining and upskilling to assist workers displaced by </w:t>
      </w:r>
      <w:r w:rsidR="00A12A67">
        <w:rPr>
          <w:rFonts w:ascii="Times New Roman" w:hAnsi="Times New Roman" w:cs="Times New Roman"/>
          <w:sz w:val="24"/>
          <w:szCs w:val="24"/>
        </w:rPr>
        <w:t>COVID</w:t>
      </w:r>
      <w:r w:rsidR="00B643EF">
        <w:rPr>
          <w:rFonts w:ascii="Times New Roman" w:hAnsi="Times New Roman" w:cs="Times New Roman"/>
          <w:sz w:val="24"/>
          <w:szCs w:val="24"/>
        </w:rPr>
        <w:t>-19</w:t>
      </w:r>
      <w:r w:rsidR="00B643EF" w:rsidRPr="00AE5E72">
        <w:rPr>
          <w:rFonts w:ascii="Times New Roman" w:hAnsi="Times New Roman" w:cs="Times New Roman"/>
          <w:sz w:val="24"/>
          <w:szCs w:val="24"/>
        </w:rPr>
        <w:t xml:space="preserve"> </w:t>
      </w:r>
      <w:r w:rsidR="00B643EF">
        <w:rPr>
          <w:rFonts w:ascii="Times New Roman" w:hAnsi="Times New Roman" w:cs="Times New Roman"/>
          <w:sz w:val="24"/>
          <w:szCs w:val="24"/>
        </w:rPr>
        <w:t>to regain employment</w:t>
      </w:r>
      <w:r w:rsidR="00B643EF" w:rsidRPr="00AE5E72">
        <w:rPr>
          <w:rFonts w:ascii="Times New Roman" w:hAnsi="Times New Roman" w:cs="Times New Roman"/>
          <w:sz w:val="24"/>
          <w:szCs w:val="24"/>
        </w:rPr>
        <w:t xml:space="preserve"> when current economic constraints </w:t>
      </w:r>
      <w:r w:rsidR="00B643EF">
        <w:rPr>
          <w:rFonts w:ascii="Times New Roman" w:hAnsi="Times New Roman" w:cs="Times New Roman"/>
          <w:sz w:val="24"/>
          <w:szCs w:val="24"/>
        </w:rPr>
        <w:t>improve.</w:t>
      </w:r>
      <w:r w:rsidR="00B643EF" w:rsidRPr="00AE5E72">
        <w:rPr>
          <w:rFonts w:ascii="Times New Roman" w:hAnsi="Times New Roman" w:cs="Times New Roman"/>
          <w:sz w:val="24"/>
          <w:szCs w:val="24"/>
        </w:rPr>
        <w:t xml:space="preserve"> </w:t>
      </w:r>
    </w:p>
    <w:p w14:paraId="13F4F58B" w14:textId="77777777" w:rsidR="006D6301" w:rsidRPr="00AE5E72" w:rsidRDefault="00B643EF" w:rsidP="004807E8">
      <w:pPr>
        <w:rPr>
          <w:rFonts w:ascii="Times New Roman" w:hAnsi="Times New Roman"/>
          <w:sz w:val="24"/>
          <w:szCs w:val="24"/>
        </w:rPr>
      </w:pPr>
      <w:r>
        <w:rPr>
          <w:rFonts w:ascii="Times New Roman" w:hAnsi="Times New Roman" w:cs="Times New Roman"/>
          <w:sz w:val="24"/>
          <w:szCs w:val="24"/>
        </w:rPr>
        <w:t>The Amendment Instrument also</w:t>
      </w:r>
      <w:r w:rsidR="000907A5">
        <w:rPr>
          <w:rFonts w:ascii="Times New Roman" w:hAnsi="Times New Roman" w:cs="Times New Roman"/>
          <w:sz w:val="24"/>
          <w:szCs w:val="24"/>
        </w:rPr>
        <w:t xml:space="preserve"> updates the legal entity names for providers whose names have changed since their original listing in the Principal Instrument</w:t>
      </w:r>
      <w:r w:rsidR="000907A5">
        <w:rPr>
          <w:rFonts w:ascii="Times New Roman" w:hAnsi="Times New Roman"/>
          <w:sz w:val="24"/>
          <w:szCs w:val="24"/>
        </w:rPr>
        <w:t xml:space="preserve"> and</w:t>
      </w:r>
      <w:r w:rsidR="00900767">
        <w:rPr>
          <w:rFonts w:ascii="Times New Roman" w:hAnsi="Times New Roman"/>
          <w:sz w:val="24"/>
          <w:szCs w:val="24"/>
        </w:rPr>
        <w:t xml:space="preserve"> </w:t>
      </w:r>
      <w:r>
        <w:rPr>
          <w:rFonts w:ascii="Times New Roman" w:hAnsi="Times New Roman" w:cs="Times New Roman"/>
          <w:sz w:val="24"/>
          <w:szCs w:val="24"/>
        </w:rPr>
        <w:t>outlines</w:t>
      </w:r>
      <w:r>
        <w:rPr>
          <w:rFonts w:ascii="Times New Roman" w:hAnsi="Times New Roman"/>
          <w:sz w:val="24"/>
          <w:szCs w:val="24"/>
        </w:rPr>
        <w:t xml:space="preserve"> the fields of education that have been identified as areas of national priority for 2020.</w:t>
      </w:r>
    </w:p>
    <w:p w14:paraId="377C8C7F" w14:textId="77777777" w:rsidR="00D74500" w:rsidRPr="0079789F" w:rsidRDefault="00D74500" w:rsidP="00D74500">
      <w:pPr>
        <w:keepNext/>
        <w:rPr>
          <w:rFonts w:ascii="Times New Roman" w:hAnsi="Times New Roman" w:cs="Times New Roman"/>
          <w:b/>
          <w:sz w:val="24"/>
          <w:szCs w:val="24"/>
        </w:rPr>
      </w:pPr>
      <w:r w:rsidRPr="0079789F">
        <w:rPr>
          <w:rFonts w:ascii="Times New Roman" w:hAnsi="Times New Roman" w:cs="Times New Roman"/>
          <w:b/>
          <w:sz w:val="24"/>
          <w:szCs w:val="24"/>
        </w:rPr>
        <w:t>Human rights implications</w:t>
      </w:r>
    </w:p>
    <w:p w14:paraId="4026A40D" w14:textId="77777777" w:rsidR="00D74500" w:rsidRPr="00AE5E72" w:rsidRDefault="00D74500" w:rsidP="00D74500">
      <w:pPr>
        <w:keepNext/>
        <w:rPr>
          <w:rFonts w:ascii="Times New Roman" w:hAnsi="Times New Roman" w:cs="Times New Roman"/>
          <w:i/>
          <w:sz w:val="24"/>
          <w:szCs w:val="24"/>
        </w:rPr>
      </w:pPr>
      <w:r w:rsidRPr="00AE5E72">
        <w:rPr>
          <w:rFonts w:ascii="Times New Roman" w:hAnsi="Times New Roman" w:cs="Times New Roman"/>
          <w:i/>
          <w:sz w:val="24"/>
          <w:szCs w:val="24"/>
        </w:rPr>
        <w:t>Right to education</w:t>
      </w:r>
    </w:p>
    <w:p w14:paraId="25705E3E" w14:textId="77777777" w:rsidR="00D74500" w:rsidRPr="00AE5E72" w:rsidRDefault="00D74500" w:rsidP="00D74500">
      <w:pPr>
        <w:keepNext/>
        <w:rPr>
          <w:rFonts w:ascii="Times New Roman" w:hAnsi="Times New Roman" w:cs="Times New Roman"/>
          <w:sz w:val="24"/>
          <w:szCs w:val="24"/>
        </w:rPr>
      </w:pPr>
      <w:r w:rsidRPr="00AE5E72">
        <w:rPr>
          <w:rFonts w:ascii="Times New Roman" w:hAnsi="Times New Roman" w:cs="Times New Roman"/>
          <w:sz w:val="24"/>
          <w:szCs w:val="24"/>
        </w:rPr>
        <w:t xml:space="preserve">The </w:t>
      </w:r>
      <w:r w:rsidR="00161485" w:rsidRPr="00AE5E72">
        <w:rPr>
          <w:rFonts w:ascii="Times New Roman" w:hAnsi="Times New Roman" w:cs="Times New Roman"/>
          <w:sz w:val="24"/>
          <w:szCs w:val="24"/>
        </w:rPr>
        <w:t xml:space="preserve">measures set out in the Amendment Instrument </w:t>
      </w:r>
      <w:r w:rsidRPr="00AE5E72">
        <w:rPr>
          <w:rFonts w:ascii="Times New Roman" w:hAnsi="Times New Roman" w:cs="Times New Roman"/>
          <w:sz w:val="24"/>
          <w:szCs w:val="24"/>
        </w:rPr>
        <w:t>engage</w:t>
      </w:r>
      <w:r w:rsidR="00161485" w:rsidRPr="00AE5E72">
        <w:rPr>
          <w:rFonts w:ascii="Times New Roman" w:hAnsi="Times New Roman" w:cs="Times New Roman"/>
          <w:sz w:val="24"/>
          <w:szCs w:val="24"/>
        </w:rPr>
        <w:t>, and promote</w:t>
      </w:r>
      <w:r w:rsidR="000907A5">
        <w:rPr>
          <w:rFonts w:ascii="Times New Roman" w:hAnsi="Times New Roman" w:cs="Times New Roman"/>
          <w:sz w:val="24"/>
          <w:szCs w:val="24"/>
        </w:rPr>
        <w:t>,</w:t>
      </w:r>
      <w:r w:rsidRPr="00AE5E72">
        <w:rPr>
          <w:rFonts w:ascii="Times New Roman" w:hAnsi="Times New Roman" w:cs="Times New Roman"/>
          <w:sz w:val="24"/>
          <w:szCs w:val="24"/>
        </w:rPr>
        <w:t xml:space="preserve"> the right to education, contained in Article 13 of the </w:t>
      </w:r>
      <w:r w:rsidRPr="00AE5E72">
        <w:rPr>
          <w:rFonts w:ascii="Times New Roman" w:hAnsi="Times New Roman" w:cs="Times New Roman"/>
          <w:i/>
          <w:sz w:val="24"/>
          <w:szCs w:val="24"/>
        </w:rPr>
        <w:t>International Covenant on Economic, Social and Cultural Rights</w:t>
      </w:r>
      <w:r w:rsidR="00963106">
        <w:rPr>
          <w:rFonts w:ascii="Times New Roman" w:hAnsi="Times New Roman" w:cs="Times New Roman"/>
          <w:sz w:val="24"/>
          <w:szCs w:val="24"/>
        </w:rPr>
        <w:t xml:space="preserve"> (ICESCR)</w:t>
      </w:r>
      <w:r w:rsidRPr="00AE5E72">
        <w:rPr>
          <w:rFonts w:ascii="Times New Roman" w:hAnsi="Times New Roman" w:cs="Times New Roman"/>
          <w:sz w:val="24"/>
          <w:szCs w:val="24"/>
        </w:rPr>
        <w:t xml:space="preserve">. </w:t>
      </w:r>
      <w:r w:rsidR="00963106" w:rsidRPr="00963106">
        <w:rPr>
          <w:rFonts w:ascii="Times New Roman" w:hAnsi="Times New Roman" w:cs="Times New Roman"/>
          <w:sz w:val="24"/>
          <w:szCs w:val="24"/>
        </w:rPr>
        <w:t>Article 13</w:t>
      </w:r>
      <w:r w:rsidR="00963106">
        <w:rPr>
          <w:rFonts w:ascii="Times New Roman" w:hAnsi="Times New Roman" w:cs="Times New Roman"/>
          <w:sz w:val="24"/>
          <w:szCs w:val="24"/>
        </w:rPr>
        <w:t xml:space="preserve"> of </w:t>
      </w:r>
      <w:r w:rsidR="00994211">
        <w:rPr>
          <w:rFonts w:ascii="Times New Roman" w:hAnsi="Times New Roman" w:cs="Times New Roman"/>
          <w:sz w:val="24"/>
          <w:szCs w:val="24"/>
        </w:rPr>
        <w:t xml:space="preserve">the </w:t>
      </w:r>
      <w:r w:rsidR="00963106">
        <w:rPr>
          <w:rFonts w:ascii="Times New Roman" w:hAnsi="Times New Roman" w:cs="Times New Roman"/>
          <w:sz w:val="24"/>
          <w:szCs w:val="24"/>
        </w:rPr>
        <w:t>ICESCR</w:t>
      </w:r>
      <w:r w:rsidR="00963106" w:rsidRPr="00963106">
        <w:rPr>
          <w:rFonts w:ascii="Times New Roman" w:hAnsi="Times New Roman" w:cs="Times New Roman"/>
          <w:sz w:val="24"/>
          <w:szCs w:val="24"/>
        </w:rPr>
        <w:t xml:space="preserve"> incorporates an obligation to both provide and to facilitate the right to education by requir</w:t>
      </w:r>
      <w:r w:rsidR="00BE6257">
        <w:rPr>
          <w:rFonts w:ascii="Times New Roman" w:hAnsi="Times New Roman" w:cs="Times New Roman"/>
          <w:sz w:val="24"/>
          <w:szCs w:val="24"/>
        </w:rPr>
        <w:t>ing</w:t>
      </w:r>
      <w:r w:rsidR="00900767">
        <w:rPr>
          <w:rFonts w:ascii="Times New Roman" w:hAnsi="Times New Roman" w:cs="Times New Roman"/>
          <w:sz w:val="24"/>
          <w:szCs w:val="24"/>
        </w:rPr>
        <w:t xml:space="preserve"> </w:t>
      </w:r>
      <w:r w:rsidR="00963106" w:rsidRPr="00900767">
        <w:rPr>
          <w:rFonts w:ascii="Times New Roman" w:hAnsi="Times New Roman" w:cs="Times New Roman"/>
          <w:sz w:val="24"/>
          <w:szCs w:val="24"/>
        </w:rPr>
        <w:t>States Parties</w:t>
      </w:r>
      <w:r w:rsidR="00963106" w:rsidRPr="00963106">
        <w:rPr>
          <w:rFonts w:ascii="Times New Roman" w:hAnsi="Times New Roman" w:cs="Times New Roman"/>
          <w:sz w:val="24"/>
          <w:szCs w:val="24"/>
        </w:rPr>
        <w:t xml:space="preserve"> to take positive measures to enable and assist individuals and communities to enjoy the right to education, </w:t>
      </w:r>
      <w:r w:rsidR="00963106" w:rsidRPr="00963106">
        <w:rPr>
          <w:rFonts w:ascii="Times New Roman" w:hAnsi="Times New Roman" w:cs="Times New Roman"/>
          <w:sz w:val="24"/>
          <w:szCs w:val="24"/>
        </w:rPr>
        <w:lastRenderedPageBreak/>
        <w:t>including being adaptable to the needs of changing societies and responding to the needs of students within diverse social and transformative settings.</w:t>
      </w:r>
    </w:p>
    <w:p w14:paraId="62DC29FE" w14:textId="77777777" w:rsidR="007908B8" w:rsidRDefault="007908B8" w:rsidP="0079789F">
      <w:pPr>
        <w:autoSpaceDE w:val="0"/>
        <w:autoSpaceDN w:val="0"/>
        <w:adjustRightInd w:val="0"/>
        <w:spacing w:after="0" w:line="240" w:lineRule="auto"/>
        <w:rPr>
          <w:rFonts w:ascii="Times New Roman" w:hAnsi="Times New Roman" w:cs="Times New Roman"/>
          <w:sz w:val="24"/>
          <w:szCs w:val="24"/>
        </w:rPr>
      </w:pPr>
      <w:r w:rsidRPr="00AE5E72">
        <w:rPr>
          <w:rFonts w:ascii="Times New Roman" w:hAnsi="Times New Roman" w:cs="Times New Roman"/>
          <w:sz w:val="24"/>
          <w:szCs w:val="24"/>
        </w:rPr>
        <w:t xml:space="preserve">The </w:t>
      </w:r>
      <w:r w:rsidR="000907A5">
        <w:rPr>
          <w:rFonts w:ascii="Times New Roman" w:hAnsi="Times New Roman" w:cs="Times New Roman"/>
          <w:sz w:val="24"/>
          <w:szCs w:val="24"/>
        </w:rPr>
        <w:t>provision of funding under Part 2-2 of the Act to providers to deliver short courses of study</w:t>
      </w:r>
      <w:r w:rsidR="005C27B2">
        <w:rPr>
          <w:rFonts w:ascii="Times New Roman" w:hAnsi="Times New Roman" w:cs="Times New Roman"/>
          <w:sz w:val="24"/>
          <w:szCs w:val="24"/>
        </w:rPr>
        <w:t xml:space="preserve"> to retrain and upskill workers impacted by COVID-19 is</w:t>
      </w:r>
      <w:r w:rsidRPr="00AE5E72">
        <w:rPr>
          <w:rFonts w:ascii="Times New Roman" w:hAnsi="Times New Roman" w:cs="Times New Roman"/>
          <w:sz w:val="24"/>
          <w:szCs w:val="24"/>
        </w:rPr>
        <w:t xml:space="preserve"> in furtherance of the objective of Article 13(2), which is to ensure educational institutions and program</w:t>
      </w:r>
      <w:r w:rsidR="007C6944">
        <w:rPr>
          <w:rFonts w:ascii="Times New Roman" w:hAnsi="Times New Roman" w:cs="Times New Roman"/>
          <w:sz w:val="24"/>
          <w:szCs w:val="24"/>
        </w:rPr>
        <w:t>s</w:t>
      </w:r>
      <w:r w:rsidRPr="00AE5E72">
        <w:rPr>
          <w:rFonts w:ascii="Times New Roman" w:hAnsi="Times New Roman" w:cs="Times New Roman"/>
          <w:sz w:val="24"/>
          <w:szCs w:val="24"/>
        </w:rPr>
        <w:t xml:space="preserve"> are accessible to everyone, without discrimination, within the jurisdiction of the </w:t>
      </w:r>
      <w:r w:rsidRPr="00900767">
        <w:rPr>
          <w:rFonts w:ascii="Times New Roman" w:hAnsi="Times New Roman" w:cs="Times New Roman"/>
          <w:sz w:val="24"/>
          <w:szCs w:val="24"/>
        </w:rPr>
        <w:t>State</w:t>
      </w:r>
      <w:r w:rsidR="00963106" w:rsidRPr="00900767">
        <w:rPr>
          <w:rFonts w:ascii="Times New Roman" w:hAnsi="Times New Roman" w:cs="Times New Roman"/>
          <w:sz w:val="24"/>
          <w:szCs w:val="24"/>
        </w:rPr>
        <w:t>s</w:t>
      </w:r>
      <w:r w:rsidRPr="00900767">
        <w:rPr>
          <w:rFonts w:ascii="Times New Roman" w:hAnsi="Times New Roman" w:cs="Times New Roman"/>
          <w:sz w:val="24"/>
          <w:szCs w:val="24"/>
        </w:rPr>
        <w:t xml:space="preserve"> </w:t>
      </w:r>
      <w:r w:rsidR="00963106" w:rsidRPr="00900767">
        <w:rPr>
          <w:rFonts w:ascii="Times New Roman" w:hAnsi="Times New Roman" w:cs="Times New Roman"/>
          <w:sz w:val="24"/>
          <w:szCs w:val="24"/>
        </w:rPr>
        <w:t>P</w:t>
      </w:r>
      <w:r w:rsidRPr="00900767">
        <w:rPr>
          <w:rFonts w:ascii="Times New Roman" w:hAnsi="Times New Roman" w:cs="Times New Roman"/>
          <w:sz w:val="24"/>
          <w:szCs w:val="24"/>
        </w:rPr>
        <w:t>arty</w:t>
      </w:r>
      <w:r w:rsidRPr="00AE5E72">
        <w:rPr>
          <w:rFonts w:ascii="Times New Roman" w:hAnsi="Times New Roman" w:cs="Times New Roman"/>
          <w:sz w:val="24"/>
          <w:szCs w:val="24"/>
        </w:rPr>
        <w:t>.</w:t>
      </w:r>
    </w:p>
    <w:p w14:paraId="3343DB54" w14:textId="5CD4DD98" w:rsidR="00321A20" w:rsidRPr="00AE5E72" w:rsidRDefault="007908B8" w:rsidP="0079789F">
      <w:pPr>
        <w:autoSpaceDE w:val="0"/>
        <w:autoSpaceDN w:val="0"/>
        <w:adjustRightInd w:val="0"/>
        <w:spacing w:after="0" w:line="240" w:lineRule="auto"/>
        <w:rPr>
          <w:rFonts w:ascii="Times New Roman" w:hAnsi="Times New Roman" w:cs="Times New Roman"/>
          <w:sz w:val="24"/>
          <w:szCs w:val="24"/>
        </w:rPr>
      </w:pPr>
      <w:r w:rsidRPr="00AE5E72">
        <w:rPr>
          <w:rFonts w:ascii="Times New Roman" w:hAnsi="Times New Roman" w:cs="Times New Roman"/>
          <w:sz w:val="24"/>
          <w:szCs w:val="24"/>
        </w:rPr>
        <w:br/>
      </w:r>
      <w:r w:rsidR="00D74500" w:rsidRPr="00AE5E72">
        <w:rPr>
          <w:rFonts w:ascii="Times New Roman" w:hAnsi="Times New Roman" w:cs="Times New Roman"/>
          <w:sz w:val="24"/>
          <w:szCs w:val="24"/>
        </w:rPr>
        <w:t>In particular, the Ame</w:t>
      </w:r>
      <w:r w:rsidR="00A72620" w:rsidRPr="00AE5E72">
        <w:rPr>
          <w:rFonts w:ascii="Times New Roman" w:hAnsi="Times New Roman" w:cs="Times New Roman"/>
          <w:sz w:val="24"/>
          <w:szCs w:val="24"/>
        </w:rPr>
        <w:t xml:space="preserve">ndment Instrument </w:t>
      </w:r>
      <w:r w:rsidR="008414C6">
        <w:rPr>
          <w:rFonts w:ascii="Times New Roman" w:hAnsi="Times New Roman" w:cs="Times New Roman"/>
          <w:sz w:val="24"/>
          <w:szCs w:val="24"/>
        </w:rPr>
        <w:t>facilitates the delivery of</w:t>
      </w:r>
      <w:r w:rsidR="00A72620" w:rsidRPr="00AE5E72">
        <w:rPr>
          <w:rFonts w:ascii="Times New Roman" w:hAnsi="Times New Roman" w:cs="Times New Roman"/>
          <w:sz w:val="24"/>
          <w:szCs w:val="24"/>
        </w:rPr>
        <w:t xml:space="preserve"> </w:t>
      </w:r>
      <w:r w:rsidR="00F65724" w:rsidRPr="00AE5E72">
        <w:rPr>
          <w:rFonts w:ascii="Times New Roman" w:hAnsi="Times New Roman" w:cs="Times New Roman"/>
          <w:sz w:val="24"/>
          <w:szCs w:val="24"/>
        </w:rPr>
        <w:t>short courses which</w:t>
      </w:r>
      <w:r w:rsidR="00A72620" w:rsidRPr="00AE5E72">
        <w:rPr>
          <w:rFonts w:ascii="Times New Roman" w:hAnsi="Times New Roman" w:cs="Times New Roman"/>
          <w:sz w:val="24"/>
          <w:szCs w:val="24"/>
        </w:rPr>
        <w:t xml:space="preserve"> will promote </w:t>
      </w:r>
      <w:r w:rsidR="00B643EF">
        <w:rPr>
          <w:rFonts w:ascii="Times New Roman" w:hAnsi="Times New Roman" w:cs="Times New Roman"/>
          <w:sz w:val="24"/>
          <w:szCs w:val="24"/>
        </w:rPr>
        <w:t>higher education</w:t>
      </w:r>
      <w:r w:rsidR="00A72620" w:rsidRPr="00AE5E72">
        <w:rPr>
          <w:rFonts w:ascii="Times New Roman" w:hAnsi="Times New Roman" w:cs="Times New Roman"/>
          <w:sz w:val="24"/>
          <w:szCs w:val="24"/>
        </w:rPr>
        <w:t xml:space="preserve"> </w:t>
      </w:r>
      <w:r w:rsidR="00B643EF">
        <w:rPr>
          <w:rFonts w:ascii="Times New Roman" w:hAnsi="Times New Roman" w:cs="Times New Roman"/>
          <w:sz w:val="24"/>
          <w:szCs w:val="24"/>
        </w:rPr>
        <w:t>re</w:t>
      </w:r>
      <w:r w:rsidR="00A72620" w:rsidRPr="00AE5E72">
        <w:rPr>
          <w:rFonts w:ascii="Times New Roman" w:hAnsi="Times New Roman" w:cs="Times New Roman"/>
          <w:sz w:val="24"/>
          <w:szCs w:val="24"/>
        </w:rPr>
        <w:t>training</w:t>
      </w:r>
      <w:r w:rsidR="00292A28" w:rsidRPr="00AE5E72">
        <w:rPr>
          <w:rFonts w:ascii="Times New Roman" w:hAnsi="Times New Roman" w:cs="Times New Roman"/>
          <w:sz w:val="24"/>
          <w:szCs w:val="24"/>
        </w:rPr>
        <w:t xml:space="preserve"> and upskilling</w:t>
      </w:r>
      <w:r w:rsidR="00A72620" w:rsidRPr="00AE5E72">
        <w:rPr>
          <w:rFonts w:ascii="Times New Roman" w:hAnsi="Times New Roman" w:cs="Times New Roman"/>
          <w:sz w:val="24"/>
          <w:szCs w:val="24"/>
        </w:rPr>
        <w:t xml:space="preserve"> </w:t>
      </w:r>
      <w:r w:rsidR="00AC5C5A">
        <w:rPr>
          <w:rFonts w:ascii="Times New Roman" w:hAnsi="Times New Roman" w:cs="Times New Roman"/>
          <w:sz w:val="24"/>
          <w:szCs w:val="24"/>
        </w:rPr>
        <w:t>while</w:t>
      </w:r>
      <w:r w:rsidR="009C6E88">
        <w:rPr>
          <w:rFonts w:ascii="Times New Roman" w:hAnsi="Times New Roman" w:cs="Times New Roman"/>
          <w:sz w:val="24"/>
          <w:szCs w:val="24"/>
        </w:rPr>
        <w:t xml:space="preserve"> economic activity has been constrained</w:t>
      </w:r>
      <w:r w:rsidR="00A72620" w:rsidRPr="00AE5E72">
        <w:rPr>
          <w:rFonts w:ascii="Times New Roman" w:hAnsi="Times New Roman" w:cs="Times New Roman"/>
          <w:sz w:val="24"/>
          <w:szCs w:val="24"/>
        </w:rPr>
        <w:t xml:space="preserve"> </w:t>
      </w:r>
      <w:r w:rsidR="00B643EF">
        <w:rPr>
          <w:rFonts w:ascii="Times New Roman" w:hAnsi="Times New Roman" w:cs="Times New Roman"/>
          <w:sz w:val="24"/>
          <w:szCs w:val="24"/>
        </w:rPr>
        <w:t>in 2020 by</w:t>
      </w:r>
      <w:r w:rsidR="00A72620" w:rsidRPr="00AE5E72">
        <w:rPr>
          <w:rFonts w:ascii="Times New Roman" w:hAnsi="Times New Roman" w:cs="Times New Roman"/>
          <w:sz w:val="24"/>
          <w:szCs w:val="24"/>
        </w:rPr>
        <w:t xml:space="preserve"> </w:t>
      </w:r>
      <w:r w:rsidR="00F65724" w:rsidRPr="00AE5E72">
        <w:rPr>
          <w:rFonts w:ascii="Times New Roman" w:hAnsi="Times New Roman" w:cs="Times New Roman"/>
          <w:sz w:val="24"/>
          <w:szCs w:val="24"/>
        </w:rPr>
        <w:t xml:space="preserve">the </w:t>
      </w:r>
      <w:r w:rsidR="00A72620" w:rsidRPr="00AE5E72">
        <w:rPr>
          <w:rFonts w:ascii="Times New Roman" w:hAnsi="Times New Roman" w:cs="Times New Roman"/>
          <w:sz w:val="24"/>
          <w:szCs w:val="24"/>
        </w:rPr>
        <w:t>C</w:t>
      </w:r>
      <w:r w:rsidR="008414C6">
        <w:rPr>
          <w:rFonts w:ascii="Times New Roman" w:hAnsi="Times New Roman" w:cs="Times New Roman"/>
          <w:sz w:val="24"/>
          <w:szCs w:val="24"/>
        </w:rPr>
        <w:t>OVID</w:t>
      </w:r>
      <w:r w:rsidR="00A72620" w:rsidRPr="00AE5E72">
        <w:rPr>
          <w:rFonts w:ascii="Times New Roman" w:hAnsi="Times New Roman" w:cs="Times New Roman"/>
          <w:sz w:val="24"/>
          <w:szCs w:val="24"/>
        </w:rPr>
        <w:t>-19</w:t>
      </w:r>
      <w:r w:rsidR="00F65724" w:rsidRPr="00AE5E72">
        <w:rPr>
          <w:rFonts w:ascii="Times New Roman" w:hAnsi="Times New Roman" w:cs="Times New Roman"/>
          <w:sz w:val="24"/>
          <w:szCs w:val="24"/>
        </w:rPr>
        <w:t xml:space="preserve"> pandemic</w:t>
      </w:r>
      <w:r w:rsidR="00D74500" w:rsidRPr="00AE5E72">
        <w:rPr>
          <w:rFonts w:ascii="Times New Roman" w:hAnsi="Times New Roman" w:cs="Times New Roman"/>
          <w:sz w:val="24"/>
          <w:szCs w:val="24"/>
        </w:rPr>
        <w:t>.</w:t>
      </w:r>
      <w:r w:rsidR="00896F2E" w:rsidRPr="00AE5E72">
        <w:rPr>
          <w:rFonts w:ascii="Times New Roman" w:hAnsi="Times New Roman" w:cs="Times New Roman"/>
          <w:sz w:val="24"/>
          <w:szCs w:val="24"/>
        </w:rPr>
        <w:t xml:space="preserve"> </w:t>
      </w:r>
      <w:r w:rsidR="00A72620" w:rsidRPr="00AE5E72">
        <w:rPr>
          <w:rFonts w:ascii="Times New Roman" w:hAnsi="Times New Roman" w:cs="Times New Roman"/>
          <w:sz w:val="24"/>
          <w:szCs w:val="24"/>
        </w:rPr>
        <w:t>Th</w:t>
      </w:r>
      <w:r w:rsidR="00963106">
        <w:rPr>
          <w:rFonts w:ascii="Times New Roman" w:hAnsi="Times New Roman" w:cs="Times New Roman"/>
          <w:sz w:val="24"/>
          <w:szCs w:val="24"/>
        </w:rPr>
        <w:t>is</w:t>
      </w:r>
      <w:r w:rsidR="00A72620" w:rsidRPr="00AE5E72">
        <w:rPr>
          <w:rFonts w:ascii="Times New Roman" w:hAnsi="Times New Roman" w:cs="Times New Roman"/>
          <w:sz w:val="24"/>
          <w:szCs w:val="24"/>
        </w:rPr>
        <w:t xml:space="preserve"> measure will </w:t>
      </w:r>
      <w:r w:rsidR="00B643EF">
        <w:rPr>
          <w:rFonts w:ascii="Times New Roman" w:hAnsi="Times New Roman" w:cs="Times New Roman"/>
          <w:sz w:val="24"/>
          <w:szCs w:val="24"/>
        </w:rPr>
        <w:t>broaden</w:t>
      </w:r>
      <w:r w:rsidR="00292A28" w:rsidRPr="00AE5E72">
        <w:rPr>
          <w:rFonts w:ascii="Times New Roman" w:hAnsi="Times New Roman" w:cs="Times New Roman"/>
          <w:sz w:val="24"/>
          <w:szCs w:val="24"/>
        </w:rPr>
        <w:t xml:space="preserve"> access to education</w:t>
      </w:r>
      <w:r w:rsidR="00B643EF">
        <w:rPr>
          <w:rFonts w:ascii="Times New Roman" w:hAnsi="Times New Roman" w:cs="Times New Roman"/>
          <w:sz w:val="24"/>
          <w:szCs w:val="24"/>
        </w:rPr>
        <w:t xml:space="preserve"> </w:t>
      </w:r>
      <w:r w:rsidR="00896AA8">
        <w:rPr>
          <w:rFonts w:ascii="Times New Roman" w:hAnsi="Times New Roman" w:cs="Times New Roman"/>
          <w:sz w:val="24"/>
          <w:szCs w:val="24"/>
        </w:rPr>
        <w:t xml:space="preserve">during this period </w:t>
      </w:r>
      <w:r w:rsidR="00B643EF">
        <w:rPr>
          <w:rFonts w:ascii="Times New Roman" w:hAnsi="Times New Roman" w:cs="Times New Roman"/>
          <w:sz w:val="24"/>
          <w:szCs w:val="24"/>
        </w:rPr>
        <w:t>in fields of national priority</w:t>
      </w:r>
      <w:r w:rsidR="00292A28" w:rsidRPr="00AE5E72">
        <w:rPr>
          <w:rFonts w:ascii="Times New Roman" w:hAnsi="Times New Roman" w:cs="Times New Roman"/>
          <w:sz w:val="24"/>
          <w:szCs w:val="24"/>
        </w:rPr>
        <w:t>.</w:t>
      </w:r>
    </w:p>
    <w:p w14:paraId="4D41E820" w14:textId="77777777" w:rsidR="008414C6" w:rsidRDefault="008414C6" w:rsidP="00D74500">
      <w:pPr>
        <w:rPr>
          <w:rFonts w:ascii="Times New Roman" w:hAnsi="Times New Roman"/>
          <w:i/>
          <w:sz w:val="24"/>
          <w:szCs w:val="24"/>
        </w:rPr>
      </w:pPr>
    </w:p>
    <w:p w14:paraId="7472FFD2" w14:textId="77777777" w:rsidR="00D74500" w:rsidRPr="00AE5E72" w:rsidRDefault="00D74500" w:rsidP="00D74500">
      <w:pPr>
        <w:rPr>
          <w:rFonts w:ascii="Times New Roman" w:hAnsi="Times New Roman"/>
          <w:i/>
          <w:sz w:val="24"/>
          <w:szCs w:val="24"/>
        </w:rPr>
      </w:pPr>
      <w:r w:rsidRPr="00AE5E72">
        <w:rPr>
          <w:rFonts w:ascii="Times New Roman" w:hAnsi="Times New Roman"/>
          <w:i/>
          <w:sz w:val="24"/>
          <w:szCs w:val="24"/>
        </w:rPr>
        <w:t xml:space="preserve">Right to self-determination </w:t>
      </w:r>
    </w:p>
    <w:p w14:paraId="7ACD0037" w14:textId="77777777" w:rsidR="00D74500" w:rsidRPr="00AE5E72" w:rsidRDefault="00D74500" w:rsidP="00D74500">
      <w:pPr>
        <w:rPr>
          <w:rFonts w:ascii="Times New Roman" w:hAnsi="Times New Roman"/>
          <w:sz w:val="24"/>
          <w:szCs w:val="24"/>
        </w:rPr>
      </w:pPr>
      <w:r w:rsidRPr="00AE5E72">
        <w:rPr>
          <w:rFonts w:ascii="Times New Roman" w:hAnsi="Times New Roman"/>
          <w:sz w:val="24"/>
          <w:szCs w:val="24"/>
        </w:rPr>
        <w:t xml:space="preserve">The Amendment Instrument engages the right to self-determination contained in Article 1 of the </w:t>
      </w:r>
      <w:r w:rsidRPr="00AE5E72">
        <w:rPr>
          <w:rFonts w:ascii="Times New Roman" w:hAnsi="Times New Roman"/>
          <w:i/>
          <w:sz w:val="24"/>
          <w:szCs w:val="24"/>
        </w:rPr>
        <w:t>International Covenant on Civil and Political Rights</w:t>
      </w:r>
      <w:r w:rsidRPr="00AE5E72">
        <w:rPr>
          <w:rFonts w:ascii="Times New Roman" w:hAnsi="Times New Roman"/>
          <w:sz w:val="24"/>
          <w:szCs w:val="24"/>
        </w:rPr>
        <w:t xml:space="preserve">, and Article 1 of </w:t>
      </w:r>
      <w:r w:rsidR="00994211">
        <w:rPr>
          <w:rFonts w:ascii="Times New Roman" w:hAnsi="Times New Roman"/>
          <w:sz w:val="24"/>
          <w:szCs w:val="24"/>
        </w:rPr>
        <w:t>the ICESCR</w:t>
      </w:r>
      <w:r w:rsidRPr="00AE5E72">
        <w:rPr>
          <w:rFonts w:ascii="Times New Roman" w:hAnsi="Times New Roman"/>
          <w:sz w:val="24"/>
          <w:szCs w:val="24"/>
        </w:rPr>
        <w:t>.</w:t>
      </w:r>
    </w:p>
    <w:p w14:paraId="258E3199" w14:textId="77777777" w:rsidR="00292A28" w:rsidRPr="00AE5E72" w:rsidRDefault="00D74500" w:rsidP="006D6301">
      <w:pPr>
        <w:rPr>
          <w:rFonts w:ascii="Times New Roman" w:hAnsi="Times New Roman" w:cs="Times New Roman"/>
          <w:sz w:val="24"/>
          <w:szCs w:val="24"/>
        </w:rPr>
      </w:pPr>
      <w:r w:rsidRPr="00AE5E72">
        <w:rPr>
          <w:rFonts w:ascii="Times New Roman" w:hAnsi="Times New Roman"/>
          <w:sz w:val="24"/>
          <w:szCs w:val="24"/>
        </w:rPr>
        <w:t>The Amendment Instrument</w:t>
      </w:r>
      <w:r w:rsidR="00C55CAF" w:rsidRPr="00AE5E72">
        <w:rPr>
          <w:rFonts w:ascii="Times New Roman" w:hAnsi="Times New Roman"/>
          <w:sz w:val="24"/>
          <w:szCs w:val="24"/>
        </w:rPr>
        <w:t xml:space="preserve"> engages this right </w:t>
      </w:r>
      <w:r w:rsidR="007908B8">
        <w:rPr>
          <w:rFonts w:ascii="Times New Roman" w:hAnsi="Times New Roman"/>
          <w:sz w:val="24"/>
          <w:szCs w:val="24"/>
        </w:rPr>
        <w:t>as</w:t>
      </w:r>
      <w:r w:rsidR="00C55CAF" w:rsidRPr="00AE5E72">
        <w:rPr>
          <w:rFonts w:ascii="Times New Roman" w:hAnsi="Times New Roman"/>
          <w:sz w:val="24"/>
          <w:szCs w:val="24"/>
        </w:rPr>
        <w:t xml:space="preserve"> it</w:t>
      </w:r>
      <w:r w:rsidRPr="00AE5E72">
        <w:rPr>
          <w:rFonts w:ascii="Times New Roman" w:hAnsi="Times New Roman"/>
          <w:sz w:val="24"/>
          <w:szCs w:val="24"/>
        </w:rPr>
        <w:t xml:space="preserve"> will </w:t>
      </w:r>
      <w:r w:rsidR="00B643EF">
        <w:rPr>
          <w:rFonts w:ascii="Times New Roman" w:hAnsi="Times New Roman"/>
          <w:sz w:val="24"/>
          <w:szCs w:val="24"/>
        </w:rPr>
        <w:t>provide</w:t>
      </w:r>
      <w:r w:rsidRPr="00AE5E72">
        <w:rPr>
          <w:rFonts w:ascii="Times New Roman" w:hAnsi="Times New Roman"/>
          <w:sz w:val="24"/>
          <w:szCs w:val="24"/>
        </w:rPr>
        <w:t xml:space="preserve"> </w:t>
      </w:r>
      <w:r w:rsidR="00C63AF0">
        <w:rPr>
          <w:rFonts w:ascii="Times New Roman" w:hAnsi="Times New Roman"/>
          <w:sz w:val="24"/>
          <w:szCs w:val="24"/>
        </w:rPr>
        <w:t xml:space="preserve">groups of </w:t>
      </w:r>
      <w:r w:rsidR="009C6E88">
        <w:rPr>
          <w:rFonts w:ascii="Times New Roman" w:hAnsi="Times New Roman"/>
          <w:sz w:val="24"/>
          <w:szCs w:val="24"/>
        </w:rPr>
        <w:t>people</w:t>
      </w:r>
      <w:r w:rsidRPr="00AE5E72">
        <w:rPr>
          <w:rFonts w:ascii="Times New Roman" w:hAnsi="Times New Roman"/>
          <w:sz w:val="24"/>
          <w:szCs w:val="24"/>
        </w:rPr>
        <w:t xml:space="preserve"> </w:t>
      </w:r>
      <w:r w:rsidR="002C74B0" w:rsidRPr="00AE5E72">
        <w:rPr>
          <w:rFonts w:ascii="Times New Roman" w:hAnsi="Times New Roman"/>
          <w:sz w:val="24"/>
          <w:szCs w:val="24"/>
        </w:rPr>
        <w:t xml:space="preserve">whose employment </w:t>
      </w:r>
      <w:r w:rsidR="009C6E88">
        <w:rPr>
          <w:rFonts w:ascii="Times New Roman" w:hAnsi="Times New Roman"/>
          <w:sz w:val="24"/>
          <w:szCs w:val="24"/>
        </w:rPr>
        <w:t>may have</w:t>
      </w:r>
      <w:r w:rsidR="002C74B0" w:rsidRPr="00AE5E72">
        <w:rPr>
          <w:rFonts w:ascii="Times New Roman" w:hAnsi="Times New Roman"/>
          <w:sz w:val="24"/>
          <w:szCs w:val="24"/>
        </w:rPr>
        <w:t xml:space="preserve"> been compromised by the</w:t>
      </w:r>
      <w:r w:rsidR="003260A9">
        <w:rPr>
          <w:rFonts w:ascii="Times New Roman" w:hAnsi="Times New Roman"/>
          <w:sz w:val="24"/>
          <w:szCs w:val="24"/>
        </w:rPr>
        <w:t xml:space="preserve"> COVID-19</w:t>
      </w:r>
      <w:r w:rsidR="002C74B0" w:rsidRPr="00AE5E72">
        <w:rPr>
          <w:rFonts w:ascii="Times New Roman" w:hAnsi="Times New Roman"/>
          <w:sz w:val="24"/>
          <w:szCs w:val="24"/>
        </w:rPr>
        <w:t xml:space="preserve"> pandemic </w:t>
      </w:r>
      <w:r w:rsidR="007F3B0F">
        <w:rPr>
          <w:rFonts w:ascii="Times New Roman" w:hAnsi="Times New Roman"/>
          <w:sz w:val="24"/>
          <w:szCs w:val="24"/>
        </w:rPr>
        <w:t>with</w:t>
      </w:r>
      <w:r w:rsidR="002C74B0" w:rsidRPr="00AE5E72">
        <w:rPr>
          <w:rFonts w:ascii="Times New Roman" w:hAnsi="Times New Roman"/>
          <w:sz w:val="24"/>
          <w:szCs w:val="24"/>
        </w:rPr>
        <w:t xml:space="preserve"> access to </w:t>
      </w:r>
      <w:r w:rsidR="004C6A65" w:rsidRPr="00AE5E72">
        <w:rPr>
          <w:rFonts w:ascii="Times New Roman" w:hAnsi="Times New Roman"/>
          <w:sz w:val="24"/>
          <w:szCs w:val="24"/>
        </w:rPr>
        <w:t>education</w:t>
      </w:r>
      <w:r w:rsidR="002C74B0" w:rsidRPr="00AE5E72">
        <w:rPr>
          <w:rFonts w:ascii="Times New Roman" w:hAnsi="Times New Roman"/>
          <w:sz w:val="24"/>
          <w:szCs w:val="24"/>
        </w:rPr>
        <w:t xml:space="preserve"> to retrain or upskill</w:t>
      </w:r>
      <w:r w:rsidR="004C6A65" w:rsidRPr="00AE5E72">
        <w:rPr>
          <w:rFonts w:ascii="Times New Roman" w:hAnsi="Times New Roman"/>
          <w:sz w:val="24"/>
          <w:szCs w:val="24"/>
        </w:rPr>
        <w:t>, which</w:t>
      </w:r>
      <w:r w:rsidRPr="00AE5E72">
        <w:rPr>
          <w:rFonts w:ascii="Times New Roman" w:hAnsi="Times New Roman"/>
          <w:sz w:val="24"/>
          <w:szCs w:val="24"/>
        </w:rPr>
        <w:t xml:space="preserve"> is compatible with, and promotes the right to self-determination.</w:t>
      </w:r>
      <w:r w:rsidR="00BB515B" w:rsidRPr="00AE5E72">
        <w:rPr>
          <w:rFonts w:ascii="Times New Roman" w:hAnsi="Times New Roman" w:cs="Times New Roman"/>
          <w:sz w:val="24"/>
          <w:szCs w:val="24"/>
        </w:rPr>
        <w:t xml:space="preserve"> The right to self-determination, as it inter</w:t>
      </w:r>
      <w:r w:rsidR="00B90D68" w:rsidRPr="00AE5E72">
        <w:rPr>
          <w:rFonts w:ascii="Times New Roman" w:hAnsi="Times New Roman" w:cs="Times New Roman"/>
          <w:sz w:val="24"/>
          <w:szCs w:val="24"/>
        </w:rPr>
        <w:t>sects</w:t>
      </w:r>
      <w:r w:rsidR="00BB515B" w:rsidRPr="00AE5E72">
        <w:rPr>
          <w:rFonts w:ascii="Times New Roman" w:hAnsi="Times New Roman" w:cs="Times New Roman"/>
          <w:sz w:val="24"/>
          <w:szCs w:val="24"/>
        </w:rPr>
        <w:t xml:space="preserve"> with the right to education, is promoted </w:t>
      </w:r>
      <w:r w:rsidR="007F3B0F">
        <w:rPr>
          <w:rFonts w:ascii="Times New Roman" w:hAnsi="Times New Roman" w:cs="Times New Roman"/>
          <w:sz w:val="24"/>
          <w:szCs w:val="24"/>
        </w:rPr>
        <w:t>through</w:t>
      </w:r>
      <w:r w:rsidR="00BB515B" w:rsidRPr="00AE5E72">
        <w:rPr>
          <w:rFonts w:ascii="Times New Roman" w:hAnsi="Times New Roman" w:cs="Times New Roman"/>
          <w:sz w:val="24"/>
          <w:szCs w:val="24"/>
        </w:rPr>
        <w:t xml:space="preserve"> th</w:t>
      </w:r>
      <w:r w:rsidR="00C63AF0">
        <w:rPr>
          <w:rFonts w:ascii="Times New Roman" w:hAnsi="Times New Roman" w:cs="Times New Roman"/>
          <w:sz w:val="24"/>
          <w:szCs w:val="24"/>
        </w:rPr>
        <w:t>is</w:t>
      </w:r>
      <w:r w:rsidR="00BB515B" w:rsidRPr="00AE5E72">
        <w:rPr>
          <w:rFonts w:ascii="Times New Roman" w:hAnsi="Times New Roman" w:cs="Times New Roman"/>
          <w:sz w:val="24"/>
          <w:szCs w:val="24"/>
        </w:rPr>
        <w:t xml:space="preserve"> measure</w:t>
      </w:r>
      <w:r w:rsidR="007F3B0F">
        <w:rPr>
          <w:rFonts w:ascii="Times New Roman" w:hAnsi="Times New Roman" w:cs="Times New Roman"/>
          <w:sz w:val="24"/>
          <w:szCs w:val="24"/>
        </w:rPr>
        <w:t xml:space="preserve"> by</w:t>
      </w:r>
      <w:r w:rsidR="00BB515B" w:rsidRPr="00AE5E72">
        <w:rPr>
          <w:rFonts w:ascii="Times New Roman" w:hAnsi="Times New Roman" w:cs="Times New Roman"/>
          <w:sz w:val="24"/>
          <w:szCs w:val="24"/>
        </w:rPr>
        <w:t xml:space="preserve"> </w:t>
      </w:r>
      <w:r w:rsidR="00C63AF0">
        <w:rPr>
          <w:rFonts w:ascii="Times New Roman" w:hAnsi="Times New Roman" w:cs="Times New Roman"/>
          <w:sz w:val="24"/>
          <w:szCs w:val="24"/>
        </w:rPr>
        <w:t>red</w:t>
      </w:r>
      <w:r w:rsidR="00C63AF0" w:rsidRPr="00AE5E72">
        <w:rPr>
          <w:rFonts w:ascii="Times New Roman" w:hAnsi="Times New Roman" w:cs="Times New Roman"/>
          <w:sz w:val="24"/>
          <w:szCs w:val="24"/>
        </w:rPr>
        <w:t xml:space="preserve">ressing </w:t>
      </w:r>
      <w:r w:rsidR="00BB515B" w:rsidRPr="00AE5E72">
        <w:rPr>
          <w:rFonts w:ascii="Times New Roman" w:hAnsi="Times New Roman" w:cs="Times New Roman"/>
          <w:sz w:val="24"/>
          <w:szCs w:val="24"/>
        </w:rPr>
        <w:t>barriers to education</w:t>
      </w:r>
      <w:r w:rsidR="003649B6" w:rsidRPr="00AE5E72">
        <w:rPr>
          <w:rFonts w:ascii="Times New Roman" w:hAnsi="Times New Roman" w:cs="Times New Roman"/>
          <w:sz w:val="24"/>
          <w:szCs w:val="24"/>
        </w:rPr>
        <w:t xml:space="preserve"> caused by unemployment</w:t>
      </w:r>
      <w:r w:rsidR="007F3B0F">
        <w:rPr>
          <w:rFonts w:ascii="Times New Roman" w:hAnsi="Times New Roman" w:cs="Times New Roman"/>
          <w:sz w:val="24"/>
          <w:szCs w:val="24"/>
        </w:rPr>
        <w:t xml:space="preserve"> and</w:t>
      </w:r>
      <w:r w:rsidR="00BB515B" w:rsidRPr="00AE5E72">
        <w:rPr>
          <w:rFonts w:ascii="Times New Roman" w:hAnsi="Times New Roman" w:cs="Times New Roman"/>
          <w:sz w:val="24"/>
          <w:szCs w:val="24"/>
        </w:rPr>
        <w:t xml:space="preserve"> </w:t>
      </w:r>
      <w:r w:rsidR="007F3B0F">
        <w:rPr>
          <w:rFonts w:ascii="Times New Roman" w:hAnsi="Times New Roman" w:cs="Times New Roman"/>
          <w:sz w:val="24"/>
          <w:szCs w:val="24"/>
        </w:rPr>
        <w:t>supporting</w:t>
      </w:r>
      <w:r w:rsidR="00BB515B" w:rsidRPr="00AE5E72">
        <w:rPr>
          <w:rFonts w:ascii="Times New Roman" w:hAnsi="Times New Roman" w:cs="Times New Roman"/>
          <w:sz w:val="24"/>
          <w:szCs w:val="24"/>
        </w:rPr>
        <w:t xml:space="preserve"> a greater </w:t>
      </w:r>
      <w:r w:rsidR="003649B6" w:rsidRPr="00AE5E72">
        <w:rPr>
          <w:rFonts w:ascii="Times New Roman" w:hAnsi="Times New Roman" w:cs="Times New Roman"/>
          <w:sz w:val="24"/>
          <w:szCs w:val="24"/>
        </w:rPr>
        <w:t>number</w:t>
      </w:r>
      <w:r w:rsidR="00BB515B" w:rsidRPr="00AE5E72">
        <w:rPr>
          <w:rFonts w:ascii="Times New Roman" w:hAnsi="Times New Roman" w:cs="Times New Roman"/>
          <w:sz w:val="24"/>
          <w:szCs w:val="24"/>
        </w:rPr>
        <w:t xml:space="preserve"> of </w:t>
      </w:r>
      <w:r w:rsidR="009C6E88">
        <w:rPr>
          <w:rFonts w:ascii="Times New Roman" w:hAnsi="Times New Roman" w:cs="Times New Roman"/>
          <w:sz w:val="24"/>
          <w:szCs w:val="24"/>
        </w:rPr>
        <w:t>people</w:t>
      </w:r>
      <w:r w:rsidR="00BB515B" w:rsidRPr="00AE5E72">
        <w:rPr>
          <w:rFonts w:ascii="Times New Roman" w:hAnsi="Times New Roman" w:cs="Times New Roman"/>
          <w:sz w:val="24"/>
          <w:szCs w:val="24"/>
        </w:rPr>
        <w:t xml:space="preserve"> to participate in a wider range of educational </w:t>
      </w:r>
      <w:r w:rsidR="007F3B0F">
        <w:rPr>
          <w:rFonts w:ascii="Times New Roman" w:hAnsi="Times New Roman" w:cs="Times New Roman"/>
          <w:sz w:val="24"/>
          <w:szCs w:val="24"/>
        </w:rPr>
        <w:t>courses</w:t>
      </w:r>
      <w:r w:rsidR="00C63AF0">
        <w:rPr>
          <w:rFonts w:ascii="Times New Roman" w:hAnsi="Times New Roman" w:cs="Times New Roman"/>
          <w:sz w:val="24"/>
          <w:szCs w:val="24"/>
        </w:rPr>
        <w:t xml:space="preserve"> in fields</w:t>
      </w:r>
      <w:r w:rsidR="003649B6" w:rsidRPr="00AE5E72">
        <w:rPr>
          <w:rFonts w:ascii="Times New Roman" w:hAnsi="Times New Roman" w:cs="Times New Roman"/>
          <w:sz w:val="24"/>
          <w:szCs w:val="24"/>
        </w:rPr>
        <w:t xml:space="preserve"> of national priority</w:t>
      </w:r>
      <w:r w:rsidR="007F3B0F">
        <w:rPr>
          <w:rFonts w:ascii="Times New Roman" w:hAnsi="Times New Roman" w:cs="Times New Roman"/>
          <w:sz w:val="24"/>
          <w:szCs w:val="24"/>
        </w:rPr>
        <w:t>. These courses</w:t>
      </w:r>
      <w:r w:rsidR="00292A28" w:rsidRPr="00AE5E72">
        <w:rPr>
          <w:rFonts w:ascii="Times New Roman" w:hAnsi="Times New Roman" w:cs="Times New Roman"/>
          <w:sz w:val="24"/>
          <w:szCs w:val="24"/>
        </w:rPr>
        <w:t xml:space="preserve"> will improve their employment prospects and financial independence which is fundamental to self-</w:t>
      </w:r>
      <w:r w:rsidR="007908B8">
        <w:rPr>
          <w:rFonts w:ascii="Times New Roman" w:hAnsi="Times New Roman" w:cs="Times New Roman"/>
          <w:sz w:val="24"/>
          <w:szCs w:val="24"/>
        </w:rPr>
        <w:t>determination</w:t>
      </w:r>
      <w:r w:rsidR="00B90D68" w:rsidRPr="00AE5E72">
        <w:rPr>
          <w:rFonts w:ascii="Times New Roman" w:hAnsi="Times New Roman" w:cs="Times New Roman"/>
          <w:sz w:val="24"/>
          <w:szCs w:val="24"/>
        </w:rPr>
        <w:t>.</w:t>
      </w:r>
      <w:r w:rsidR="00BB515B" w:rsidRPr="00AE5E72">
        <w:rPr>
          <w:rFonts w:ascii="Times New Roman" w:hAnsi="Times New Roman" w:cs="Times New Roman"/>
          <w:sz w:val="24"/>
          <w:szCs w:val="24"/>
        </w:rPr>
        <w:t xml:space="preserve"> </w:t>
      </w:r>
    </w:p>
    <w:p w14:paraId="5B11788C" w14:textId="77777777" w:rsidR="006D6301" w:rsidRPr="0079789F" w:rsidRDefault="006D6301" w:rsidP="006D6301">
      <w:pPr>
        <w:rPr>
          <w:rFonts w:ascii="Times New Roman" w:hAnsi="Times New Roman"/>
          <w:b/>
          <w:sz w:val="24"/>
          <w:szCs w:val="24"/>
        </w:rPr>
      </w:pPr>
      <w:r w:rsidRPr="0079789F">
        <w:rPr>
          <w:rFonts w:ascii="Times New Roman" w:hAnsi="Times New Roman"/>
          <w:b/>
          <w:sz w:val="24"/>
          <w:szCs w:val="24"/>
        </w:rPr>
        <w:t>Conclusion</w:t>
      </w:r>
    </w:p>
    <w:p w14:paraId="484A7504" w14:textId="77777777" w:rsidR="006D6301" w:rsidRDefault="006D6301" w:rsidP="006D6301">
      <w:pPr>
        <w:rPr>
          <w:rFonts w:ascii="Times New Roman" w:hAnsi="Times New Roman"/>
          <w:sz w:val="24"/>
          <w:szCs w:val="24"/>
        </w:rPr>
      </w:pPr>
      <w:r w:rsidRPr="00C60BD4">
        <w:rPr>
          <w:rFonts w:ascii="Times New Roman" w:hAnsi="Times New Roman"/>
          <w:sz w:val="24"/>
          <w:szCs w:val="24"/>
        </w:rPr>
        <w:t>This Am</w:t>
      </w:r>
      <w:r w:rsidRPr="00891C2F">
        <w:rPr>
          <w:rFonts w:ascii="Times New Roman" w:hAnsi="Times New Roman"/>
          <w:sz w:val="24"/>
          <w:szCs w:val="24"/>
        </w:rPr>
        <w:t>endment Instrument is compatible with</w:t>
      </w:r>
      <w:r w:rsidR="00BB515B">
        <w:rPr>
          <w:rFonts w:ascii="Times New Roman" w:hAnsi="Times New Roman"/>
          <w:sz w:val="24"/>
          <w:szCs w:val="24"/>
        </w:rPr>
        <w:t>, and promotes,</w:t>
      </w:r>
      <w:r w:rsidRPr="00891C2F">
        <w:rPr>
          <w:rFonts w:ascii="Times New Roman" w:hAnsi="Times New Roman"/>
          <w:sz w:val="24"/>
          <w:szCs w:val="24"/>
        </w:rPr>
        <w:t xml:space="preserve"> human rights because it </w:t>
      </w:r>
      <w:r w:rsidR="007F3B0F">
        <w:rPr>
          <w:rFonts w:ascii="Times New Roman" w:hAnsi="Times New Roman"/>
          <w:sz w:val="24"/>
          <w:szCs w:val="24"/>
        </w:rPr>
        <w:t>provides</w:t>
      </w:r>
      <w:r w:rsidRPr="00891C2F">
        <w:rPr>
          <w:rFonts w:ascii="Times New Roman" w:hAnsi="Times New Roman"/>
          <w:sz w:val="24"/>
          <w:szCs w:val="24"/>
        </w:rPr>
        <w:t xml:space="preserve"> Commonwealth funding for purposes that </w:t>
      </w:r>
      <w:r>
        <w:rPr>
          <w:rFonts w:ascii="Times New Roman" w:hAnsi="Times New Roman"/>
          <w:sz w:val="24"/>
          <w:szCs w:val="24"/>
        </w:rPr>
        <w:t>are compatible with</w:t>
      </w:r>
      <w:r w:rsidRPr="00891C2F">
        <w:rPr>
          <w:rFonts w:ascii="Times New Roman" w:hAnsi="Times New Roman"/>
          <w:sz w:val="24"/>
          <w:szCs w:val="24"/>
        </w:rPr>
        <w:t xml:space="preserve"> the right</w:t>
      </w:r>
      <w:r>
        <w:rPr>
          <w:rFonts w:ascii="Times New Roman" w:hAnsi="Times New Roman"/>
          <w:sz w:val="24"/>
          <w:szCs w:val="24"/>
        </w:rPr>
        <w:t xml:space="preserve"> to education</w:t>
      </w:r>
      <w:r w:rsidR="00E9578C">
        <w:rPr>
          <w:rFonts w:ascii="Times New Roman" w:hAnsi="Times New Roman"/>
          <w:sz w:val="24"/>
          <w:szCs w:val="24"/>
        </w:rPr>
        <w:t xml:space="preserve"> and the right to self-determination</w:t>
      </w:r>
      <w:r>
        <w:rPr>
          <w:rFonts w:ascii="Times New Roman" w:hAnsi="Times New Roman"/>
          <w:sz w:val="24"/>
          <w:szCs w:val="24"/>
        </w:rPr>
        <w:t xml:space="preserve">. </w:t>
      </w:r>
    </w:p>
    <w:p w14:paraId="6B77F257" w14:textId="77777777" w:rsidR="00421689" w:rsidRDefault="007119EF" w:rsidP="00E85DF4">
      <w:pPr>
        <w:keepNext/>
        <w:rPr>
          <w:rFonts w:ascii="Times New Roman" w:hAnsi="Times New Roman"/>
          <w:b/>
          <w:sz w:val="24"/>
          <w:szCs w:val="24"/>
        </w:rPr>
      </w:pPr>
      <w:r>
        <w:rPr>
          <w:rFonts w:ascii="Times New Roman" w:hAnsi="Times New Roman"/>
          <w:b/>
          <w:sz w:val="24"/>
          <w:szCs w:val="24"/>
        </w:rPr>
        <w:br/>
      </w:r>
      <w:r>
        <w:rPr>
          <w:rFonts w:ascii="Times New Roman" w:hAnsi="Times New Roman"/>
          <w:b/>
          <w:sz w:val="24"/>
          <w:szCs w:val="24"/>
        </w:rPr>
        <w:br/>
      </w:r>
      <w:r w:rsidR="00471FFF">
        <w:rPr>
          <w:rFonts w:ascii="Times New Roman" w:hAnsi="Times New Roman"/>
          <w:b/>
          <w:sz w:val="24"/>
          <w:szCs w:val="24"/>
        </w:rPr>
        <w:t>T</w:t>
      </w:r>
      <w:r w:rsidR="006D6301" w:rsidRPr="00C60BD4">
        <w:rPr>
          <w:rFonts w:ascii="Times New Roman" w:hAnsi="Times New Roman"/>
          <w:b/>
          <w:sz w:val="24"/>
          <w:szCs w:val="24"/>
        </w:rPr>
        <w:t>he Hon</w:t>
      </w:r>
      <w:r w:rsidR="00A118C3">
        <w:rPr>
          <w:rFonts w:ascii="Times New Roman" w:hAnsi="Times New Roman"/>
          <w:b/>
          <w:sz w:val="24"/>
          <w:szCs w:val="24"/>
        </w:rPr>
        <w:t xml:space="preserve"> </w:t>
      </w:r>
      <w:r w:rsidR="00471FFF">
        <w:rPr>
          <w:rFonts w:ascii="Times New Roman" w:hAnsi="Times New Roman"/>
          <w:b/>
          <w:sz w:val="24"/>
          <w:szCs w:val="24"/>
        </w:rPr>
        <w:t xml:space="preserve">Dan </w:t>
      </w:r>
      <w:r w:rsidR="007F1384">
        <w:rPr>
          <w:rFonts w:ascii="Times New Roman" w:hAnsi="Times New Roman"/>
          <w:b/>
          <w:sz w:val="24"/>
          <w:szCs w:val="24"/>
        </w:rPr>
        <w:t>Tehan</w:t>
      </w:r>
      <w:r w:rsidR="00421689">
        <w:rPr>
          <w:rFonts w:ascii="Times New Roman" w:hAnsi="Times New Roman"/>
          <w:b/>
          <w:sz w:val="24"/>
          <w:szCs w:val="24"/>
        </w:rPr>
        <w:t>, Minister for Education</w:t>
      </w:r>
    </w:p>
    <w:sectPr w:rsidR="00421689" w:rsidSect="00082354">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8E1BE" w14:textId="77777777" w:rsidR="005C16E3" w:rsidRDefault="005C16E3" w:rsidP="00025ACE">
      <w:pPr>
        <w:spacing w:after="0" w:line="240" w:lineRule="auto"/>
      </w:pPr>
      <w:r>
        <w:separator/>
      </w:r>
    </w:p>
  </w:endnote>
  <w:endnote w:type="continuationSeparator" w:id="0">
    <w:p w14:paraId="43F8ED19" w14:textId="77777777" w:rsidR="005C16E3" w:rsidRDefault="005C16E3"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710804"/>
      <w:docPartObj>
        <w:docPartGallery w:val="Page Numbers (Bottom of Page)"/>
        <w:docPartUnique/>
      </w:docPartObj>
    </w:sdtPr>
    <w:sdtEndPr>
      <w:rPr>
        <w:i/>
        <w:noProof/>
      </w:rPr>
    </w:sdtEndPr>
    <w:sdtContent>
      <w:p w14:paraId="1CADD0C4" w14:textId="77777777" w:rsidR="00AD3414" w:rsidRDefault="00AD3414" w:rsidP="00AD3414">
        <w:pPr>
          <w:pStyle w:val="Footer"/>
          <w:pBdr>
            <w:top w:val="single" w:sz="4" w:space="1" w:color="auto"/>
          </w:pBdr>
          <w:jc w:val="center"/>
        </w:pPr>
      </w:p>
      <w:p w14:paraId="532E9FC1" w14:textId="77777777" w:rsidR="00ED6948" w:rsidRDefault="00AD3414" w:rsidP="00ED6948">
        <w:pPr>
          <w:jc w:val="center"/>
          <w:rPr>
            <w:rFonts w:ascii="Times New Roman" w:hAnsi="Times New Roman" w:cs="Times New Roman"/>
            <w:b/>
            <w:i/>
            <w:sz w:val="21"/>
            <w:szCs w:val="21"/>
          </w:rPr>
        </w:pPr>
        <w:r w:rsidRPr="00AD3414">
          <w:rPr>
            <w:rFonts w:ascii="Times New Roman" w:hAnsi="Times New Roman" w:cs="Times New Roman"/>
            <w:i/>
          </w:rPr>
          <w:t>Explanatory Statement to the</w:t>
        </w:r>
        <w:r w:rsidRPr="00AD3414">
          <w:rPr>
            <w:rFonts w:ascii="Times New Roman" w:hAnsi="Times New Roman" w:cs="Times New Roman"/>
          </w:rPr>
          <w:t xml:space="preserve"> </w:t>
        </w:r>
      </w:p>
      <w:p w14:paraId="3EB3A3ED" w14:textId="77777777" w:rsidR="00ED6948" w:rsidRPr="00641906" w:rsidRDefault="00516C5F" w:rsidP="00ED6948">
        <w:pPr>
          <w:jc w:val="center"/>
          <w:rPr>
            <w:rFonts w:ascii="Times New Roman" w:hAnsi="Times New Roman" w:cs="Times New Roman"/>
            <w:b/>
            <w:i/>
          </w:rPr>
        </w:pPr>
        <w:r>
          <w:rPr>
            <w:rFonts w:ascii="Times New Roman" w:hAnsi="Times New Roman" w:cs="Times New Roman"/>
            <w:b/>
            <w:i/>
            <w:sz w:val="21"/>
            <w:szCs w:val="21"/>
          </w:rPr>
          <w:t xml:space="preserve">Commonwealth </w:t>
        </w:r>
        <w:r w:rsidR="00ED6948">
          <w:rPr>
            <w:rFonts w:ascii="Times New Roman" w:hAnsi="Times New Roman" w:cs="Times New Roman"/>
            <w:b/>
            <w:i/>
            <w:sz w:val="21"/>
            <w:szCs w:val="21"/>
          </w:rPr>
          <w:t>Grants</w:t>
        </w:r>
        <w:r>
          <w:rPr>
            <w:rFonts w:ascii="Times New Roman" w:hAnsi="Times New Roman" w:cs="Times New Roman"/>
            <w:b/>
            <w:i/>
            <w:sz w:val="21"/>
            <w:szCs w:val="21"/>
          </w:rPr>
          <w:t xml:space="preserve"> Scheme Guidelines </w:t>
        </w:r>
        <w:r w:rsidR="00ED6948">
          <w:rPr>
            <w:rFonts w:ascii="Times New Roman" w:hAnsi="Times New Roman" w:cs="Times New Roman"/>
            <w:b/>
            <w:i/>
            <w:sz w:val="21"/>
            <w:szCs w:val="21"/>
          </w:rPr>
          <w:t>A</w:t>
        </w:r>
        <w:r>
          <w:rPr>
            <w:rFonts w:ascii="Times New Roman" w:hAnsi="Times New Roman" w:cs="Times New Roman"/>
            <w:b/>
            <w:i/>
            <w:sz w:val="21"/>
            <w:szCs w:val="21"/>
          </w:rPr>
          <w:t>mendment (No. 1) 2020</w:t>
        </w:r>
      </w:p>
      <w:p w14:paraId="0CA49BC2" w14:textId="77777777" w:rsidR="00AD3414" w:rsidRPr="00E2355B" w:rsidRDefault="00AD3414" w:rsidP="00AD3414">
        <w:pPr>
          <w:pStyle w:val="Footer"/>
          <w:jc w:val="center"/>
          <w:rPr>
            <w:rFonts w:ascii="Times New Roman" w:hAnsi="Times New Roman" w:cs="Times New Roman"/>
            <w:i/>
          </w:rPr>
        </w:pPr>
      </w:p>
      <w:p w14:paraId="21F82118" w14:textId="77777777" w:rsidR="00AD3414" w:rsidRDefault="00AD3414">
        <w:pPr>
          <w:pStyle w:val="Footer"/>
          <w:jc w:val="right"/>
        </w:pPr>
      </w:p>
      <w:p w14:paraId="471A515D" w14:textId="45DF710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D6C45">
          <w:rPr>
            <w:rFonts w:ascii="Times New Roman" w:hAnsi="Times New Roman" w:cs="Times New Roman"/>
            <w:i/>
            <w:noProof/>
          </w:rPr>
          <w:t>2</w:t>
        </w:r>
        <w:r w:rsidRPr="00A07A2F">
          <w:rPr>
            <w:rFonts w:ascii="Times New Roman" w:hAnsi="Times New Roman" w:cs="Times New Roman"/>
            <w:i/>
            <w:noProof/>
          </w:rPr>
          <w:fldChar w:fldCharType="end"/>
        </w:r>
      </w:p>
    </w:sdtContent>
  </w:sdt>
  <w:p w14:paraId="57B026BD" w14:textId="77777777"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B0537" w14:textId="77777777" w:rsidR="005C16E3" w:rsidRDefault="005C16E3" w:rsidP="00025ACE">
      <w:pPr>
        <w:spacing w:after="0" w:line="240" w:lineRule="auto"/>
      </w:pPr>
      <w:r>
        <w:separator/>
      </w:r>
    </w:p>
  </w:footnote>
  <w:footnote w:type="continuationSeparator" w:id="0">
    <w:p w14:paraId="5693DFAD" w14:textId="77777777" w:rsidR="005C16E3" w:rsidRDefault="005C16E3"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CF99A" w14:textId="77777777" w:rsidR="00025ACE" w:rsidRDefault="00025ACE">
    <w:pPr>
      <w:pStyle w:val="Header"/>
    </w:pPr>
  </w:p>
  <w:p w14:paraId="2E7073DF"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6BF5"/>
    <w:multiLevelType w:val="hybridMultilevel"/>
    <w:tmpl w:val="FB129A2C"/>
    <w:lvl w:ilvl="0" w:tplc="47CE29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A6A11"/>
    <w:multiLevelType w:val="hybridMultilevel"/>
    <w:tmpl w:val="FB129A2C"/>
    <w:lvl w:ilvl="0" w:tplc="47CE29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1B27DC"/>
    <w:multiLevelType w:val="hybridMultilevel"/>
    <w:tmpl w:val="ED9E6878"/>
    <w:lvl w:ilvl="0" w:tplc="EB885B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A63EBD"/>
    <w:multiLevelType w:val="hybridMultilevel"/>
    <w:tmpl w:val="29421C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EC130B"/>
    <w:multiLevelType w:val="hybridMultilevel"/>
    <w:tmpl w:val="29421C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B17712"/>
    <w:multiLevelType w:val="hybridMultilevel"/>
    <w:tmpl w:val="53E27E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9E27D2"/>
    <w:multiLevelType w:val="hybridMultilevel"/>
    <w:tmpl w:val="95CE6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104FCE"/>
    <w:multiLevelType w:val="hybridMultilevel"/>
    <w:tmpl w:val="810E97F6"/>
    <w:lvl w:ilvl="0" w:tplc="08AC04EE">
      <w:start w:val="1"/>
      <w:numFmt w:val="decimal"/>
      <w:pStyle w:val="MBPoint"/>
      <w:lvlText w:val="%1."/>
      <w:lvlJc w:val="left"/>
      <w:pPr>
        <w:ind w:left="360" w:hanging="360"/>
      </w:pPr>
      <w:rPr>
        <w:rFonts w:asciiTheme="minorHAnsi" w:hAnsiTheme="minorHAnsi" w:cstheme="minorHAnsi" w:hint="default"/>
        <w:sz w:val="22"/>
        <w:szCs w:val="22"/>
      </w:rPr>
    </w:lvl>
    <w:lvl w:ilvl="1" w:tplc="5B30A40A">
      <w:start w:val="1"/>
      <w:numFmt w:val="bullet"/>
      <w:lvlText w:val=""/>
      <w:lvlJc w:val="left"/>
      <w:pPr>
        <w:ind w:left="513" w:hanging="360"/>
      </w:pPr>
      <w:rPr>
        <w:rFonts w:ascii="Symbol" w:hAnsi="Symbol" w:hint="default"/>
      </w:rPr>
    </w:lvl>
    <w:lvl w:ilvl="2" w:tplc="AF049A5E">
      <w:start w:val="1"/>
      <w:numFmt w:val="bullet"/>
      <w:pStyle w:val="MBPointSub"/>
      <w:lvlText w:val="o"/>
      <w:lvlJc w:val="left"/>
      <w:pPr>
        <w:ind w:left="1233" w:hanging="180"/>
      </w:pPr>
      <w:rPr>
        <w:rFonts w:ascii="Courier New" w:hAnsi="Courier New" w:cs="Courier New" w:hint="default"/>
      </w:rPr>
    </w:lvl>
    <w:lvl w:ilvl="3" w:tplc="A2483864" w:tentative="1">
      <w:start w:val="1"/>
      <w:numFmt w:val="decimal"/>
      <w:lvlText w:val="%4."/>
      <w:lvlJc w:val="left"/>
      <w:pPr>
        <w:ind w:left="1953" w:hanging="360"/>
      </w:pPr>
    </w:lvl>
    <w:lvl w:ilvl="4" w:tplc="A55EB916" w:tentative="1">
      <w:start w:val="1"/>
      <w:numFmt w:val="lowerLetter"/>
      <w:lvlText w:val="%5."/>
      <w:lvlJc w:val="left"/>
      <w:pPr>
        <w:ind w:left="2673" w:hanging="360"/>
      </w:pPr>
    </w:lvl>
    <w:lvl w:ilvl="5" w:tplc="F7EEFD90" w:tentative="1">
      <w:start w:val="1"/>
      <w:numFmt w:val="lowerRoman"/>
      <w:lvlText w:val="%6."/>
      <w:lvlJc w:val="right"/>
      <w:pPr>
        <w:ind w:left="3393" w:hanging="180"/>
      </w:pPr>
    </w:lvl>
    <w:lvl w:ilvl="6" w:tplc="1CC0734E" w:tentative="1">
      <w:start w:val="1"/>
      <w:numFmt w:val="decimal"/>
      <w:lvlText w:val="%7."/>
      <w:lvlJc w:val="left"/>
      <w:pPr>
        <w:ind w:left="4113" w:hanging="360"/>
      </w:pPr>
    </w:lvl>
    <w:lvl w:ilvl="7" w:tplc="EC68FD86" w:tentative="1">
      <w:start w:val="1"/>
      <w:numFmt w:val="lowerLetter"/>
      <w:lvlText w:val="%8."/>
      <w:lvlJc w:val="left"/>
      <w:pPr>
        <w:ind w:left="4833" w:hanging="360"/>
      </w:pPr>
    </w:lvl>
    <w:lvl w:ilvl="8" w:tplc="85CC8ACC" w:tentative="1">
      <w:start w:val="1"/>
      <w:numFmt w:val="lowerRoman"/>
      <w:lvlText w:val="%9."/>
      <w:lvlJc w:val="right"/>
      <w:pPr>
        <w:ind w:left="5553" w:hanging="180"/>
      </w:pPr>
    </w:lvl>
  </w:abstractNum>
  <w:abstractNum w:abstractNumId="14"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835AE4"/>
    <w:multiLevelType w:val="hybridMultilevel"/>
    <w:tmpl w:val="60BEC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D478A1"/>
    <w:multiLevelType w:val="multilevel"/>
    <w:tmpl w:val="2E7C97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5C316DC"/>
    <w:multiLevelType w:val="hybridMultilevel"/>
    <w:tmpl w:val="53E27E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DE16BFA"/>
    <w:multiLevelType w:val="hybridMultilevel"/>
    <w:tmpl w:val="886C235A"/>
    <w:lvl w:ilvl="0" w:tplc="E2BCE0FA">
      <w:start w:val="624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
  </w:num>
  <w:num w:numId="4">
    <w:abstractNumId w:val="8"/>
  </w:num>
  <w:num w:numId="5">
    <w:abstractNumId w:val="7"/>
  </w:num>
  <w:num w:numId="6">
    <w:abstractNumId w:val="1"/>
  </w:num>
  <w:num w:numId="7">
    <w:abstractNumId w:val="6"/>
  </w:num>
  <w:num w:numId="8">
    <w:abstractNumId w:val="4"/>
  </w:num>
  <w:num w:numId="9">
    <w:abstractNumId w:val="12"/>
  </w:num>
  <w:num w:numId="10">
    <w:abstractNumId w:val="3"/>
  </w:num>
  <w:num w:numId="11">
    <w:abstractNumId w:val="0"/>
  </w:num>
  <w:num w:numId="12">
    <w:abstractNumId w:val="15"/>
  </w:num>
  <w:num w:numId="13">
    <w:abstractNumId w:val="18"/>
  </w:num>
  <w:num w:numId="14">
    <w:abstractNumId w:val="13"/>
  </w:num>
  <w:num w:numId="15">
    <w:abstractNumId w:val="9"/>
  </w:num>
  <w:num w:numId="16">
    <w:abstractNumId w:val="5"/>
  </w:num>
  <w:num w:numId="17">
    <w:abstractNumId w:val="17"/>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07D7"/>
    <w:rsid w:val="0000086A"/>
    <w:rsid w:val="00001270"/>
    <w:rsid w:val="00002640"/>
    <w:rsid w:val="00003720"/>
    <w:rsid w:val="000105C8"/>
    <w:rsid w:val="000124F9"/>
    <w:rsid w:val="00013079"/>
    <w:rsid w:val="00014753"/>
    <w:rsid w:val="00024426"/>
    <w:rsid w:val="00025ACE"/>
    <w:rsid w:val="0003374C"/>
    <w:rsid w:val="00037AC3"/>
    <w:rsid w:val="00037F0E"/>
    <w:rsid w:val="0004071F"/>
    <w:rsid w:val="00041D37"/>
    <w:rsid w:val="0004767A"/>
    <w:rsid w:val="00052572"/>
    <w:rsid w:val="00056BB4"/>
    <w:rsid w:val="000604EC"/>
    <w:rsid w:val="0006447A"/>
    <w:rsid w:val="00070D91"/>
    <w:rsid w:val="000726C7"/>
    <w:rsid w:val="00074A8D"/>
    <w:rsid w:val="00082354"/>
    <w:rsid w:val="0008362F"/>
    <w:rsid w:val="0008578F"/>
    <w:rsid w:val="00086C0E"/>
    <w:rsid w:val="000907A5"/>
    <w:rsid w:val="00091C5B"/>
    <w:rsid w:val="00092275"/>
    <w:rsid w:val="00093B2A"/>
    <w:rsid w:val="0009541C"/>
    <w:rsid w:val="00095AB3"/>
    <w:rsid w:val="000A3A94"/>
    <w:rsid w:val="000B0BA7"/>
    <w:rsid w:val="000B33B6"/>
    <w:rsid w:val="000B36D1"/>
    <w:rsid w:val="000B4B6C"/>
    <w:rsid w:val="000B782C"/>
    <w:rsid w:val="000C0B27"/>
    <w:rsid w:val="000C36D3"/>
    <w:rsid w:val="000C4FAD"/>
    <w:rsid w:val="000C5D6D"/>
    <w:rsid w:val="000C6436"/>
    <w:rsid w:val="000C6AF9"/>
    <w:rsid w:val="000D086A"/>
    <w:rsid w:val="000D467A"/>
    <w:rsid w:val="000D4ECE"/>
    <w:rsid w:val="000E2905"/>
    <w:rsid w:val="000E38C9"/>
    <w:rsid w:val="000E465F"/>
    <w:rsid w:val="000E6FAE"/>
    <w:rsid w:val="000F0F1A"/>
    <w:rsid w:val="000F327B"/>
    <w:rsid w:val="000F6255"/>
    <w:rsid w:val="000F66F6"/>
    <w:rsid w:val="000F6E54"/>
    <w:rsid w:val="00100B14"/>
    <w:rsid w:val="0010472A"/>
    <w:rsid w:val="00112987"/>
    <w:rsid w:val="00117351"/>
    <w:rsid w:val="00117690"/>
    <w:rsid w:val="001210DB"/>
    <w:rsid w:val="0012186C"/>
    <w:rsid w:val="00121B9E"/>
    <w:rsid w:val="00122072"/>
    <w:rsid w:val="001222B7"/>
    <w:rsid w:val="00123878"/>
    <w:rsid w:val="0012474A"/>
    <w:rsid w:val="001331AF"/>
    <w:rsid w:val="0013446D"/>
    <w:rsid w:val="00134705"/>
    <w:rsid w:val="001441BD"/>
    <w:rsid w:val="00146A0C"/>
    <w:rsid w:val="00146DCB"/>
    <w:rsid w:val="00160701"/>
    <w:rsid w:val="00160B60"/>
    <w:rsid w:val="00161485"/>
    <w:rsid w:val="00161C73"/>
    <w:rsid w:val="001756B5"/>
    <w:rsid w:val="00184CCB"/>
    <w:rsid w:val="00185BDC"/>
    <w:rsid w:val="001968BB"/>
    <w:rsid w:val="00197048"/>
    <w:rsid w:val="00197B1F"/>
    <w:rsid w:val="00197D23"/>
    <w:rsid w:val="001A4314"/>
    <w:rsid w:val="001A674A"/>
    <w:rsid w:val="001B04DD"/>
    <w:rsid w:val="001C386E"/>
    <w:rsid w:val="001C4BF8"/>
    <w:rsid w:val="001C5421"/>
    <w:rsid w:val="001C5B73"/>
    <w:rsid w:val="001C63EF"/>
    <w:rsid w:val="001C7E09"/>
    <w:rsid w:val="001C7E2A"/>
    <w:rsid w:val="001D0ED9"/>
    <w:rsid w:val="001D12BC"/>
    <w:rsid w:val="001D3C5B"/>
    <w:rsid w:val="001D5C25"/>
    <w:rsid w:val="001E01D2"/>
    <w:rsid w:val="001F02D8"/>
    <w:rsid w:val="00205547"/>
    <w:rsid w:val="002109B2"/>
    <w:rsid w:val="002115E8"/>
    <w:rsid w:val="00212847"/>
    <w:rsid w:val="0021476E"/>
    <w:rsid w:val="002174BA"/>
    <w:rsid w:val="0023116C"/>
    <w:rsid w:val="002508F7"/>
    <w:rsid w:val="0025191B"/>
    <w:rsid w:val="00261F74"/>
    <w:rsid w:val="002658BC"/>
    <w:rsid w:val="00274973"/>
    <w:rsid w:val="00274F8C"/>
    <w:rsid w:val="00280188"/>
    <w:rsid w:val="00283183"/>
    <w:rsid w:val="00283D8E"/>
    <w:rsid w:val="00292A28"/>
    <w:rsid w:val="002947F7"/>
    <w:rsid w:val="00294906"/>
    <w:rsid w:val="002A3464"/>
    <w:rsid w:val="002B2D64"/>
    <w:rsid w:val="002B6699"/>
    <w:rsid w:val="002C2256"/>
    <w:rsid w:val="002C74B0"/>
    <w:rsid w:val="002E3B2A"/>
    <w:rsid w:val="002F2593"/>
    <w:rsid w:val="002F36E0"/>
    <w:rsid w:val="00302295"/>
    <w:rsid w:val="00303E8C"/>
    <w:rsid w:val="0030404A"/>
    <w:rsid w:val="0030614C"/>
    <w:rsid w:val="003204CB"/>
    <w:rsid w:val="00321A20"/>
    <w:rsid w:val="003260A9"/>
    <w:rsid w:val="003268E4"/>
    <w:rsid w:val="00331667"/>
    <w:rsid w:val="00335EBB"/>
    <w:rsid w:val="00340ECA"/>
    <w:rsid w:val="003416DB"/>
    <w:rsid w:val="003434D4"/>
    <w:rsid w:val="003456D3"/>
    <w:rsid w:val="0035352D"/>
    <w:rsid w:val="00354100"/>
    <w:rsid w:val="00354BC2"/>
    <w:rsid w:val="00360C29"/>
    <w:rsid w:val="003649B6"/>
    <w:rsid w:val="00364B7A"/>
    <w:rsid w:val="00370620"/>
    <w:rsid w:val="00370AAC"/>
    <w:rsid w:val="00375FA7"/>
    <w:rsid w:val="00376803"/>
    <w:rsid w:val="0037718F"/>
    <w:rsid w:val="00382D28"/>
    <w:rsid w:val="00385EF1"/>
    <w:rsid w:val="00392E8C"/>
    <w:rsid w:val="0039611A"/>
    <w:rsid w:val="003A24DB"/>
    <w:rsid w:val="003A3635"/>
    <w:rsid w:val="003A7407"/>
    <w:rsid w:val="003B0776"/>
    <w:rsid w:val="003B3D92"/>
    <w:rsid w:val="003B6BB3"/>
    <w:rsid w:val="003C04BA"/>
    <w:rsid w:val="003C2F82"/>
    <w:rsid w:val="003C3B36"/>
    <w:rsid w:val="003C426C"/>
    <w:rsid w:val="003C44B4"/>
    <w:rsid w:val="003D38CC"/>
    <w:rsid w:val="003D690E"/>
    <w:rsid w:val="003D74BE"/>
    <w:rsid w:val="003E762A"/>
    <w:rsid w:val="00400418"/>
    <w:rsid w:val="00400754"/>
    <w:rsid w:val="00403468"/>
    <w:rsid w:val="0041003E"/>
    <w:rsid w:val="00412A09"/>
    <w:rsid w:val="004162E7"/>
    <w:rsid w:val="00421689"/>
    <w:rsid w:val="00424E0F"/>
    <w:rsid w:val="0042691A"/>
    <w:rsid w:val="00430D34"/>
    <w:rsid w:val="004362E3"/>
    <w:rsid w:val="00446BBA"/>
    <w:rsid w:val="00450354"/>
    <w:rsid w:val="00450F48"/>
    <w:rsid w:val="0045489F"/>
    <w:rsid w:val="004554EA"/>
    <w:rsid w:val="00460CCB"/>
    <w:rsid w:val="00471FFF"/>
    <w:rsid w:val="00474889"/>
    <w:rsid w:val="004807E8"/>
    <w:rsid w:val="004826DD"/>
    <w:rsid w:val="0048649E"/>
    <w:rsid w:val="00496059"/>
    <w:rsid w:val="004971D6"/>
    <w:rsid w:val="004A070A"/>
    <w:rsid w:val="004A1064"/>
    <w:rsid w:val="004A1450"/>
    <w:rsid w:val="004A5E04"/>
    <w:rsid w:val="004A6F7F"/>
    <w:rsid w:val="004B436A"/>
    <w:rsid w:val="004C126C"/>
    <w:rsid w:val="004C6A65"/>
    <w:rsid w:val="004D0A47"/>
    <w:rsid w:val="004D2843"/>
    <w:rsid w:val="004D5345"/>
    <w:rsid w:val="004E4B6F"/>
    <w:rsid w:val="004E50BE"/>
    <w:rsid w:val="004E790E"/>
    <w:rsid w:val="004F1127"/>
    <w:rsid w:val="004F4DE4"/>
    <w:rsid w:val="004F6241"/>
    <w:rsid w:val="0050389F"/>
    <w:rsid w:val="00510A07"/>
    <w:rsid w:val="00516C5F"/>
    <w:rsid w:val="005170DA"/>
    <w:rsid w:val="00517312"/>
    <w:rsid w:val="005253CD"/>
    <w:rsid w:val="0052687A"/>
    <w:rsid w:val="0055327F"/>
    <w:rsid w:val="00565610"/>
    <w:rsid w:val="00570974"/>
    <w:rsid w:val="00583580"/>
    <w:rsid w:val="00583DDA"/>
    <w:rsid w:val="005852BB"/>
    <w:rsid w:val="005958D6"/>
    <w:rsid w:val="005964CF"/>
    <w:rsid w:val="00597C14"/>
    <w:rsid w:val="005A11EE"/>
    <w:rsid w:val="005B58CE"/>
    <w:rsid w:val="005B5F26"/>
    <w:rsid w:val="005C0880"/>
    <w:rsid w:val="005C16E3"/>
    <w:rsid w:val="005C27B2"/>
    <w:rsid w:val="005C37B2"/>
    <w:rsid w:val="005C65EB"/>
    <w:rsid w:val="005C7C82"/>
    <w:rsid w:val="005D5CA1"/>
    <w:rsid w:val="005E14CD"/>
    <w:rsid w:val="005E160C"/>
    <w:rsid w:val="005E27EB"/>
    <w:rsid w:val="005E3691"/>
    <w:rsid w:val="005E438D"/>
    <w:rsid w:val="005E53EA"/>
    <w:rsid w:val="005E60EB"/>
    <w:rsid w:val="005E6EFB"/>
    <w:rsid w:val="005F5950"/>
    <w:rsid w:val="005F5BE6"/>
    <w:rsid w:val="005F7833"/>
    <w:rsid w:val="00601C7C"/>
    <w:rsid w:val="0060377D"/>
    <w:rsid w:val="00603B3F"/>
    <w:rsid w:val="00604E22"/>
    <w:rsid w:val="00606650"/>
    <w:rsid w:val="00612468"/>
    <w:rsid w:val="00632B16"/>
    <w:rsid w:val="00634359"/>
    <w:rsid w:val="00634CA2"/>
    <w:rsid w:val="0063725C"/>
    <w:rsid w:val="006409BA"/>
    <w:rsid w:val="00641906"/>
    <w:rsid w:val="00647DBE"/>
    <w:rsid w:val="00651949"/>
    <w:rsid w:val="00653E46"/>
    <w:rsid w:val="00657A34"/>
    <w:rsid w:val="00663AF2"/>
    <w:rsid w:val="006673FA"/>
    <w:rsid w:val="00667CDD"/>
    <w:rsid w:val="00671216"/>
    <w:rsid w:val="00675C61"/>
    <w:rsid w:val="00681986"/>
    <w:rsid w:val="00684C7C"/>
    <w:rsid w:val="00686F06"/>
    <w:rsid w:val="00687290"/>
    <w:rsid w:val="006902C0"/>
    <w:rsid w:val="006940DB"/>
    <w:rsid w:val="00696659"/>
    <w:rsid w:val="006A0BDF"/>
    <w:rsid w:val="006A53BB"/>
    <w:rsid w:val="006A5D60"/>
    <w:rsid w:val="006C59D5"/>
    <w:rsid w:val="006D0196"/>
    <w:rsid w:val="006D6301"/>
    <w:rsid w:val="006E062D"/>
    <w:rsid w:val="006E42F7"/>
    <w:rsid w:val="006E5CEE"/>
    <w:rsid w:val="006F32BF"/>
    <w:rsid w:val="00700CE7"/>
    <w:rsid w:val="00706F43"/>
    <w:rsid w:val="00711620"/>
    <w:rsid w:val="007119EF"/>
    <w:rsid w:val="0072167C"/>
    <w:rsid w:val="00723168"/>
    <w:rsid w:val="00732882"/>
    <w:rsid w:val="00733FAB"/>
    <w:rsid w:val="0074661C"/>
    <w:rsid w:val="00750397"/>
    <w:rsid w:val="0075462A"/>
    <w:rsid w:val="0076493E"/>
    <w:rsid w:val="0076529F"/>
    <w:rsid w:val="00765571"/>
    <w:rsid w:val="00766475"/>
    <w:rsid w:val="0077364D"/>
    <w:rsid w:val="00776DBF"/>
    <w:rsid w:val="00780215"/>
    <w:rsid w:val="00782112"/>
    <w:rsid w:val="007824F4"/>
    <w:rsid w:val="007908B8"/>
    <w:rsid w:val="00791ABC"/>
    <w:rsid w:val="00791C14"/>
    <w:rsid w:val="00794989"/>
    <w:rsid w:val="00794C5F"/>
    <w:rsid w:val="00796827"/>
    <w:rsid w:val="00796FDA"/>
    <w:rsid w:val="0079789F"/>
    <w:rsid w:val="007A0103"/>
    <w:rsid w:val="007A2277"/>
    <w:rsid w:val="007B57DF"/>
    <w:rsid w:val="007B6423"/>
    <w:rsid w:val="007C6944"/>
    <w:rsid w:val="007D5756"/>
    <w:rsid w:val="007D5872"/>
    <w:rsid w:val="007E3A71"/>
    <w:rsid w:val="007E4814"/>
    <w:rsid w:val="007F1384"/>
    <w:rsid w:val="007F3B0F"/>
    <w:rsid w:val="007F5191"/>
    <w:rsid w:val="007F5684"/>
    <w:rsid w:val="00804554"/>
    <w:rsid w:val="00805358"/>
    <w:rsid w:val="00805708"/>
    <w:rsid w:val="008070A8"/>
    <w:rsid w:val="00810499"/>
    <w:rsid w:val="008109EA"/>
    <w:rsid w:val="00811017"/>
    <w:rsid w:val="0081166D"/>
    <w:rsid w:val="0081203C"/>
    <w:rsid w:val="00813ACE"/>
    <w:rsid w:val="00821F3F"/>
    <w:rsid w:val="00822F54"/>
    <w:rsid w:val="00824605"/>
    <w:rsid w:val="00826B3E"/>
    <w:rsid w:val="00831102"/>
    <w:rsid w:val="008414C6"/>
    <w:rsid w:val="008441CF"/>
    <w:rsid w:val="0084470A"/>
    <w:rsid w:val="008461C8"/>
    <w:rsid w:val="0085275B"/>
    <w:rsid w:val="00862A61"/>
    <w:rsid w:val="008652E3"/>
    <w:rsid w:val="00871D8D"/>
    <w:rsid w:val="00874856"/>
    <w:rsid w:val="00875C63"/>
    <w:rsid w:val="00876A45"/>
    <w:rsid w:val="0087707C"/>
    <w:rsid w:val="00877586"/>
    <w:rsid w:val="00885890"/>
    <w:rsid w:val="00896AA8"/>
    <w:rsid w:val="00896F2E"/>
    <w:rsid w:val="008A4F76"/>
    <w:rsid w:val="008A7BA0"/>
    <w:rsid w:val="008C1E47"/>
    <w:rsid w:val="008C1FD4"/>
    <w:rsid w:val="008C2633"/>
    <w:rsid w:val="008C576A"/>
    <w:rsid w:val="008C584E"/>
    <w:rsid w:val="008D5D4D"/>
    <w:rsid w:val="008D6BF4"/>
    <w:rsid w:val="008E3483"/>
    <w:rsid w:val="008E42B7"/>
    <w:rsid w:val="008E5C78"/>
    <w:rsid w:val="008E7DF2"/>
    <w:rsid w:val="008F3A11"/>
    <w:rsid w:val="008F4C58"/>
    <w:rsid w:val="00900767"/>
    <w:rsid w:val="00901089"/>
    <w:rsid w:val="009046A2"/>
    <w:rsid w:val="0090572C"/>
    <w:rsid w:val="009075F9"/>
    <w:rsid w:val="0091080B"/>
    <w:rsid w:val="009171E0"/>
    <w:rsid w:val="00922CC5"/>
    <w:rsid w:val="00926833"/>
    <w:rsid w:val="009329EA"/>
    <w:rsid w:val="00944673"/>
    <w:rsid w:val="00944A81"/>
    <w:rsid w:val="00944BA6"/>
    <w:rsid w:val="00945247"/>
    <w:rsid w:val="00945498"/>
    <w:rsid w:val="00951C29"/>
    <w:rsid w:val="009532E8"/>
    <w:rsid w:val="00963106"/>
    <w:rsid w:val="009631DD"/>
    <w:rsid w:val="009670B7"/>
    <w:rsid w:val="009723D1"/>
    <w:rsid w:val="00972D7F"/>
    <w:rsid w:val="009732C1"/>
    <w:rsid w:val="00976677"/>
    <w:rsid w:val="00977705"/>
    <w:rsid w:val="00980F95"/>
    <w:rsid w:val="009814E7"/>
    <w:rsid w:val="00983247"/>
    <w:rsid w:val="00991657"/>
    <w:rsid w:val="009930E9"/>
    <w:rsid w:val="00994211"/>
    <w:rsid w:val="009965F9"/>
    <w:rsid w:val="009A4167"/>
    <w:rsid w:val="009A53F2"/>
    <w:rsid w:val="009A6FF2"/>
    <w:rsid w:val="009B381E"/>
    <w:rsid w:val="009B397C"/>
    <w:rsid w:val="009C6E88"/>
    <w:rsid w:val="009D1397"/>
    <w:rsid w:val="009D24C4"/>
    <w:rsid w:val="009D3666"/>
    <w:rsid w:val="009D5783"/>
    <w:rsid w:val="009D67A8"/>
    <w:rsid w:val="009E2334"/>
    <w:rsid w:val="009E4FC1"/>
    <w:rsid w:val="009F5AAC"/>
    <w:rsid w:val="009F7219"/>
    <w:rsid w:val="00A04511"/>
    <w:rsid w:val="00A05503"/>
    <w:rsid w:val="00A06341"/>
    <w:rsid w:val="00A06417"/>
    <w:rsid w:val="00A075B8"/>
    <w:rsid w:val="00A07A2F"/>
    <w:rsid w:val="00A07C21"/>
    <w:rsid w:val="00A118C3"/>
    <w:rsid w:val="00A12A67"/>
    <w:rsid w:val="00A213A8"/>
    <w:rsid w:val="00A21F3E"/>
    <w:rsid w:val="00A321DD"/>
    <w:rsid w:val="00A457CB"/>
    <w:rsid w:val="00A54211"/>
    <w:rsid w:val="00A544E0"/>
    <w:rsid w:val="00A54DDA"/>
    <w:rsid w:val="00A566FB"/>
    <w:rsid w:val="00A62BB0"/>
    <w:rsid w:val="00A63FC5"/>
    <w:rsid w:val="00A64EC4"/>
    <w:rsid w:val="00A6587C"/>
    <w:rsid w:val="00A7023B"/>
    <w:rsid w:val="00A721B2"/>
    <w:rsid w:val="00A72620"/>
    <w:rsid w:val="00A73CC9"/>
    <w:rsid w:val="00A770B1"/>
    <w:rsid w:val="00A80C1D"/>
    <w:rsid w:val="00A84022"/>
    <w:rsid w:val="00A85141"/>
    <w:rsid w:val="00A90C4D"/>
    <w:rsid w:val="00A93284"/>
    <w:rsid w:val="00A964F7"/>
    <w:rsid w:val="00A975CF"/>
    <w:rsid w:val="00AA1161"/>
    <w:rsid w:val="00AA146C"/>
    <w:rsid w:val="00AA6088"/>
    <w:rsid w:val="00AA6D6D"/>
    <w:rsid w:val="00AB09EB"/>
    <w:rsid w:val="00AB2779"/>
    <w:rsid w:val="00AB65E7"/>
    <w:rsid w:val="00AB77B8"/>
    <w:rsid w:val="00AB79FA"/>
    <w:rsid w:val="00AC0C93"/>
    <w:rsid w:val="00AC1F75"/>
    <w:rsid w:val="00AC4272"/>
    <w:rsid w:val="00AC59D2"/>
    <w:rsid w:val="00AC5C5A"/>
    <w:rsid w:val="00AD3414"/>
    <w:rsid w:val="00AD500F"/>
    <w:rsid w:val="00AE0D5D"/>
    <w:rsid w:val="00AE2CB4"/>
    <w:rsid w:val="00AE51D6"/>
    <w:rsid w:val="00AE538C"/>
    <w:rsid w:val="00AE5E72"/>
    <w:rsid w:val="00AE6087"/>
    <w:rsid w:val="00AE6898"/>
    <w:rsid w:val="00AF080D"/>
    <w:rsid w:val="00AF09E0"/>
    <w:rsid w:val="00AF3428"/>
    <w:rsid w:val="00AF5087"/>
    <w:rsid w:val="00AF6545"/>
    <w:rsid w:val="00B00FC3"/>
    <w:rsid w:val="00B04290"/>
    <w:rsid w:val="00B051E9"/>
    <w:rsid w:val="00B17513"/>
    <w:rsid w:val="00B2627D"/>
    <w:rsid w:val="00B31AA7"/>
    <w:rsid w:val="00B476A2"/>
    <w:rsid w:val="00B52584"/>
    <w:rsid w:val="00B55A9C"/>
    <w:rsid w:val="00B62C3F"/>
    <w:rsid w:val="00B643EF"/>
    <w:rsid w:val="00B665E6"/>
    <w:rsid w:val="00B71477"/>
    <w:rsid w:val="00B72180"/>
    <w:rsid w:val="00B727F3"/>
    <w:rsid w:val="00B76D18"/>
    <w:rsid w:val="00B77E57"/>
    <w:rsid w:val="00B90111"/>
    <w:rsid w:val="00B90D68"/>
    <w:rsid w:val="00B90F17"/>
    <w:rsid w:val="00B94B30"/>
    <w:rsid w:val="00BA7D17"/>
    <w:rsid w:val="00BB076E"/>
    <w:rsid w:val="00BB1CF2"/>
    <w:rsid w:val="00BB515B"/>
    <w:rsid w:val="00BB7A25"/>
    <w:rsid w:val="00BC0A3C"/>
    <w:rsid w:val="00BC3710"/>
    <w:rsid w:val="00BC5916"/>
    <w:rsid w:val="00BC621F"/>
    <w:rsid w:val="00BD187E"/>
    <w:rsid w:val="00BE15FC"/>
    <w:rsid w:val="00BE6257"/>
    <w:rsid w:val="00BE66A6"/>
    <w:rsid w:val="00BF4307"/>
    <w:rsid w:val="00C020EF"/>
    <w:rsid w:val="00C032F0"/>
    <w:rsid w:val="00C03503"/>
    <w:rsid w:val="00C10E3A"/>
    <w:rsid w:val="00C17A0A"/>
    <w:rsid w:val="00C20442"/>
    <w:rsid w:val="00C20621"/>
    <w:rsid w:val="00C21933"/>
    <w:rsid w:val="00C21C3F"/>
    <w:rsid w:val="00C22FF5"/>
    <w:rsid w:val="00C37E23"/>
    <w:rsid w:val="00C4131F"/>
    <w:rsid w:val="00C52681"/>
    <w:rsid w:val="00C53F97"/>
    <w:rsid w:val="00C55CAF"/>
    <w:rsid w:val="00C57E29"/>
    <w:rsid w:val="00C63AF0"/>
    <w:rsid w:val="00C63E8C"/>
    <w:rsid w:val="00C6409A"/>
    <w:rsid w:val="00C659A7"/>
    <w:rsid w:val="00C75B91"/>
    <w:rsid w:val="00C76FFC"/>
    <w:rsid w:val="00C80123"/>
    <w:rsid w:val="00C81E23"/>
    <w:rsid w:val="00C9259F"/>
    <w:rsid w:val="00CA0FD4"/>
    <w:rsid w:val="00CA281C"/>
    <w:rsid w:val="00CA3398"/>
    <w:rsid w:val="00CA3A2C"/>
    <w:rsid w:val="00CA40FA"/>
    <w:rsid w:val="00CA688B"/>
    <w:rsid w:val="00CA68B7"/>
    <w:rsid w:val="00CA6926"/>
    <w:rsid w:val="00CA735C"/>
    <w:rsid w:val="00CB106F"/>
    <w:rsid w:val="00CB11F0"/>
    <w:rsid w:val="00CB3AD5"/>
    <w:rsid w:val="00CB58B7"/>
    <w:rsid w:val="00CB78AB"/>
    <w:rsid w:val="00CB7C40"/>
    <w:rsid w:val="00CD71EB"/>
    <w:rsid w:val="00CE24C2"/>
    <w:rsid w:val="00CE40D9"/>
    <w:rsid w:val="00CE45BF"/>
    <w:rsid w:val="00CE7BCF"/>
    <w:rsid w:val="00CF0A6E"/>
    <w:rsid w:val="00CF15C5"/>
    <w:rsid w:val="00CF1E94"/>
    <w:rsid w:val="00CF59D3"/>
    <w:rsid w:val="00D0031F"/>
    <w:rsid w:val="00D03D0C"/>
    <w:rsid w:val="00D12241"/>
    <w:rsid w:val="00D13D39"/>
    <w:rsid w:val="00D22618"/>
    <w:rsid w:val="00D22E82"/>
    <w:rsid w:val="00D248D5"/>
    <w:rsid w:val="00D2518B"/>
    <w:rsid w:val="00D25C9C"/>
    <w:rsid w:val="00D323A0"/>
    <w:rsid w:val="00D32E4E"/>
    <w:rsid w:val="00D34120"/>
    <w:rsid w:val="00D35790"/>
    <w:rsid w:val="00D400A8"/>
    <w:rsid w:val="00D41FE4"/>
    <w:rsid w:val="00D513A1"/>
    <w:rsid w:val="00D5385A"/>
    <w:rsid w:val="00D56C7A"/>
    <w:rsid w:val="00D57387"/>
    <w:rsid w:val="00D62008"/>
    <w:rsid w:val="00D67044"/>
    <w:rsid w:val="00D721E7"/>
    <w:rsid w:val="00D74500"/>
    <w:rsid w:val="00D778A1"/>
    <w:rsid w:val="00D84B7E"/>
    <w:rsid w:val="00D946D4"/>
    <w:rsid w:val="00DA0D39"/>
    <w:rsid w:val="00DB0017"/>
    <w:rsid w:val="00DB4A50"/>
    <w:rsid w:val="00DD6A19"/>
    <w:rsid w:val="00DD6C45"/>
    <w:rsid w:val="00DD7B8A"/>
    <w:rsid w:val="00DF2758"/>
    <w:rsid w:val="00E02D01"/>
    <w:rsid w:val="00E0384F"/>
    <w:rsid w:val="00E076D5"/>
    <w:rsid w:val="00E07AB3"/>
    <w:rsid w:val="00E13C10"/>
    <w:rsid w:val="00E164EB"/>
    <w:rsid w:val="00E2355B"/>
    <w:rsid w:val="00E321E6"/>
    <w:rsid w:val="00E35806"/>
    <w:rsid w:val="00E47DF2"/>
    <w:rsid w:val="00E64058"/>
    <w:rsid w:val="00E64820"/>
    <w:rsid w:val="00E71992"/>
    <w:rsid w:val="00E77E25"/>
    <w:rsid w:val="00E833DA"/>
    <w:rsid w:val="00E844CB"/>
    <w:rsid w:val="00E85DF4"/>
    <w:rsid w:val="00E85E5A"/>
    <w:rsid w:val="00E87D07"/>
    <w:rsid w:val="00E90867"/>
    <w:rsid w:val="00E91393"/>
    <w:rsid w:val="00E93C40"/>
    <w:rsid w:val="00E9578C"/>
    <w:rsid w:val="00E95A45"/>
    <w:rsid w:val="00E95F64"/>
    <w:rsid w:val="00EA719D"/>
    <w:rsid w:val="00EB0C79"/>
    <w:rsid w:val="00EC09F0"/>
    <w:rsid w:val="00EC16A9"/>
    <w:rsid w:val="00EC2896"/>
    <w:rsid w:val="00EC54C3"/>
    <w:rsid w:val="00EC5A0E"/>
    <w:rsid w:val="00EC76A0"/>
    <w:rsid w:val="00ED230C"/>
    <w:rsid w:val="00ED594B"/>
    <w:rsid w:val="00ED6948"/>
    <w:rsid w:val="00ED77C4"/>
    <w:rsid w:val="00EE5E7F"/>
    <w:rsid w:val="00EF22CC"/>
    <w:rsid w:val="00F05EB7"/>
    <w:rsid w:val="00F108C1"/>
    <w:rsid w:val="00F127A7"/>
    <w:rsid w:val="00F17C62"/>
    <w:rsid w:val="00F221A8"/>
    <w:rsid w:val="00F22C85"/>
    <w:rsid w:val="00F23FAD"/>
    <w:rsid w:val="00F32932"/>
    <w:rsid w:val="00F33BD8"/>
    <w:rsid w:val="00F406BB"/>
    <w:rsid w:val="00F40E21"/>
    <w:rsid w:val="00F42F61"/>
    <w:rsid w:val="00F4414D"/>
    <w:rsid w:val="00F44653"/>
    <w:rsid w:val="00F5313F"/>
    <w:rsid w:val="00F558B1"/>
    <w:rsid w:val="00F63B0E"/>
    <w:rsid w:val="00F65724"/>
    <w:rsid w:val="00F66CA0"/>
    <w:rsid w:val="00F675AA"/>
    <w:rsid w:val="00F743A6"/>
    <w:rsid w:val="00F74641"/>
    <w:rsid w:val="00F76815"/>
    <w:rsid w:val="00F95704"/>
    <w:rsid w:val="00F97A35"/>
    <w:rsid w:val="00FA425B"/>
    <w:rsid w:val="00FA4858"/>
    <w:rsid w:val="00FA685A"/>
    <w:rsid w:val="00FB105F"/>
    <w:rsid w:val="00FB4437"/>
    <w:rsid w:val="00FB7318"/>
    <w:rsid w:val="00FB778A"/>
    <w:rsid w:val="00FC0BF3"/>
    <w:rsid w:val="00FC37ED"/>
    <w:rsid w:val="00FC67DA"/>
    <w:rsid w:val="00FC74E0"/>
    <w:rsid w:val="00FD06C2"/>
    <w:rsid w:val="00FD3987"/>
    <w:rsid w:val="00FD53BF"/>
    <w:rsid w:val="00FD6B29"/>
    <w:rsid w:val="00FE0C2C"/>
    <w:rsid w:val="00FE12B8"/>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93FDF1"/>
  <w15:docId w15:val="{5558FA5C-8771-4383-B6B5-7BE0F73F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5410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9789F"/>
    <w:rPr>
      <w:color w:val="954F72" w:themeColor="followedHyperlink"/>
      <w:u w:val="single"/>
    </w:rPr>
  </w:style>
  <w:style w:type="paragraph" w:customStyle="1" w:styleId="subsection">
    <w:name w:val="subsection"/>
    <w:aliases w:val="ss,Subsection"/>
    <w:basedOn w:val="Normal"/>
    <w:link w:val="subsectionChar"/>
    <w:rsid w:val="007824F4"/>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7824F4"/>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7824F4"/>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rsid w:val="007824F4"/>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7824F4"/>
    <w:rPr>
      <w:rFonts w:ascii="Times New Roman" w:eastAsia="Times New Roman" w:hAnsi="Times New Roman" w:cs="Times New Roman"/>
      <w:szCs w:val="20"/>
      <w:lang w:eastAsia="en-AU"/>
    </w:rPr>
  </w:style>
  <w:style w:type="paragraph" w:customStyle="1" w:styleId="Item">
    <w:name w:val="Item"/>
    <w:aliases w:val="i"/>
    <w:basedOn w:val="Normal"/>
    <w:next w:val="Normal"/>
    <w:rsid w:val="00F95704"/>
    <w:pPr>
      <w:keepLines/>
      <w:spacing w:before="80" w:after="0" w:line="240" w:lineRule="auto"/>
      <w:ind w:left="709"/>
    </w:pPr>
    <w:rPr>
      <w:rFonts w:ascii="Times New Roman" w:eastAsia="Times New Roman" w:hAnsi="Times New Roman" w:cs="Times New Roman"/>
      <w:szCs w:val="20"/>
      <w:lang w:eastAsia="en-AU"/>
    </w:rPr>
  </w:style>
  <w:style w:type="paragraph" w:customStyle="1" w:styleId="MBPoint">
    <w:name w:val="MB Point"/>
    <w:basedOn w:val="ListParagraph"/>
    <w:qFormat/>
    <w:rsid w:val="00403468"/>
    <w:pPr>
      <w:numPr>
        <w:numId w:val="14"/>
      </w:numPr>
      <w:spacing w:after="60" w:line="240" w:lineRule="auto"/>
      <w:contextualSpacing w:val="0"/>
    </w:pPr>
    <w:rPr>
      <w:rFonts w:ascii="Times New Roman" w:hAnsi="Times New Roman" w:cs="Times New Roman"/>
      <w:sz w:val="24"/>
      <w:szCs w:val="24"/>
    </w:rPr>
  </w:style>
  <w:style w:type="paragraph" w:customStyle="1" w:styleId="MBPointSub">
    <w:name w:val="MB Point Sub"/>
    <w:basedOn w:val="ListParagraph"/>
    <w:qFormat/>
    <w:rsid w:val="00403468"/>
    <w:pPr>
      <w:numPr>
        <w:ilvl w:val="2"/>
        <w:numId w:val="14"/>
      </w:numPr>
      <w:spacing w:after="120" w:line="240" w:lineRule="auto"/>
      <w:contextualSpacing w:val="0"/>
    </w:pPr>
    <w:rPr>
      <w:rFonts w:cstheme="minorHAnsi"/>
    </w:rPr>
  </w:style>
  <w:style w:type="paragraph" w:customStyle="1" w:styleId="MBNumbering">
    <w:name w:val="MB Numbering"/>
    <w:basedOn w:val="MBPoint"/>
    <w:rsid w:val="00403468"/>
    <w:pPr>
      <w:spacing w:after="120"/>
    </w:pPr>
    <w:rPr>
      <w:rFonts w:asciiTheme="minorHAnsi" w:hAnsiTheme="minorHAnsi" w:cstheme="minorHAnsi"/>
      <w:sz w:val="22"/>
      <w:szCs w:val="22"/>
    </w:rPr>
  </w:style>
  <w:style w:type="paragraph" w:customStyle="1" w:styleId="ItemHead">
    <w:name w:val="ItemHead"/>
    <w:aliases w:val="ih"/>
    <w:basedOn w:val="Normal"/>
    <w:next w:val="Item"/>
    <w:rsid w:val="009631DD"/>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ListParagraphChar">
    <w:name w:val="List Paragraph Char"/>
    <w:basedOn w:val="DefaultParagraphFont"/>
    <w:link w:val="ListParagraph"/>
    <w:uiPriority w:val="34"/>
    <w:rsid w:val="00AC4272"/>
  </w:style>
  <w:style w:type="paragraph" w:customStyle="1" w:styleId="MBHeading2">
    <w:name w:val="MB Heading 2"/>
    <w:basedOn w:val="MBPoint"/>
    <w:link w:val="MBHeading2Char"/>
    <w:qFormat/>
    <w:rsid w:val="00AC4272"/>
    <w:pPr>
      <w:keepNext/>
      <w:numPr>
        <w:numId w:val="0"/>
      </w:numPr>
      <w:ind w:left="-142"/>
      <w:outlineLvl w:val="1"/>
    </w:pPr>
    <w:rPr>
      <w:i/>
    </w:rPr>
  </w:style>
  <w:style w:type="character" w:customStyle="1" w:styleId="MBHeading2Char">
    <w:name w:val="MB Heading 2 Char"/>
    <w:basedOn w:val="DefaultParagraphFont"/>
    <w:link w:val="MBHeading2"/>
    <w:rsid w:val="00AC4272"/>
    <w:rPr>
      <w:rFonts w:ascii="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653320">
      <w:bodyDiv w:val="1"/>
      <w:marLeft w:val="0"/>
      <w:marRight w:val="0"/>
      <w:marTop w:val="0"/>
      <w:marBottom w:val="0"/>
      <w:divBdr>
        <w:top w:val="none" w:sz="0" w:space="0" w:color="auto"/>
        <w:left w:val="none" w:sz="0" w:space="0" w:color="auto"/>
        <w:bottom w:val="none" w:sz="0" w:space="0" w:color="auto"/>
        <w:right w:val="none" w:sz="0" w:space="0" w:color="auto"/>
      </w:divBdr>
    </w:div>
    <w:div w:id="742920173">
      <w:bodyDiv w:val="1"/>
      <w:marLeft w:val="0"/>
      <w:marRight w:val="0"/>
      <w:marTop w:val="0"/>
      <w:marBottom w:val="0"/>
      <w:divBdr>
        <w:top w:val="none" w:sz="0" w:space="0" w:color="auto"/>
        <w:left w:val="none" w:sz="0" w:space="0" w:color="auto"/>
        <w:bottom w:val="none" w:sz="0" w:space="0" w:color="auto"/>
        <w:right w:val="none" w:sz="0" w:space="0" w:color="auto"/>
      </w:divBdr>
    </w:div>
    <w:div w:id="942034731">
      <w:bodyDiv w:val="1"/>
      <w:marLeft w:val="0"/>
      <w:marRight w:val="0"/>
      <w:marTop w:val="0"/>
      <w:marBottom w:val="0"/>
      <w:divBdr>
        <w:top w:val="none" w:sz="0" w:space="0" w:color="auto"/>
        <w:left w:val="none" w:sz="0" w:space="0" w:color="auto"/>
        <w:bottom w:val="none" w:sz="0" w:space="0" w:color="auto"/>
        <w:right w:val="none" w:sz="0" w:space="0" w:color="auto"/>
      </w:divBdr>
    </w:div>
    <w:div w:id="1022170280">
      <w:bodyDiv w:val="1"/>
      <w:marLeft w:val="0"/>
      <w:marRight w:val="0"/>
      <w:marTop w:val="0"/>
      <w:marBottom w:val="0"/>
      <w:divBdr>
        <w:top w:val="none" w:sz="0" w:space="0" w:color="auto"/>
        <w:left w:val="none" w:sz="0" w:space="0" w:color="auto"/>
        <w:bottom w:val="none" w:sz="0" w:space="0" w:color="auto"/>
        <w:right w:val="none" w:sz="0" w:space="0" w:color="auto"/>
      </w:divBdr>
      <w:divsChild>
        <w:div w:id="714231161">
          <w:marLeft w:val="0"/>
          <w:marRight w:val="0"/>
          <w:marTop w:val="0"/>
          <w:marBottom w:val="0"/>
          <w:divBdr>
            <w:top w:val="none" w:sz="0" w:space="0" w:color="auto"/>
            <w:left w:val="none" w:sz="0" w:space="0" w:color="auto"/>
            <w:bottom w:val="none" w:sz="0" w:space="0" w:color="auto"/>
            <w:right w:val="none" w:sz="0" w:space="0" w:color="auto"/>
          </w:divBdr>
          <w:divsChild>
            <w:div w:id="545722957">
              <w:marLeft w:val="0"/>
              <w:marRight w:val="0"/>
              <w:marTop w:val="0"/>
              <w:marBottom w:val="0"/>
              <w:divBdr>
                <w:top w:val="none" w:sz="0" w:space="0" w:color="auto"/>
                <w:left w:val="none" w:sz="0" w:space="0" w:color="auto"/>
                <w:bottom w:val="none" w:sz="0" w:space="0" w:color="auto"/>
                <w:right w:val="none" w:sz="0" w:space="0" w:color="auto"/>
              </w:divBdr>
              <w:divsChild>
                <w:div w:id="11069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9884">
      <w:bodyDiv w:val="1"/>
      <w:marLeft w:val="0"/>
      <w:marRight w:val="0"/>
      <w:marTop w:val="0"/>
      <w:marBottom w:val="0"/>
      <w:divBdr>
        <w:top w:val="none" w:sz="0" w:space="0" w:color="auto"/>
        <w:left w:val="none" w:sz="0" w:space="0" w:color="auto"/>
        <w:bottom w:val="none" w:sz="0" w:space="0" w:color="auto"/>
        <w:right w:val="none" w:sz="0" w:space="0" w:color="auto"/>
      </w:divBdr>
      <w:divsChild>
        <w:div w:id="1527522869">
          <w:marLeft w:val="0"/>
          <w:marRight w:val="0"/>
          <w:marTop w:val="0"/>
          <w:marBottom w:val="0"/>
          <w:divBdr>
            <w:top w:val="none" w:sz="0" w:space="0" w:color="auto"/>
            <w:left w:val="none" w:sz="0" w:space="0" w:color="auto"/>
            <w:bottom w:val="none" w:sz="0" w:space="0" w:color="auto"/>
            <w:right w:val="none" w:sz="0" w:space="0" w:color="auto"/>
          </w:divBdr>
          <w:divsChild>
            <w:div w:id="23988270">
              <w:marLeft w:val="0"/>
              <w:marRight w:val="0"/>
              <w:marTop w:val="0"/>
              <w:marBottom w:val="0"/>
              <w:divBdr>
                <w:top w:val="none" w:sz="0" w:space="0" w:color="auto"/>
                <w:left w:val="none" w:sz="0" w:space="0" w:color="auto"/>
                <w:bottom w:val="none" w:sz="0" w:space="0" w:color="auto"/>
                <w:right w:val="none" w:sz="0" w:space="0" w:color="auto"/>
              </w:divBdr>
              <w:divsChild>
                <w:div w:id="1551452108">
                  <w:marLeft w:val="0"/>
                  <w:marRight w:val="0"/>
                  <w:marTop w:val="0"/>
                  <w:marBottom w:val="0"/>
                  <w:divBdr>
                    <w:top w:val="none" w:sz="0" w:space="0" w:color="auto"/>
                    <w:left w:val="none" w:sz="0" w:space="0" w:color="auto"/>
                    <w:bottom w:val="none" w:sz="0" w:space="0" w:color="auto"/>
                    <w:right w:val="none" w:sz="0" w:space="0" w:color="auto"/>
                  </w:divBdr>
                  <w:divsChild>
                    <w:div w:id="1768692927">
                      <w:marLeft w:val="0"/>
                      <w:marRight w:val="0"/>
                      <w:marTop w:val="0"/>
                      <w:marBottom w:val="0"/>
                      <w:divBdr>
                        <w:top w:val="none" w:sz="0" w:space="0" w:color="auto"/>
                        <w:left w:val="none" w:sz="0" w:space="0" w:color="auto"/>
                        <w:bottom w:val="none" w:sz="0" w:space="0" w:color="auto"/>
                        <w:right w:val="none" w:sz="0" w:space="0" w:color="auto"/>
                      </w:divBdr>
                      <w:divsChild>
                        <w:div w:id="1602568363">
                          <w:marLeft w:val="0"/>
                          <w:marRight w:val="0"/>
                          <w:marTop w:val="0"/>
                          <w:marBottom w:val="0"/>
                          <w:divBdr>
                            <w:top w:val="none" w:sz="0" w:space="0" w:color="auto"/>
                            <w:left w:val="none" w:sz="0" w:space="0" w:color="auto"/>
                            <w:bottom w:val="none" w:sz="0" w:space="0" w:color="auto"/>
                            <w:right w:val="none" w:sz="0" w:space="0" w:color="auto"/>
                          </w:divBdr>
                          <w:divsChild>
                            <w:div w:id="761343795">
                              <w:marLeft w:val="0"/>
                              <w:marRight w:val="0"/>
                              <w:marTop w:val="0"/>
                              <w:marBottom w:val="0"/>
                              <w:divBdr>
                                <w:top w:val="none" w:sz="0" w:space="0" w:color="auto"/>
                                <w:left w:val="none" w:sz="0" w:space="0" w:color="auto"/>
                                <w:bottom w:val="none" w:sz="0" w:space="0" w:color="auto"/>
                                <w:right w:val="none" w:sz="0" w:space="0" w:color="auto"/>
                              </w:divBdr>
                              <w:divsChild>
                                <w:div w:id="2058621247">
                                  <w:marLeft w:val="0"/>
                                  <w:marRight w:val="0"/>
                                  <w:marTop w:val="0"/>
                                  <w:marBottom w:val="0"/>
                                  <w:divBdr>
                                    <w:top w:val="none" w:sz="0" w:space="0" w:color="auto"/>
                                    <w:left w:val="none" w:sz="0" w:space="0" w:color="auto"/>
                                    <w:bottom w:val="none" w:sz="0" w:space="0" w:color="auto"/>
                                    <w:right w:val="none" w:sz="0" w:space="0" w:color="auto"/>
                                  </w:divBdr>
                                  <w:divsChild>
                                    <w:div w:id="1902449405">
                                      <w:marLeft w:val="0"/>
                                      <w:marRight w:val="0"/>
                                      <w:marTop w:val="0"/>
                                      <w:marBottom w:val="0"/>
                                      <w:divBdr>
                                        <w:top w:val="none" w:sz="0" w:space="0" w:color="auto"/>
                                        <w:left w:val="none" w:sz="0" w:space="0" w:color="auto"/>
                                        <w:bottom w:val="none" w:sz="0" w:space="0" w:color="auto"/>
                                        <w:right w:val="none" w:sz="0" w:space="0" w:color="auto"/>
                                      </w:divBdr>
                                      <w:divsChild>
                                        <w:div w:id="789711408">
                                          <w:marLeft w:val="0"/>
                                          <w:marRight w:val="0"/>
                                          <w:marTop w:val="0"/>
                                          <w:marBottom w:val="0"/>
                                          <w:divBdr>
                                            <w:top w:val="none" w:sz="0" w:space="0" w:color="auto"/>
                                            <w:left w:val="none" w:sz="0" w:space="0" w:color="auto"/>
                                            <w:bottom w:val="none" w:sz="0" w:space="0" w:color="auto"/>
                                            <w:right w:val="none" w:sz="0" w:space="0" w:color="auto"/>
                                          </w:divBdr>
                                          <w:divsChild>
                                            <w:div w:id="38404311">
                                              <w:marLeft w:val="0"/>
                                              <w:marRight w:val="0"/>
                                              <w:marTop w:val="0"/>
                                              <w:marBottom w:val="0"/>
                                              <w:divBdr>
                                                <w:top w:val="none" w:sz="0" w:space="0" w:color="auto"/>
                                                <w:left w:val="none" w:sz="0" w:space="0" w:color="auto"/>
                                                <w:bottom w:val="none" w:sz="0" w:space="0" w:color="auto"/>
                                                <w:right w:val="none" w:sz="0" w:space="0" w:color="auto"/>
                                              </w:divBdr>
                                              <w:divsChild>
                                                <w:div w:id="1887259183">
                                                  <w:marLeft w:val="0"/>
                                                  <w:marRight w:val="0"/>
                                                  <w:marTop w:val="0"/>
                                                  <w:marBottom w:val="0"/>
                                                  <w:divBdr>
                                                    <w:top w:val="none" w:sz="0" w:space="0" w:color="auto"/>
                                                    <w:left w:val="none" w:sz="0" w:space="0" w:color="auto"/>
                                                    <w:bottom w:val="none" w:sz="0" w:space="0" w:color="auto"/>
                                                    <w:right w:val="none" w:sz="0" w:space="0" w:color="auto"/>
                                                  </w:divBdr>
                                                  <w:divsChild>
                                                    <w:div w:id="379939653">
                                                      <w:marLeft w:val="0"/>
                                                      <w:marRight w:val="0"/>
                                                      <w:marTop w:val="0"/>
                                                      <w:marBottom w:val="0"/>
                                                      <w:divBdr>
                                                        <w:top w:val="none" w:sz="0" w:space="0" w:color="auto"/>
                                                        <w:left w:val="none" w:sz="0" w:space="0" w:color="auto"/>
                                                        <w:bottom w:val="none" w:sz="0" w:space="0" w:color="auto"/>
                                                        <w:right w:val="none" w:sz="0" w:space="0" w:color="auto"/>
                                                      </w:divBdr>
                                                      <w:divsChild>
                                                        <w:div w:id="10373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F2012L0028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CF06368-BA24-4422-8640-2031B8B55B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78F6716D409F144B7EACB8A2D4A1BC6" ma:contentTypeVersion="" ma:contentTypeDescription="PDMS Document Site Content Type" ma:contentTypeScope="" ma:versionID="2ef9876fcd2e8b8ee38da96de60da26e">
  <xsd:schema xmlns:xsd="http://www.w3.org/2001/XMLSchema" xmlns:xs="http://www.w3.org/2001/XMLSchema" xmlns:p="http://schemas.microsoft.com/office/2006/metadata/properties" xmlns:ns2="ACF06368-BA24-4422-8640-2031B8B55BBB" targetNamespace="http://schemas.microsoft.com/office/2006/metadata/properties" ma:root="true" ma:fieldsID="a4978d7347e08bd16c839bbcd4e26244" ns2:_="">
    <xsd:import namespace="ACF06368-BA24-4422-8640-2031B8B55BB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06368-BA24-4422-8640-2031B8B55BB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0BB2-8B8E-4D7F-A1EB-011078CFB03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CF06368-BA24-4422-8640-2031B8B55BBB"/>
    <ds:schemaRef ds:uri="http://www.w3.org/XML/1998/namespace"/>
    <ds:schemaRef ds:uri="http://purl.org/dc/elements/1.1/"/>
  </ds:schemaRefs>
</ds:datastoreItem>
</file>

<file path=customXml/itemProps2.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3.xml><?xml version="1.0" encoding="utf-8"?>
<ds:datastoreItem xmlns:ds="http://schemas.openxmlformats.org/officeDocument/2006/customXml" ds:itemID="{62BDF3E7-95F5-423B-BC74-D86207D2E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06368-BA24-4422-8640-2031B8B55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6861F-1B4B-41CA-BA5B-11B9122C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98C0690C</Template>
  <TotalTime>1</TotalTime>
  <Pages>5</Pages>
  <Words>1513</Words>
  <Characters>8630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creator>Annette Vella</dc:creator>
  <cp:lastModifiedBy>MASON,Rob</cp:lastModifiedBy>
  <cp:revision>2</cp:revision>
  <cp:lastPrinted>2020-05-13T00:33:00Z</cp:lastPrinted>
  <dcterms:created xsi:type="dcterms:W3CDTF">2020-07-21T00:22:00Z</dcterms:created>
  <dcterms:modified xsi:type="dcterms:W3CDTF">2020-07-21T00:22:00Z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0x010100266966F133664895A6EE3632470D45F500078F6716D409F144B7EACB8A2D4A1BC6</vt:lpwstr>
  </property>
  <property fmtid="{D5CDD505-2E9C-101B-9397-08002B2CF9AE}" pid="3" name="_dlc_DocIdItemGuid">
    <vt:lpwstr>e97d7d38-85c9-4ad0-86d5-75718610b655</vt:lpwstr>
  </property>
</Properties>
</file>