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F7EC1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E500D4" w:rsidRDefault="00715914" w:rsidP="00715914">
      <w:pPr>
        <w:rPr>
          <w:sz w:val="19"/>
        </w:rPr>
      </w:pPr>
    </w:p>
    <w:p w14:paraId="6D141519" w14:textId="4BD2E1A9" w:rsidR="00554826" w:rsidRPr="002C14C3" w:rsidRDefault="002C14C3" w:rsidP="00554826">
      <w:pPr>
        <w:pStyle w:val="ShortT"/>
      </w:pPr>
      <w:r w:rsidRPr="002C14C3">
        <w:t>Health Insurance (Section 3C Pathology Services – COVID-19) Amendment (No. 4) Determination 2020</w:t>
      </w:r>
    </w:p>
    <w:p w14:paraId="367A4A2F" w14:textId="7966B2F7" w:rsidR="00554826" w:rsidRPr="002C14C3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C780D">
        <w:rPr>
          <w:szCs w:val="22"/>
        </w:rPr>
        <w:t>Paul McBride</w:t>
      </w:r>
      <w:r w:rsidRPr="002C14C3">
        <w:rPr>
          <w:szCs w:val="22"/>
        </w:rPr>
        <w:t xml:space="preserve">, </w:t>
      </w:r>
      <w:r w:rsidR="00FF4480" w:rsidRPr="002C14C3">
        <w:rPr>
          <w:szCs w:val="22"/>
        </w:rPr>
        <w:t xml:space="preserve">delegate of the </w:t>
      </w:r>
      <w:r w:rsidR="009841B4" w:rsidRPr="002C14C3">
        <w:rPr>
          <w:szCs w:val="22"/>
        </w:rPr>
        <w:t xml:space="preserve">Minister for Health, </w:t>
      </w:r>
      <w:r w:rsidRPr="002C14C3">
        <w:rPr>
          <w:szCs w:val="22"/>
        </w:rPr>
        <w:t xml:space="preserve">make the following </w:t>
      </w:r>
      <w:r w:rsidR="009841B4" w:rsidRPr="002C14C3">
        <w:rPr>
          <w:szCs w:val="22"/>
        </w:rPr>
        <w:t>Determination</w:t>
      </w:r>
      <w:r w:rsidRPr="002C14C3">
        <w:rPr>
          <w:szCs w:val="22"/>
        </w:rPr>
        <w:t>.</w:t>
      </w:r>
    </w:p>
    <w:p w14:paraId="0C7CB3E3" w14:textId="0F500BE5" w:rsidR="00554826" w:rsidRPr="002C14C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2C14C3">
        <w:rPr>
          <w:szCs w:val="22"/>
        </w:rPr>
        <w:t>Dated</w:t>
      </w:r>
      <w:r w:rsidRPr="002C14C3">
        <w:rPr>
          <w:szCs w:val="22"/>
        </w:rPr>
        <w:tab/>
      </w:r>
      <w:r w:rsidR="002B1400">
        <w:rPr>
          <w:szCs w:val="22"/>
        </w:rPr>
        <w:t xml:space="preserve">28 </w:t>
      </w:r>
      <w:r w:rsidR="002C14C3" w:rsidRPr="002C14C3">
        <w:rPr>
          <w:szCs w:val="22"/>
        </w:rPr>
        <w:t>July 2020</w:t>
      </w:r>
    </w:p>
    <w:p w14:paraId="34E98DEE" w14:textId="66353AE5" w:rsidR="004F702A" w:rsidRPr="002C14C3" w:rsidRDefault="002C7EAB" w:rsidP="004F702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Paul McBride</w:t>
      </w:r>
      <w:r w:rsidR="004F702A">
        <w:rPr>
          <w:szCs w:val="22"/>
        </w:rPr>
        <w:t xml:space="preserve"> </w:t>
      </w:r>
    </w:p>
    <w:p w14:paraId="7EF6B042" w14:textId="35AB5D36" w:rsidR="004F702A" w:rsidRPr="00251E18" w:rsidRDefault="006C780D" w:rsidP="004F702A">
      <w:pPr>
        <w:pStyle w:val="SignCoverPageEnd"/>
        <w:ind w:right="91"/>
        <w:rPr>
          <w:sz w:val="22"/>
        </w:rPr>
      </w:pPr>
      <w:r>
        <w:rPr>
          <w:sz w:val="22"/>
        </w:rPr>
        <w:t xml:space="preserve">First </w:t>
      </w:r>
      <w:r w:rsidR="004F702A" w:rsidRPr="002C14C3">
        <w:rPr>
          <w:sz w:val="22"/>
        </w:rPr>
        <w:t>Assistant Secretary</w:t>
      </w:r>
    </w:p>
    <w:p w14:paraId="78E80E5A" w14:textId="77777777" w:rsidR="004F702A" w:rsidRPr="002C14C3" w:rsidRDefault="004F702A" w:rsidP="004F702A">
      <w:pPr>
        <w:pStyle w:val="SignCoverPageEnd"/>
        <w:ind w:right="91"/>
        <w:rPr>
          <w:sz w:val="22"/>
        </w:rPr>
      </w:pPr>
      <w:r w:rsidRPr="002C14C3">
        <w:rPr>
          <w:sz w:val="22"/>
        </w:rPr>
        <w:t>Medical Benefits Division</w:t>
      </w:r>
    </w:p>
    <w:p w14:paraId="797B92D2" w14:textId="77777777" w:rsidR="004F702A" w:rsidRPr="002C14C3" w:rsidRDefault="004F702A" w:rsidP="004F702A">
      <w:pPr>
        <w:pStyle w:val="SignCoverPageEnd"/>
        <w:ind w:right="91"/>
        <w:rPr>
          <w:sz w:val="22"/>
        </w:rPr>
      </w:pPr>
      <w:r w:rsidRPr="002C14C3">
        <w:rPr>
          <w:sz w:val="22"/>
        </w:rPr>
        <w:t>Health Financing Group</w:t>
      </w:r>
    </w:p>
    <w:p w14:paraId="14BC7382" w14:textId="77777777" w:rsidR="004F702A" w:rsidRPr="002C14C3" w:rsidRDefault="004F702A" w:rsidP="004F702A">
      <w:pPr>
        <w:pStyle w:val="SignCoverPageEnd"/>
        <w:ind w:right="91"/>
        <w:rPr>
          <w:sz w:val="22"/>
        </w:rPr>
      </w:pPr>
      <w:r w:rsidRPr="002C14C3">
        <w:rPr>
          <w:sz w:val="22"/>
        </w:rPr>
        <w:t>Department of Health</w:t>
      </w:r>
    </w:p>
    <w:p w14:paraId="57012222" w14:textId="77777777" w:rsidR="00554826" w:rsidRDefault="00554826" w:rsidP="00554826"/>
    <w:p w14:paraId="61874D17" w14:textId="77777777" w:rsidR="00554826" w:rsidRPr="00ED79B6" w:rsidRDefault="00554826" w:rsidP="00554826"/>
    <w:p w14:paraId="1EA543EC" w14:textId="77777777" w:rsidR="00F6696E" w:rsidRDefault="00F6696E" w:rsidP="00F6696E"/>
    <w:p w14:paraId="452B8309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ACE6C63" w14:textId="7B1D96BD" w:rsidR="000538E8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0538E8">
        <w:rPr>
          <w:noProof/>
        </w:rPr>
        <w:t>1  Name</w:t>
      </w:r>
      <w:r w:rsidR="000538E8">
        <w:rPr>
          <w:noProof/>
        </w:rPr>
        <w:tab/>
      </w:r>
      <w:r w:rsidR="000538E8">
        <w:rPr>
          <w:noProof/>
        </w:rPr>
        <w:fldChar w:fldCharType="begin"/>
      </w:r>
      <w:r w:rsidR="000538E8">
        <w:rPr>
          <w:noProof/>
        </w:rPr>
        <w:instrText xml:space="preserve"> PAGEREF _Toc46761155 \h </w:instrText>
      </w:r>
      <w:r w:rsidR="000538E8">
        <w:rPr>
          <w:noProof/>
        </w:rPr>
      </w:r>
      <w:r w:rsidR="000538E8">
        <w:rPr>
          <w:noProof/>
        </w:rPr>
        <w:fldChar w:fldCharType="separate"/>
      </w:r>
      <w:r w:rsidR="00A32E04">
        <w:rPr>
          <w:noProof/>
        </w:rPr>
        <w:t>1</w:t>
      </w:r>
      <w:r w:rsidR="000538E8">
        <w:rPr>
          <w:noProof/>
        </w:rPr>
        <w:fldChar w:fldCharType="end"/>
      </w:r>
    </w:p>
    <w:p w14:paraId="3C20F04D" w14:textId="077ADE48" w:rsidR="000538E8" w:rsidRDefault="000538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_Toc46761156 \h </w:instrText>
      </w:r>
      <w:r>
        <w:rPr>
          <w:noProof/>
        </w:rPr>
      </w:r>
      <w:r>
        <w:rPr>
          <w:noProof/>
        </w:rPr>
        <w:fldChar w:fldCharType="separate"/>
      </w:r>
      <w:r w:rsidR="00A32E04">
        <w:rPr>
          <w:noProof/>
        </w:rPr>
        <w:t>1</w:t>
      </w:r>
      <w:r>
        <w:rPr>
          <w:noProof/>
        </w:rPr>
        <w:fldChar w:fldCharType="end"/>
      </w:r>
    </w:p>
    <w:p w14:paraId="56AF87BF" w14:textId="24410A8E" w:rsidR="000538E8" w:rsidRDefault="000538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_Toc46761157 \h </w:instrText>
      </w:r>
      <w:r>
        <w:rPr>
          <w:noProof/>
        </w:rPr>
      </w:r>
      <w:r>
        <w:rPr>
          <w:noProof/>
        </w:rPr>
        <w:fldChar w:fldCharType="separate"/>
      </w:r>
      <w:r w:rsidR="00A32E04">
        <w:rPr>
          <w:noProof/>
        </w:rPr>
        <w:t>1</w:t>
      </w:r>
      <w:r>
        <w:rPr>
          <w:noProof/>
        </w:rPr>
        <w:fldChar w:fldCharType="end"/>
      </w:r>
    </w:p>
    <w:p w14:paraId="26F7990F" w14:textId="75A30362" w:rsidR="000538E8" w:rsidRDefault="000538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_Toc46761158 \h </w:instrText>
      </w:r>
      <w:r>
        <w:rPr>
          <w:noProof/>
        </w:rPr>
      </w:r>
      <w:r>
        <w:rPr>
          <w:noProof/>
        </w:rPr>
        <w:fldChar w:fldCharType="separate"/>
      </w:r>
      <w:r w:rsidR="00A32E04">
        <w:rPr>
          <w:noProof/>
        </w:rPr>
        <w:t>1</w:t>
      </w:r>
      <w:r>
        <w:rPr>
          <w:noProof/>
        </w:rPr>
        <w:fldChar w:fldCharType="end"/>
      </w:r>
    </w:p>
    <w:p w14:paraId="03B792CB" w14:textId="02602A7C" w:rsidR="000538E8" w:rsidRDefault="000538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57D6">
        <w:rPr>
          <w:rFonts w:ascii="Arial" w:hAnsi="Arial" w:cs="Arial"/>
          <w:noProof/>
        </w:rPr>
        <w:t>Schedule 1—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_Toc46761159 \h </w:instrText>
      </w:r>
      <w:r>
        <w:rPr>
          <w:noProof/>
        </w:rPr>
      </w:r>
      <w:r>
        <w:rPr>
          <w:noProof/>
        </w:rPr>
        <w:fldChar w:fldCharType="separate"/>
      </w:r>
      <w:r w:rsidR="00A32E04">
        <w:rPr>
          <w:noProof/>
        </w:rPr>
        <w:t>2</w:t>
      </w:r>
      <w:r>
        <w:rPr>
          <w:noProof/>
        </w:rPr>
        <w:fldChar w:fldCharType="end"/>
      </w:r>
    </w:p>
    <w:p w14:paraId="2494364F" w14:textId="078029C0" w:rsidR="00F6696E" w:rsidRDefault="00B418CB" w:rsidP="00F6696E">
      <w:pPr>
        <w:outlineLvl w:val="0"/>
      </w:pPr>
      <w:r>
        <w:fldChar w:fldCharType="end"/>
      </w:r>
    </w:p>
    <w:p w14:paraId="64F43A28" w14:textId="77777777" w:rsidR="00F6696E" w:rsidRPr="00A802BC" w:rsidRDefault="00F6696E" w:rsidP="00F6696E">
      <w:pPr>
        <w:outlineLvl w:val="0"/>
        <w:rPr>
          <w:sz w:val="20"/>
        </w:rPr>
      </w:pPr>
    </w:p>
    <w:p w14:paraId="0867F8FC" w14:textId="77777777" w:rsidR="00F6696E" w:rsidRDefault="00F6696E" w:rsidP="00F6696E">
      <w:pPr>
        <w:sectPr w:rsidR="00F6696E" w:rsidSect="002B140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bookmarkStart w:id="0" w:name="_GoBack"/>
      <w:bookmarkEnd w:id="0"/>
    </w:p>
    <w:p w14:paraId="17C796F8" w14:textId="77777777" w:rsidR="00554826" w:rsidRPr="00554826" w:rsidRDefault="00554826" w:rsidP="00554826">
      <w:pPr>
        <w:pStyle w:val="ActHead5"/>
      </w:pPr>
      <w:bookmarkStart w:id="1" w:name="_Toc46761155"/>
      <w:proofErr w:type="gramStart"/>
      <w:r w:rsidRPr="00554826">
        <w:lastRenderedPageBreak/>
        <w:t>1  Name</w:t>
      </w:r>
      <w:bookmarkEnd w:id="1"/>
      <w:proofErr w:type="gramEnd"/>
    </w:p>
    <w:p w14:paraId="086C6FF7" w14:textId="1C973A97" w:rsidR="002C14C3" w:rsidRPr="002C14C3" w:rsidRDefault="00554826" w:rsidP="002C14C3">
      <w:pPr>
        <w:pStyle w:val="subsection"/>
        <w:ind w:left="709" w:hanging="709"/>
        <w:rPr>
          <w:b/>
          <w:color w:val="FF0000"/>
        </w:rPr>
      </w:pPr>
      <w:r w:rsidRPr="009C2562">
        <w:tab/>
      </w:r>
      <w:r w:rsidRPr="002C14C3">
        <w:tab/>
        <w:t xml:space="preserve">This instrument is the </w:t>
      </w:r>
      <w:bookmarkStart w:id="2" w:name="BKCheck15B_3"/>
      <w:bookmarkEnd w:id="2"/>
      <w:r w:rsidR="002C14C3" w:rsidRPr="002C14C3">
        <w:rPr>
          <w:i/>
        </w:rPr>
        <w:t>Health Insurance (Section 3C Pathology Services – COVID-19) Amendment (No. 4) Determination 2020</w:t>
      </w:r>
      <w:r w:rsidR="002C14C3" w:rsidRPr="002C14C3">
        <w:rPr>
          <w:b/>
        </w:rPr>
        <w:t>.</w:t>
      </w:r>
    </w:p>
    <w:p w14:paraId="52BD1EFF" w14:textId="77777777" w:rsidR="00554826" w:rsidRPr="00554826" w:rsidRDefault="00554826" w:rsidP="00554826">
      <w:pPr>
        <w:pStyle w:val="ActHead5"/>
      </w:pPr>
      <w:bookmarkStart w:id="3" w:name="_Toc46761156"/>
      <w:proofErr w:type="gramStart"/>
      <w:r w:rsidRPr="00554826">
        <w:t>2  Commencement</w:t>
      </w:r>
      <w:bookmarkEnd w:id="3"/>
      <w:proofErr w:type="gramEnd"/>
    </w:p>
    <w:p w14:paraId="3C5AEC36" w14:textId="77777777" w:rsidR="004940C4" w:rsidRPr="00835215" w:rsidRDefault="004940C4" w:rsidP="004940C4">
      <w:pPr>
        <w:pStyle w:val="subsection"/>
        <w:tabs>
          <w:tab w:val="left" w:pos="709"/>
        </w:tabs>
        <w:ind w:left="709" w:hanging="709"/>
      </w:pPr>
      <w:r>
        <w:t>(1)</w:t>
      </w:r>
      <w:r>
        <w:tab/>
      </w:r>
      <w:r>
        <w:tab/>
      </w:r>
      <w:r w:rsidRPr="00835215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835215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F619ED" w14:paraId="2F3A7035" w14:textId="77777777" w:rsidTr="007419B4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F619ED" w14:paraId="7B1560D1" w14:textId="77777777" w:rsidTr="007419B4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F619ED" w14:paraId="4A74A92F" w14:textId="77777777" w:rsidTr="007419B4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4940C4" w:rsidRPr="00F619ED" w14:paraId="1F08CFDD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8B5CA4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6E075A" w14:textId="601F63AA" w:rsidR="004940C4" w:rsidRPr="003E73C0" w:rsidRDefault="00114767" w:rsidP="0011476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FF0000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Immediately </w:t>
            </w:r>
            <w:r w:rsidR="002C7EAB" w:rsidRPr="002C7EAB">
              <w:rPr>
                <w:rFonts w:eastAsia="Times New Roman" w:cs="Times New Roman"/>
                <w:sz w:val="20"/>
                <w:szCs w:val="24"/>
                <w:lang w:eastAsia="en-AU"/>
              </w:rPr>
              <w:t>after registration of this instrument.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1CC044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835215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>
        <w:rPr>
          <w:sz w:val="18"/>
          <w:szCs w:val="18"/>
        </w:rPr>
        <w:tab/>
      </w:r>
      <w:r w:rsidRPr="00835215">
        <w:rPr>
          <w:sz w:val="18"/>
          <w:szCs w:val="18"/>
        </w:rPr>
        <w:t>Note:</w:t>
      </w:r>
      <w:r w:rsidRPr="00835215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9380ADC" w14:textId="77777777" w:rsidR="004940C4" w:rsidRPr="00835215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>
        <w:t>(2)</w:t>
      </w:r>
      <w:r w:rsidRPr="0083521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554826" w:rsidRDefault="00554826" w:rsidP="00554826">
      <w:pPr>
        <w:pStyle w:val="ActHead5"/>
      </w:pPr>
      <w:bookmarkStart w:id="4" w:name="_Toc46761157"/>
      <w:proofErr w:type="gramStart"/>
      <w:r w:rsidRPr="00554826">
        <w:t>3  Authority</w:t>
      </w:r>
      <w:bookmarkEnd w:id="4"/>
      <w:proofErr w:type="gramEnd"/>
    </w:p>
    <w:p w14:paraId="4CD49361" w14:textId="77777777" w:rsidR="00554826" w:rsidRPr="009C2562" w:rsidRDefault="00554826" w:rsidP="004940C4">
      <w:pPr>
        <w:pStyle w:val="subsection"/>
        <w:tabs>
          <w:tab w:val="clear" w:pos="1021"/>
        </w:tabs>
        <w:ind w:left="709" w:hanging="709"/>
      </w:pPr>
      <w:r w:rsidRPr="009C2562">
        <w:tab/>
      </w:r>
      <w:r w:rsidRPr="009C2562">
        <w:tab/>
        <w:t xml:space="preserve">This instrument is </w:t>
      </w:r>
      <w:r w:rsidR="00FF4480" w:rsidRPr="009C2562">
        <w:t xml:space="preserve">made under </w:t>
      </w:r>
      <w:r w:rsidR="00FF4480">
        <w:t xml:space="preserve">subsection </w:t>
      </w:r>
      <w:proofErr w:type="gramStart"/>
      <w:r w:rsidR="00FF4480">
        <w:t>3C(</w:t>
      </w:r>
      <w:proofErr w:type="gramEnd"/>
      <w:r w:rsidR="00FF4480">
        <w:t xml:space="preserve">1) of the </w:t>
      </w:r>
      <w:r w:rsidR="00FF4480" w:rsidRPr="00543BE3">
        <w:rPr>
          <w:i/>
        </w:rPr>
        <w:t>Health Insurance Act 1973</w:t>
      </w:r>
      <w:r w:rsidR="009D4587">
        <w:t>.</w:t>
      </w:r>
    </w:p>
    <w:p w14:paraId="1226C895" w14:textId="77777777" w:rsidR="00554826" w:rsidRPr="00554826" w:rsidRDefault="00495AF2" w:rsidP="00554826">
      <w:pPr>
        <w:pStyle w:val="ActHead5"/>
      </w:pPr>
      <w:bookmarkStart w:id="5" w:name="_Toc454781205"/>
      <w:bookmarkStart w:id="6" w:name="_Toc46761158"/>
      <w:proofErr w:type="gramStart"/>
      <w:r>
        <w:t>4</w:t>
      </w:r>
      <w:r w:rsidR="00554826" w:rsidRPr="00554826">
        <w:t xml:space="preserve">  Schedules</w:t>
      </w:r>
      <w:bookmarkEnd w:id="5"/>
      <w:bookmarkEnd w:id="6"/>
      <w:proofErr w:type="gramEnd"/>
    </w:p>
    <w:p w14:paraId="74E9B585" w14:textId="77777777" w:rsidR="00554826" w:rsidRDefault="00554826" w:rsidP="004940C4">
      <w:pPr>
        <w:pStyle w:val="subsection"/>
        <w:tabs>
          <w:tab w:val="clear" w:pos="1021"/>
        </w:tabs>
        <w:ind w:left="709" w:hanging="709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E5B4C4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3B548A03" w14:textId="77777777" w:rsidR="00FF4480" w:rsidRPr="006C41DF" w:rsidRDefault="004E1307" w:rsidP="00DB4767">
      <w:pPr>
        <w:pStyle w:val="ActHead5"/>
        <w:rPr>
          <w:rFonts w:ascii="Arial" w:hAnsi="Arial" w:cs="Arial"/>
        </w:rPr>
      </w:pPr>
      <w:bookmarkStart w:id="7" w:name="_Toc46761159"/>
      <w:r w:rsidRPr="006C41DF">
        <w:rPr>
          <w:rFonts w:ascii="Arial" w:hAnsi="Arial" w:cs="Arial"/>
        </w:rPr>
        <w:lastRenderedPageBreak/>
        <w:t xml:space="preserve">Schedule </w:t>
      </w:r>
      <w:r w:rsidR="00D6537E" w:rsidRPr="006C41DF">
        <w:rPr>
          <w:rFonts w:ascii="Arial" w:hAnsi="Arial" w:cs="Arial"/>
        </w:rPr>
        <w:t>1—</w:t>
      </w:r>
      <w:r w:rsidR="009D4587" w:rsidRPr="006C41DF">
        <w:rPr>
          <w:rFonts w:ascii="Arial" w:hAnsi="Arial" w:cs="Arial"/>
        </w:rPr>
        <w:t xml:space="preserve"> Amendments</w:t>
      </w:r>
      <w:bookmarkEnd w:id="7"/>
      <w:r w:rsidR="00B763B0" w:rsidRPr="006C41DF">
        <w:rPr>
          <w:rFonts w:ascii="Arial" w:hAnsi="Arial" w:cs="Arial"/>
        </w:rPr>
        <w:t xml:space="preserve"> </w:t>
      </w:r>
    </w:p>
    <w:p w14:paraId="1CD74B90" w14:textId="77777777" w:rsidR="00CD649B" w:rsidRPr="00C67FD9" w:rsidRDefault="00CD649B" w:rsidP="00CD649B">
      <w:pPr>
        <w:pStyle w:val="ItemHead"/>
        <w:ind w:left="0" w:firstLine="0"/>
        <w:rPr>
          <w:i/>
          <w:lang w:eastAsia="en-US"/>
        </w:rPr>
      </w:pPr>
      <w:r w:rsidRPr="00C67FD9">
        <w:rPr>
          <w:i/>
          <w:lang w:eastAsia="en-US"/>
        </w:rPr>
        <w:t xml:space="preserve">Health Insurance (Section 3C Pathology Services – COVID-19) Determination 2020 </w:t>
      </w:r>
    </w:p>
    <w:p w14:paraId="513F8F67" w14:textId="4F496325" w:rsidR="00AB4889" w:rsidRDefault="00AB4889" w:rsidP="00D225A0">
      <w:pPr>
        <w:pStyle w:val="itemhead0"/>
        <w:numPr>
          <w:ilvl w:val="0"/>
          <w:numId w:val="29"/>
        </w:numPr>
        <w:shd w:val="clear" w:color="auto" w:fill="FFFFFF"/>
        <w:spacing w:before="220" w:beforeAutospacing="0" w:after="0" w:afterAutospacing="0"/>
        <w:ind w:left="70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Section 5 (</w:t>
      </w:r>
      <w:r w:rsidRPr="00AB4889">
        <w:rPr>
          <w:rFonts w:ascii="Arial" w:hAnsi="Arial" w:cs="Arial"/>
          <w:b/>
          <w:bCs/>
          <w:color w:val="000000"/>
        </w:rPr>
        <w:t xml:space="preserve">below the definition of </w:t>
      </w:r>
      <w:r w:rsidRPr="00AB4889">
        <w:rPr>
          <w:rFonts w:ascii="Arial" w:hAnsi="Arial" w:cs="Arial"/>
          <w:b/>
          <w:bCs/>
          <w:i/>
          <w:color w:val="000000"/>
        </w:rPr>
        <w:t>bulk</w:t>
      </w:r>
      <w:r w:rsidRPr="00AB4889">
        <w:rPr>
          <w:rFonts w:ascii="Cambria Math" w:hAnsi="Cambria Math" w:cs="Cambria Math"/>
          <w:b/>
          <w:bCs/>
          <w:i/>
          <w:color w:val="000000"/>
        </w:rPr>
        <w:t>‑</w:t>
      </w:r>
      <w:r w:rsidRPr="00AB4889">
        <w:rPr>
          <w:rFonts w:ascii="Arial" w:hAnsi="Arial" w:cs="Arial"/>
          <w:b/>
          <w:bCs/>
          <w:i/>
          <w:color w:val="000000"/>
        </w:rPr>
        <w:t>billed</w:t>
      </w:r>
      <w:r>
        <w:rPr>
          <w:rFonts w:ascii="Arial" w:hAnsi="Arial" w:cs="Arial"/>
          <w:b/>
          <w:bCs/>
          <w:color w:val="000000"/>
        </w:rPr>
        <w:t>)</w:t>
      </w:r>
    </w:p>
    <w:p w14:paraId="0E6D4D92" w14:textId="311D282E" w:rsidR="00AB4889" w:rsidRPr="00DE1096" w:rsidRDefault="00AB4889" w:rsidP="00A51397">
      <w:pPr>
        <w:pStyle w:val="item0"/>
        <w:shd w:val="clear" w:color="auto" w:fill="FFFFFF"/>
        <w:spacing w:before="120" w:beforeAutospacing="0" w:after="0" w:afterAutospacing="0"/>
        <w:ind w:left="709"/>
        <w:rPr>
          <w:color w:val="000000"/>
        </w:rPr>
      </w:pPr>
      <w:r>
        <w:rPr>
          <w:color w:val="000000"/>
        </w:rPr>
        <w:t>Insert:</w:t>
      </w:r>
    </w:p>
    <w:p w14:paraId="0583AF72" w14:textId="1C8B5ECD" w:rsidR="00AB4889" w:rsidRDefault="00AB4889" w:rsidP="00D225A0">
      <w:pPr>
        <w:pStyle w:val="itemhead0"/>
        <w:shd w:val="clear" w:color="auto" w:fill="FFFFFF"/>
        <w:spacing w:before="120" w:beforeAutospacing="0" w:after="120" w:afterAutospacing="0"/>
        <w:ind w:left="714" w:hanging="357"/>
        <w:rPr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proofErr w:type="gramStart"/>
      <w:r w:rsidR="00FD5CE3" w:rsidRPr="005727BF">
        <w:rPr>
          <w:b/>
          <w:bCs/>
          <w:i/>
          <w:color w:val="000000"/>
        </w:rPr>
        <w:t>aged</w:t>
      </w:r>
      <w:proofErr w:type="gramEnd"/>
      <w:r w:rsidR="00FD5CE3" w:rsidRPr="005727BF">
        <w:rPr>
          <w:b/>
          <w:bCs/>
          <w:i/>
          <w:color w:val="000000"/>
        </w:rPr>
        <w:t xml:space="preserve"> care service</w:t>
      </w:r>
      <w:r w:rsidR="005727BF">
        <w:rPr>
          <w:b/>
          <w:bCs/>
          <w:i/>
          <w:color w:val="000000"/>
        </w:rPr>
        <w:t xml:space="preserve"> </w:t>
      </w:r>
      <w:r w:rsidR="005727BF">
        <w:rPr>
          <w:bCs/>
          <w:color w:val="000000"/>
        </w:rPr>
        <w:t xml:space="preserve">has the same meaning as defined by the </w:t>
      </w:r>
      <w:r w:rsidR="005727BF" w:rsidRPr="005727BF">
        <w:rPr>
          <w:bCs/>
          <w:i/>
          <w:color w:val="000000"/>
        </w:rPr>
        <w:t xml:space="preserve">Aged Care </w:t>
      </w:r>
      <w:r w:rsidR="005727BF">
        <w:rPr>
          <w:bCs/>
          <w:i/>
          <w:color w:val="000000"/>
        </w:rPr>
        <w:br/>
      </w:r>
      <w:r w:rsidR="005727BF" w:rsidRPr="005727BF">
        <w:rPr>
          <w:bCs/>
          <w:i/>
          <w:color w:val="000000"/>
        </w:rPr>
        <w:t>Act 1997</w:t>
      </w:r>
      <w:r w:rsidR="005727BF">
        <w:rPr>
          <w:bCs/>
          <w:color w:val="000000"/>
        </w:rPr>
        <w:t>.</w:t>
      </w:r>
      <w:r w:rsidR="00FD5CE3">
        <w:rPr>
          <w:b/>
          <w:bCs/>
          <w:i/>
          <w:color w:val="000000"/>
        </w:rPr>
        <w:t xml:space="preserve"> </w:t>
      </w:r>
      <w:r w:rsidR="00C67FD9" w:rsidRPr="005727BF">
        <w:rPr>
          <w:bCs/>
          <w:color w:val="000000"/>
        </w:rPr>
        <w:t xml:space="preserve"> </w:t>
      </w:r>
    </w:p>
    <w:p w14:paraId="29C0A67B" w14:textId="7E6AD6B1" w:rsidR="00390F91" w:rsidRDefault="00390F91" w:rsidP="00A51397">
      <w:pPr>
        <w:pStyle w:val="itemhead0"/>
        <w:shd w:val="clear" w:color="auto" w:fill="FFFFFF"/>
        <w:spacing w:before="120" w:beforeAutospacing="0" w:after="120" w:afterAutospacing="0"/>
        <w:ind w:left="714" w:hanging="5"/>
        <w:rPr>
          <w:bCs/>
          <w:color w:val="000000"/>
        </w:rPr>
      </w:pPr>
      <w:proofErr w:type="gramStart"/>
      <w:r w:rsidRPr="00390F91">
        <w:rPr>
          <w:b/>
          <w:bCs/>
          <w:i/>
          <w:color w:val="000000"/>
        </w:rPr>
        <w:t>approved</w:t>
      </w:r>
      <w:proofErr w:type="gramEnd"/>
      <w:r w:rsidRPr="00390F91">
        <w:rPr>
          <w:b/>
          <w:bCs/>
          <w:i/>
          <w:color w:val="000000"/>
        </w:rPr>
        <w:t xml:space="preserve"> provide</w:t>
      </w:r>
      <w:r w:rsidRPr="00A53FEC">
        <w:rPr>
          <w:b/>
          <w:bCs/>
          <w:i/>
          <w:color w:val="000000"/>
        </w:rPr>
        <w:t xml:space="preserve">r </w:t>
      </w:r>
      <w:r w:rsidRPr="00A53FEC">
        <w:rPr>
          <w:bCs/>
          <w:color w:val="000000"/>
        </w:rPr>
        <w:t xml:space="preserve">has the meaning as </w:t>
      </w:r>
      <w:r w:rsidR="0076639D">
        <w:rPr>
          <w:bCs/>
          <w:color w:val="000000"/>
        </w:rPr>
        <w:t>given</w:t>
      </w:r>
      <w:r w:rsidRPr="00A53FEC">
        <w:rPr>
          <w:bCs/>
          <w:color w:val="000000"/>
        </w:rPr>
        <w:t xml:space="preserve"> by the </w:t>
      </w:r>
      <w:r w:rsidRPr="00A53FEC">
        <w:rPr>
          <w:bCs/>
          <w:i/>
          <w:color w:val="000000"/>
        </w:rPr>
        <w:t xml:space="preserve">Aged Care </w:t>
      </w:r>
      <w:r w:rsidRPr="0076639D">
        <w:rPr>
          <w:bCs/>
          <w:i/>
          <w:color w:val="000000"/>
        </w:rPr>
        <w:br/>
      </w:r>
      <w:r w:rsidRPr="0007677A">
        <w:rPr>
          <w:bCs/>
          <w:i/>
          <w:color w:val="000000"/>
        </w:rPr>
        <w:t>Act 1997</w:t>
      </w:r>
      <w:r w:rsidRPr="0007677A">
        <w:rPr>
          <w:bCs/>
          <w:color w:val="000000"/>
        </w:rPr>
        <w:t>.</w:t>
      </w:r>
      <w:r>
        <w:rPr>
          <w:b/>
          <w:bCs/>
          <w:i/>
          <w:color w:val="000000"/>
        </w:rPr>
        <w:t xml:space="preserve"> </w:t>
      </w:r>
      <w:r w:rsidRPr="005727BF">
        <w:rPr>
          <w:bCs/>
          <w:color w:val="000000"/>
        </w:rPr>
        <w:t xml:space="preserve"> </w:t>
      </w:r>
    </w:p>
    <w:p w14:paraId="5345F6B2" w14:textId="6FD13A3E" w:rsidR="00390F91" w:rsidRPr="00390F91" w:rsidRDefault="00390F91" w:rsidP="00390F91">
      <w:pPr>
        <w:pStyle w:val="itemhead0"/>
        <w:numPr>
          <w:ilvl w:val="0"/>
          <w:numId w:val="29"/>
        </w:numPr>
        <w:shd w:val="clear" w:color="auto" w:fill="FFFFFF"/>
        <w:spacing w:before="220" w:beforeAutospacing="0" w:after="0" w:afterAutospacing="0"/>
        <w:ind w:left="709"/>
        <w:rPr>
          <w:rFonts w:ascii="Arial" w:hAnsi="Arial" w:cs="Arial"/>
          <w:b/>
          <w:bCs/>
          <w:color w:val="000000"/>
        </w:rPr>
      </w:pPr>
      <w:r w:rsidRPr="00390F91">
        <w:rPr>
          <w:rFonts w:ascii="Arial" w:hAnsi="Arial" w:cs="Arial"/>
          <w:b/>
          <w:bCs/>
          <w:color w:val="000000"/>
        </w:rPr>
        <w:t xml:space="preserve">Section 5 (before </w:t>
      </w:r>
      <w:r w:rsidRPr="00390F91">
        <w:rPr>
          <w:rFonts w:ascii="Arial" w:hAnsi="Arial" w:cs="Arial"/>
          <w:b/>
          <w:bCs/>
          <w:i/>
          <w:color w:val="000000"/>
        </w:rPr>
        <w:t>clinically relevant service</w:t>
      </w:r>
      <w:r w:rsidRPr="00390F91">
        <w:rPr>
          <w:rFonts w:ascii="Arial" w:hAnsi="Arial" w:cs="Arial"/>
          <w:b/>
          <w:bCs/>
          <w:color w:val="000000"/>
        </w:rPr>
        <w:t xml:space="preserve"> in the Note)</w:t>
      </w:r>
    </w:p>
    <w:p w14:paraId="3E15F3CA" w14:textId="77777777" w:rsidR="00390F91" w:rsidRPr="00390F91" w:rsidRDefault="00390F91" w:rsidP="00A51397">
      <w:pPr>
        <w:pStyle w:val="item0"/>
        <w:shd w:val="clear" w:color="auto" w:fill="FFFFFF"/>
        <w:spacing w:before="120" w:beforeAutospacing="0" w:after="0" w:afterAutospacing="0"/>
        <w:ind w:left="709"/>
        <w:rPr>
          <w:color w:val="000000"/>
        </w:rPr>
      </w:pPr>
      <w:r w:rsidRPr="00390F91">
        <w:rPr>
          <w:color w:val="000000"/>
        </w:rPr>
        <w:t>Insert:</w:t>
      </w:r>
    </w:p>
    <w:p w14:paraId="6B366026" w14:textId="460BCADF" w:rsidR="00390F91" w:rsidRPr="00390F91" w:rsidRDefault="00A53FEC" w:rsidP="00A53FEC">
      <w:pPr>
        <w:pStyle w:val="itemhead0"/>
        <w:numPr>
          <w:ilvl w:val="0"/>
          <w:numId w:val="31"/>
        </w:numPr>
        <w:shd w:val="clear" w:color="auto" w:fill="FFFFFF"/>
        <w:spacing w:before="120" w:beforeAutospacing="0" w:after="120" w:afterAutospacing="0"/>
        <w:rPr>
          <w:bCs/>
          <w:color w:val="000000"/>
        </w:rPr>
      </w:pPr>
      <w:r w:rsidRPr="00A53FEC">
        <w:rPr>
          <w:bCs/>
          <w:color w:val="000000"/>
        </w:rPr>
        <w:t>accredited pathology laboratory</w:t>
      </w:r>
      <w:r w:rsidR="00570D97">
        <w:rPr>
          <w:bCs/>
          <w:color w:val="000000"/>
        </w:rPr>
        <w:t>;</w:t>
      </w:r>
    </w:p>
    <w:p w14:paraId="38E6ACE7" w14:textId="7F42BA4D" w:rsidR="00CD649B" w:rsidRDefault="00CD649B" w:rsidP="00D225A0">
      <w:pPr>
        <w:pStyle w:val="itemhead0"/>
        <w:numPr>
          <w:ilvl w:val="0"/>
          <w:numId w:val="29"/>
        </w:numPr>
        <w:shd w:val="clear" w:color="auto" w:fill="FFFFFF"/>
        <w:spacing w:before="220" w:beforeAutospacing="0" w:after="0" w:afterAutospacing="0"/>
        <w:ind w:left="70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Section 6 </w:t>
      </w:r>
      <w:r w:rsidR="004236FA">
        <w:rPr>
          <w:rFonts w:ascii="Arial" w:hAnsi="Arial" w:cs="Arial"/>
          <w:b/>
          <w:bCs/>
          <w:color w:val="000000"/>
        </w:rPr>
        <w:t>(below the heading)</w:t>
      </w:r>
    </w:p>
    <w:p w14:paraId="0483E1F7" w14:textId="4D315792" w:rsidR="00CD649B" w:rsidRPr="00DE1096" w:rsidRDefault="00F375E4" w:rsidP="00A51397">
      <w:pPr>
        <w:pStyle w:val="item0"/>
        <w:shd w:val="clear" w:color="auto" w:fill="FFFFFF"/>
        <w:spacing w:before="120" w:beforeAutospacing="0" w:after="0" w:afterAutospacing="0"/>
        <w:ind w:left="709"/>
        <w:rPr>
          <w:color w:val="000000"/>
        </w:rPr>
      </w:pPr>
      <w:r>
        <w:rPr>
          <w:color w:val="000000"/>
        </w:rPr>
        <w:t>Repeal</w:t>
      </w:r>
      <w:r w:rsidR="004236FA">
        <w:rPr>
          <w:color w:val="000000"/>
        </w:rPr>
        <w:t xml:space="preserve"> and</w:t>
      </w:r>
      <w:r>
        <w:rPr>
          <w:color w:val="000000"/>
        </w:rPr>
        <w:t xml:space="preserve"> substitute</w:t>
      </w:r>
      <w:r w:rsidR="00D67ACF">
        <w:rPr>
          <w:color w:val="000000"/>
        </w:rPr>
        <w:t>:</w:t>
      </w:r>
    </w:p>
    <w:p w14:paraId="4D917DD2" w14:textId="3C4CE0AB" w:rsidR="00DE1096" w:rsidRPr="00F375E4" w:rsidRDefault="00DE1096" w:rsidP="00F375E4">
      <w:pPr>
        <w:pStyle w:val="ListParagraph"/>
        <w:numPr>
          <w:ilvl w:val="0"/>
          <w:numId w:val="21"/>
        </w:numPr>
        <w:shd w:val="clear" w:color="auto" w:fill="FFFFFF"/>
        <w:spacing w:before="120" w:beforeAutospacing="0" w:after="120" w:afterAutospacing="0"/>
        <w:ind w:left="1134" w:hanging="425"/>
        <w:rPr>
          <w:color w:val="000000"/>
          <w:szCs w:val="22"/>
        </w:rPr>
      </w:pPr>
      <w:r w:rsidRPr="00F375E4">
        <w:rPr>
          <w:color w:val="000000"/>
        </w:rPr>
        <w:t xml:space="preserve">For </w:t>
      </w:r>
      <w:r w:rsidR="004236FA">
        <w:rPr>
          <w:color w:val="000000"/>
        </w:rPr>
        <w:t xml:space="preserve">a service to which items </w:t>
      </w:r>
      <w:r w:rsidR="004236FA" w:rsidRPr="004236FA">
        <w:rPr>
          <w:color w:val="000000"/>
        </w:rPr>
        <w:t>69476</w:t>
      </w:r>
      <w:r w:rsidR="004236FA">
        <w:rPr>
          <w:color w:val="000000"/>
        </w:rPr>
        <w:t xml:space="preserve">, </w:t>
      </w:r>
      <w:r w:rsidR="004236FA" w:rsidRPr="004236FA">
        <w:rPr>
          <w:color w:val="000000"/>
        </w:rPr>
        <w:t>69477</w:t>
      </w:r>
      <w:r w:rsidR="004236FA">
        <w:rPr>
          <w:color w:val="000000"/>
        </w:rPr>
        <w:t xml:space="preserve">, </w:t>
      </w:r>
      <w:r w:rsidR="004236FA" w:rsidRPr="004236FA">
        <w:rPr>
          <w:color w:val="000000"/>
        </w:rPr>
        <w:t>69479</w:t>
      </w:r>
      <w:r w:rsidR="004236FA">
        <w:rPr>
          <w:color w:val="000000"/>
        </w:rPr>
        <w:t xml:space="preserve"> or </w:t>
      </w:r>
      <w:r w:rsidR="004236FA" w:rsidRPr="004236FA">
        <w:rPr>
          <w:color w:val="000000"/>
        </w:rPr>
        <w:t>69480</w:t>
      </w:r>
      <w:r w:rsidR="004236FA">
        <w:rPr>
          <w:color w:val="000000"/>
        </w:rPr>
        <w:t xml:space="preserve"> applies</w:t>
      </w:r>
      <w:r w:rsidRPr="00F375E4">
        <w:rPr>
          <w:color w:val="000000"/>
        </w:rPr>
        <w:t>, a relevant service, provided in accordance with this instrument and as a clinically relevant service, is to be treated, for the relevant provisions, as if:</w:t>
      </w:r>
    </w:p>
    <w:p w14:paraId="6194CB63" w14:textId="77777777" w:rsidR="00DE1096" w:rsidRPr="00DE1096" w:rsidRDefault="00DE1096" w:rsidP="00F375E4">
      <w:pPr>
        <w:shd w:val="clear" w:color="auto" w:fill="FFFFFF"/>
        <w:spacing w:line="240" w:lineRule="auto"/>
        <w:ind w:left="1821" w:hanging="687"/>
        <w:contextualSpacing/>
        <w:rPr>
          <w:rFonts w:eastAsia="Times New Roman" w:cs="Times New Roman"/>
          <w:color w:val="000000"/>
          <w:szCs w:val="22"/>
          <w:lang w:eastAsia="en-AU"/>
        </w:rPr>
      </w:pPr>
      <w:r w:rsidRPr="00DE1096">
        <w:rPr>
          <w:rFonts w:eastAsia="Times New Roman" w:cs="Times New Roman"/>
          <w:color w:val="000000"/>
          <w:sz w:val="24"/>
          <w:szCs w:val="24"/>
          <w:lang w:eastAsia="en-AU"/>
        </w:rPr>
        <w:t xml:space="preserve">(a)          </w:t>
      </w:r>
      <w:proofErr w:type="gramStart"/>
      <w:r w:rsidRPr="00DE1096">
        <w:rPr>
          <w:rFonts w:eastAsia="Times New Roman" w:cs="Times New Roman"/>
          <w:color w:val="000000"/>
          <w:sz w:val="24"/>
          <w:szCs w:val="24"/>
          <w:lang w:eastAsia="en-AU"/>
        </w:rPr>
        <w:t>it</w:t>
      </w:r>
      <w:proofErr w:type="gramEnd"/>
      <w:r w:rsidRPr="00DE1096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were both a professional service and a pathology service; and</w:t>
      </w:r>
    </w:p>
    <w:p w14:paraId="6027C415" w14:textId="77777777" w:rsidR="00F375E4" w:rsidRDefault="00DE1096" w:rsidP="00F375E4">
      <w:pPr>
        <w:shd w:val="clear" w:color="auto" w:fill="FFFFFF"/>
        <w:spacing w:line="240" w:lineRule="auto"/>
        <w:ind w:left="1560" w:hanging="426"/>
        <w:contextualSpacing/>
        <w:rPr>
          <w:rFonts w:eastAsia="Times New Roman" w:cs="Times New Roman"/>
          <w:color w:val="000000"/>
          <w:szCs w:val="22"/>
          <w:lang w:eastAsia="en-AU"/>
        </w:rPr>
      </w:pPr>
      <w:r w:rsidRPr="00DE1096">
        <w:rPr>
          <w:rFonts w:eastAsia="Times New Roman" w:cs="Times New Roman"/>
          <w:color w:val="000000"/>
          <w:sz w:val="24"/>
          <w:szCs w:val="24"/>
          <w:lang w:eastAsia="en-AU"/>
        </w:rPr>
        <w:t xml:space="preserve">(b)          </w:t>
      </w:r>
      <w:proofErr w:type="gramStart"/>
      <w:r w:rsidRPr="00DE1096">
        <w:rPr>
          <w:rFonts w:eastAsia="Times New Roman" w:cs="Times New Roman"/>
          <w:color w:val="000000"/>
          <w:sz w:val="24"/>
          <w:szCs w:val="24"/>
          <w:lang w:eastAsia="en-AU"/>
        </w:rPr>
        <w:t>there</w:t>
      </w:r>
      <w:proofErr w:type="gramEnd"/>
      <w:r w:rsidRPr="00DE1096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were an item in the pathology services table that:</w:t>
      </w:r>
    </w:p>
    <w:p w14:paraId="0AB8B79A" w14:textId="77777777" w:rsidR="00F375E4" w:rsidRPr="00F375E4" w:rsidRDefault="00DE1096" w:rsidP="004236FA">
      <w:pPr>
        <w:pStyle w:val="ListParagraph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552" w:hanging="567"/>
        <w:contextualSpacing/>
        <w:rPr>
          <w:color w:val="000000"/>
          <w:szCs w:val="22"/>
        </w:rPr>
      </w:pPr>
      <w:r w:rsidRPr="00F375E4">
        <w:rPr>
          <w:color w:val="000000"/>
        </w:rPr>
        <w:t>related to the service; and</w:t>
      </w:r>
    </w:p>
    <w:p w14:paraId="73997439" w14:textId="0F6706E6" w:rsidR="00DE1096" w:rsidRPr="004236FA" w:rsidRDefault="00DE1096" w:rsidP="004236FA">
      <w:pPr>
        <w:pStyle w:val="ListParagraph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552" w:hanging="567"/>
        <w:contextualSpacing/>
        <w:rPr>
          <w:color w:val="000000"/>
          <w:szCs w:val="22"/>
        </w:rPr>
      </w:pPr>
      <w:proofErr w:type="gramStart"/>
      <w:r w:rsidRPr="00F375E4">
        <w:rPr>
          <w:color w:val="000000"/>
        </w:rPr>
        <w:t>specified</w:t>
      </w:r>
      <w:proofErr w:type="gramEnd"/>
      <w:r w:rsidRPr="00F375E4">
        <w:rPr>
          <w:color w:val="000000"/>
        </w:rPr>
        <w:t xml:space="preserve"> for the service a fee in relation to each State, being the fee specified in the Schedule in relation to the service.</w:t>
      </w:r>
    </w:p>
    <w:p w14:paraId="7E804F10" w14:textId="52C71CA9" w:rsidR="004236FA" w:rsidRDefault="004236FA" w:rsidP="004236FA">
      <w:pPr>
        <w:shd w:val="clear" w:color="auto" w:fill="FFFFFF"/>
        <w:contextualSpacing/>
        <w:rPr>
          <w:color w:val="000000"/>
          <w:szCs w:val="22"/>
        </w:rPr>
      </w:pPr>
    </w:p>
    <w:p w14:paraId="5B60780E" w14:textId="0B3807ED" w:rsidR="004236FA" w:rsidRPr="00F375E4" w:rsidRDefault="004236FA" w:rsidP="004236FA">
      <w:pPr>
        <w:pStyle w:val="ListParagraph"/>
        <w:numPr>
          <w:ilvl w:val="0"/>
          <w:numId w:val="21"/>
        </w:numPr>
        <w:shd w:val="clear" w:color="auto" w:fill="FFFFFF"/>
        <w:spacing w:before="120" w:beforeAutospacing="0" w:after="120" w:afterAutospacing="0"/>
        <w:ind w:left="1134" w:hanging="425"/>
        <w:rPr>
          <w:color w:val="000000"/>
          <w:szCs w:val="22"/>
        </w:rPr>
      </w:pPr>
      <w:r w:rsidRPr="00F375E4">
        <w:rPr>
          <w:color w:val="000000"/>
        </w:rPr>
        <w:t xml:space="preserve">For </w:t>
      </w:r>
      <w:r>
        <w:rPr>
          <w:color w:val="000000"/>
        </w:rPr>
        <w:t>a service to which item 69501 applies</w:t>
      </w:r>
      <w:r w:rsidRPr="00F375E4">
        <w:rPr>
          <w:color w:val="000000"/>
        </w:rPr>
        <w:t>, a relevant service, provided in accordance with this instrument and as a clinically relevant service, is to be treated, for the relevant provisions, as if:</w:t>
      </w:r>
    </w:p>
    <w:p w14:paraId="1EEA896E" w14:textId="4DC40BC6" w:rsidR="004236FA" w:rsidRPr="00DE1096" w:rsidRDefault="004236FA" w:rsidP="004236FA">
      <w:pPr>
        <w:shd w:val="clear" w:color="auto" w:fill="FFFFFF"/>
        <w:spacing w:line="240" w:lineRule="auto"/>
        <w:ind w:left="1985" w:hanging="851"/>
        <w:contextualSpacing/>
        <w:rPr>
          <w:rFonts w:eastAsia="Times New Roman" w:cs="Times New Roman"/>
          <w:color w:val="000000"/>
          <w:szCs w:val="22"/>
          <w:lang w:eastAsia="en-AU"/>
        </w:rPr>
      </w:pPr>
      <w:r w:rsidRPr="00DE1096">
        <w:rPr>
          <w:rFonts w:eastAsia="Times New Roman" w:cs="Times New Roman"/>
          <w:color w:val="000000"/>
          <w:sz w:val="24"/>
          <w:szCs w:val="24"/>
          <w:lang w:eastAsia="en-AU"/>
        </w:rPr>
        <w:t xml:space="preserve">(a)          </w:t>
      </w:r>
      <w:proofErr w:type="gramStart"/>
      <w:r w:rsidRPr="00DE1096">
        <w:rPr>
          <w:rFonts w:eastAsia="Times New Roman" w:cs="Times New Roman"/>
          <w:color w:val="000000"/>
          <w:sz w:val="24"/>
          <w:szCs w:val="24"/>
          <w:lang w:eastAsia="en-AU"/>
        </w:rPr>
        <w:t>it</w:t>
      </w:r>
      <w:proofErr w:type="gramEnd"/>
      <w:r w:rsidRPr="00DE1096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were a pathology service</w:t>
      </w:r>
      <w:r w:rsidRPr="001C4B09">
        <w:rPr>
          <w:rFonts w:eastAsia="Times New Roman" w:cs="Times New Roman"/>
          <w:color w:val="000000"/>
          <w:sz w:val="24"/>
          <w:szCs w:val="24"/>
          <w:lang w:eastAsia="en-AU"/>
        </w:rPr>
        <w:t>,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 xml:space="preserve"> other than </w:t>
      </w:r>
      <w:r w:rsidR="007E6E65">
        <w:rPr>
          <w:rFonts w:eastAsia="Times New Roman" w:cs="Times New Roman"/>
          <w:color w:val="000000"/>
          <w:sz w:val="24"/>
          <w:szCs w:val="24"/>
          <w:lang w:eastAsia="en-AU"/>
        </w:rPr>
        <w:t>provisions of the Act relating to pathology requests</w:t>
      </w:r>
      <w:r w:rsidRPr="00DE1096">
        <w:rPr>
          <w:rFonts w:eastAsia="Times New Roman" w:cs="Times New Roman"/>
          <w:color w:val="000000"/>
          <w:sz w:val="24"/>
          <w:szCs w:val="24"/>
          <w:lang w:eastAsia="en-AU"/>
        </w:rPr>
        <w:t>; and</w:t>
      </w:r>
    </w:p>
    <w:p w14:paraId="26A6FA5C" w14:textId="77777777" w:rsidR="004236FA" w:rsidRDefault="004236FA" w:rsidP="004236FA">
      <w:pPr>
        <w:shd w:val="clear" w:color="auto" w:fill="FFFFFF"/>
        <w:spacing w:line="240" w:lineRule="auto"/>
        <w:ind w:left="1560" w:hanging="426"/>
        <w:contextualSpacing/>
        <w:rPr>
          <w:rFonts w:eastAsia="Times New Roman" w:cs="Times New Roman"/>
          <w:color w:val="000000"/>
          <w:szCs w:val="22"/>
          <w:lang w:eastAsia="en-AU"/>
        </w:rPr>
      </w:pPr>
      <w:r w:rsidRPr="00DE1096">
        <w:rPr>
          <w:rFonts w:eastAsia="Times New Roman" w:cs="Times New Roman"/>
          <w:color w:val="000000"/>
          <w:sz w:val="24"/>
          <w:szCs w:val="24"/>
          <w:lang w:eastAsia="en-AU"/>
        </w:rPr>
        <w:t xml:space="preserve">(b)          </w:t>
      </w:r>
      <w:proofErr w:type="gramStart"/>
      <w:r w:rsidRPr="00DE1096">
        <w:rPr>
          <w:rFonts w:eastAsia="Times New Roman" w:cs="Times New Roman"/>
          <w:color w:val="000000"/>
          <w:sz w:val="24"/>
          <w:szCs w:val="24"/>
          <w:lang w:eastAsia="en-AU"/>
        </w:rPr>
        <w:t>there</w:t>
      </w:r>
      <w:proofErr w:type="gramEnd"/>
      <w:r w:rsidRPr="00DE1096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were an item in the pathology services table that:</w:t>
      </w:r>
    </w:p>
    <w:p w14:paraId="6EDF5424" w14:textId="77777777" w:rsidR="004236FA" w:rsidRPr="00F375E4" w:rsidRDefault="004236FA" w:rsidP="004236FA">
      <w:pPr>
        <w:pStyle w:val="ListParagraph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552" w:hanging="567"/>
        <w:contextualSpacing/>
        <w:rPr>
          <w:color w:val="000000"/>
          <w:szCs w:val="22"/>
        </w:rPr>
      </w:pPr>
      <w:r w:rsidRPr="00F375E4">
        <w:rPr>
          <w:color w:val="000000"/>
        </w:rPr>
        <w:t>related to the service; and</w:t>
      </w:r>
    </w:p>
    <w:p w14:paraId="08ABD62D" w14:textId="77777777" w:rsidR="004236FA" w:rsidRPr="00F375E4" w:rsidRDefault="004236FA" w:rsidP="004236FA">
      <w:pPr>
        <w:pStyle w:val="ListParagraph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552" w:hanging="567"/>
        <w:contextualSpacing/>
        <w:rPr>
          <w:color w:val="000000"/>
          <w:szCs w:val="22"/>
        </w:rPr>
      </w:pPr>
      <w:proofErr w:type="gramStart"/>
      <w:r w:rsidRPr="00F375E4">
        <w:rPr>
          <w:color w:val="000000"/>
        </w:rPr>
        <w:t>specified</w:t>
      </w:r>
      <w:proofErr w:type="gramEnd"/>
      <w:r w:rsidRPr="00F375E4">
        <w:rPr>
          <w:color w:val="000000"/>
        </w:rPr>
        <w:t xml:space="preserve"> for the service a fee in relation to each State, being the fee specified in the Schedule in relation to the service.</w:t>
      </w:r>
    </w:p>
    <w:p w14:paraId="2178298E" w14:textId="50F57814" w:rsidR="00A51397" w:rsidRPr="00A51397" w:rsidRDefault="00D67ACF" w:rsidP="00A51397">
      <w:pPr>
        <w:pStyle w:val="ListParagraph"/>
        <w:numPr>
          <w:ilvl w:val="0"/>
          <w:numId w:val="21"/>
        </w:numPr>
        <w:shd w:val="clear" w:color="auto" w:fill="FFFFFF"/>
        <w:spacing w:before="120"/>
        <w:ind w:left="1134" w:hanging="425"/>
        <w:rPr>
          <w:color w:val="000000"/>
        </w:rPr>
      </w:pPr>
      <w:r>
        <w:rPr>
          <w:color w:val="000000"/>
        </w:rPr>
        <w:t>For the purpose of paragraph 6(2</w:t>
      </w:r>
      <w:proofErr w:type="gramStart"/>
      <w:r>
        <w:rPr>
          <w:color w:val="000000"/>
        </w:rPr>
        <w:t>)(</w:t>
      </w:r>
      <w:proofErr w:type="gramEnd"/>
      <w:r>
        <w:rPr>
          <w:color w:val="000000"/>
        </w:rPr>
        <w:t>a), provisions of the Act relating to pathology requests</w:t>
      </w:r>
      <w:r w:rsidR="00305718">
        <w:rPr>
          <w:color w:val="000000"/>
        </w:rPr>
        <w:t xml:space="preserve"> include (but are</w:t>
      </w:r>
      <w:r>
        <w:rPr>
          <w:color w:val="000000"/>
        </w:rPr>
        <w:t xml:space="preserve"> not limited to) section 16A (other than subsections 16A(2), (5AB), (6) to (10).</w:t>
      </w:r>
    </w:p>
    <w:p w14:paraId="39D013A3" w14:textId="689B6615" w:rsidR="00A51397" w:rsidRDefault="00A51397" w:rsidP="00A51397">
      <w:pPr>
        <w:pStyle w:val="itemhead0"/>
        <w:numPr>
          <w:ilvl w:val="0"/>
          <w:numId w:val="29"/>
        </w:numPr>
        <w:shd w:val="clear" w:color="auto" w:fill="FFFFFF"/>
        <w:spacing w:before="220" w:beforeAutospacing="0" w:after="0" w:afterAutospacing="0"/>
        <w:ind w:left="70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Schedule 1 (after item </w:t>
      </w:r>
      <w:r w:rsidRPr="00305718">
        <w:rPr>
          <w:rFonts w:ascii="Arial" w:hAnsi="Arial" w:cs="Arial"/>
          <w:b/>
          <w:bCs/>
          <w:color w:val="000000"/>
        </w:rPr>
        <w:t>69480)</w:t>
      </w:r>
    </w:p>
    <w:p w14:paraId="3CB6E108" w14:textId="0A6B8736" w:rsidR="00D67ACF" w:rsidRDefault="00D67ACF" w:rsidP="00A51397">
      <w:pPr>
        <w:shd w:val="clear" w:color="auto" w:fill="FFFFFF"/>
        <w:spacing w:before="120"/>
        <w:ind w:left="851"/>
        <w:rPr>
          <w:color w:val="000000"/>
          <w:sz w:val="24"/>
          <w:szCs w:val="24"/>
        </w:rPr>
      </w:pPr>
      <w:r w:rsidRPr="00305718">
        <w:rPr>
          <w:color w:val="000000"/>
          <w:sz w:val="24"/>
          <w:szCs w:val="24"/>
        </w:rPr>
        <w:lastRenderedPageBreak/>
        <w:t>Insert:</w:t>
      </w:r>
    </w:p>
    <w:tbl>
      <w:tblPr>
        <w:tblW w:w="8685" w:type="dxa"/>
        <w:tblInd w:w="-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6880"/>
        <w:gridCol w:w="853"/>
        <w:gridCol w:w="55"/>
      </w:tblGrid>
      <w:tr w:rsidR="00D67ACF" w:rsidRPr="00D67ACF" w14:paraId="1E260009" w14:textId="77777777" w:rsidTr="00D67ACF">
        <w:trPr>
          <w:trHeight w:val="447"/>
        </w:trPr>
        <w:tc>
          <w:tcPr>
            <w:tcW w:w="8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05196BF" w14:textId="2B65FB74" w:rsidR="00D67ACF" w:rsidRPr="00D67ACF" w:rsidRDefault="009E5AA7" w:rsidP="00AB4889">
            <w:pPr>
              <w:spacing w:before="120" w:after="120" w:line="240" w:lineRule="atLeast"/>
              <w:contextualSpacing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69501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1512DA6" w14:textId="77777777" w:rsidR="005727BF" w:rsidRPr="00B04C5D" w:rsidRDefault="009E5AA7" w:rsidP="00B04C5D">
            <w:pPr>
              <w:rPr>
                <w:sz w:val="20"/>
              </w:rPr>
            </w:pPr>
            <w:r w:rsidRPr="00B04C5D">
              <w:rPr>
                <w:sz w:val="20"/>
              </w:rPr>
              <w:t>Detection of a SARS</w:t>
            </w:r>
            <w:r w:rsidRPr="00B04C5D">
              <w:rPr>
                <w:sz w:val="20"/>
              </w:rPr>
              <w:noBreakHyphen/>
              <w:t>CoV</w:t>
            </w:r>
            <w:r w:rsidRPr="00B04C5D">
              <w:rPr>
                <w:sz w:val="20"/>
              </w:rPr>
              <w:noBreakHyphen/>
              <w:t>2 nucleic acid 1 or more tests if</w:t>
            </w:r>
            <w:r w:rsidR="005727BF" w:rsidRPr="00B04C5D">
              <w:rPr>
                <w:sz w:val="20"/>
              </w:rPr>
              <w:t>:</w:t>
            </w:r>
          </w:p>
          <w:p w14:paraId="774E5754" w14:textId="356740DF" w:rsidR="005727BF" w:rsidRPr="002C7EAB" w:rsidRDefault="004F57BB" w:rsidP="00A629C4">
            <w:pPr>
              <w:pStyle w:val="ListParagraph"/>
              <w:numPr>
                <w:ilvl w:val="0"/>
                <w:numId w:val="30"/>
              </w:numPr>
              <w:spacing w:before="0" w:beforeAutospacing="0" w:after="0" w:afterAutospacing="0"/>
              <w:ind w:left="357" w:hanging="357"/>
              <w:rPr>
                <w:sz w:val="20"/>
              </w:rPr>
            </w:pPr>
            <w:r w:rsidRPr="002C7EAB">
              <w:rPr>
                <w:sz w:val="20"/>
              </w:rPr>
              <w:t>the person</w:t>
            </w:r>
            <w:r w:rsidR="00344794" w:rsidRPr="002C7EAB">
              <w:rPr>
                <w:sz w:val="20"/>
              </w:rPr>
              <w:t xml:space="preserve"> is employed, hired, retained or contracted</w:t>
            </w:r>
            <w:r w:rsidR="00390F91">
              <w:rPr>
                <w:sz w:val="20"/>
              </w:rPr>
              <w:t xml:space="preserve"> by an approved provider, or works</w:t>
            </w:r>
            <w:r w:rsidR="00344794" w:rsidRPr="002C7EAB">
              <w:rPr>
                <w:sz w:val="20"/>
              </w:rPr>
              <w:t xml:space="preserve"> </w:t>
            </w:r>
            <w:r w:rsidR="00390F91">
              <w:rPr>
                <w:sz w:val="20"/>
              </w:rPr>
              <w:t>in</w:t>
            </w:r>
            <w:r w:rsidRPr="002C7EAB">
              <w:rPr>
                <w:sz w:val="20"/>
              </w:rPr>
              <w:t xml:space="preserve"> a</w:t>
            </w:r>
            <w:r w:rsidR="005727BF" w:rsidRPr="002C7EAB">
              <w:rPr>
                <w:sz w:val="20"/>
              </w:rPr>
              <w:t>n</w:t>
            </w:r>
            <w:r w:rsidR="00344794" w:rsidRPr="002C7EAB">
              <w:rPr>
                <w:sz w:val="20"/>
              </w:rPr>
              <w:t xml:space="preserve"> </w:t>
            </w:r>
            <w:r w:rsidRPr="002C7EAB">
              <w:rPr>
                <w:sz w:val="20"/>
              </w:rPr>
              <w:t xml:space="preserve">aged care </w:t>
            </w:r>
            <w:r w:rsidR="00344794" w:rsidRPr="002C7EAB">
              <w:rPr>
                <w:sz w:val="20"/>
              </w:rPr>
              <w:t>service</w:t>
            </w:r>
            <w:r w:rsidR="00390F91">
              <w:rPr>
                <w:sz w:val="20"/>
              </w:rPr>
              <w:t>,</w:t>
            </w:r>
            <w:r w:rsidR="009D6CA3" w:rsidRPr="002C7EAB">
              <w:rPr>
                <w:sz w:val="20"/>
              </w:rPr>
              <w:t xml:space="preserve"> in Victoria</w:t>
            </w:r>
            <w:r w:rsidR="005727BF" w:rsidRPr="002C7EAB">
              <w:rPr>
                <w:sz w:val="20"/>
              </w:rPr>
              <w:t xml:space="preserve">; and </w:t>
            </w:r>
          </w:p>
          <w:p w14:paraId="481568A2" w14:textId="7B76769C" w:rsidR="002C7EAB" w:rsidRDefault="001C4B09" w:rsidP="007E7555">
            <w:pPr>
              <w:pStyle w:val="ListParagraph"/>
              <w:numPr>
                <w:ilvl w:val="0"/>
                <w:numId w:val="30"/>
              </w:numPr>
              <w:ind w:right="-172"/>
              <w:rPr>
                <w:sz w:val="20"/>
              </w:rPr>
            </w:pPr>
            <w:r w:rsidRPr="002C7EAB">
              <w:rPr>
                <w:sz w:val="20"/>
              </w:rPr>
              <w:t xml:space="preserve">the </w:t>
            </w:r>
            <w:r w:rsidR="002C14C3" w:rsidRPr="002C7EAB">
              <w:rPr>
                <w:sz w:val="20"/>
              </w:rPr>
              <w:t>person is informed of the results of the test</w:t>
            </w:r>
            <w:r w:rsidR="00DE1614" w:rsidRPr="002C7EAB">
              <w:rPr>
                <w:sz w:val="20"/>
              </w:rPr>
              <w:t>s</w:t>
            </w:r>
            <w:r w:rsidR="002C14C3" w:rsidRPr="002C7EAB">
              <w:rPr>
                <w:sz w:val="20"/>
              </w:rPr>
              <w:t xml:space="preserve"> within 24 hours of </w:t>
            </w:r>
            <w:r w:rsidR="00445E74" w:rsidRPr="002C7EAB">
              <w:rPr>
                <w:sz w:val="20"/>
              </w:rPr>
              <w:t>rece</w:t>
            </w:r>
            <w:r w:rsidR="00740AF4" w:rsidRPr="002C7EAB">
              <w:rPr>
                <w:sz w:val="20"/>
              </w:rPr>
              <w:t xml:space="preserve">ipt of the specimen at an </w:t>
            </w:r>
            <w:r w:rsidR="00A53FEC">
              <w:rPr>
                <w:sz w:val="20"/>
              </w:rPr>
              <w:t>a</w:t>
            </w:r>
            <w:r w:rsidR="00740AF4" w:rsidRPr="002C7EAB">
              <w:rPr>
                <w:sz w:val="20"/>
              </w:rPr>
              <w:t xml:space="preserve">ccredited </w:t>
            </w:r>
            <w:r w:rsidR="00A53FEC">
              <w:rPr>
                <w:sz w:val="20"/>
              </w:rPr>
              <w:t>p</w:t>
            </w:r>
            <w:r w:rsidR="00445E74" w:rsidRPr="002C7EAB">
              <w:rPr>
                <w:sz w:val="20"/>
              </w:rPr>
              <w:t xml:space="preserve">athology </w:t>
            </w:r>
            <w:r w:rsidR="00A53FEC">
              <w:rPr>
                <w:sz w:val="20"/>
              </w:rPr>
              <w:t>l</w:t>
            </w:r>
            <w:r w:rsidR="00445E74" w:rsidRPr="002C7EAB">
              <w:rPr>
                <w:sz w:val="20"/>
              </w:rPr>
              <w:t>aboratory</w:t>
            </w:r>
            <w:r w:rsidR="002C14C3" w:rsidRPr="002C7EAB">
              <w:rPr>
                <w:sz w:val="20"/>
              </w:rPr>
              <w:t>; and</w:t>
            </w:r>
          </w:p>
          <w:p w14:paraId="23F7DD3C" w14:textId="2F13696F" w:rsidR="002C7EAB" w:rsidRDefault="00346930" w:rsidP="002234D1">
            <w:pPr>
              <w:pStyle w:val="ListParagraph"/>
              <w:numPr>
                <w:ilvl w:val="0"/>
                <w:numId w:val="30"/>
              </w:numPr>
              <w:ind w:right="-172"/>
              <w:rPr>
                <w:sz w:val="20"/>
              </w:rPr>
            </w:pPr>
            <w:r w:rsidRPr="002C7EAB">
              <w:rPr>
                <w:sz w:val="20"/>
              </w:rPr>
              <w:t xml:space="preserve">the results of the test are reported </w:t>
            </w:r>
            <w:r w:rsidR="004D2762">
              <w:rPr>
                <w:sz w:val="20"/>
              </w:rPr>
              <w:t>to all appropriate authorities in</w:t>
            </w:r>
            <w:r w:rsidRPr="002C7EAB">
              <w:rPr>
                <w:sz w:val="20"/>
              </w:rPr>
              <w:t xml:space="preserve"> </w:t>
            </w:r>
            <w:r w:rsidR="005F73E5">
              <w:rPr>
                <w:sz w:val="20"/>
              </w:rPr>
              <w:t xml:space="preserve">accordance with </w:t>
            </w:r>
            <w:r w:rsidR="004D2762">
              <w:rPr>
                <w:sz w:val="20"/>
              </w:rPr>
              <w:t xml:space="preserve">Victorian </w:t>
            </w:r>
            <w:r w:rsidR="005F73E5">
              <w:rPr>
                <w:sz w:val="20"/>
              </w:rPr>
              <w:t xml:space="preserve">legislation or regulations </w:t>
            </w:r>
            <w:r w:rsidRPr="002C7EAB">
              <w:rPr>
                <w:sz w:val="20"/>
              </w:rPr>
              <w:t xml:space="preserve">within 24 hours of </w:t>
            </w:r>
            <w:r w:rsidR="009721B0" w:rsidRPr="002C7EAB">
              <w:rPr>
                <w:sz w:val="20"/>
              </w:rPr>
              <w:t>rece</w:t>
            </w:r>
            <w:r w:rsidR="00A53FEC">
              <w:rPr>
                <w:sz w:val="20"/>
              </w:rPr>
              <w:t>ipt of the specimen at an a</w:t>
            </w:r>
            <w:r w:rsidR="00740AF4" w:rsidRPr="002C7EAB">
              <w:rPr>
                <w:sz w:val="20"/>
              </w:rPr>
              <w:t>ccredited</w:t>
            </w:r>
            <w:r w:rsidR="009721B0" w:rsidRPr="002C7EAB">
              <w:rPr>
                <w:sz w:val="20"/>
              </w:rPr>
              <w:t xml:space="preserve"> </w:t>
            </w:r>
            <w:r w:rsidR="00A53FEC">
              <w:rPr>
                <w:sz w:val="20"/>
              </w:rPr>
              <w:t>pathology l</w:t>
            </w:r>
            <w:r w:rsidR="009721B0" w:rsidRPr="002C7EAB">
              <w:rPr>
                <w:sz w:val="20"/>
              </w:rPr>
              <w:t>aboratory</w:t>
            </w:r>
            <w:r w:rsidRPr="002C7EAB">
              <w:rPr>
                <w:sz w:val="20"/>
              </w:rPr>
              <w:t>; and</w:t>
            </w:r>
          </w:p>
          <w:p w14:paraId="343C1810" w14:textId="77777777" w:rsidR="002C7EAB" w:rsidRDefault="00EA7D01" w:rsidP="007213D3">
            <w:pPr>
              <w:pStyle w:val="ListParagraph"/>
              <w:numPr>
                <w:ilvl w:val="0"/>
                <w:numId w:val="30"/>
              </w:numPr>
              <w:ind w:right="-142"/>
              <w:rPr>
                <w:sz w:val="20"/>
              </w:rPr>
            </w:pPr>
            <w:r w:rsidRPr="002C7EAB">
              <w:rPr>
                <w:sz w:val="20"/>
              </w:rPr>
              <w:t>the person is not a private patient in a recognised hospital; and</w:t>
            </w:r>
          </w:p>
          <w:p w14:paraId="4CE1E42A" w14:textId="77777777" w:rsidR="002C7EAB" w:rsidRDefault="00382EC8" w:rsidP="00EB593F">
            <w:pPr>
              <w:pStyle w:val="ListParagraph"/>
              <w:numPr>
                <w:ilvl w:val="0"/>
                <w:numId w:val="30"/>
              </w:numPr>
              <w:ind w:right="-142"/>
              <w:rPr>
                <w:sz w:val="20"/>
              </w:rPr>
            </w:pPr>
            <w:r w:rsidRPr="002C7EAB">
              <w:rPr>
                <w:sz w:val="20"/>
              </w:rPr>
              <w:t xml:space="preserve">the person is not an admitted patient of a hospital; and </w:t>
            </w:r>
          </w:p>
          <w:p w14:paraId="3F53FA15" w14:textId="52C9E9DF" w:rsidR="002C7EAB" w:rsidRDefault="002C14C3" w:rsidP="001756C3">
            <w:pPr>
              <w:pStyle w:val="ListParagraph"/>
              <w:numPr>
                <w:ilvl w:val="0"/>
                <w:numId w:val="30"/>
              </w:numPr>
              <w:ind w:right="-142"/>
              <w:rPr>
                <w:sz w:val="20"/>
              </w:rPr>
            </w:pPr>
            <w:r w:rsidRPr="002C7EAB">
              <w:rPr>
                <w:sz w:val="20"/>
              </w:rPr>
              <w:t>the service is not performed in a prescribed laborat</w:t>
            </w:r>
            <w:r w:rsidR="00063DF0">
              <w:rPr>
                <w:sz w:val="20"/>
              </w:rPr>
              <w:t>ory as described in 4.1 of the pathology services t</w:t>
            </w:r>
            <w:r w:rsidRPr="002C7EAB">
              <w:rPr>
                <w:sz w:val="20"/>
              </w:rPr>
              <w:t>able</w:t>
            </w:r>
          </w:p>
          <w:p w14:paraId="1500E6F4" w14:textId="51E9ABA6" w:rsidR="002C14C3" w:rsidRPr="00A51397" w:rsidRDefault="0076639D" w:rsidP="00A51397">
            <w:pPr>
              <w:ind w:right="-142"/>
              <w:rPr>
                <w:sz w:val="20"/>
              </w:rPr>
            </w:pPr>
            <w:r>
              <w:rPr>
                <w:sz w:val="20"/>
              </w:rPr>
              <w:t>O</w:t>
            </w:r>
            <w:r w:rsidR="002C14C3" w:rsidRPr="00A51397">
              <w:rPr>
                <w:sz w:val="20"/>
              </w:rPr>
              <w:t xml:space="preserve">ther than a service to which </w:t>
            </w:r>
            <w:r w:rsidRPr="00A51397">
              <w:rPr>
                <w:sz w:val="20"/>
              </w:rPr>
              <w:t xml:space="preserve">an </w:t>
            </w:r>
            <w:r w:rsidR="002C14C3" w:rsidRPr="00A51397">
              <w:rPr>
                <w:sz w:val="20"/>
              </w:rPr>
              <w:t xml:space="preserve">item </w:t>
            </w:r>
            <w:r w:rsidRPr="00A51397">
              <w:rPr>
                <w:sz w:val="20"/>
              </w:rPr>
              <w:t>in this instrument or an item in the pathology services tables</w:t>
            </w:r>
            <w:r w:rsidR="002C14C3" w:rsidRPr="00A51397">
              <w:rPr>
                <w:sz w:val="20"/>
              </w:rPr>
              <w:t xml:space="preserve"> applies</w:t>
            </w:r>
            <w:r>
              <w:rPr>
                <w:sz w:val="20"/>
              </w:rPr>
              <w:t>.</w:t>
            </w:r>
          </w:p>
          <w:p w14:paraId="5E99DE3C" w14:textId="5262213E" w:rsidR="003C4837" w:rsidRPr="00B04C5D" w:rsidRDefault="009E5AA7" w:rsidP="00AB4889">
            <w:pPr>
              <w:spacing w:before="120" w:after="120" w:line="240" w:lineRule="atLeast"/>
              <w:contextualSpacing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B04C5D">
              <w:rPr>
                <w:rFonts w:eastAsia="Times New Roman" w:cs="Times New Roman"/>
                <w:color w:val="000000"/>
                <w:sz w:val="20"/>
                <w:lang w:eastAsia="en-AU"/>
              </w:rPr>
              <w:t>Where the service is bulk</w:t>
            </w:r>
            <w:r w:rsidRPr="00B04C5D">
              <w:rPr>
                <w:rFonts w:eastAsia="Times New Roman" w:cs="Times New Roman"/>
                <w:color w:val="000000"/>
                <w:sz w:val="20"/>
                <w:lang w:eastAsia="en-AU"/>
              </w:rPr>
              <w:noBreakHyphen/>
              <w:t>billed</w:t>
            </w:r>
            <w:r w:rsidR="0076639D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FEF9863" w14:textId="49549A4D" w:rsidR="00D67ACF" w:rsidRPr="00D67ACF" w:rsidRDefault="00134245" w:rsidP="00AB4889">
            <w:pPr>
              <w:spacing w:before="120" w:after="120" w:line="240" w:lineRule="atLeast"/>
              <w:contextualSpacing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  <w:r w:rsidR="00A629C4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  <w:r w:rsidR="00437388">
              <w:rPr>
                <w:rFonts w:eastAsia="Times New Roman" w:cs="Times New Roman"/>
                <w:color w:val="000000"/>
                <w:sz w:val="20"/>
                <w:lang w:eastAsia="en-AU"/>
              </w:rPr>
              <w:t>0</w:t>
            </w:r>
            <w:r w:rsidR="009E5AA7">
              <w:rPr>
                <w:rFonts w:eastAsia="Times New Roman" w:cs="Times New Roman"/>
                <w:color w:val="000000"/>
                <w:sz w:val="20"/>
                <w:lang w:eastAsia="en-AU"/>
              </w:rPr>
              <w:t>.00</w:t>
            </w:r>
          </w:p>
        </w:tc>
        <w:tc>
          <w:tcPr>
            <w:tcW w:w="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B5E52F" w14:textId="77777777" w:rsidR="00D67ACF" w:rsidRPr="00D67ACF" w:rsidRDefault="00D67ACF" w:rsidP="00AB4889">
            <w:pPr>
              <w:spacing w:before="120" w:after="120"/>
              <w:contextualSpacing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67ACF">
              <w:rPr>
                <w:rFonts w:eastAsia="Times New Roman" w:cs="Times New Roman"/>
                <w:color w:val="000000"/>
                <w:szCs w:val="22"/>
                <w:lang w:eastAsia="en-AU"/>
              </w:rPr>
              <w:t> </w:t>
            </w:r>
          </w:p>
        </w:tc>
      </w:tr>
    </w:tbl>
    <w:p w14:paraId="5A2ED139" w14:textId="77777777" w:rsidR="00D67ACF" w:rsidRPr="00D67ACF" w:rsidRDefault="00D67ACF" w:rsidP="00D67ACF">
      <w:pPr>
        <w:shd w:val="clear" w:color="auto" w:fill="FFFFFF"/>
        <w:spacing w:before="120"/>
        <w:ind w:left="426"/>
        <w:rPr>
          <w:color w:val="000000"/>
          <w:sz w:val="24"/>
          <w:szCs w:val="24"/>
        </w:rPr>
      </w:pPr>
    </w:p>
    <w:p w14:paraId="269903F3" w14:textId="5A9AD34F" w:rsidR="00DE1096" w:rsidRPr="00DE1096" w:rsidRDefault="00DE1096" w:rsidP="00DE1096">
      <w:pPr>
        <w:pStyle w:val="ItemHead"/>
        <w:rPr>
          <w:lang w:eastAsia="en-US"/>
        </w:rPr>
      </w:pPr>
    </w:p>
    <w:sectPr w:rsidR="00DE1096" w:rsidRPr="00DE1096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9CB41" w14:textId="77777777" w:rsidR="00347A5B" w:rsidRDefault="00347A5B" w:rsidP="00715914">
      <w:pPr>
        <w:spacing w:line="240" w:lineRule="auto"/>
      </w:pPr>
      <w:r>
        <w:separator/>
      </w:r>
    </w:p>
  </w:endnote>
  <w:endnote w:type="continuationSeparator" w:id="0">
    <w:p w14:paraId="00C8CF1A" w14:textId="77777777" w:rsidR="00347A5B" w:rsidRDefault="00347A5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BoldItalic r:id="rId1" w:subsetted="1" w:fontKey="{3D0B13DF-F8CA-4097-99CA-08806C1FD24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35778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200C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5B200C" w:rsidRDefault="005B200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561992F3" w:rsidR="005B200C" w:rsidRPr="004E1307" w:rsidRDefault="005B200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32E04">
            <w:rPr>
              <w:i/>
              <w:noProof/>
              <w:sz w:val="18"/>
            </w:rPr>
            <w:t>Health Insurance (Section 3C Pathology Services – COVID-19) Amendment (No. 4)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5B200C" w:rsidRDefault="005B200C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5B200C" w:rsidRPr="00ED79B6" w:rsidRDefault="005B200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12FF0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B200C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38989C48" w:rsidR="005B200C" w:rsidRDefault="005B200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32E04">
            <w:rPr>
              <w:i/>
              <w:noProof/>
              <w:sz w:val="18"/>
            </w:rPr>
            <w:t>Health Insurance (Section 3C Pathology Services – COVID-19) Amendment (No. 4)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5B200C" w:rsidRDefault="005B200C" w:rsidP="00A369E3">
          <w:pPr>
            <w:rPr>
              <w:sz w:val="18"/>
            </w:rPr>
          </w:pPr>
        </w:p>
      </w:tc>
    </w:tr>
  </w:tbl>
  <w:p w14:paraId="1B991271" w14:textId="77777777" w:rsidR="005B200C" w:rsidRPr="00ED79B6" w:rsidRDefault="005B200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83C8E" w14:textId="77777777" w:rsidR="005B200C" w:rsidRPr="00E33C1C" w:rsidRDefault="005B200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B200C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5B200C" w:rsidRPr="00ED79B6" w:rsidRDefault="005B200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1B3B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B200C" w14:paraId="3C05DE38" w14:textId="77777777" w:rsidTr="000E05F9">
      <w:tc>
        <w:tcPr>
          <w:tcW w:w="365" w:type="pct"/>
        </w:tcPr>
        <w:p w14:paraId="66C24B85" w14:textId="77777777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732DA47D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32E04">
            <w:rPr>
              <w:i/>
              <w:noProof/>
              <w:sz w:val="18"/>
            </w:rPr>
            <w:t>Health Insurance (Section 3C Pathology Services – COVID-19) Amendment (No. 4)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31FC1FAD" w14:textId="77777777" w:rsidTr="000E05F9">
      <w:tc>
        <w:tcPr>
          <w:tcW w:w="5000" w:type="pct"/>
          <w:gridSpan w:val="3"/>
        </w:tcPr>
        <w:p w14:paraId="482AEE13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5B200C" w:rsidRPr="00ED79B6" w:rsidRDefault="005B200C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68E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16C96B4D" w14:textId="77777777" w:rsidTr="000E05F9">
      <w:tc>
        <w:tcPr>
          <w:tcW w:w="947" w:type="pct"/>
        </w:tcPr>
        <w:p w14:paraId="0850382C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64E6C92B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B1400">
            <w:rPr>
              <w:i/>
              <w:noProof/>
              <w:sz w:val="18"/>
            </w:rPr>
            <w:t>Health Insurance (Section 3C Pathology Services – COVID-19) Amendment (No. 4)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66171445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B140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783563EC" w14:textId="77777777" w:rsidTr="000E05F9">
      <w:tc>
        <w:tcPr>
          <w:tcW w:w="5000" w:type="pct"/>
          <w:gridSpan w:val="3"/>
        </w:tcPr>
        <w:p w14:paraId="48261661" w14:textId="77777777" w:rsidR="005B200C" w:rsidRDefault="005B200C" w:rsidP="000E05F9">
          <w:pPr>
            <w:rPr>
              <w:sz w:val="18"/>
            </w:rPr>
          </w:pPr>
        </w:p>
      </w:tc>
    </w:tr>
  </w:tbl>
  <w:p w14:paraId="33474906" w14:textId="77777777" w:rsidR="005B200C" w:rsidRPr="00ED79B6" w:rsidRDefault="005B200C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0D4C0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44C0DBC8" w14:textId="77777777" w:rsidTr="000E05F9">
      <w:tc>
        <w:tcPr>
          <w:tcW w:w="365" w:type="pct"/>
        </w:tcPr>
        <w:p w14:paraId="25BE9428" w14:textId="52EBE75E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B140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14F062C7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B1400">
            <w:rPr>
              <w:i/>
              <w:noProof/>
              <w:sz w:val="18"/>
            </w:rPr>
            <w:t>Health Insurance (Section 3C Pathology Services – COVID-19) Amendment (No. 4)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145A34D1" w14:textId="77777777" w:rsidTr="000E05F9">
      <w:tc>
        <w:tcPr>
          <w:tcW w:w="5000" w:type="pct"/>
          <w:gridSpan w:val="3"/>
        </w:tcPr>
        <w:p w14:paraId="35BC501D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5B200C" w:rsidRPr="00ED79B6" w:rsidRDefault="005B200C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6D2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5DBDFC33" w14:textId="77777777" w:rsidTr="000E05F9">
      <w:tc>
        <w:tcPr>
          <w:tcW w:w="947" w:type="pct"/>
        </w:tcPr>
        <w:p w14:paraId="5B00D949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3616E2E5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B1400">
            <w:rPr>
              <w:i/>
              <w:noProof/>
              <w:sz w:val="18"/>
            </w:rPr>
            <w:t>Health Insurance (Section 3C Pathology Services – COVID-19) Amendment (No. 4)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74674C77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B1400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5D550B5F" w14:textId="77777777" w:rsidTr="000E05F9">
      <w:tc>
        <w:tcPr>
          <w:tcW w:w="5000" w:type="pct"/>
          <w:gridSpan w:val="3"/>
        </w:tcPr>
        <w:p w14:paraId="5C810977" w14:textId="77777777" w:rsidR="005B200C" w:rsidRDefault="005B200C" w:rsidP="000E05F9">
          <w:pPr>
            <w:rPr>
              <w:sz w:val="18"/>
            </w:rPr>
          </w:pPr>
        </w:p>
      </w:tc>
    </w:tr>
  </w:tbl>
  <w:p w14:paraId="22A21FFE" w14:textId="77777777" w:rsidR="005B200C" w:rsidRPr="00ED79B6" w:rsidRDefault="005B200C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81AD8" w14:textId="77777777" w:rsidR="00347A5B" w:rsidRDefault="00347A5B" w:rsidP="00715914">
      <w:pPr>
        <w:spacing w:line="240" w:lineRule="auto"/>
      </w:pPr>
      <w:r>
        <w:separator/>
      </w:r>
    </w:p>
  </w:footnote>
  <w:footnote w:type="continuationSeparator" w:id="0">
    <w:p w14:paraId="12372923" w14:textId="77777777" w:rsidR="00347A5B" w:rsidRDefault="00347A5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B2020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8E793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F513B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ECE74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FA8B2" w14:textId="77777777" w:rsidR="005B200C" w:rsidRPr="00ED79B6" w:rsidRDefault="005B200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772F7" w14:textId="77777777" w:rsidR="005B200C" w:rsidRDefault="005B200C" w:rsidP="00715914">
    <w:pPr>
      <w:rPr>
        <w:sz w:val="20"/>
      </w:rPr>
    </w:pPr>
  </w:p>
  <w:p w14:paraId="6C624911" w14:textId="77777777" w:rsidR="005B200C" w:rsidRDefault="005B200C" w:rsidP="00715914">
    <w:pPr>
      <w:rPr>
        <w:sz w:val="20"/>
      </w:rPr>
    </w:pPr>
  </w:p>
  <w:p w14:paraId="1199FB21" w14:textId="77777777" w:rsidR="005B200C" w:rsidRPr="007A1328" w:rsidRDefault="005B200C" w:rsidP="00715914">
    <w:pPr>
      <w:rPr>
        <w:sz w:val="20"/>
      </w:rPr>
    </w:pPr>
  </w:p>
  <w:p w14:paraId="5B43CE78" w14:textId="77777777" w:rsidR="005B200C" w:rsidRPr="007A1328" w:rsidRDefault="005B200C" w:rsidP="00715914">
    <w:pPr>
      <w:rPr>
        <w:b/>
        <w:sz w:val="24"/>
      </w:rPr>
    </w:pPr>
  </w:p>
  <w:p w14:paraId="5354B53F" w14:textId="77777777" w:rsidR="005B200C" w:rsidRPr="007A1328" w:rsidRDefault="005B200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949B4" w14:textId="77777777" w:rsidR="005B200C" w:rsidRPr="007A1328" w:rsidRDefault="005B200C" w:rsidP="00715914">
    <w:pPr>
      <w:jc w:val="right"/>
      <w:rPr>
        <w:sz w:val="20"/>
      </w:rPr>
    </w:pPr>
  </w:p>
  <w:p w14:paraId="4D4D5754" w14:textId="77777777" w:rsidR="005B200C" w:rsidRPr="007A1328" w:rsidRDefault="005B200C" w:rsidP="00715914">
    <w:pPr>
      <w:jc w:val="right"/>
      <w:rPr>
        <w:sz w:val="20"/>
      </w:rPr>
    </w:pPr>
  </w:p>
  <w:p w14:paraId="2B1C22A9" w14:textId="77777777" w:rsidR="005B200C" w:rsidRPr="007A1328" w:rsidRDefault="005B200C" w:rsidP="00715914">
    <w:pPr>
      <w:jc w:val="right"/>
      <w:rPr>
        <w:sz w:val="20"/>
      </w:rPr>
    </w:pPr>
  </w:p>
  <w:p w14:paraId="716A6B82" w14:textId="77777777" w:rsidR="005B200C" w:rsidRPr="007A1328" w:rsidRDefault="005B200C" w:rsidP="00715914">
    <w:pPr>
      <w:jc w:val="right"/>
      <w:rPr>
        <w:b/>
        <w:sz w:val="24"/>
      </w:rPr>
    </w:pPr>
  </w:p>
  <w:p w14:paraId="1AAB4A52" w14:textId="77777777" w:rsidR="005B200C" w:rsidRPr="007A1328" w:rsidRDefault="005B200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E4587"/>
    <w:multiLevelType w:val="hybridMultilevel"/>
    <w:tmpl w:val="15745762"/>
    <w:lvl w:ilvl="0" w:tplc="979222C4">
      <w:start w:val="2"/>
      <w:numFmt w:val="decimal"/>
      <w:lvlText w:val="%1"/>
      <w:lvlJc w:val="left"/>
      <w:pPr>
        <w:ind w:left="1429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0C1765B"/>
    <w:multiLevelType w:val="hybridMultilevel"/>
    <w:tmpl w:val="6950958E"/>
    <w:lvl w:ilvl="0" w:tplc="A55EB4D8">
      <w:start w:val="1"/>
      <w:numFmt w:val="decimal"/>
      <w:lvlText w:val="(%1)"/>
      <w:lvlJc w:val="left"/>
      <w:pPr>
        <w:ind w:left="1429" w:hanging="360"/>
      </w:pPr>
      <w:rPr>
        <w:rFonts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E412DC"/>
    <w:multiLevelType w:val="hybridMultilevel"/>
    <w:tmpl w:val="A38EE9F8"/>
    <w:lvl w:ilvl="0" w:tplc="8E68ADA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B263584"/>
    <w:multiLevelType w:val="hybridMultilevel"/>
    <w:tmpl w:val="A496B520"/>
    <w:lvl w:ilvl="0" w:tplc="12BE481E">
      <w:start w:val="3"/>
      <w:numFmt w:val="decimal"/>
      <w:lvlText w:val="%1"/>
      <w:lvlJc w:val="left"/>
      <w:pPr>
        <w:ind w:left="1429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C1312F"/>
    <w:multiLevelType w:val="hybridMultilevel"/>
    <w:tmpl w:val="947A813A"/>
    <w:lvl w:ilvl="0" w:tplc="01325564">
      <w:start w:val="1"/>
      <w:numFmt w:val="decimal"/>
      <w:lvlText w:val="%1"/>
      <w:lvlJc w:val="left"/>
      <w:pPr>
        <w:ind w:left="1429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9849A4"/>
    <w:multiLevelType w:val="hybridMultilevel"/>
    <w:tmpl w:val="B6A6B64A"/>
    <w:lvl w:ilvl="0" w:tplc="C290A8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3CC625C6"/>
    <w:multiLevelType w:val="hybridMultilevel"/>
    <w:tmpl w:val="0E9A94C0"/>
    <w:lvl w:ilvl="0" w:tplc="010446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82597"/>
    <w:multiLevelType w:val="hybridMultilevel"/>
    <w:tmpl w:val="953807D0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53245BD"/>
    <w:multiLevelType w:val="hybridMultilevel"/>
    <w:tmpl w:val="59322BF0"/>
    <w:lvl w:ilvl="0" w:tplc="77AEB34E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15445"/>
    <w:multiLevelType w:val="hybridMultilevel"/>
    <w:tmpl w:val="3B627728"/>
    <w:lvl w:ilvl="0" w:tplc="EAB6F7B4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F2E57F2"/>
    <w:multiLevelType w:val="hybridMultilevel"/>
    <w:tmpl w:val="356270B0"/>
    <w:lvl w:ilvl="0" w:tplc="BB90F688">
      <w:start w:val="1"/>
      <w:numFmt w:val="decimal"/>
      <w:lvlText w:val="%1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2"/>
  </w:num>
  <w:num w:numId="13">
    <w:abstractNumId w:val="18"/>
  </w:num>
  <w:num w:numId="14">
    <w:abstractNumId w:val="11"/>
  </w:num>
  <w:num w:numId="15">
    <w:abstractNumId w:val="22"/>
  </w:num>
  <w:num w:numId="16">
    <w:abstractNumId w:val="13"/>
  </w:num>
  <w:num w:numId="17">
    <w:abstractNumId w:val="29"/>
  </w:num>
  <w:num w:numId="18">
    <w:abstractNumId w:val="17"/>
  </w:num>
  <w:num w:numId="19">
    <w:abstractNumId w:val="25"/>
  </w:num>
  <w:num w:numId="20">
    <w:abstractNumId w:val="16"/>
  </w:num>
  <w:num w:numId="21">
    <w:abstractNumId w:val="14"/>
  </w:num>
  <w:num w:numId="22">
    <w:abstractNumId w:val="28"/>
  </w:num>
  <w:num w:numId="23">
    <w:abstractNumId w:val="30"/>
  </w:num>
  <w:num w:numId="24">
    <w:abstractNumId w:val="27"/>
  </w:num>
  <w:num w:numId="25">
    <w:abstractNumId w:val="10"/>
  </w:num>
  <w:num w:numId="26">
    <w:abstractNumId w:val="15"/>
  </w:num>
  <w:num w:numId="27">
    <w:abstractNumId w:val="24"/>
  </w:num>
  <w:num w:numId="28">
    <w:abstractNumId w:val="19"/>
  </w:num>
  <w:num w:numId="29">
    <w:abstractNumId w:val="20"/>
  </w:num>
  <w:num w:numId="30">
    <w:abstractNumId w:val="2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5B"/>
    <w:rsid w:val="00004174"/>
    <w:rsid w:val="00004470"/>
    <w:rsid w:val="000136AF"/>
    <w:rsid w:val="000258B1"/>
    <w:rsid w:val="00037A04"/>
    <w:rsid w:val="00040A89"/>
    <w:rsid w:val="0004338F"/>
    <w:rsid w:val="000437C1"/>
    <w:rsid w:val="0004455A"/>
    <w:rsid w:val="0005365D"/>
    <w:rsid w:val="000538E8"/>
    <w:rsid w:val="000614BF"/>
    <w:rsid w:val="00063DF0"/>
    <w:rsid w:val="0006709C"/>
    <w:rsid w:val="00074376"/>
    <w:rsid w:val="0007677A"/>
    <w:rsid w:val="000872E3"/>
    <w:rsid w:val="000978F5"/>
    <w:rsid w:val="000B15CD"/>
    <w:rsid w:val="000B35EB"/>
    <w:rsid w:val="000D05EF"/>
    <w:rsid w:val="000E05F9"/>
    <w:rsid w:val="000E2261"/>
    <w:rsid w:val="000E78B7"/>
    <w:rsid w:val="000F21C1"/>
    <w:rsid w:val="001013CE"/>
    <w:rsid w:val="0010745C"/>
    <w:rsid w:val="00114767"/>
    <w:rsid w:val="00131922"/>
    <w:rsid w:val="00132CEB"/>
    <w:rsid w:val="001339B0"/>
    <w:rsid w:val="00134245"/>
    <w:rsid w:val="00142B62"/>
    <w:rsid w:val="001441B7"/>
    <w:rsid w:val="001516CB"/>
    <w:rsid w:val="00152336"/>
    <w:rsid w:val="00157B8B"/>
    <w:rsid w:val="00166C2F"/>
    <w:rsid w:val="0017256F"/>
    <w:rsid w:val="001809D7"/>
    <w:rsid w:val="001939E1"/>
    <w:rsid w:val="00194C3E"/>
    <w:rsid w:val="00195382"/>
    <w:rsid w:val="001B2CB6"/>
    <w:rsid w:val="001C4B09"/>
    <w:rsid w:val="001C61C5"/>
    <w:rsid w:val="001C69C4"/>
    <w:rsid w:val="001D37EF"/>
    <w:rsid w:val="001E3590"/>
    <w:rsid w:val="001E4239"/>
    <w:rsid w:val="001E7407"/>
    <w:rsid w:val="001F5D5E"/>
    <w:rsid w:val="001F6219"/>
    <w:rsid w:val="001F6CD4"/>
    <w:rsid w:val="00206C4D"/>
    <w:rsid w:val="00215AF1"/>
    <w:rsid w:val="002321E8"/>
    <w:rsid w:val="00232984"/>
    <w:rsid w:val="00237AB8"/>
    <w:rsid w:val="0024010F"/>
    <w:rsid w:val="00240749"/>
    <w:rsid w:val="00243018"/>
    <w:rsid w:val="002564A4"/>
    <w:rsid w:val="0026736C"/>
    <w:rsid w:val="00280E43"/>
    <w:rsid w:val="00281308"/>
    <w:rsid w:val="00283C8F"/>
    <w:rsid w:val="00283E94"/>
    <w:rsid w:val="00284719"/>
    <w:rsid w:val="00297ECB"/>
    <w:rsid w:val="002A7BCF"/>
    <w:rsid w:val="002B1400"/>
    <w:rsid w:val="002C14C3"/>
    <w:rsid w:val="002C3FD1"/>
    <w:rsid w:val="002C7EAB"/>
    <w:rsid w:val="002D043A"/>
    <w:rsid w:val="002D266B"/>
    <w:rsid w:val="002D6224"/>
    <w:rsid w:val="002F2EF1"/>
    <w:rsid w:val="00304F8B"/>
    <w:rsid w:val="00305718"/>
    <w:rsid w:val="00311172"/>
    <w:rsid w:val="0032501D"/>
    <w:rsid w:val="00335BC6"/>
    <w:rsid w:val="003415D3"/>
    <w:rsid w:val="00344338"/>
    <w:rsid w:val="00344701"/>
    <w:rsid w:val="00344794"/>
    <w:rsid w:val="00346930"/>
    <w:rsid w:val="00347A5B"/>
    <w:rsid w:val="00352B0F"/>
    <w:rsid w:val="00355B22"/>
    <w:rsid w:val="00360459"/>
    <w:rsid w:val="0038049F"/>
    <w:rsid w:val="003820E6"/>
    <w:rsid w:val="00382EC8"/>
    <w:rsid w:val="00390F91"/>
    <w:rsid w:val="003B0A72"/>
    <w:rsid w:val="003B4366"/>
    <w:rsid w:val="003C170F"/>
    <w:rsid w:val="003C4837"/>
    <w:rsid w:val="003C6231"/>
    <w:rsid w:val="003D0BFE"/>
    <w:rsid w:val="003D5700"/>
    <w:rsid w:val="003E2302"/>
    <w:rsid w:val="003E341B"/>
    <w:rsid w:val="003E4D00"/>
    <w:rsid w:val="003E73C0"/>
    <w:rsid w:val="003F7158"/>
    <w:rsid w:val="0040393C"/>
    <w:rsid w:val="004116CD"/>
    <w:rsid w:val="00417EB9"/>
    <w:rsid w:val="004236FA"/>
    <w:rsid w:val="00424CA9"/>
    <w:rsid w:val="004276DF"/>
    <w:rsid w:val="00431E9B"/>
    <w:rsid w:val="00437388"/>
    <w:rsid w:val="004379E3"/>
    <w:rsid w:val="0044015E"/>
    <w:rsid w:val="0044291A"/>
    <w:rsid w:val="00445E74"/>
    <w:rsid w:val="00467661"/>
    <w:rsid w:val="00472DBE"/>
    <w:rsid w:val="00474A19"/>
    <w:rsid w:val="00477830"/>
    <w:rsid w:val="00481A23"/>
    <w:rsid w:val="00487764"/>
    <w:rsid w:val="004940C4"/>
    <w:rsid w:val="00495AF2"/>
    <w:rsid w:val="00496F97"/>
    <w:rsid w:val="00497FE2"/>
    <w:rsid w:val="004A438A"/>
    <w:rsid w:val="004B6C48"/>
    <w:rsid w:val="004C4E59"/>
    <w:rsid w:val="004C6809"/>
    <w:rsid w:val="004D2762"/>
    <w:rsid w:val="004E063A"/>
    <w:rsid w:val="004E1307"/>
    <w:rsid w:val="004E7BEC"/>
    <w:rsid w:val="004F57BB"/>
    <w:rsid w:val="004F702A"/>
    <w:rsid w:val="00505D3D"/>
    <w:rsid w:val="00506AF6"/>
    <w:rsid w:val="00516B8D"/>
    <w:rsid w:val="00516E94"/>
    <w:rsid w:val="005303C8"/>
    <w:rsid w:val="00537FBC"/>
    <w:rsid w:val="0055289A"/>
    <w:rsid w:val="00554826"/>
    <w:rsid w:val="005616AD"/>
    <w:rsid w:val="00562877"/>
    <w:rsid w:val="00564803"/>
    <w:rsid w:val="0056525E"/>
    <w:rsid w:val="00570D97"/>
    <w:rsid w:val="005727BF"/>
    <w:rsid w:val="00584097"/>
    <w:rsid w:val="00584811"/>
    <w:rsid w:val="00585784"/>
    <w:rsid w:val="00593AA6"/>
    <w:rsid w:val="00594161"/>
    <w:rsid w:val="00594749"/>
    <w:rsid w:val="005A4B31"/>
    <w:rsid w:val="005A4B62"/>
    <w:rsid w:val="005A65D5"/>
    <w:rsid w:val="005B200C"/>
    <w:rsid w:val="005B3F55"/>
    <w:rsid w:val="005B4067"/>
    <w:rsid w:val="005C3F41"/>
    <w:rsid w:val="005D1D92"/>
    <w:rsid w:val="005D2D09"/>
    <w:rsid w:val="005E4F7F"/>
    <w:rsid w:val="005F30B6"/>
    <w:rsid w:val="005F73E5"/>
    <w:rsid w:val="00600219"/>
    <w:rsid w:val="00604F2A"/>
    <w:rsid w:val="00606F09"/>
    <w:rsid w:val="00620076"/>
    <w:rsid w:val="00627E0A"/>
    <w:rsid w:val="00642331"/>
    <w:rsid w:val="006443F2"/>
    <w:rsid w:val="0065488B"/>
    <w:rsid w:val="00670EA1"/>
    <w:rsid w:val="00675789"/>
    <w:rsid w:val="00677CC2"/>
    <w:rsid w:val="0068744B"/>
    <w:rsid w:val="006905DE"/>
    <w:rsid w:val="00690FDF"/>
    <w:rsid w:val="0069207B"/>
    <w:rsid w:val="006A0839"/>
    <w:rsid w:val="006A154F"/>
    <w:rsid w:val="006A437B"/>
    <w:rsid w:val="006B1337"/>
    <w:rsid w:val="006B5789"/>
    <w:rsid w:val="006C30C5"/>
    <w:rsid w:val="006C41DF"/>
    <w:rsid w:val="006C780D"/>
    <w:rsid w:val="006C7F8C"/>
    <w:rsid w:val="006E2E1C"/>
    <w:rsid w:val="006E4395"/>
    <w:rsid w:val="006E6246"/>
    <w:rsid w:val="006E69C2"/>
    <w:rsid w:val="006E6DCC"/>
    <w:rsid w:val="006F1F31"/>
    <w:rsid w:val="006F318F"/>
    <w:rsid w:val="006F7B1F"/>
    <w:rsid w:val="0070017E"/>
    <w:rsid w:val="00700B2C"/>
    <w:rsid w:val="007050A2"/>
    <w:rsid w:val="0070716F"/>
    <w:rsid w:val="00713084"/>
    <w:rsid w:val="007141BF"/>
    <w:rsid w:val="00714F20"/>
    <w:rsid w:val="0071590F"/>
    <w:rsid w:val="00715914"/>
    <w:rsid w:val="0072147A"/>
    <w:rsid w:val="00723791"/>
    <w:rsid w:val="00731E00"/>
    <w:rsid w:val="00740AF4"/>
    <w:rsid w:val="007440B7"/>
    <w:rsid w:val="007500C8"/>
    <w:rsid w:val="00756272"/>
    <w:rsid w:val="00762D38"/>
    <w:rsid w:val="0076639D"/>
    <w:rsid w:val="007715C9"/>
    <w:rsid w:val="00771613"/>
    <w:rsid w:val="0077350A"/>
    <w:rsid w:val="00774EDD"/>
    <w:rsid w:val="007757EC"/>
    <w:rsid w:val="00783E89"/>
    <w:rsid w:val="00793915"/>
    <w:rsid w:val="007A54AA"/>
    <w:rsid w:val="007C1D5D"/>
    <w:rsid w:val="007C2253"/>
    <w:rsid w:val="007D7911"/>
    <w:rsid w:val="007E163D"/>
    <w:rsid w:val="007E667A"/>
    <w:rsid w:val="007E6E65"/>
    <w:rsid w:val="007F28C9"/>
    <w:rsid w:val="007F51B2"/>
    <w:rsid w:val="008040DD"/>
    <w:rsid w:val="008117E9"/>
    <w:rsid w:val="0082443C"/>
    <w:rsid w:val="00824498"/>
    <w:rsid w:val="00826BD1"/>
    <w:rsid w:val="00854D0B"/>
    <w:rsid w:val="00856A31"/>
    <w:rsid w:val="00860B4E"/>
    <w:rsid w:val="0086399C"/>
    <w:rsid w:val="00867B37"/>
    <w:rsid w:val="0087329B"/>
    <w:rsid w:val="008754D0"/>
    <w:rsid w:val="00875D13"/>
    <w:rsid w:val="008855C9"/>
    <w:rsid w:val="00886456"/>
    <w:rsid w:val="00896176"/>
    <w:rsid w:val="008A1D2A"/>
    <w:rsid w:val="008A46E1"/>
    <w:rsid w:val="008A4F43"/>
    <w:rsid w:val="008A6AAC"/>
    <w:rsid w:val="008B1786"/>
    <w:rsid w:val="008B2706"/>
    <w:rsid w:val="008C2EAC"/>
    <w:rsid w:val="008C71DB"/>
    <w:rsid w:val="008D0EE0"/>
    <w:rsid w:val="008E0027"/>
    <w:rsid w:val="008E6067"/>
    <w:rsid w:val="008F54E7"/>
    <w:rsid w:val="00903422"/>
    <w:rsid w:val="0091110B"/>
    <w:rsid w:val="00914E47"/>
    <w:rsid w:val="009254C3"/>
    <w:rsid w:val="00932377"/>
    <w:rsid w:val="00941236"/>
    <w:rsid w:val="00943FD5"/>
    <w:rsid w:val="00947D5A"/>
    <w:rsid w:val="009532A5"/>
    <w:rsid w:val="009545BD"/>
    <w:rsid w:val="009634B6"/>
    <w:rsid w:val="00964CF0"/>
    <w:rsid w:val="00971DE2"/>
    <w:rsid w:val="009721B0"/>
    <w:rsid w:val="00977806"/>
    <w:rsid w:val="00982242"/>
    <w:rsid w:val="009841B4"/>
    <w:rsid w:val="009868E9"/>
    <w:rsid w:val="009900A3"/>
    <w:rsid w:val="00995BB8"/>
    <w:rsid w:val="009A2865"/>
    <w:rsid w:val="009C0B1E"/>
    <w:rsid w:val="009C1523"/>
    <w:rsid w:val="009C3413"/>
    <w:rsid w:val="009D4587"/>
    <w:rsid w:val="009D6CA3"/>
    <w:rsid w:val="009E5AA7"/>
    <w:rsid w:val="00A0441E"/>
    <w:rsid w:val="00A12128"/>
    <w:rsid w:val="00A22C98"/>
    <w:rsid w:val="00A231E2"/>
    <w:rsid w:val="00A250FB"/>
    <w:rsid w:val="00A32E04"/>
    <w:rsid w:val="00A369E3"/>
    <w:rsid w:val="00A42093"/>
    <w:rsid w:val="00A51397"/>
    <w:rsid w:val="00A53FEC"/>
    <w:rsid w:val="00A57600"/>
    <w:rsid w:val="00A606F0"/>
    <w:rsid w:val="00A629C4"/>
    <w:rsid w:val="00A64912"/>
    <w:rsid w:val="00A70A74"/>
    <w:rsid w:val="00A75FE9"/>
    <w:rsid w:val="00A907E6"/>
    <w:rsid w:val="00AB4889"/>
    <w:rsid w:val="00AD53CC"/>
    <w:rsid w:val="00AD5641"/>
    <w:rsid w:val="00AF06CF"/>
    <w:rsid w:val="00B04C5D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63B0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4186"/>
    <w:rsid w:val="00BE2155"/>
    <w:rsid w:val="00BE719A"/>
    <w:rsid w:val="00BE720A"/>
    <w:rsid w:val="00BF0D73"/>
    <w:rsid w:val="00BF2465"/>
    <w:rsid w:val="00C16219"/>
    <w:rsid w:val="00C16619"/>
    <w:rsid w:val="00C25E7F"/>
    <w:rsid w:val="00C2746F"/>
    <w:rsid w:val="00C323D6"/>
    <w:rsid w:val="00C324A0"/>
    <w:rsid w:val="00C42BF8"/>
    <w:rsid w:val="00C50043"/>
    <w:rsid w:val="00C53948"/>
    <w:rsid w:val="00C6549B"/>
    <w:rsid w:val="00C67FD9"/>
    <w:rsid w:val="00C7171E"/>
    <w:rsid w:val="00C7573B"/>
    <w:rsid w:val="00C7678A"/>
    <w:rsid w:val="00C97A54"/>
    <w:rsid w:val="00CA1F17"/>
    <w:rsid w:val="00CA5B23"/>
    <w:rsid w:val="00CB602E"/>
    <w:rsid w:val="00CB7E90"/>
    <w:rsid w:val="00CD649B"/>
    <w:rsid w:val="00CE051D"/>
    <w:rsid w:val="00CE1335"/>
    <w:rsid w:val="00CE493D"/>
    <w:rsid w:val="00CF07FA"/>
    <w:rsid w:val="00CF0BB2"/>
    <w:rsid w:val="00CF3EE8"/>
    <w:rsid w:val="00D062B4"/>
    <w:rsid w:val="00D13441"/>
    <w:rsid w:val="00D150E7"/>
    <w:rsid w:val="00D15492"/>
    <w:rsid w:val="00D225A0"/>
    <w:rsid w:val="00D26508"/>
    <w:rsid w:val="00D50EB1"/>
    <w:rsid w:val="00D52DC2"/>
    <w:rsid w:val="00D53BCC"/>
    <w:rsid w:val="00D54C9E"/>
    <w:rsid w:val="00D6537E"/>
    <w:rsid w:val="00D67ACF"/>
    <w:rsid w:val="00D70DFB"/>
    <w:rsid w:val="00D766DF"/>
    <w:rsid w:val="00D8206C"/>
    <w:rsid w:val="00D91F10"/>
    <w:rsid w:val="00DA186E"/>
    <w:rsid w:val="00DA4116"/>
    <w:rsid w:val="00DB251C"/>
    <w:rsid w:val="00DB4630"/>
    <w:rsid w:val="00DB4767"/>
    <w:rsid w:val="00DC4F88"/>
    <w:rsid w:val="00DD397B"/>
    <w:rsid w:val="00DE107C"/>
    <w:rsid w:val="00DE1096"/>
    <w:rsid w:val="00DE1614"/>
    <w:rsid w:val="00DE33D1"/>
    <w:rsid w:val="00DE4EF6"/>
    <w:rsid w:val="00DE524C"/>
    <w:rsid w:val="00DF2388"/>
    <w:rsid w:val="00E05704"/>
    <w:rsid w:val="00E10F7D"/>
    <w:rsid w:val="00E144E9"/>
    <w:rsid w:val="00E338EF"/>
    <w:rsid w:val="00E544BB"/>
    <w:rsid w:val="00E70D71"/>
    <w:rsid w:val="00E72953"/>
    <w:rsid w:val="00E748AB"/>
    <w:rsid w:val="00E74DC7"/>
    <w:rsid w:val="00E8075A"/>
    <w:rsid w:val="00E8079E"/>
    <w:rsid w:val="00E940D8"/>
    <w:rsid w:val="00E94D5E"/>
    <w:rsid w:val="00EA7100"/>
    <w:rsid w:val="00EA7D01"/>
    <w:rsid w:val="00EA7F9F"/>
    <w:rsid w:val="00EB1274"/>
    <w:rsid w:val="00EB3874"/>
    <w:rsid w:val="00ED2BB6"/>
    <w:rsid w:val="00ED34E1"/>
    <w:rsid w:val="00ED3B8D"/>
    <w:rsid w:val="00ED6535"/>
    <w:rsid w:val="00ED729C"/>
    <w:rsid w:val="00EE021F"/>
    <w:rsid w:val="00EE5E36"/>
    <w:rsid w:val="00EE6AD9"/>
    <w:rsid w:val="00EF2E3A"/>
    <w:rsid w:val="00F02C7C"/>
    <w:rsid w:val="00F072A7"/>
    <w:rsid w:val="00F078DC"/>
    <w:rsid w:val="00F32BA8"/>
    <w:rsid w:val="00F32EE0"/>
    <w:rsid w:val="00F349F1"/>
    <w:rsid w:val="00F375E4"/>
    <w:rsid w:val="00F4350D"/>
    <w:rsid w:val="00F479C4"/>
    <w:rsid w:val="00F567F7"/>
    <w:rsid w:val="00F61E8A"/>
    <w:rsid w:val="00F6696E"/>
    <w:rsid w:val="00F73BD6"/>
    <w:rsid w:val="00F823E1"/>
    <w:rsid w:val="00F83989"/>
    <w:rsid w:val="00F85099"/>
    <w:rsid w:val="00F9379C"/>
    <w:rsid w:val="00F9632C"/>
    <w:rsid w:val="00FA1E52"/>
    <w:rsid w:val="00FB5A08"/>
    <w:rsid w:val="00FC6A80"/>
    <w:rsid w:val="00FD5CE3"/>
    <w:rsid w:val="00FE4688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head0">
    <w:name w:val="itemhead"/>
    <w:basedOn w:val="Normal"/>
    <w:rsid w:val="00CD64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CD64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ubsectionhead0">
    <w:name w:val="subsectionhead"/>
    <w:basedOn w:val="Normal"/>
    <w:rsid w:val="00CA1F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1">
    <w:name w:val="tabletext"/>
    <w:basedOn w:val="Normal"/>
    <w:rsid w:val="00D67A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9E5AA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1C4B0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2D6C0-ACBE-4838-9F70-D449CBACE5B6}">
  <ds:schemaRefs>
    <ds:schemaRef ds:uri="http://purl.org/dc/terms/"/>
    <ds:schemaRef ds:uri="http://schemas.openxmlformats.org/package/2006/metadata/core-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397BAD6-3A3A-425A-8B58-3EC05020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</Template>
  <TotalTime>2</TotalTime>
  <Pages>5</Pages>
  <Words>707</Words>
  <Characters>3827</Characters>
  <Application>Microsoft Office Word</Application>
  <DocSecurity>4</DocSecurity>
  <Lines>115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MARTIN, Yvette</cp:lastModifiedBy>
  <cp:revision>2</cp:revision>
  <cp:lastPrinted>2020-07-28T01:51:00Z</cp:lastPrinted>
  <dcterms:created xsi:type="dcterms:W3CDTF">2020-07-28T08:43:00Z</dcterms:created>
  <dcterms:modified xsi:type="dcterms:W3CDTF">2020-07-28T08:43:00Z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