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493756" w14:textId="424DFFF4" w:rsidR="00676EB3" w:rsidRPr="002C6752" w:rsidRDefault="003229E3" w:rsidP="00642749">
      <w:pPr>
        <w:spacing w:before="840" w:after="2400"/>
        <w:ind w:left="284"/>
      </w:pPr>
      <w:bookmarkStart w:id="0" w:name="_GoBack"/>
      <w:bookmarkEnd w:id="0"/>
      <w:r w:rsidRPr="002C6752">
        <w:rPr>
          <w:noProof/>
        </w:rPr>
        <w:drawing>
          <wp:inline distT="0" distB="0" distL="0" distR="0" wp14:anchorId="3DA748BC" wp14:editId="482A6C7D">
            <wp:extent cx="3552190" cy="756285"/>
            <wp:effectExtent l="0" t="0" r="0" b="5715"/>
            <wp:docPr id="5" name="Picture 5" descr="Commonwealth Coat of Arms and AS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and ASIC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52190" cy="756285"/>
                    </a:xfrm>
                    <a:prstGeom prst="rect">
                      <a:avLst/>
                    </a:prstGeom>
                    <a:noFill/>
                    <a:ln>
                      <a:noFill/>
                    </a:ln>
                  </pic:spPr>
                </pic:pic>
              </a:graphicData>
            </a:graphic>
          </wp:inline>
        </w:drawing>
      </w:r>
    </w:p>
    <w:bookmarkStart w:id="1" w:name="_Ref152644852"/>
    <w:bookmarkEnd w:id="1"/>
    <w:p w14:paraId="1EF23DDC" w14:textId="1125EBD8" w:rsidR="00676EB3" w:rsidRPr="002C6752" w:rsidRDefault="00676EB3">
      <w:pPr>
        <w:pStyle w:val="DescriptorRG"/>
      </w:pPr>
      <w:r w:rsidRPr="002C6752">
        <w:fldChar w:fldCharType="begin"/>
      </w:r>
      <w:r w:rsidRPr="002C6752">
        <w:instrText xml:space="preserve"> DOCPROPERTY  "Document type"  \* MERGEFORMAT </w:instrText>
      </w:r>
      <w:r w:rsidRPr="002C6752">
        <w:fldChar w:fldCharType="separate"/>
      </w:r>
      <w:r w:rsidR="00F10F71">
        <w:t>REGULATORY GUIDE</w:t>
      </w:r>
      <w:r w:rsidRPr="002C6752">
        <w:fldChar w:fldCharType="end"/>
      </w:r>
      <w:r w:rsidRPr="002C6752">
        <w:t xml:space="preserve"> </w:t>
      </w:r>
      <w:fldSimple w:instr=" DOCPROPERTY  &quot;Document num&quot;  \* MERGEFORMAT ">
        <w:r w:rsidR="00F10F71">
          <w:t>271</w:t>
        </w:r>
      </w:fldSimple>
    </w:p>
    <w:p w14:paraId="4E3BE16F" w14:textId="77BC2A2A" w:rsidR="00676EB3" w:rsidRPr="002C6752" w:rsidRDefault="00676EB3" w:rsidP="00433ED0">
      <w:pPr>
        <w:ind w:left="2268"/>
        <w:rPr>
          <w:rFonts w:ascii="Arial" w:hAnsi="Arial" w:cs="Arial"/>
          <w:b/>
          <w:sz w:val="48"/>
          <w:szCs w:val="48"/>
        </w:rPr>
      </w:pPr>
      <w:r w:rsidRPr="002C6752">
        <w:fldChar w:fldCharType="begin"/>
      </w:r>
      <w:r w:rsidRPr="002C6752">
        <w:instrText xml:space="preserve"> </w:instrText>
      </w:r>
      <w:r w:rsidRPr="002C6752">
        <w:rPr>
          <w:rFonts w:ascii="Arial" w:hAnsi="Arial"/>
          <w:b/>
          <w:sz w:val="48"/>
        </w:rPr>
        <w:instrText>D</w:instrText>
      </w:r>
      <w:r w:rsidRPr="002C6752">
        <w:instrText xml:space="preserve">OCPROPERTY  "Document title"  \* charformat </w:instrText>
      </w:r>
      <w:r w:rsidRPr="002C6752">
        <w:fldChar w:fldCharType="separate"/>
      </w:r>
      <w:r w:rsidR="00F10F71">
        <w:rPr>
          <w:rFonts w:ascii="Arial" w:hAnsi="Arial"/>
          <w:b/>
          <w:sz w:val="48"/>
        </w:rPr>
        <w:t>Internal dispute resolution</w:t>
      </w:r>
      <w:r w:rsidRPr="002C6752">
        <w:fldChar w:fldCharType="end"/>
      </w:r>
    </w:p>
    <w:p w14:paraId="62B4222D" w14:textId="1343AB22" w:rsidR="00676EB3" w:rsidRPr="002C6752" w:rsidRDefault="006A3055" w:rsidP="009A6619">
      <w:pPr>
        <w:pStyle w:val="Bodytextplain"/>
        <w:spacing w:before="720"/>
        <w:rPr>
          <w:rFonts w:ascii="Arial" w:hAnsi="Arial" w:cs="Arial"/>
        </w:rPr>
      </w:pPr>
      <w:r w:rsidRPr="002C6752">
        <w:rPr>
          <w:rFonts w:ascii="Arial" w:hAnsi="Arial" w:cs="Arial"/>
        </w:rPr>
        <w:fldChar w:fldCharType="begin"/>
      </w:r>
      <w:r w:rsidRPr="002C6752">
        <w:rPr>
          <w:rFonts w:ascii="Arial" w:hAnsi="Arial" w:cs="Arial"/>
        </w:rPr>
        <w:instrText xml:space="preserve"> DOCPROPERTY  "Issue date" </w:instrText>
      </w:r>
      <w:r w:rsidRPr="002C6752">
        <w:rPr>
          <w:rFonts w:ascii="Arial" w:hAnsi="Arial" w:cs="Arial"/>
        </w:rPr>
        <w:fldChar w:fldCharType="separate"/>
      </w:r>
      <w:r w:rsidR="00F10F71">
        <w:rPr>
          <w:rFonts w:ascii="Arial" w:hAnsi="Arial" w:cs="Arial"/>
        </w:rPr>
        <w:t>July 2020</w:t>
      </w:r>
      <w:r w:rsidRPr="002C6752">
        <w:rPr>
          <w:rFonts w:ascii="Arial" w:hAnsi="Arial" w:cs="Arial"/>
        </w:rPr>
        <w:fldChar w:fldCharType="end"/>
      </w:r>
    </w:p>
    <w:p w14:paraId="338FF928" w14:textId="77777777" w:rsidR="00676EB3" w:rsidRPr="002C6752" w:rsidRDefault="00676EB3" w:rsidP="00E96FC9">
      <w:pPr>
        <w:pStyle w:val="Frontheading"/>
        <w:spacing w:before="960"/>
      </w:pPr>
      <w:r w:rsidRPr="002C6752">
        <w:t>About this guide</w:t>
      </w:r>
    </w:p>
    <w:p w14:paraId="06973A4C" w14:textId="186E4FB5" w:rsidR="008242F7" w:rsidRPr="002C6752" w:rsidRDefault="000903D1" w:rsidP="000903D1">
      <w:pPr>
        <w:pStyle w:val="Fronttext"/>
      </w:pPr>
      <w:r w:rsidRPr="002C6752">
        <w:t xml:space="preserve">This guide </w:t>
      </w:r>
      <w:r w:rsidR="008242F7" w:rsidRPr="002C6752">
        <w:t>is for</w:t>
      </w:r>
      <w:r w:rsidRPr="002C6752">
        <w:t xml:space="preserve"> </w:t>
      </w:r>
      <w:r w:rsidR="00144534" w:rsidRPr="002C6752">
        <w:t>Australian financial services (</w:t>
      </w:r>
      <w:r w:rsidRPr="002C6752">
        <w:t>AFS</w:t>
      </w:r>
      <w:r w:rsidR="00144534" w:rsidRPr="002C6752">
        <w:t>)</w:t>
      </w:r>
      <w:r w:rsidRPr="002C6752">
        <w:t xml:space="preserve"> licensees, unlicensed product issuers, unlicensed secondary sellers, </w:t>
      </w:r>
      <w:r w:rsidR="00DC1C9A" w:rsidRPr="002C6752">
        <w:t xml:space="preserve">trustees of </w:t>
      </w:r>
      <w:r w:rsidRPr="002C6752">
        <w:t>regulated superannuation funds (other than self-managed superannuation funds</w:t>
      </w:r>
      <w:r w:rsidR="008242F7" w:rsidRPr="002C6752">
        <w:t xml:space="preserve"> (SMSFs)</w:t>
      </w:r>
      <w:r w:rsidRPr="002C6752">
        <w:t xml:space="preserve">), </w:t>
      </w:r>
      <w:r w:rsidR="00DC1C9A" w:rsidRPr="002C6752">
        <w:t xml:space="preserve">trustees of </w:t>
      </w:r>
      <w:r w:rsidRPr="002C6752">
        <w:t>approved deposit funds, retirement savings account providers,</w:t>
      </w:r>
      <w:r w:rsidR="001800E1" w:rsidRPr="002C6752">
        <w:t xml:space="preserve"> Australian</w:t>
      </w:r>
      <w:r w:rsidRPr="002C6752">
        <w:t xml:space="preserve"> credit licensees</w:t>
      </w:r>
      <w:r w:rsidR="001800E1" w:rsidRPr="002C6752">
        <w:t xml:space="preserve"> (credit licensees)</w:t>
      </w:r>
      <w:r w:rsidR="00EB4CC4">
        <w:t xml:space="preserve"> and unlicensed carried over instrument lenders (unlicensed COI lenders)</w:t>
      </w:r>
      <w:r w:rsidR="008242F7" w:rsidRPr="002C6752">
        <w:t>.</w:t>
      </w:r>
      <w:r w:rsidRPr="002C6752">
        <w:t xml:space="preserve"> </w:t>
      </w:r>
    </w:p>
    <w:p w14:paraId="03981E11" w14:textId="50F70CFF" w:rsidR="00CB3F69" w:rsidRPr="002C6752" w:rsidRDefault="00CB3F69" w:rsidP="000903D1">
      <w:pPr>
        <w:pStyle w:val="Fronttext"/>
      </w:pPr>
      <w:r w:rsidRPr="00C31FD2">
        <w:t>The standards and requirements highlighted in this guide are enforceable.</w:t>
      </w:r>
    </w:p>
    <w:p w14:paraId="35564115" w14:textId="1FC3BB0A" w:rsidR="000903D1" w:rsidRPr="002C6752" w:rsidRDefault="008242F7" w:rsidP="000903D1">
      <w:pPr>
        <w:pStyle w:val="Fronttext"/>
      </w:pPr>
      <w:r w:rsidRPr="002C6752">
        <w:t xml:space="preserve">It explains what these financial firms </w:t>
      </w:r>
      <w:r w:rsidR="000903D1" w:rsidRPr="002C6752">
        <w:t>must do to have a</w:t>
      </w:r>
      <w:r w:rsidRPr="002C6752">
        <w:t>n internal</w:t>
      </w:r>
      <w:r w:rsidR="000903D1" w:rsidRPr="002C6752">
        <w:t xml:space="preserve"> dispute resolution </w:t>
      </w:r>
      <w:r w:rsidRPr="002C6752">
        <w:t xml:space="preserve">(IDR) </w:t>
      </w:r>
      <w:r w:rsidR="000903D1" w:rsidRPr="002C6752">
        <w:t>system in place that meets ASIC</w:t>
      </w:r>
      <w:r w:rsidR="00E12C7C">
        <w:t>’</w:t>
      </w:r>
      <w:r w:rsidR="000903D1" w:rsidRPr="002C6752">
        <w:t>s</w:t>
      </w:r>
      <w:r w:rsidR="00154D87" w:rsidRPr="002C6752">
        <w:t xml:space="preserve"> standards and</w:t>
      </w:r>
      <w:r w:rsidR="000903D1" w:rsidRPr="002C6752">
        <w:t xml:space="preserve"> requirements.</w:t>
      </w:r>
    </w:p>
    <w:p w14:paraId="24288B63" w14:textId="6CFB826A" w:rsidR="00DD58FB" w:rsidRDefault="00DD58FB" w:rsidP="00C31FD2">
      <w:pPr>
        <w:pStyle w:val="Fronttext"/>
        <w:pBdr>
          <w:top w:val="single" w:sz="8" w:space="4" w:color="0072CE"/>
          <w:left w:val="single" w:sz="8" w:space="4" w:color="0072CE"/>
          <w:bottom w:val="single" w:sz="8" w:space="4" w:color="0072CE"/>
          <w:right w:val="single" w:sz="8" w:space="4" w:color="0072CE"/>
        </w:pBdr>
      </w:pPr>
      <w:r w:rsidRPr="00DD58FB">
        <w:t xml:space="preserve">Note: This guide comes into effect on 5 </w:t>
      </w:r>
      <w:r w:rsidR="00860F7E">
        <w:t>October</w:t>
      </w:r>
      <w:r w:rsidRPr="00DD58FB">
        <w:t xml:space="preserve"> 2021. </w:t>
      </w:r>
      <w:r w:rsidR="00C5093E">
        <w:t>For</w:t>
      </w:r>
      <w:r w:rsidRPr="00DD58FB">
        <w:t xml:space="preserve"> complaints received by financial firms before that date</w:t>
      </w:r>
      <w:r w:rsidR="00C5093E">
        <w:t>,</w:t>
      </w:r>
      <w:r w:rsidR="00853859">
        <w:t xml:space="preserve"> </w:t>
      </w:r>
      <w:hyperlink r:id="rId12" w:history="1">
        <w:r w:rsidRPr="002211F7">
          <w:rPr>
            <w:rStyle w:val="Hyperlink"/>
          </w:rPr>
          <w:t>Regulatory Guide 165</w:t>
        </w:r>
      </w:hyperlink>
      <w:r w:rsidRPr="00C31FD2">
        <w:rPr>
          <w:i/>
        </w:rPr>
        <w:t xml:space="preserve"> Licensing: Internal and external dispute resolution</w:t>
      </w:r>
      <w:r w:rsidRPr="00DD58FB">
        <w:t xml:space="preserve"> (RG 165)</w:t>
      </w:r>
      <w:r w:rsidR="00C5093E">
        <w:t xml:space="preserve"> applies</w:t>
      </w:r>
      <w:r w:rsidRPr="00DD58FB">
        <w:t>.</w:t>
      </w:r>
      <w:r w:rsidR="00B01002">
        <w:t xml:space="preserve"> We will withdraw RG 165 on 5 </w:t>
      </w:r>
      <w:r w:rsidR="00860F7E">
        <w:t>October</w:t>
      </w:r>
      <w:r w:rsidR="00B01002">
        <w:t xml:space="preserve"> 2022.</w:t>
      </w:r>
    </w:p>
    <w:p w14:paraId="69B89533" w14:textId="07C6FC58" w:rsidR="00676EB3" w:rsidRPr="002C6752" w:rsidRDefault="000903D1" w:rsidP="00642749">
      <w:pPr>
        <w:pStyle w:val="Fronttext"/>
      </w:pPr>
      <w:r w:rsidRPr="002C6752">
        <w:t xml:space="preserve">This guide should be read in conjunction with </w:t>
      </w:r>
      <w:hyperlink r:id="rId13" w:history="1">
        <w:r w:rsidRPr="002C6752">
          <w:rPr>
            <w:rStyle w:val="Hyperlink"/>
          </w:rPr>
          <w:t xml:space="preserve">Regulatory Guide </w:t>
        </w:r>
        <w:r w:rsidR="008242F7" w:rsidRPr="002C6752">
          <w:rPr>
            <w:rStyle w:val="Hyperlink"/>
          </w:rPr>
          <w:t>267</w:t>
        </w:r>
      </w:hyperlink>
      <w:r w:rsidRPr="002C6752">
        <w:t xml:space="preserve"> </w:t>
      </w:r>
      <w:r w:rsidRPr="002C6752">
        <w:rPr>
          <w:i/>
        </w:rPr>
        <w:t>Oversight of the Australian Financial Complaints Authority</w:t>
      </w:r>
      <w:r w:rsidRPr="002C6752">
        <w:t xml:space="preserve"> (RG </w:t>
      </w:r>
      <w:r w:rsidR="008242F7" w:rsidRPr="002C6752">
        <w:t>267</w:t>
      </w:r>
      <w:r w:rsidRPr="002C6752">
        <w:t>).</w:t>
      </w:r>
    </w:p>
    <w:p w14:paraId="6940B9BD" w14:textId="77777777" w:rsidR="00676EB3" w:rsidRPr="002C6752" w:rsidRDefault="00676EB3" w:rsidP="00642749">
      <w:pPr>
        <w:pStyle w:val="Frontheading"/>
        <w:ind w:left="0"/>
        <w:sectPr w:rsidR="00676EB3" w:rsidRPr="002C6752" w:rsidSect="00433ED0">
          <w:headerReference w:type="even" r:id="rId14"/>
          <w:headerReference w:type="default" r:id="rId15"/>
          <w:footerReference w:type="even" r:id="rId16"/>
          <w:footerReference w:type="default" r:id="rId17"/>
          <w:headerReference w:type="first" r:id="rId18"/>
          <w:footerReference w:type="first" r:id="rId19"/>
          <w:pgSz w:w="11906" w:h="16838" w:code="9"/>
          <w:pgMar w:top="1644" w:right="1418" w:bottom="1418" w:left="1418" w:header="567" w:footer="567" w:gutter="0"/>
          <w:cols w:space="720"/>
          <w:titlePg/>
        </w:sectPr>
      </w:pPr>
    </w:p>
    <w:tbl>
      <w:tblPr>
        <w:tblW w:w="0" w:type="auto"/>
        <w:tblInd w:w="2268" w:type="dxa"/>
        <w:tblBorders>
          <w:top w:val="single" w:sz="4" w:space="0" w:color="999999"/>
          <w:bottom w:val="single" w:sz="4" w:space="0" w:color="999999"/>
          <w:insideH w:val="single" w:sz="4" w:space="0" w:color="999999"/>
        </w:tblBorders>
        <w:tblLayout w:type="fixed"/>
        <w:tblCellMar>
          <w:bottom w:w="113" w:type="dxa"/>
        </w:tblCellMar>
        <w:tblLook w:val="0020" w:firstRow="1" w:lastRow="0" w:firstColumn="0" w:lastColumn="0" w:noHBand="0" w:noVBand="0"/>
      </w:tblPr>
      <w:tblGrid>
        <w:gridCol w:w="6804"/>
      </w:tblGrid>
      <w:tr w:rsidR="00676EB3" w:rsidRPr="002C6752" w14:paraId="0D2DAD32" w14:textId="77777777" w:rsidTr="00AD3787">
        <w:trPr>
          <w:cantSplit/>
          <w:tblHeader/>
        </w:trPr>
        <w:tc>
          <w:tcPr>
            <w:tcW w:w="6804" w:type="dxa"/>
            <w:tcBorders>
              <w:top w:val="single" w:sz="4" w:space="0" w:color="117DC7"/>
              <w:left w:val="single" w:sz="4" w:space="0" w:color="117DC7"/>
              <w:bottom w:val="single" w:sz="4" w:space="0" w:color="117DC7"/>
              <w:right w:val="single" w:sz="4" w:space="0" w:color="117DC7"/>
            </w:tcBorders>
            <w:shd w:val="clear" w:color="auto" w:fill="117DC7"/>
          </w:tcPr>
          <w:p w14:paraId="73227D4B" w14:textId="77777777" w:rsidR="00676EB3" w:rsidRPr="002C6752" w:rsidRDefault="00676EB3">
            <w:pPr>
              <w:pStyle w:val="tablehead"/>
              <w:rPr>
                <w:color w:val="FFFFFF"/>
                <w:sz w:val="20"/>
                <w:szCs w:val="20"/>
              </w:rPr>
            </w:pPr>
            <w:r w:rsidRPr="002C6752">
              <w:rPr>
                <w:color w:val="FFFFFF"/>
                <w:sz w:val="20"/>
                <w:szCs w:val="20"/>
              </w:rPr>
              <w:lastRenderedPageBreak/>
              <w:t>About ASIC regulatory documents</w:t>
            </w:r>
          </w:p>
        </w:tc>
      </w:tr>
      <w:tr w:rsidR="00676EB3" w:rsidRPr="002C6752" w14:paraId="1F5955D9" w14:textId="77777777" w:rsidTr="00AD3787">
        <w:trPr>
          <w:cantSplit/>
        </w:trPr>
        <w:tc>
          <w:tcPr>
            <w:tcW w:w="6804" w:type="dxa"/>
            <w:tcBorders>
              <w:top w:val="single" w:sz="4" w:space="0" w:color="117DC7"/>
              <w:left w:val="single" w:sz="4" w:space="0" w:color="117DC7"/>
              <w:bottom w:val="single" w:sz="4" w:space="0" w:color="117DC7"/>
              <w:right w:val="single" w:sz="4" w:space="0" w:color="117DC7"/>
            </w:tcBorders>
          </w:tcPr>
          <w:p w14:paraId="2C5A0FE3" w14:textId="77777777" w:rsidR="00676EB3" w:rsidRPr="002C6752" w:rsidRDefault="00676EB3">
            <w:pPr>
              <w:pStyle w:val="boxtext"/>
            </w:pPr>
            <w:r w:rsidRPr="002C6752">
              <w:t>In administering legislation ASIC issues the following types of regulatory documents.</w:t>
            </w:r>
          </w:p>
          <w:p w14:paraId="16203E33" w14:textId="32792C0F" w:rsidR="00676EB3" w:rsidRPr="002C6752" w:rsidRDefault="00676EB3">
            <w:pPr>
              <w:pStyle w:val="boxtext"/>
            </w:pPr>
            <w:r w:rsidRPr="002C6752">
              <w:rPr>
                <w:b/>
              </w:rPr>
              <w:t>Consultation papers</w:t>
            </w:r>
            <w:r w:rsidRPr="002C6752">
              <w:t>:</w:t>
            </w:r>
            <w:r w:rsidR="007F3247" w:rsidRPr="002C6752">
              <w:t xml:space="preserve"> seek feedback from stakeholders</w:t>
            </w:r>
            <w:r w:rsidRPr="002C6752">
              <w:t xml:space="preserve"> on matters ASIC is considering, such as proposed relief or proposed regulatory guidance.</w:t>
            </w:r>
          </w:p>
          <w:p w14:paraId="6DFEEFFC" w14:textId="77777777" w:rsidR="00676EB3" w:rsidRPr="002C6752" w:rsidRDefault="00676EB3">
            <w:pPr>
              <w:pStyle w:val="boxtext"/>
            </w:pPr>
            <w:bookmarkStart w:id="2" w:name="RegGuide"/>
            <w:bookmarkEnd w:id="2"/>
            <w:r w:rsidRPr="002C6752">
              <w:rPr>
                <w:b/>
              </w:rPr>
              <w:t>Regulatory guides</w:t>
            </w:r>
            <w:r w:rsidRPr="002C6752">
              <w:t>: give guidance to regulated entities by:</w:t>
            </w:r>
          </w:p>
          <w:p w14:paraId="68497EFF" w14:textId="77777777" w:rsidR="00676EB3" w:rsidRPr="002C6752" w:rsidRDefault="00676EB3">
            <w:pPr>
              <w:pStyle w:val="boxbullet"/>
            </w:pPr>
            <w:r w:rsidRPr="002C6752">
              <w:t>explaining when and how ASIC will exercise specific powers under legislation (primarily the Corporations Act)</w:t>
            </w:r>
          </w:p>
          <w:p w14:paraId="6699DE91" w14:textId="77777777" w:rsidR="00676EB3" w:rsidRPr="002C6752" w:rsidRDefault="00676EB3">
            <w:pPr>
              <w:pStyle w:val="boxbullet"/>
            </w:pPr>
            <w:r w:rsidRPr="002C6752">
              <w:t>explaining how ASIC interprets the law</w:t>
            </w:r>
          </w:p>
          <w:p w14:paraId="37FC4A07" w14:textId="02B35066" w:rsidR="00676EB3" w:rsidRPr="002C6752" w:rsidRDefault="00676EB3">
            <w:pPr>
              <w:pStyle w:val="boxbullet"/>
            </w:pPr>
            <w:r w:rsidRPr="002C6752">
              <w:t>describing the principles underlying ASIC</w:t>
            </w:r>
            <w:r w:rsidR="00E12C7C">
              <w:t>’</w:t>
            </w:r>
            <w:r w:rsidRPr="002C6752">
              <w:t>s approach</w:t>
            </w:r>
          </w:p>
          <w:p w14:paraId="64B0B0DA" w14:textId="77777777" w:rsidR="00676EB3" w:rsidRPr="002C6752" w:rsidRDefault="00676EB3">
            <w:pPr>
              <w:pStyle w:val="boxbullet"/>
            </w:pPr>
            <w:r w:rsidRPr="002C6752">
              <w:t>giving practical guidance (e.g. describing the steps of a process such as applying for a licence or giving practical examples of how regulated entities may decide to meet their obligations).</w:t>
            </w:r>
          </w:p>
          <w:p w14:paraId="697D91E1" w14:textId="77777777" w:rsidR="00676EB3" w:rsidRPr="002C6752" w:rsidRDefault="00676EB3">
            <w:pPr>
              <w:pStyle w:val="boxtext"/>
            </w:pPr>
            <w:r w:rsidRPr="002C6752">
              <w:rPr>
                <w:b/>
              </w:rPr>
              <w:t>Information</w:t>
            </w:r>
            <w:r w:rsidRPr="002C6752">
              <w:t xml:space="preserve"> </w:t>
            </w:r>
            <w:r w:rsidRPr="002C6752">
              <w:rPr>
                <w:b/>
              </w:rPr>
              <w:t>sheets</w:t>
            </w:r>
            <w:r w:rsidRPr="002C6752">
              <w:t>: provide concise guidance on a specific process or compliance issue or an overview of detailed guidance.</w:t>
            </w:r>
          </w:p>
          <w:p w14:paraId="11525A27" w14:textId="77777777" w:rsidR="00676EB3" w:rsidRPr="002C6752" w:rsidRDefault="00676EB3">
            <w:pPr>
              <w:pStyle w:val="boxtext"/>
            </w:pPr>
            <w:r w:rsidRPr="002C6752">
              <w:rPr>
                <w:b/>
              </w:rPr>
              <w:t>Reports</w:t>
            </w:r>
            <w:r w:rsidRPr="002C6752">
              <w:t>: describe ASIC compliance or relief activity or the results of a research project.</w:t>
            </w:r>
          </w:p>
        </w:tc>
      </w:tr>
    </w:tbl>
    <w:p w14:paraId="413F2AD7" w14:textId="77777777" w:rsidR="00676EB3" w:rsidRPr="002C6752" w:rsidRDefault="00676EB3">
      <w:pPr>
        <w:pStyle w:val="Frontheading"/>
      </w:pPr>
      <w:r w:rsidRPr="002C6752">
        <w:t>Document history</w:t>
      </w:r>
    </w:p>
    <w:p w14:paraId="2F5B5F1C" w14:textId="3FF1AF81" w:rsidR="00676EB3" w:rsidRPr="002C6752" w:rsidRDefault="00676EB3">
      <w:pPr>
        <w:pStyle w:val="Fronttext"/>
      </w:pPr>
      <w:r w:rsidRPr="002C6752">
        <w:t>This</w:t>
      </w:r>
      <w:r w:rsidR="00516727" w:rsidRPr="002C6752">
        <w:t xml:space="preserve"> </w:t>
      </w:r>
      <w:r w:rsidRPr="002C6752">
        <w:t xml:space="preserve">guide was issued </w:t>
      </w:r>
      <w:r w:rsidR="0031196A">
        <w:t>i</w:t>
      </w:r>
      <w:r w:rsidR="00E30BEE">
        <w:t xml:space="preserve">n </w:t>
      </w:r>
      <w:r w:rsidR="00DD52BD">
        <w:fldChar w:fldCharType="begin"/>
      </w:r>
      <w:r w:rsidR="00DD52BD">
        <w:instrText xml:space="preserve"> DOCPROPERTY  "Issue date" </w:instrText>
      </w:r>
      <w:r w:rsidR="00DD52BD">
        <w:fldChar w:fldCharType="separate"/>
      </w:r>
      <w:r w:rsidR="00F10F71">
        <w:t>July 2020</w:t>
      </w:r>
      <w:r w:rsidR="00DD52BD">
        <w:fldChar w:fldCharType="end"/>
      </w:r>
      <w:r w:rsidR="00556BC3" w:rsidRPr="008F0AFE">
        <w:t xml:space="preserve"> </w:t>
      </w:r>
      <w:r w:rsidRPr="008F0AFE">
        <w:t>a</w:t>
      </w:r>
      <w:r w:rsidRPr="002C6752">
        <w:t>nd is based on legislation and regulations as at the date of issue.</w:t>
      </w:r>
    </w:p>
    <w:p w14:paraId="5F5C8951" w14:textId="09C8D12E" w:rsidR="00676EB3" w:rsidRPr="002C6752" w:rsidRDefault="00676EB3">
      <w:pPr>
        <w:pStyle w:val="Fronttext"/>
      </w:pPr>
      <w:r w:rsidRPr="002C6752">
        <w:t xml:space="preserve">Previous versions: </w:t>
      </w:r>
    </w:p>
    <w:p w14:paraId="780D9212" w14:textId="3A17F511" w:rsidR="00C46C53" w:rsidRPr="002C6752" w:rsidRDefault="00C46C53" w:rsidP="005E10C4">
      <w:pPr>
        <w:pStyle w:val="Frontbullet"/>
      </w:pPr>
      <w:r w:rsidRPr="002C6752">
        <w:t xml:space="preserve">Consultation draft of Regulatory Guide 165 </w:t>
      </w:r>
      <w:r w:rsidRPr="002C6752">
        <w:rPr>
          <w:i/>
        </w:rPr>
        <w:t>Internal dispute resolution</w:t>
      </w:r>
      <w:r w:rsidRPr="002C6752">
        <w:t xml:space="preserve">, released with </w:t>
      </w:r>
      <w:hyperlink r:id="rId20" w:history="1">
        <w:r w:rsidRPr="002C6752">
          <w:rPr>
            <w:rStyle w:val="Hyperlink"/>
          </w:rPr>
          <w:t>Consultation Paper 311</w:t>
        </w:r>
      </w:hyperlink>
      <w:r w:rsidRPr="002C6752">
        <w:t xml:space="preserve"> </w:t>
      </w:r>
      <w:r w:rsidRPr="002C6752">
        <w:rPr>
          <w:i/>
        </w:rPr>
        <w:t>Internal dispute resolution: Update to RG 165</w:t>
      </w:r>
    </w:p>
    <w:p w14:paraId="0B878F54" w14:textId="77777777" w:rsidR="00676EB3" w:rsidRPr="002C6752" w:rsidRDefault="00676EB3">
      <w:pPr>
        <w:pStyle w:val="Frontheading"/>
      </w:pPr>
      <w:r w:rsidRPr="002C6752">
        <w:t xml:space="preserve">Disclaimer </w:t>
      </w:r>
    </w:p>
    <w:p w14:paraId="772356DD" w14:textId="22FC3AEE" w:rsidR="00676EB3" w:rsidRPr="002C6752" w:rsidRDefault="00676EB3">
      <w:pPr>
        <w:pStyle w:val="Fronttext"/>
      </w:pPr>
      <w:r w:rsidRPr="002C6752">
        <w:t xml:space="preserve">This guide does not constitute legal advice. We encourage you to seek your own professional advice to find out how the </w:t>
      </w:r>
      <w:r w:rsidR="000903D1" w:rsidRPr="002C6752">
        <w:t xml:space="preserve">Corporations Act, National </w:t>
      </w:r>
      <w:r w:rsidR="00E64133" w:rsidRPr="002C6752">
        <w:t xml:space="preserve">Credit </w:t>
      </w:r>
      <w:r w:rsidR="000903D1" w:rsidRPr="002C6752">
        <w:t>Act, S</w:t>
      </w:r>
      <w:r w:rsidR="00D27776" w:rsidRPr="002C6752">
        <w:t>IS</w:t>
      </w:r>
      <w:r w:rsidR="000903D1" w:rsidRPr="002C6752">
        <w:t xml:space="preserve"> Act</w:t>
      </w:r>
      <w:r w:rsidRPr="002C6752">
        <w:t xml:space="preserve"> and other applicable laws apply to you, as it is your responsibility to determine your obligations.</w:t>
      </w:r>
    </w:p>
    <w:p w14:paraId="21C84796" w14:textId="77777777" w:rsidR="00676EB3" w:rsidRPr="002C6752" w:rsidRDefault="00676EB3">
      <w:pPr>
        <w:pStyle w:val="Bodytextplain"/>
        <w:pageBreakBefore/>
        <w:spacing w:after="200"/>
        <w:ind w:left="0"/>
        <w:rPr>
          <w:rFonts w:ascii="Arial" w:hAnsi="Arial" w:cs="Arial"/>
          <w:b/>
          <w:sz w:val="36"/>
          <w:szCs w:val="36"/>
        </w:rPr>
      </w:pPr>
      <w:r w:rsidRPr="002C6752">
        <w:rPr>
          <w:rFonts w:ascii="Arial" w:hAnsi="Arial" w:cs="Arial"/>
          <w:b/>
          <w:sz w:val="36"/>
          <w:szCs w:val="36"/>
        </w:rPr>
        <w:lastRenderedPageBreak/>
        <w:t>Contents</w:t>
      </w:r>
    </w:p>
    <w:p w14:paraId="7BB2EB50" w14:textId="0F84BAA0" w:rsidR="00F10F71" w:rsidRDefault="009D5F41">
      <w:pPr>
        <w:pStyle w:val="TOC1"/>
        <w:rPr>
          <w:rFonts w:asciiTheme="minorHAnsi" w:eastAsiaTheme="minorEastAsia" w:hAnsiTheme="minorHAnsi" w:cstheme="minorBidi"/>
          <w:b w:val="0"/>
          <w:sz w:val="22"/>
          <w:szCs w:val="22"/>
        </w:rPr>
      </w:pPr>
      <w:r w:rsidRPr="002C6752">
        <w:rPr>
          <w:rFonts w:ascii="HelveticaNeue LT 55 Roman" w:hAnsi="HelveticaNeue LT 55 Roman"/>
        </w:rPr>
        <w:fldChar w:fldCharType="begin"/>
      </w:r>
      <w:r w:rsidRPr="002C6752">
        <w:rPr>
          <w:rFonts w:ascii="HelveticaNeue LT 55 Roman" w:hAnsi="HelveticaNeue LT 55 Roman"/>
        </w:rPr>
        <w:instrText xml:space="preserve"> TOC \h \z \t "Heading 1,1,Heading 2,2,Heading 1 no number,1" </w:instrText>
      </w:r>
      <w:r w:rsidRPr="002C6752">
        <w:rPr>
          <w:rFonts w:ascii="HelveticaNeue LT 55 Roman" w:hAnsi="HelveticaNeue LT 55 Roman"/>
        </w:rPr>
        <w:fldChar w:fldCharType="separate"/>
      </w:r>
      <w:hyperlink w:anchor="_Toc46844225" w:history="1">
        <w:r w:rsidR="00F10F71" w:rsidRPr="00322485">
          <w:rPr>
            <w:rStyle w:val="Hyperlink"/>
          </w:rPr>
          <w:t>A</w:t>
        </w:r>
        <w:r w:rsidR="00F10F71">
          <w:rPr>
            <w:rFonts w:asciiTheme="minorHAnsi" w:eastAsiaTheme="minorEastAsia" w:hAnsiTheme="minorHAnsi" w:cstheme="minorBidi"/>
            <w:b w:val="0"/>
            <w:sz w:val="22"/>
            <w:szCs w:val="22"/>
          </w:rPr>
          <w:tab/>
        </w:r>
        <w:r w:rsidR="00F10F71" w:rsidRPr="00322485">
          <w:rPr>
            <w:rStyle w:val="Hyperlink"/>
          </w:rPr>
          <w:t>Overview</w:t>
        </w:r>
        <w:r w:rsidR="00F10F71">
          <w:rPr>
            <w:webHidden/>
          </w:rPr>
          <w:tab/>
        </w:r>
        <w:r w:rsidR="00F10F71">
          <w:rPr>
            <w:webHidden/>
          </w:rPr>
          <w:fldChar w:fldCharType="begin"/>
        </w:r>
        <w:r w:rsidR="00F10F71">
          <w:rPr>
            <w:webHidden/>
          </w:rPr>
          <w:instrText xml:space="preserve"> PAGEREF _Toc46844225 \h </w:instrText>
        </w:r>
        <w:r w:rsidR="00F10F71">
          <w:rPr>
            <w:webHidden/>
          </w:rPr>
        </w:r>
        <w:r w:rsidR="00F10F71">
          <w:rPr>
            <w:webHidden/>
          </w:rPr>
          <w:fldChar w:fldCharType="separate"/>
        </w:r>
        <w:r w:rsidR="00DE6E77">
          <w:rPr>
            <w:webHidden/>
          </w:rPr>
          <w:t>4</w:t>
        </w:r>
        <w:r w:rsidR="00F10F71">
          <w:rPr>
            <w:webHidden/>
          </w:rPr>
          <w:fldChar w:fldCharType="end"/>
        </w:r>
      </w:hyperlink>
    </w:p>
    <w:p w14:paraId="19FA529A" w14:textId="6C5F3A42" w:rsidR="00F10F71" w:rsidRDefault="00DD52BD">
      <w:pPr>
        <w:pStyle w:val="TOC2"/>
        <w:rPr>
          <w:rFonts w:asciiTheme="minorHAnsi" w:eastAsiaTheme="minorEastAsia" w:hAnsiTheme="minorHAnsi" w:cstheme="minorBidi"/>
          <w:sz w:val="22"/>
          <w:szCs w:val="22"/>
        </w:rPr>
      </w:pPr>
      <w:hyperlink w:anchor="_Toc46844226" w:history="1">
        <w:r w:rsidR="00F10F71" w:rsidRPr="00322485">
          <w:rPr>
            <w:rStyle w:val="Hyperlink"/>
          </w:rPr>
          <w:t>Financial services dispute resolution framework</w:t>
        </w:r>
        <w:r w:rsidR="00F10F71">
          <w:rPr>
            <w:webHidden/>
          </w:rPr>
          <w:tab/>
        </w:r>
        <w:r w:rsidR="00F10F71">
          <w:rPr>
            <w:webHidden/>
          </w:rPr>
          <w:fldChar w:fldCharType="begin"/>
        </w:r>
        <w:r w:rsidR="00F10F71">
          <w:rPr>
            <w:webHidden/>
          </w:rPr>
          <w:instrText xml:space="preserve"> PAGEREF _Toc46844226 \h </w:instrText>
        </w:r>
        <w:r w:rsidR="00F10F71">
          <w:rPr>
            <w:webHidden/>
          </w:rPr>
        </w:r>
        <w:r w:rsidR="00F10F71">
          <w:rPr>
            <w:webHidden/>
          </w:rPr>
          <w:fldChar w:fldCharType="separate"/>
        </w:r>
        <w:r w:rsidR="00DE6E77">
          <w:rPr>
            <w:webHidden/>
          </w:rPr>
          <w:t>4</w:t>
        </w:r>
        <w:r w:rsidR="00F10F71">
          <w:rPr>
            <w:webHidden/>
          </w:rPr>
          <w:fldChar w:fldCharType="end"/>
        </w:r>
      </w:hyperlink>
    </w:p>
    <w:p w14:paraId="333F9F35" w14:textId="7ED3C27F" w:rsidR="00F10F71" w:rsidRDefault="00DD52BD">
      <w:pPr>
        <w:pStyle w:val="TOC2"/>
        <w:rPr>
          <w:rFonts w:asciiTheme="minorHAnsi" w:eastAsiaTheme="minorEastAsia" w:hAnsiTheme="minorHAnsi" w:cstheme="minorBidi"/>
          <w:sz w:val="22"/>
          <w:szCs w:val="22"/>
        </w:rPr>
      </w:pPr>
      <w:hyperlink w:anchor="_Toc46844227" w:history="1">
        <w:r w:rsidR="00F10F71" w:rsidRPr="00322485">
          <w:rPr>
            <w:rStyle w:val="Hyperlink"/>
          </w:rPr>
          <w:t>ASIC</w:t>
        </w:r>
        <w:r w:rsidR="00E12C7C">
          <w:rPr>
            <w:rStyle w:val="Hyperlink"/>
          </w:rPr>
          <w:t>’</w:t>
        </w:r>
        <w:r w:rsidR="00F10F71" w:rsidRPr="00322485">
          <w:rPr>
            <w:rStyle w:val="Hyperlink"/>
          </w:rPr>
          <w:t>s role in internal dispute resolution</w:t>
        </w:r>
        <w:r w:rsidR="00F10F71">
          <w:rPr>
            <w:webHidden/>
          </w:rPr>
          <w:tab/>
        </w:r>
        <w:r w:rsidR="00F10F71">
          <w:rPr>
            <w:webHidden/>
          </w:rPr>
          <w:fldChar w:fldCharType="begin"/>
        </w:r>
        <w:r w:rsidR="00F10F71">
          <w:rPr>
            <w:webHidden/>
          </w:rPr>
          <w:instrText xml:space="preserve"> PAGEREF _Toc46844227 \h </w:instrText>
        </w:r>
        <w:r w:rsidR="00F10F71">
          <w:rPr>
            <w:webHidden/>
          </w:rPr>
        </w:r>
        <w:r w:rsidR="00F10F71">
          <w:rPr>
            <w:webHidden/>
          </w:rPr>
          <w:fldChar w:fldCharType="separate"/>
        </w:r>
        <w:r w:rsidR="00DE6E77">
          <w:rPr>
            <w:webHidden/>
          </w:rPr>
          <w:t>9</w:t>
        </w:r>
        <w:r w:rsidR="00F10F71">
          <w:rPr>
            <w:webHidden/>
          </w:rPr>
          <w:fldChar w:fldCharType="end"/>
        </w:r>
      </w:hyperlink>
    </w:p>
    <w:p w14:paraId="2ACB961D" w14:textId="5C08DC5A" w:rsidR="00F10F71" w:rsidRDefault="00DD52BD">
      <w:pPr>
        <w:pStyle w:val="TOC2"/>
        <w:rPr>
          <w:rFonts w:asciiTheme="minorHAnsi" w:eastAsiaTheme="minorEastAsia" w:hAnsiTheme="minorHAnsi" w:cstheme="minorBidi"/>
          <w:sz w:val="22"/>
          <w:szCs w:val="22"/>
        </w:rPr>
      </w:pPr>
      <w:hyperlink w:anchor="_Toc46844228" w:history="1">
        <w:r w:rsidR="00F10F71" w:rsidRPr="00322485">
          <w:rPr>
            <w:rStyle w:val="Hyperlink"/>
          </w:rPr>
          <w:t>Application of the IDR requirements</w:t>
        </w:r>
        <w:r w:rsidR="00F10F71">
          <w:rPr>
            <w:webHidden/>
          </w:rPr>
          <w:tab/>
        </w:r>
        <w:r w:rsidR="00F10F71">
          <w:rPr>
            <w:webHidden/>
          </w:rPr>
          <w:fldChar w:fldCharType="begin"/>
        </w:r>
        <w:r w:rsidR="00F10F71">
          <w:rPr>
            <w:webHidden/>
          </w:rPr>
          <w:instrText xml:space="preserve"> PAGEREF _Toc46844228 \h </w:instrText>
        </w:r>
        <w:r w:rsidR="00F10F71">
          <w:rPr>
            <w:webHidden/>
          </w:rPr>
        </w:r>
        <w:r w:rsidR="00F10F71">
          <w:rPr>
            <w:webHidden/>
          </w:rPr>
          <w:fldChar w:fldCharType="separate"/>
        </w:r>
        <w:r w:rsidR="00DE6E77">
          <w:rPr>
            <w:webHidden/>
          </w:rPr>
          <w:t>11</w:t>
        </w:r>
        <w:r w:rsidR="00F10F71">
          <w:rPr>
            <w:webHidden/>
          </w:rPr>
          <w:fldChar w:fldCharType="end"/>
        </w:r>
      </w:hyperlink>
    </w:p>
    <w:p w14:paraId="5F4A928D" w14:textId="51C8460C" w:rsidR="00F10F71" w:rsidRDefault="00DD52BD">
      <w:pPr>
        <w:pStyle w:val="TOC2"/>
        <w:rPr>
          <w:rFonts w:asciiTheme="minorHAnsi" w:eastAsiaTheme="minorEastAsia" w:hAnsiTheme="minorHAnsi" w:cstheme="minorBidi"/>
          <w:sz w:val="22"/>
          <w:szCs w:val="22"/>
        </w:rPr>
      </w:pPr>
      <w:hyperlink w:anchor="_Toc46844229" w:history="1">
        <w:r w:rsidR="00F10F71" w:rsidRPr="00322485">
          <w:rPr>
            <w:rStyle w:val="Hyperlink"/>
          </w:rPr>
          <w:t>Requirements for IDR processes</w:t>
        </w:r>
        <w:r w:rsidR="00F10F71">
          <w:rPr>
            <w:webHidden/>
          </w:rPr>
          <w:tab/>
        </w:r>
        <w:r w:rsidR="00F10F71">
          <w:rPr>
            <w:webHidden/>
          </w:rPr>
          <w:fldChar w:fldCharType="begin"/>
        </w:r>
        <w:r w:rsidR="00F10F71">
          <w:rPr>
            <w:webHidden/>
          </w:rPr>
          <w:instrText xml:space="preserve"> PAGEREF _Toc46844229 \h </w:instrText>
        </w:r>
        <w:r w:rsidR="00F10F71">
          <w:rPr>
            <w:webHidden/>
          </w:rPr>
        </w:r>
        <w:r w:rsidR="00F10F71">
          <w:rPr>
            <w:webHidden/>
          </w:rPr>
          <w:fldChar w:fldCharType="separate"/>
        </w:r>
        <w:r w:rsidR="00DE6E77">
          <w:rPr>
            <w:webHidden/>
          </w:rPr>
          <w:t>11</w:t>
        </w:r>
        <w:r w:rsidR="00F10F71">
          <w:rPr>
            <w:webHidden/>
          </w:rPr>
          <w:fldChar w:fldCharType="end"/>
        </w:r>
      </w:hyperlink>
    </w:p>
    <w:p w14:paraId="4AE51805" w14:textId="69988772" w:rsidR="00F10F71" w:rsidRDefault="00DD52BD">
      <w:pPr>
        <w:pStyle w:val="TOC2"/>
        <w:rPr>
          <w:rFonts w:asciiTheme="minorHAnsi" w:eastAsiaTheme="minorEastAsia" w:hAnsiTheme="minorHAnsi" w:cstheme="minorBidi"/>
          <w:sz w:val="22"/>
          <w:szCs w:val="22"/>
        </w:rPr>
      </w:pPr>
      <w:hyperlink w:anchor="_Toc46844230" w:history="1">
        <w:r w:rsidR="00F10F71" w:rsidRPr="00322485">
          <w:rPr>
            <w:rStyle w:val="Hyperlink"/>
          </w:rPr>
          <w:t>Transition period</w:t>
        </w:r>
        <w:r w:rsidR="00F10F71">
          <w:rPr>
            <w:webHidden/>
          </w:rPr>
          <w:tab/>
        </w:r>
        <w:r w:rsidR="00F10F71">
          <w:rPr>
            <w:webHidden/>
          </w:rPr>
          <w:fldChar w:fldCharType="begin"/>
        </w:r>
        <w:r w:rsidR="00F10F71">
          <w:rPr>
            <w:webHidden/>
          </w:rPr>
          <w:instrText xml:space="preserve"> PAGEREF _Toc46844230 \h </w:instrText>
        </w:r>
        <w:r w:rsidR="00F10F71">
          <w:rPr>
            <w:webHidden/>
          </w:rPr>
        </w:r>
        <w:r w:rsidR="00F10F71">
          <w:rPr>
            <w:webHidden/>
          </w:rPr>
          <w:fldChar w:fldCharType="separate"/>
        </w:r>
        <w:r w:rsidR="00DE6E77">
          <w:rPr>
            <w:webHidden/>
          </w:rPr>
          <w:t>12</w:t>
        </w:r>
        <w:r w:rsidR="00F10F71">
          <w:rPr>
            <w:webHidden/>
          </w:rPr>
          <w:fldChar w:fldCharType="end"/>
        </w:r>
      </w:hyperlink>
    </w:p>
    <w:p w14:paraId="51D747C4" w14:textId="263BE600" w:rsidR="00F10F71" w:rsidRDefault="00DD52BD">
      <w:pPr>
        <w:pStyle w:val="TOC1"/>
        <w:rPr>
          <w:rFonts w:asciiTheme="minorHAnsi" w:eastAsiaTheme="minorEastAsia" w:hAnsiTheme="minorHAnsi" w:cstheme="minorBidi"/>
          <w:b w:val="0"/>
          <w:sz w:val="22"/>
          <w:szCs w:val="22"/>
        </w:rPr>
      </w:pPr>
      <w:hyperlink w:anchor="_Toc46844231" w:history="1">
        <w:r w:rsidR="00F10F71" w:rsidRPr="00322485">
          <w:rPr>
            <w:rStyle w:val="Hyperlink"/>
          </w:rPr>
          <w:t>B</w:t>
        </w:r>
        <w:r w:rsidR="00F10F71">
          <w:rPr>
            <w:rFonts w:asciiTheme="minorHAnsi" w:eastAsiaTheme="minorEastAsia" w:hAnsiTheme="minorHAnsi" w:cstheme="minorBidi"/>
            <w:b w:val="0"/>
            <w:sz w:val="22"/>
            <w:szCs w:val="22"/>
          </w:rPr>
          <w:tab/>
        </w:r>
        <w:r w:rsidR="00F10F71" w:rsidRPr="00322485">
          <w:rPr>
            <w:rStyle w:val="Hyperlink"/>
          </w:rPr>
          <w:t>Application of IDR requirements</w:t>
        </w:r>
        <w:r w:rsidR="00F10F71">
          <w:rPr>
            <w:webHidden/>
          </w:rPr>
          <w:tab/>
        </w:r>
        <w:r w:rsidR="00F10F71">
          <w:rPr>
            <w:webHidden/>
          </w:rPr>
          <w:fldChar w:fldCharType="begin"/>
        </w:r>
        <w:r w:rsidR="00F10F71">
          <w:rPr>
            <w:webHidden/>
          </w:rPr>
          <w:instrText xml:space="preserve"> PAGEREF _Toc46844231 \h </w:instrText>
        </w:r>
        <w:r w:rsidR="00F10F71">
          <w:rPr>
            <w:webHidden/>
          </w:rPr>
        </w:r>
        <w:r w:rsidR="00F10F71">
          <w:rPr>
            <w:webHidden/>
          </w:rPr>
          <w:fldChar w:fldCharType="separate"/>
        </w:r>
        <w:r w:rsidR="00DE6E77">
          <w:rPr>
            <w:webHidden/>
          </w:rPr>
          <w:t>13</w:t>
        </w:r>
        <w:r w:rsidR="00F10F71">
          <w:rPr>
            <w:webHidden/>
          </w:rPr>
          <w:fldChar w:fldCharType="end"/>
        </w:r>
      </w:hyperlink>
    </w:p>
    <w:p w14:paraId="4AE8FCC6" w14:textId="2AFE01A8" w:rsidR="00F10F71" w:rsidRDefault="00DD52BD">
      <w:pPr>
        <w:pStyle w:val="TOC2"/>
        <w:rPr>
          <w:rFonts w:asciiTheme="minorHAnsi" w:eastAsiaTheme="minorEastAsia" w:hAnsiTheme="minorHAnsi" w:cstheme="minorBidi"/>
          <w:sz w:val="22"/>
          <w:szCs w:val="22"/>
        </w:rPr>
      </w:pPr>
      <w:hyperlink w:anchor="_Toc46844232" w:history="1">
        <w:r w:rsidR="00F10F71" w:rsidRPr="00322485">
          <w:rPr>
            <w:rStyle w:val="Hyperlink"/>
          </w:rPr>
          <w:t xml:space="preserve">Definition of </w:t>
        </w:r>
        <w:r w:rsidR="00E12C7C">
          <w:rPr>
            <w:rStyle w:val="Hyperlink"/>
          </w:rPr>
          <w:t>‘</w:t>
        </w:r>
        <w:r w:rsidR="00F10F71" w:rsidRPr="00322485">
          <w:rPr>
            <w:rStyle w:val="Hyperlink"/>
          </w:rPr>
          <w:t>complaint</w:t>
        </w:r>
        <w:r w:rsidR="00E12C7C">
          <w:rPr>
            <w:rStyle w:val="Hyperlink"/>
          </w:rPr>
          <w:t>’</w:t>
        </w:r>
        <w:r w:rsidR="00F10F71">
          <w:rPr>
            <w:webHidden/>
          </w:rPr>
          <w:tab/>
        </w:r>
        <w:r w:rsidR="00F10F71">
          <w:rPr>
            <w:webHidden/>
          </w:rPr>
          <w:fldChar w:fldCharType="begin"/>
        </w:r>
        <w:r w:rsidR="00F10F71">
          <w:rPr>
            <w:webHidden/>
          </w:rPr>
          <w:instrText xml:space="preserve"> PAGEREF _Toc46844232 \h </w:instrText>
        </w:r>
        <w:r w:rsidR="00F10F71">
          <w:rPr>
            <w:webHidden/>
          </w:rPr>
        </w:r>
        <w:r w:rsidR="00F10F71">
          <w:rPr>
            <w:webHidden/>
          </w:rPr>
          <w:fldChar w:fldCharType="separate"/>
        </w:r>
        <w:r w:rsidR="00DE6E77">
          <w:rPr>
            <w:webHidden/>
          </w:rPr>
          <w:t>13</w:t>
        </w:r>
        <w:r w:rsidR="00F10F71">
          <w:rPr>
            <w:webHidden/>
          </w:rPr>
          <w:fldChar w:fldCharType="end"/>
        </w:r>
      </w:hyperlink>
    </w:p>
    <w:p w14:paraId="67361836" w14:textId="1FD28471" w:rsidR="00F10F71" w:rsidRDefault="00DD52BD">
      <w:pPr>
        <w:pStyle w:val="TOC2"/>
        <w:rPr>
          <w:rFonts w:asciiTheme="minorHAnsi" w:eastAsiaTheme="minorEastAsia" w:hAnsiTheme="minorHAnsi" w:cstheme="minorBidi"/>
          <w:sz w:val="22"/>
          <w:szCs w:val="22"/>
        </w:rPr>
      </w:pPr>
      <w:hyperlink w:anchor="_Toc46844233" w:history="1">
        <w:r w:rsidR="00F10F71" w:rsidRPr="00322485">
          <w:rPr>
            <w:rStyle w:val="Hyperlink"/>
          </w:rPr>
          <w:t xml:space="preserve">Definition of </w:t>
        </w:r>
        <w:r w:rsidR="00E12C7C">
          <w:rPr>
            <w:rStyle w:val="Hyperlink"/>
          </w:rPr>
          <w:t>‘</w:t>
        </w:r>
        <w:r w:rsidR="00F10F71" w:rsidRPr="00322485">
          <w:rPr>
            <w:rStyle w:val="Hyperlink"/>
          </w:rPr>
          <w:t>complainant</w:t>
        </w:r>
        <w:r w:rsidR="00E12C7C">
          <w:rPr>
            <w:rStyle w:val="Hyperlink"/>
          </w:rPr>
          <w:t>’</w:t>
        </w:r>
        <w:r w:rsidR="00F10F71">
          <w:rPr>
            <w:webHidden/>
          </w:rPr>
          <w:tab/>
        </w:r>
        <w:r w:rsidR="00F10F71">
          <w:rPr>
            <w:webHidden/>
          </w:rPr>
          <w:fldChar w:fldCharType="begin"/>
        </w:r>
        <w:r w:rsidR="00F10F71">
          <w:rPr>
            <w:webHidden/>
          </w:rPr>
          <w:instrText xml:space="preserve"> PAGEREF _Toc46844233 \h </w:instrText>
        </w:r>
        <w:r w:rsidR="00F10F71">
          <w:rPr>
            <w:webHidden/>
          </w:rPr>
        </w:r>
        <w:r w:rsidR="00F10F71">
          <w:rPr>
            <w:webHidden/>
          </w:rPr>
          <w:fldChar w:fldCharType="separate"/>
        </w:r>
        <w:r w:rsidR="00DE6E77">
          <w:rPr>
            <w:webHidden/>
          </w:rPr>
          <w:t>15</w:t>
        </w:r>
        <w:r w:rsidR="00F10F71">
          <w:rPr>
            <w:webHidden/>
          </w:rPr>
          <w:fldChar w:fldCharType="end"/>
        </w:r>
      </w:hyperlink>
    </w:p>
    <w:p w14:paraId="214BB91E" w14:textId="417D2A62" w:rsidR="00F10F71" w:rsidRDefault="00DD52BD">
      <w:pPr>
        <w:pStyle w:val="TOC2"/>
        <w:rPr>
          <w:rFonts w:asciiTheme="minorHAnsi" w:eastAsiaTheme="minorEastAsia" w:hAnsiTheme="minorHAnsi" w:cstheme="minorBidi"/>
          <w:sz w:val="22"/>
          <w:szCs w:val="22"/>
        </w:rPr>
      </w:pPr>
      <w:hyperlink w:anchor="_Toc46844234" w:history="1">
        <w:r w:rsidR="00F10F71" w:rsidRPr="00322485">
          <w:rPr>
            <w:rStyle w:val="Hyperlink"/>
          </w:rPr>
          <w:t>Outsourcing IDR processes</w:t>
        </w:r>
        <w:r w:rsidR="00F10F71">
          <w:rPr>
            <w:webHidden/>
          </w:rPr>
          <w:tab/>
        </w:r>
        <w:r w:rsidR="00F10F71">
          <w:rPr>
            <w:webHidden/>
          </w:rPr>
          <w:fldChar w:fldCharType="begin"/>
        </w:r>
        <w:r w:rsidR="00F10F71">
          <w:rPr>
            <w:webHidden/>
          </w:rPr>
          <w:instrText xml:space="preserve"> PAGEREF _Toc46844234 \h </w:instrText>
        </w:r>
        <w:r w:rsidR="00F10F71">
          <w:rPr>
            <w:webHidden/>
          </w:rPr>
        </w:r>
        <w:r w:rsidR="00F10F71">
          <w:rPr>
            <w:webHidden/>
          </w:rPr>
          <w:fldChar w:fldCharType="separate"/>
        </w:r>
        <w:r w:rsidR="00DE6E77">
          <w:rPr>
            <w:webHidden/>
          </w:rPr>
          <w:t>18</w:t>
        </w:r>
        <w:r w:rsidR="00F10F71">
          <w:rPr>
            <w:webHidden/>
          </w:rPr>
          <w:fldChar w:fldCharType="end"/>
        </w:r>
      </w:hyperlink>
    </w:p>
    <w:p w14:paraId="71098425" w14:textId="347FF6EE" w:rsidR="00F10F71" w:rsidRDefault="00DD52BD">
      <w:pPr>
        <w:pStyle w:val="TOC1"/>
        <w:rPr>
          <w:rFonts w:asciiTheme="minorHAnsi" w:eastAsiaTheme="minorEastAsia" w:hAnsiTheme="minorHAnsi" w:cstheme="minorBidi"/>
          <w:b w:val="0"/>
          <w:sz w:val="22"/>
          <w:szCs w:val="22"/>
        </w:rPr>
      </w:pPr>
      <w:hyperlink w:anchor="_Toc46844235" w:history="1">
        <w:r w:rsidR="00F10F71" w:rsidRPr="00322485">
          <w:rPr>
            <w:rStyle w:val="Hyperlink"/>
          </w:rPr>
          <w:t>C</w:t>
        </w:r>
        <w:r w:rsidR="00F10F71">
          <w:rPr>
            <w:rFonts w:asciiTheme="minorHAnsi" w:eastAsiaTheme="minorEastAsia" w:hAnsiTheme="minorHAnsi" w:cstheme="minorBidi"/>
            <w:b w:val="0"/>
            <w:sz w:val="22"/>
            <w:szCs w:val="22"/>
          </w:rPr>
          <w:tab/>
        </w:r>
        <w:r w:rsidR="00F10F71" w:rsidRPr="00322485">
          <w:rPr>
            <w:rStyle w:val="Hyperlink"/>
          </w:rPr>
          <w:t>Maximum IDR timeframes and IDR responses</w:t>
        </w:r>
        <w:r w:rsidR="00F10F71">
          <w:rPr>
            <w:webHidden/>
          </w:rPr>
          <w:tab/>
        </w:r>
        <w:r w:rsidR="00F10F71">
          <w:rPr>
            <w:webHidden/>
          </w:rPr>
          <w:fldChar w:fldCharType="begin"/>
        </w:r>
        <w:r w:rsidR="00F10F71">
          <w:rPr>
            <w:webHidden/>
          </w:rPr>
          <w:instrText xml:space="preserve"> PAGEREF _Toc46844235 \h </w:instrText>
        </w:r>
        <w:r w:rsidR="00F10F71">
          <w:rPr>
            <w:webHidden/>
          </w:rPr>
        </w:r>
        <w:r w:rsidR="00F10F71">
          <w:rPr>
            <w:webHidden/>
          </w:rPr>
          <w:fldChar w:fldCharType="separate"/>
        </w:r>
        <w:r w:rsidR="00DE6E77">
          <w:rPr>
            <w:webHidden/>
          </w:rPr>
          <w:t>19</w:t>
        </w:r>
        <w:r w:rsidR="00F10F71">
          <w:rPr>
            <w:webHidden/>
          </w:rPr>
          <w:fldChar w:fldCharType="end"/>
        </w:r>
      </w:hyperlink>
    </w:p>
    <w:p w14:paraId="151F6DE3" w14:textId="689A8A56" w:rsidR="00F10F71" w:rsidRDefault="00DD52BD">
      <w:pPr>
        <w:pStyle w:val="TOC2"/>
        <w:rPr>
          <w:rFonts w:asciiTheme="minorHAnsi" w:eastAsiaTheme="minorEastAsia" w:hAnsiTheme="minorHAnsi" w:cstheme="minorBidi"/>
          <w:sz w:val="22"/>
          <w:szCs w:val="22"/>
        </w:rPr>
      </w:pPr>
      <w:hyperlink w:anchor="_Toc46844236" w:history="1">
        <w:r w:rsidR="00F10F71" w:rsidRPr="00322485">
          <w:rPr>
            <w:rStyle w:val="Hyperlink"/>
          </w:rPr>
          <w:t>Acknowledgement of complaint</w:t>
        </w:r>
        <w:r w:rsidR="00F10F71">
          <w:rPr>
            <w:webHidden/>
          </w:rPr>
          <w:tab/>
        </w:r>
        <w:r w:rsidR="00F10F71">
          <w:rPr>
            <w:webHidden/>
          </w:rPr>
          <w:fldChar w:fldCharType="begin"/>
        </w:r>
        <w:r w:rsidR="00F10F71">
          <w:rPr>
            <w:webHidden/>
          </w:rPr>
          <w:instrText xml:space="preserve"> PAGEREF _Toc46844236 \h </w:instrText>
        </w:r>
        <w:r w:rsidR="00F10F71">
          <w:rPr>
            <w:webHidden/>
          </w:rPr>
        </w:r>
        <w:r w:rsidR="00F10F71">
          <w:rPr>
            <w:webHidden/>
          </w:rPr>
          <w:fldChar w:fldCharType="separate"/>
        </w:r>
        <w:r w:rsidR="00DE6E77">
          <w:rPr>
            <w:webHidden/>
          </w:rPr>
          <w:t>19</w:t>
        </w:r>
        <w:r w:rsidR="00F10F71">
          <w:rPr>
            <w:webHidden/>
          </w:rPr>
          <w:fldChar w:fldCharType="end"/>
        </w:r>
      </w:hyperlink>
    </w:p>
    <w:p w14:paraId="71C76D69" w14:textId="75B2AEA9" w:rsidR="00F10F71" w:rsidRDefault="00DD52BD">
      <w:pPr>
        <w:pStyle w:val="TOC2"/>
        <w:rPr>
          <w:rFonts w:asciiTheme="minorHAnsi" w:eastAsiaTheme="minorEastAsia" w:hAnsiTheme="minorHAnsi" w:cstheme="minorBidi"/>
          <w:sz w:val="22"/>
          <w:szCs w:val="22"/>
        </w:rPr>
      </w:pPr>
      <w:hyperlink w:anchor="_Toc46844237" w:history="1">
        <w:r w:rsidR="00F10F71" w:rsidRPr="00322485">
          <w:rPr>
            <w:rStyle w:val="Hyperlink"/>
          </w:rPr>
          <w:t>What an IDR response must contain</w:t>
        </w:r>
        <w:r w:rsidR="00F10F71">
          <w:rPr>
            <w:webHidden/>
          </w:rPr>
          <w:tab/>
        </w:r>
        <w:r w:rsidR="00F10F71">
          <w:rPr>
            <w:webHidden/>
          </w:rPr>
          <w:fldChar w:fldCharType="begin"/>
        </w:r>
        <w:r w:rsidR="00F10F71">
          <w:rPr>
            <w:webHidden/>
          </w:rPr>
          <w:instrText xml:space="preserve"> PAGEREF _Toc46844237 \h </w:instrText>
        </w:r>
        <w:r w:rsidR="00F10F71">
          <w:rPr>
            <w:webHidden/>
          </w:rPr>
        </w:r>
        <w:r w:rsidR="00F10F71">
          <w:rPr>
            <w:webHidden/>
          </w:rPr>
          <w:fldChar w:fldCharType="separate"/>
        </w:r>
        <w:r w:rsidR="00DE6E77">
          <w:rPr>
            <w:webHidden/>
          </w:rPr>
          <w:t>20</w:t>
        </w:r>
        <w:r w:rsidR="00F10F71">
          <w:rPr>
            <w:webHidden/>
          </w:rPr>
          <w:fldChar w:fldCharType="end"/>
        </w:r>
      </w:hyperlink>
    </w:p>
    <w:p w14:paraId="0ABD4E15" w14:textId="4A3A3155" w:rsidR="00F10F71" w:rsidRDefault="00DD52BD">
      <w:pPr>
        <w:pStyle w:val="TOC2"/>
        <w:rPr>
          <w:rFonts w:asciiTheme="minorHAnsi" w:eastAsiaTheme="minorEastAsia" w:hAnsiTheme="minorHAnsi" w:cstheme="minorBidi"/>
          <w:sz w:val="22"/>
          <w:szCs w:val="22"/>
        </w:rPr>
      </w:pPr>
      <w:hyperlink w:anchor="_Toc46844238" w:history="1">
        <w:r w:rsidR="00F10F71" w:rsidRPr="00322485">
          <w:rPr>
            <w:rStyle w:val="Hyperlink"/>
          </w:rPr>
          <w:t>Maximum timeframes for an IDR response</w:t>
        </w:r>
        <w:r w:rsidR="00F10F71">
          <w:rPr>
            <w:webHidden/>
          </w:rPr>
          <w:tab/>
        </w:r>
        <w:r w:rsidR="00F10F71">
          <w:rPr>
            <w:webHidden/>
          </w:rPr>
          <w:fldChar w:fldCharType="begin"/>
        </w:r>
        <w:r w:rsidR="00F10F71">
          <w:rPr>
            <w:webHidden/>
          </w:rPr>
          <w:instrText xml:space="preserve"> PAGEREF _Toc46844238 \h </w:instrText>
        </w:r>
        <w:r w:rsidR="00F10F71">
          <w:rPr>
            <w:webHidden/>
          </w:rPr>
        </w:r>
        <w:r w:rsidR="00F10F71">
          <w:rPr>
            <w:webHidden/>
          </w:rPr>
          <w:fldChar w:fldCharType="separate"/>
        </w:r>
        <w:r w:rsidR="00DE6E77">
          <w:rPr>
            <w:webHidden/>
          </w:rPr>
          <w:t>21</w:t>
        </w:r>
        <w:r w:rsidR="00F10F71">
          <w:rPr>
            <w:webHidden/>
          </w:rPr>
          <w:fldChar w:fldCharType="end"/>
        </w:r>
      </w:hyperlink>
    </w:p>
    <w:p w14:paraId="1B6935B3" w14:textId="0FC2D6EB" w:rsidR="00F10F71" w:rsidRDefault="00DD52BD">
      <w:pPr>
        <w:pStyle w:val="TOC2"/>
        <w:rPr>
          <w:rFonts w:asciiTheme="minorHAnsi" w:eastAsiaTheme="minorEastAsia" w:hAnsiTheme="minorHAnsi" w:cstheme="minorBidi"/>
          <w:sz w:val="22"/>
          <w:szCs w:val="22"/>
        </w:rPr>
      </w:pPr>
      <w:hyperlink w:anchor="_Toc46844239" w:history="1">
        <w:r w:rsidR="00F10F71" w:rsidRPr="00322485">
          <w:rPr>
            <w:rStyle w:val="Hyperlink"/>
          </w:rPr>
          <w:t>IDR response requirements for multi-tier IDR processes</w:t>
        </w:r>
        <w:r w:rsidR="00F10F71">
          <w:rPr>
            <w:webHidden/>
          </w:rPr>
          <w:tab/>
        </w:r>
        <w:r w:rsidR="00F10F71">
          <w:rPr>
            <w:webHidden/>
          </w:rPr>
          <w:fldChar w:fldCharType="begin"/>
        </w:r>
        <w:r w:rsidR="00F10F71">
          <w:rPr>
            <w:webHidden/>
          </w:rPr>
          <w:instrText xml:space="preserve"> PAGEREF _Toc46844239 \h </w:instrText>
        </w:r>
        <w:r w:rsidR="00F10F71">
          <w:rPr>
            <w:webHidden/>
          </w:rPr>
        </w:r>
        <w:r w:rsidR="00F10F71">
          <w:rPr>
            <w:webHidden/>
          </w:rPr>
          <w:fldChar w:fldCharType="separate"/>
        </w:r>
        <w:r w:rsidR="00DE6E77">
          <w:rPr>
            <w:webHidden/>
          </w:rPr>
          <w:t>31</w:t>
        </w:r>
        <w:r w:rsidR="00F10F71">
          <w:rPr>
            <w:webHidden/>
          </w:rPr>
          <w:fldChar w:fldCharType="end"/>
        </w:r>
      </w:hyperlink>
    </w:p>
    <w:p w14:paraId="2E3DE51A" w14:textId="7DAA9793" w:rsidR="00F10F71" w:rsidRDefault="00DD52BD">
      <w:pPr>
        <w:pStyle w:val="TOC2"/>
        <w:rPr>
          <w:rFonts w:asciiTheme="minorHAnsi" w:eastAsiaTheme="minorEastAsia" w:hAnsiTheme="minorHAnsi" w:cstheme="minorBidi"/>
          <w:sz w:val="22"/>
          <w:szCs w:val="22"/>
        </w:rPr>
      </w:pPr>
      <w:hyperlink w:anchor="_Toc46844240" w:history="1">
        <w:r w:rsidR="00F10F71" w:rsidRPr="00322485">
          <w:rPr>
            <w:rStyle w:val="Hyperlink"/>
          </w:rPr>
          <w:t>The role of customer advocates</w:t>
        </w:r>
        <w:r w:rsidR="00F10F71">
          <w:rPr>
            <w:webHidden/>
          </w:rPr>
          <w:tab/>
        </w:r>
        <w:r w:rsidR="00F10F71">
          <w:rPr>
            <w:webHidden/>
          </w:rPr>
          <w:fldChar w:fldCharType="begin"/>
        </w:r>
        <w:r w:rsidR="00F10F71">
          <w:rPr>
            <w:webHidden/>
          </w:rPr>
          <w:instrText xml:space="preserve"> PAGEREF _Toc46844240 \h </w:instrText>
        </w:r>
        <w:r w:rsidR="00F10F71">
          <w:rPr>
            <w:webHidden/>
          </w:rPr>
        </w:r>
        <w:r w:rsidR="00F10F71">
          <w:rPr>
            <w:webHidden/>
          </w:rPr>
          <w:fldChar w:fldCharType="separate"/>
        </w:r>
        <w:r w:rsidR="00DE6E77">
          <w:rPr>
            <w:webHidden/>
          </w:rPr>
          <w:t>31</w:t>
        </w:r>
        <w:r w:rsidR="00F10F71">
          <w:rPr>
            <w:webHidden/>
          </w:rPr>
          <w:fldChar w:fldCharType="end"/>
        </w:r>
      </w:hyperlink>
    </w:p>
    <w:p w14:paraId="178ADE74" w14:textId="6D565D05" w:rsidR="00F10F71" w:rsidRDefault="00DD52BD">
      <w:pPr>
        <w:pStyle w:val="TOC2"/>
        <w:rPr>
          <w:rFonts w:asciiTheme="minorHAnsi" w:eastAsiaTheme="minorEastAsia" w:hAnsiTheme="minorHAnsi" w:cstheme="minorBidi"/>
          <w:sz w:val="22"/>
          <w:szCs w:val="22"/>
        </w:rPr>
      </w:pPr>
      <w:hyperlink w:anchor="_Toc46844241" w:history="1">
        <w:r w:rsidR="00F10F71" w:rsidRPr="00322485">
          <w:rPr>
            <w:rStyle w:val="Hyperlink"/>
          </w:rPr>
          <w:t>Links between the IDR process and AFCA</w:t>
        </w:r>
        <w:r w:rsidR="00F10F71">
          <w:rPr>
            <w:webHidden/>
          </w:rPr>
          <w:tab/>
        </w:r>
        <w:r w:rsidR="00F10F71">
          <w:rPr>
            <w:webHidden/>
          </w:rPr>
          <w:fldChar w:fldCharType="begin"/>
        </w:r>
        <w:r w:rsidR="00F10F71">
          <w:rPr>
            <w:webHidden/>
          </w:rPr>
          <w:instrText xml:space="preserve"> PAGEREF _Toc46844241 \h </w:instrText>
        </w:r>
        <w:r w:rsidR="00F10F71">
          <w:rPr>
            <w:webHidden/>
          </w:rPr>
        </w:r>
        <w:r w:rsidR="00F10F71">
          <w:rPr>
            <w:webHidden/>
          </w:rPr>
          <w:fldChar w:fldCharType="separate"/>
        </w:r>
        <w:r w:rsidR="00DE6E77">
          <w:rPr>
            <w:webHidden/>
          </w:rPr>
          <w:t>32</w:t>
        </w:r>
        <w:r w:rsidR="00F10F71">
          <w:rPr>
            <w:webHidden/>
          </w:rPr>
          <w:fldChar w:fldCharType="end"/>
        </w:r>
      </w:hyperlink>
    </w:p>
    <w:p w14:paraId="4584D0F9" w14:textId="745E20AB" w:rsidR="00F10F71" w:rsidRDefault="00DD52BD">
      <w:pPr>
        <w:pStyle w:val="TOC1"/>
        <w:rPr>
          <w:rFonts w:asciiTheme="minorHAnsi" w:eastAsiaTheme="minorEastAsia" w:hAnsiTheme="minorHAnsi" w:cstheme="minorBidi"/>
          <w:b w:val="0"/>
          <w:sz w:val="22"/>
          <w:szCs w:val="22"/>
        </w:rPr>
      </w:pPr>
      <w:hyperlink w:anchor="_Toc46844242" w:history="1">
        <w:r w:rsidR="00F10F71" w:rsidRPr="00322485">
          <w:rPr>
            <w:rStyle w:val="Hyperlink"/>
          </w:rPr>
          <w:t>D</w:t>
        </w:r>
        <w:r w:rsidR="00F10F71">
          <w:rPr>
            <w:rFonts w:asciiTheme="minorHAnsi" w:eastAsiaTheme="minorEastAsia" w:hAnsiTheme="minorHAnsi" w:cstheme="minorBidi"/>
            <w:b w:val="0"/>
            <w:sz w:val="22"/>
            <w:szCs w:val="22"/>
          </w:rPr>
          <w:tab/>
        </w:r>
        <w:r w:rsidR="00F10F71" w:rsidRPr="00322485">
          <w:rPr>
            <w:rStyle w:val="Hyperlink"/>
          </w:rPr>
          <w:t>Systemic issues</w:t>
        </w:r>
        <w:r w:rsidR="00F10F71">
          <w:rPr>
            <w:webHidden/>
          </w:rPr>
          <w:tab/>
        </w:r>
        <w:r w:rsidR="00F10F71">
          <w:rPr>
            <w:webHidden/>
          </w:rPr>
          <w:fldChar w:fldCharType="begin"/>
        </w:r>
        <w:r w:rsidR="00F10F71">
          <w:rPr>
            <w:webHidden/>
          </w:rPr>
          <w:instrText xml:space="preserve"> PAGEREF _Toc46844242 \h </w:instrText>
        </w:r>
        <w:r w:rsidR="00F10F71">
          <w:rPr>
            <w:webHidden/>
          </w:rPr>
        </w:r>
        <w:r w:rsidR="00F10F71">
          <w:rPr>
            <w:webHidden/>
          </w:rPr>
          <w:fldChar w:fldCharType="separate"/>
        </w:r>
        <w:r w:rsidR="00DE6E77">
          <w:rPr>
            <w:webHidden/>
          </w:rPr>
          <w:t>34</w:t>
        </w:r>
        <w:r w:rsidR="00F10F71">
          <w:rPr>
            <w:webHidden/>
          </w:rPr>
          <w:fldChar w:fldCharType="end"/>
        </w:r>
      </w:hyperlink>
    </w:p>
    <w:p w14:paraId="1351A937" w14:textId="6B2CD2BA" w:rsidR="00F10F71" w:rsidRDefault="00DD52BD">
      <w:pPr>
        <w:pStyle w:val="TOC2"/>
        <w:rPr>
          <w:rFonts w:asciiTheme="minorHAnsi" w:eastAsiaTheme="minorEastAsia" w:hAnsiTheme="minorHAnsi" w:cstheme="minorBidi"/>
          <w:sz w:val="22"/>
          <w:szCs w:val="22"/>
        </w:rPr>
      </w:pPr>
      <w:hyperlink w:anchor="_Toc46844243" w:history="1">
        <w:r w:rsidR="00F10F71" w:rsidRPr="00322485">
          <w:rPr>
            <w:rStyle w:val="Hyperlink"/>
          </w:rPr>
          <w:t>Examples of systemic issues</w:t>
        </w:r>
        <w:r w:rsidR="00F10F71">
          <w:rPr>
            <w:webHidden/>
          </w:rPr>
          <w:tab/>
        </w:r>
        <w:r w:rsidR="00F10F71">
          <w:rPr>
            <w:webHidden/>
          </w:rPr>
          <w:fldChar w:fldCharType="begin"/>
        </w:r>
        <w:r w:rsidR="00F10F71">
          <w:rPr>
            <w:webHidden/>
          </w:rPr>
          <w:instrText xml:space="preserve"> PAGEREF _Toc46844243 \h </w:instrText>
        </w:r>
        <w:r w:rsidR="00F10F71">
          <w:rPr>
            <w:webHidden/>
          </w:rPr>
        </w:r>
        <w:r w:rsidR="00F10F71">
          <w:rPr>
            <w:webHidden/>
          </w:rPr>
          <w:fldChar w:fldCharType="separate"/>
        </w:r>
        <w:r w:rsidR="00DE6E77">
          <w:rPr>
            <w:webHidden/>
          </w:rPr>
          <w:t>34</w:t>
        </w:r>
        <w:r w:rsidR="00F10F71">
          <w:rPr>
            <w:webHidden/>
          </w:rPr>
          <w:fldChar w:fldCharType="end"/>
        </w:r>
      </w:hyperlink>
    </w:p>
    <w:p w14:paraId="3ED564C5" w14:textId="747B0CB5" w:rsidR="00F10F71" w:rsidRDefault="00DD52BD">
      <w:pPr>
        <w:pStyle w:val="TOC2"/>
        <w:rPr>
          <w:rFonts w:asciiTheme="minorHAnsi" w:eastAsiaTheme="minorEastAsia" w:hAnsiTheme="minorHAnsi" w:cstheme="minorBidi"/>
          <w:sz w:val="22"/>
          <w:szCs w:val="22"/>
        </w:rPr>
      </w:pPr>
      <w:hyperlink w:anchor="_Toc46844244" w:history="1">
        <w:r w:rsidR="00F10F71" w:rsidRPr="00322485">
          <w:rPr>
            <w:rStyle w:val="Hyperlink"/>
          </w:rPr>
          <w:t>How to manage systemic issues</w:t>
        </w:r>
        <w:r w:rsidR="00F10F71">
          <w:rPr>
            <w:webHidden/>
          </w:rPr>
          <w:tab/>
        </w:r>
        <w:r w:rsidR="00F10F71">
          <w:rPr>
            <w:webHidden/>
          </w:rPr>
          <w:fldChar w:fldCharType="begin"/>
        </w:r>
        <w:r w:rsidR="00F10F71">
          <w:rPr>
            <w:webHidden/>
          </w:rPr>
          <w:instrText xml:space="preserve"> PAGEREF _Toc46844244 \h </w:instrText>
        </w:r>
        <w:r w:rsidR="00F10F71">
          <w:rPr>
            <w:webHidden/>
          </w:rPr>
        </w:r>
        <w:r w:rsidR="00F10F71">
          <w:rPr>
            <w:webHidden/>
          </w:rPr>
          <w:fldChar w:fldCharType="separate"/>
        </w:r>
        <w:r w:rsidR="00DE6E77">
          <w:rPr>
            <w:webHidden/>
          </w:rPr>
          <w:t>34</w:t>
        </w:r>
        <w:r w:rsidR="00F10F71">
          <w:rPr>
            <w:webHidden/>
          </w:rPr>
          <w:fldChar w:fldCharType="end"/>
        </w:r>
      </w:hyperlink>
    </w:p>
    <w:p w14:paraId="1B879F7A" w14:textId="2BAC70C9" w:rsidR="00F10F71" w:rsidRDefault="00DD52BD">
      <w:pPr>
        <w:pStyle w:val="TOC1"/>
        <w:rPr>
          <w:rFonts w:asciiTheme="minorHAnsi" w:eastAsiaTheme="minorEastAsia" w:hAnsiTheme="minorHAnsi" w:cstheme="minorBidi"/>
          <w:b w:val="0"/>
          <w:sz w:val="22"/>
          <w:szCs w:val="22"/>
        </w:rPr>
      </w:pPr>
      <w:hyperlink w:anchor="_Toc46844245" w:history="1">
        <w:r w:rsidR="00F10F71" w:rsidRPr="00322485">
          <w:rPr>
            <w:rStyle w:val="Hyperlink"/>
          </w:rPr>
          <w:t>E</w:t>
        </w:r>
        <w:r w:rsidR="00F10F71">
          <w:rPr>
            <w:rFonts w:asciiTheme="minorHAnsi" w:eastAsiaTheme="minorEastAsia" w:hAnsiTheme="minorHAnsi" w:cstheme="minorBidi"/>
            <w:b w:val="0"/>
            <w:sz w:val="22"/>
            <w:szCs w:val="22"/>
          </w:rPr>
          <w:tab/>
        </w:r>
        <w:r w:rsidR="00F10F71" w:rsidRPr="00322485">
          <w:rPr>
            <w:rStyle w:val="Hyperlink"/>
          </w:rPr>
          <w:t>IDR standards</w:t>
        </w:r>
        <w:r w:rsidR="00F10F71">
          <w:rPr>
            <w:webHidden/>
          </w:rPr>
          <w:tab/>
        </w:r>
        <w:r w:rsidR="00F10F71">
          <w:rPr>
            <w:webHidden/>
          </w:rPr>
          <w:fldChar w:fldCharType="begin"/>
        </w:r>
        <w:r w:rsidR="00F10F71">
          <w:rPr>
            <w:webHidden/>
          </w:rPr>
          <w:instrText xml:space="preserve"> PAGEREF _Toc46844245 \h </w:instrText>
        </w:r>
        <w:r w:rsidR="00F10F71">
          <w:rPr>
            <w:webHidden/>
          </w:rPr>
        </w:r>
        <w:r w:rsidR="00F10F71">
          <w:rPr>
            <w:webHidden/>
          </w:rPr>
          <w:fldChar w:fldCharType="separate"/>
        </w:r>
        <w:r w:rsidR="00DE6E77">
          <w:rPr>
            <w:webHidden/>
          </w:rPr>
          <w:t>36</w:t>
        </w:r>
        <w:r w:rsidR="00F10F71">
          <w:rPr>
            <w:webHidden/>
          </w:rPr>
          <w:fldChar w:fldCharType="end"/>
        </w:r>
      </w:hyperlink>
    </w:p>
    <w:p w14:paraId="3CFDD0DB" w14:textId="04296C09" w:rsidR="00F10F71" w:rsidRDefault="00DD52BD">
      <w:pPr>
        <w:pStyle w:val="TOC2"/>
        <w:rPr>
          <w:rFonts w:asciiTheme="minorHAnsi" w:eastAsiaTheme="minorEastAsia" w:hAnsiTheme="minorHAnsi" w:cstheme="minorBidi"/>
          <w:sz w:val="22"/>
          <w:szCs w:val="22"/>
        </w:rPr>
      </w:pPr>
      <w:hyperlink w:anchor="_Toc46844246" w:history="1">
        <w:r w:rsidR="00F10F71" w:rsidRPr="00322485">
          <w:rPr>
            <w:rStyle w:val="Hyperlink"/>
          </w:rPr>
          <w:t>Basis for the IDR standards</w:t>
        </w:r>
        <w:r w:rsidR="00F10F71">
          <w:rPr>
            <w:webHidden/>
          </w:rPr>
          <w:tab/>
        </w:r>
        <w:r w:rsidR="00F10F71">
          <w:rPr>
            <w:webHidden/>
          </w:rPr>
          <w:fldChar w:fldCharType="begin"/>
        </w:r>
        <w:r w:rsidR="00F10F71">
          <w:rPr>
            <w:webHidden/>
          </w:rPr>
          <w:instrText xml:space="preserve"> PAGEREF _Toc46844246 \h </w:instrText>
        </w:r>
        <w:r w:rsidR="00F10F71">
          <w:rPr>
            <w:webHidden/>
          </w:rPr>
        </w:r>
        <w:r w:rsidR="00F10F71">
          <w:rPr>
            <w:webHidden/>
          </w:rPr>
          <w:fldChar w:fldCharType="separate"/>
        </w:r>
        <w:r w:rsidR="00DE6E77">
          <w:rPr>
            <w:webHidden/>
          </w:rPr>
          <w:t>36</w:t>
        </w:r>
        <w:r w:rsidR="00F10F71">
          <w:rPr>
            <w:webHidden/>
          </w:rPr>
          <w:fldChar w:fldCharType="end"/>
        </w:r>
      </w:hyperlink>
    </w:p>
    <w:p w14:paraId="70422A9C" w14:textId="746CE09D" w:rsidR="00F10F71" w:rsidRDefault="00DD52BD">
      <w:pPr>
        <w:pStyle w:val="TOC2"/>
        <w:rPr>
          <w:rFonts w:asciiTheme="minorHAnsi" w:eastAsiaTheme="minorEastAsia" w:hAnsiTheme="minorHAnsi" w:cstheme="minorBidi"/>
          <w:sz w:val="22"/>
          <w:szCs w:val="22"/>
        </w:rPr>
      </w:pPr>
      <w:hyperlink w:anchor="_Toc46844247" w:history="1">
        <w:r w:rsidR="00F10F71" w:rsidRPr="00322485">
          <w:rPr>
            <w:rStyle w:val="Hyperlink"/>
          </w:rPr>
          <w:t>Commitment and culture</w:t>
        </w:r>
        <w:r w:rsidR="00F10F71">
          <w:rPr>
            <w:webHidden/>
          </w:rPr>
          <w:tab/>
        </w:r>
        <w:r w:rsidR="00F10F71">
          <w:rPr>
            <w:webHidden/>
          </w:rPr>
          <w:fldChar w:fldCharType="begin"/>
        </w:r>
        <w:r w:rsidR="00F10F71">
          <w:rPr>
            <w:webHidden/>
          </w:rPr>
          <w:instrText xml:space="preserve"> PAGEREF _Toc46844247 \h </w:instrText>
        </w:r>
        <w:r w:rsidR="00F10F71">
          <w:rPr>
            <w:webHidden/>
          </w:rPr>
        </w:r>
        <w:r w:rsidR="00F10F71">
          <w:rPr>
            <w:webHidden/>
          </w:rPr>
          <w:fldChar w:fldCharType="separate"/>
        </w:r>
        <w:r w:rsidR="00DE6E77">
          <w:rPr>
            <w:webHidden/>
          </w:rPr>
          <w:t>37</w:t>
        </w:r>
        <w:r w:rsidR="00F10F71">
          <w:rPr>
            <w:webHidden/>
          </w:rPr>
          <w:fldChar w:fldCharType="end"/>
        </w:r>
      </w:hyperlink>
    </w:p>
    <w:p w14:paraId="3569A6B2" w14:textId="4C7215CE" w:rsidR="00F10F71" w:rsidRDefault="00DD52BD">
      <w:pPr>
        <w:pStyle w:val="TOC2"/>
        <w:rPr>
          <w:rFonts w:asciiTheme="minorHAnsi" w:eastAsiaTheme="minorEastAsia" w:hAnsiTheme="minorHAnsi" w:cstheme="minorBidi"/>
          <w:sz w:val="22"/>
          <w:szCs w:val="22"/>
        </w:rPr>
      </w:pPr>
      <w:hyperlink w:anchor="_Toc46844248" w:history="1">
        <w:r w:rsidR="00F10F71" w:rsidRPr="00322485">
          <w:rPr>
            <w:rStyle w:val="Hyperlink"/>
          </w:rPr>
          <w:t>Enabling complaints</w:t>
        </w:r>
        <w:r w:rsidR="00F10F71">
          <w:rPr>
            <w:webHidden/>
          </w:rPr>
          <w:tab/>
        </w:r>
        <w:r w:rsidR="00F10F71">
          <w:rPr>
            <w:webHidden/>
          </w:rPr>
          <w:fldChar w:fldCharType="begin"/>
        </w:r>
        <w:r w:rsidR="00F10F71">
          <w:rPr>
            <w:webHidden/>
          </w:rPr>
          <w:instrText xml:space="preserve"> PAGEREF _Toc46844248 \h </w:instrText>
        </w:r>
        <w:r w:rsidR="00F10F71">
          <w:rPr>
            <w:webHidden/>
          </w:rPr>
        </w:r>
        <w:r w:rsidR="00F10F71">
          <w:rPr>
            <w:webHidden/>
          </w:rPr>
          <w:fldChar w:fldCharType="separate"/>
        </w:r>
        <w:r w:rsidR="00DE6E77">
          <w:rPr>
            <w:webHidden/>
          </w:rPr>
          <w:t>37</w:t>
        </w:r>
        <w:r w:rsidR="00F10F71">
          <w:rPr>
            <w:webHidden/>
          </w:rPr>
          <w:fldChar w:fldCharType="end"/>
        </w:r>
      </w:hyperlink>
    </w:p>
    <w:p w14:paraId="312CD69A" w14:textId="5F63CAED" w:rsidR="00F10F71" w:rsidRDefault="00DD52BD">
      <w:pPr>
        <w:pStyle w:val="TOC2"/>
        <w:rPr>
          <w:rFonts w:asciiTheme="minorHAnsi" w:eastAsiaTheme="minorEastAsia" w:hAnsiTheme="minorHAnsi" w:cstheme="minorBidi"/>
          <w:sz w:val="22"/>
          <w:szCs w:val="22"/>
        </w:rPr>
      </w:pPr>
      <w:hyperlink w:anchor="_Toc46844249" w:history="1">
        <w:r w:rsidR="00F10F71" w:rsidRPr="00322485">
          <w:rPr>
            <w:rStyle w:val="Hyperlink"/>
          </w:rPr>
          <w:t>Resourcing</w:t>
        </w:r>
        <w:r w:rsidR="00F10F71">
          <w:rPr>
            <w:webHidden/>
          </w:rPr>
          <w:tab/>
        </w:r>
        <w:r w:rsidR="00F10F71">
          <w:rPr>
            <w:webHidden/>
          </w:rPr>
          <w:fldChar w:fldCharType="begin"/>
        </w:r>
        <w:r w:rsidR="00F10F71">
          <w:rPr>
            <w:webHidden/>
          </w:rPr>
          <w:instrText xml:space="preserve"> PAGEREF _Toc46844249 \h </w:instrText>
        </w:r>
        <w:r w:rsidR="00F10F71">
          <w:rPr>
            <w:webHidden/>
          </w:rPr>
        </w:r>
        <w:r w:rsidR="00F10F71">
          <w:rPr>
            <w:webHidden/>
          </w:rPr>
          <w:fldChar w:fldCharType="separate"/>
        </w:r>
        <w:r w:rsidR="00DE6E77">
          <w:rPr>
            <w:webHidden/>
          </w:rPr>
          <w:t>39</w:t>
        </w:r>
        <w:r w:rsidR="00F10F71">
          <w:rPr>
            <w:webHidden/>
          </w:rPr>
          <w:fldChar w:fldCharType="end"/>
        </w:r>
      </w:hyperlink>
    </w:p>
    <w:p w14:paraId="2031A6EB" w14:textId="73876F47" w:rsidR="00F10F71" w:rsidRDefault="00DD52BD">
      <w:pPr>
        <w:pStyle w:val="TOC2"/>
        <w:rPr>
          <w:rFonts w:asciiTheme="minorHAnsi" w:eastAsiaTheme="minorEastAsia" w:hAnsiTheme="minorHAnsi" w:cstheme="minorBidi"/>
          <w:sz w:val="22"/>
          <w:szCs w:val="22"/>
        </w:rPr>
      </w:pPr>
      <w:hyperlink w:anchor="_Toc46844250" w:history="1">
        <w:r w:rsidR="00F10F71" w:rsidRPr="00322485">
          <w:rPr>
            <w:rStyle w:val="Hyperlink"/>
          </w:rPr>
          <w:t>Responsiveness</w:t>
        </w:r>
        <w:r w:rsidR="00F10F71">
          <w:rPr>
            <w:webHidden/>
          </w:rPr>
          <w:tab/>
        </w:r>
        <w:r w:rsidR="00F10F71">
          <w:rPr>
            <w:webHidden/>
          </w:rPr>
          <w:fldChar w:fldCharType="begin"/>
        </w:r>
        <w:r w:rsidR="00F10F71">
          <w:rPr>
            <w:webHidden/>
          </w:rPr>
          <w:instrText xml:space="preserve"> PAGEREF _Toc46844250 \h </w:instrText>
        </w:r>
        <w:r w:rsidR="00F10F71">
          <w:rPr>
            <w:webHidden/>
          </w:rPr>
        </w:r>
        <w:r w:rsidR="00F10F71">
          <w:rPr>
            <w:webHidden/>
          </w:rPr>
          <w:fldChar w:fldCharType="separate"/>
        </w:r>
        <w:r w:rsidR="00DE6E77">
          <w:rPr>
            <w:webHidden/>
          </w:rPr>
          <w:t>42</w:t>
        </w:r>
        <w:r w:rsidR="00F10F71">
          <w:rPr>
            <w:webHidden/>
          </w:rPr>
          <w:fldChar w:fldCharType="end"/>
        </w:r>
      </w:hyperlink>
    </w:p>
    <w:p w14:paraId="2BDD3819" w14:textId="73F1B83F" w:rsidR="00F10F71" w:rsidRDefault="00DD52BD">
      <w:pPr>
        <w:pStyle w:val="TOC2"/>
        <w:rPr>
          <w:rFonts w:asciiTheme="minorHAnsi" w:eastAsiaTheme="minorEastAsia" w:hAnsiTheme="minorHAnsi" w:cstheme="minorBidi"/>
          <w:sz w:val="22"/>
          <w:szCs w:val="22"/>
        </w:rPr>
      </w:pPr>
      <w:hyperlink w:anchor="_Toc46844251" w:history="1">
        <w:r w:rsidR="00F10F71" w:rsidRPr="00322485">
          <w:rPr>
            <w:rStyle w:val="Hyperlink"/>
          </w:rPr>
          <w:t>Objectivity and fairness</w:t>
        </w:r>
        <w:r w:rsidR="00F10F71">
          <w:rPr>
            <w:webHidden/>
          </w:rPr>
          <w:tab/>
        </w:r>
        <w:r w:rsidR="00F10F71">
          <w:rPr>
            <w:webHidden/>
          </w:rPr>
          <w:fldChar w:fldCharType="begin"/>
        </w:r>
        <w:r w:rsidR="00F10F71">
          <w:rPr>
            <w:webHidden/>
          </w:rPr>
          <w:instrText xml:space="preserve"> PAGEREF _Toc46844251 \h </w:instrText>
        </w:r>
        <w:r w:rsidR="00F10F71">
          <w:rPr>
            <w:webHidden/>
          </w:rPr>
        </w:r>
        <w:r w:rsidR="00F10F71">
          <w:rPr>
            <w:webHidden/>
          </w:rPr>
          <w:fldChar w:fldCharType="separate"/>
        </w:r>
        <w:r w:rsidR="00DE6E77">
          <w:rPr>
            <w:webHidden/>
          </w:rPr>
          <w:t>44</w:t>
        </w:r>
        <w:r w:rsidR="00F10F71">
          <w:rPr>
            <w:webHidden/>
          </w:rPr>
          <w:fldChar w:fldCharType="end"/>
        </w:r>
      </w:hyperlink>
    </w:p>
    <w:p w14:paraId="60BDEFCC" w14:textId="0AF27C73" w:rsidR="00F10F71" w:rsidRDefault="00DD52BD">
      <w:pPr>
        <w:pStyle w:val="TOC2"/>
        <w:rPr>
          <w:rFonts w:asciiTheme="minorHAnsi" w:eastAsiaTheme="minorEastAsia" w:hAnsiTheme="minorHAnsi" w:cstheme="minorBidi"/>
          <w:sz w:val="22"/>
          <w:szCs w:val="22"/>
        </w:rPr>
      </w:pPr>
      <w:hyperlink w:anchor="_Toc46844252" w:history="1">
        <w:r w:rsidR="00F10F71" w:rsidRPr="00322485">
          <w:rPr>
            <w:rStyle w:val="Hyperlink"/>
          </w:rPr>
          <w:t>Policy and procedures</w:t>
        </w:r>
        <w:r w:rsidR="00F10F71">
          <w:rPr>
            <w:webHidden/>
          </w:rPr>
          <w:tab/>
        </w:r>
        <w:r w:rsidR="00F10F71">
          <w:rPr>
            <w:webHidden/>
          </w:rPr>
          <w:fldChar w:fldCharType="begin"/>
        </w:r>
        <w:r w:rsidR="00F10F71">
          <w:rPr>
            <w:webHidden/>
          </w:rPr>
          <w:instrText xml:space="preserve"> PAGEREF _Toc46844252 \h </w:instrText>
        </w:r>
        <w:r w:rsidR="00F10F71">
          <w:rPr>
            <w:webHidden/>
          </w:rPr>
        </w:r>
        <w:r w:rsidR="00F10F71">
          <w:rPr>
            <w:webHidden/>
          </w:rPr>
          <w:fldChar w:fldCharType="separate"/>
        </w:r>
        <w:r w:rsidR="00DE6E77">
          <w:rPr>
            <w:webHidden/>
          </w:rPr>
          <w:t>45</w:t>
        </w:r>
        <w:r w:rsidR="00F10F71">
          <w:rPr>
            <w:webHidden/>
          </w:rPr>
          <w:fldChar w:fldCharType="end"/>
        </w:r>
      </w:hyperlink>
    </w:p>
    <w:p w14:paraId="71A54158" w14:textId="0A6DC69F" w:rsidR="00F10F71" w:rsidRDefault="00DD52BD">
      <w:pPr>
        <w:pStyle w:val="TOC2"/>
        <w:rPr>
          <w:rFonts w:asciiTheme="minorHAnsi" w:eastAsiaTheme="minorEastAsia" w:hAnsiTheme="minorHAnsi" w:cstheme="minorBidi"/>
          <w:sz w:val="22"/>
          <w:szCs w:val="22"/>
        </w:rPr>
      </w:pPr>
      <w:hyperlink w:anchor="_Toc46844253" w:history="1">
        <w:r w:rsidR="00F10F71" w:rsidRPr="00322485">
          <w:rPr>
            <w:rStyle w:val="Hyperlink"/>
          </w:rPr>
          <w:t>Data collection, analysis and internal reporting</w:t>
        </w:r>
        <w:r w:rsidR="00F10F71">
          <w:rPr>
            <w:webHidden/>
          </w:rPr>
          <w:tab/>
        </w:r>
        <w:r w:rsidR="00F10F71">
          <w:rPr>
            <w:webHidden/>
          </w:rPr>
          <w:fldChar w:fldCharType="begin"/>
        </w:r>
        <w:r w:rsidR="00F10F71">
          <w:rPr>
            <w:webHidden/>
          </w:rPr>
          <w:instrText xml:space="preserve"> PAGEREF _Toc46844253 \h </w:instrText>
        </w:r>
        <w:r w:rsidR="00F10F71">
          <w:rPr>
            <w:webHidden/>
          </w:rPr>
        </w:r>
        <w:r w:rsidR="00F10F71">
          <w:rPr>
            <w:webHidden/>
          </w:rPr>
          <w:fldChar w:fldCharType="separate"/>
        </w:r>
        <w:r w:rsidR="00DE6E77">
          <w:rPr>
            <w:webHidden/>
          </w:rPr>
          <w:t>46</w:t>
        </w:r>
        <w:r w:rsidR="00F10F71">
          <w:rPr>
            <w:webHidden/>
          </w:rPr>
          <w:fldChar w:fldCharType="end"/>
        </w:r>
      </w:hyperlink>
    </w:p>
    <w:p w14:paraId="6BC8BDCF" w14:textId="5AA940FA" w:rsidR="00F10F71" w:rsidRDefault="00DD52BD">
      <w:pPr>
        <w:pStyle w:val="TOC2"/>
        <w:rPr>
          <w:rFonts w:asciiTheme="minorHAnsi" w:eastAsiaTheme="minorEastAsia" w:hAnsiTheme="minorHAnsi" w:cstheme="minorBidi"/>
          <w:sz w:val="22"/>
          <w:szCs w:val="22"/>
        </w:rPr>
      </w:pPr>
      <w:hyperlink w:anchor="_Toc46844254" w:history="1">
        <w:r w:rsidR="00F10F71" w:rsidRPr="00322485">
          <w:rPr>
            <w:rStyle w:val="Hyperlink"/>
          </w:rPr>
          <w:t>Continuous improvement</w:t>
        </w:r>
        <w:r w:rsidR="00F10F71">
          <w:rPr>
            <w:webHidden/>
          </w:rPr>
          <w:tab/>
        </w:r>
        <w:r w:rsidR="00F10F71">
          <w:rPr>
            <w:webHidden/>
          </w:rPr>
          <w:fldChar w:fldCharType="begin"/>
        </w:r>
        <w:r w:rsidR="00F10F71">
          <w:rPr>
            <w:webHidden/>
          </w:rPr>
          <w:instrText xml:space="preserve"> PAGEREF _Toc46844254 \h </w:instrText>
        </w:r>
        <w:r w:rsidR="00F10F71">
          <w:rPr>
            <w:webHidden/>
          </w:rPr>
        </w:r>
        <w:r w:rsidR="00F10F71">
          <w:rPr>
            <w:webHidden/>
          </w:rPr>
          <w:fldChar w:fldCharType="separate"/>
        </w:r>
        <w:r w:rsidR="00DE6E77">
          <w:rPr>
            <w:webHidden/>
          </w:rPr>
          <w:t>48</w:t>
        </w:r>
        <w:r w:rsidR="00F10F71">
          <w:rPr>
            <w:webHidden/>
          </w:rPr>
          <w:fldChar w:fldCharType="end"/>
        </w:r>
      </w:hyperlink>
    </w:p>
    <w:p w14:paraId="0F269D52" w14:textId="567C200F" w:rsidR="00F10F71" w:rsidRDefault="00DD52BD">
      <w:pPr>
        <w:pStyle w:val="TOC1"/>
        <w:rPr>
          <w:rFonts w:asciiTheme="minorHAnsi" w:eastAsiaTheme="minorEastAsia" w:hAnsiTheme="minorHAnsi" w:cstheme="minorBidi"/>
          <w:b w:val="0"/>
          <w:sz w:val="22"/>
          <w:szCs w:val="22"/>
        </w:rPr>
      </w:pPr>
      <w:hyperlink w:anchor="_Toc46844255" w:history="1">
        <w:r w:rsidR="00F10F71" w:rsidRPr="00322485">
          <w:rPr>
            <w:rStyle w:val="Hyperlink"/>
          </w:rPr>
          <w:t>Key terms</w:t>
        </w:r>
        <w:r w:rsidR="00F10F71">
          <w:rPr>
            <w:webHidden/>
          </w:rPr>
          <w:tab/>
        </w:r>
        <w:r w:rsidR="00F10F71">
          <w:rPr>
            <w:webHidden/>
          </w:rPr>
          <w:fldChar w:fldCharType="begin"/>
        </w:r>
        <w:r w:rsidR="00F10F71">
          <w:rPr>
            <w:webHidden/>
          </w:rPr>
          <w:instrText xml:space="preserve"> PAGEREF _Toc46844255 \h </w:instrText>
        </w:r>
        <w:r w:rsidR="00F10F71">
          <w:rPr>
            <w:webHidden/>
          </w:rPr>
        </w:r>
        <w:r w:rsidR="00F10F71">
          <w:rPr>
            <w:webHidden/>
          </w:rPr>
          <w:fldChar w:fldCharType="separate"/>
        </w:r>
        <w:r w:rsidR="00DE6E77">
          <w:rPr>
            <w:webHidden/>
          </w:rPr>
          <w:t>50</w:t>
        </w:r>
        <w:r w:rsidR="00F10F71">
          <w:rPr>
            <w:webHidden/>
          </w:rPr>
          <w:fldChar w:fldCharType="end"/>
        </w:r>
      </w:hyperlink>
    </w:p>
    <w:p w14:paraId="576E14A6" w14:textId="190E75AB" w:rsidR="00F10F71" w:rsidRDefault="00DD52BD">
      <w:pPr>
        <w:pStyle w:val="TOC1"/>
        <w:rPr>
          <w:rFonts w:asciiTheme="minorHAnsi" w:eastAsiaTheme="minorEastAsia" w:hAnsiTheme="minorHAnsi" w:cstheme="minorBidi"/>
          <w:b w:val="0"/>
          <w:sz w:val="22"/>
          <w:szCs w:val="22"/>
        </w:rPr>
      </w:pPr>
      <w:hyperlink w:anchor="_Toc46844256" w:history="1">
        <w:r w:rsidR="00F10F71" w:rsidRPr="00322485">
          <w:rPr>
            <w:rStyle w:val="Hyperlink"/>
          </w:rPr>
          <w:t>Related information</w:t>
        </w:r>
        <w:r w:rsidR="00F10F71">
          <w:rPr>
            <w:webHidden/>
          </w:rPr>
          <w:tab/>
        </w:r>
        <w:r w:rsidR="00F10F71">
          <w:rPr>
            <w:webHidden/>
          </w:rPr>
          <w:fldChar w:fldCharType="begin"/>
        </w:r>
        <w:r w:rsidR="00F10F71">
          <w:rPr>
            <w:webHidden/>
          </w:rPr>
          <w:instrText xml:space="preserve"> PAGEREF _Toc46844256 \h </w:instrText>
        </w:r>
        <w:r w:rsidR="00F10F71">
          <w:rPr>
            <w:webHidden/>
          </w:rPr>
        </w:r>
        <w:r w:rsidR="00F10F71">
          <w:rPr>
            <w:webHidden/>
          </w:rPr>
          <w:fldChar w:fldCharType="separate"/>
        </w:r>
        <w:r w:rsidR="00DE6E77">
          <w:rPr>
            <w:webHidden/>
          </w:rPr>
          <w:t>55</w:t>
        </w:r>
        <w:r w:rsidR="00F10F71">
          <w:rPr>
            <w:webHidden/>
          </w:rPr>
          <w:fldChar w:fldCharType="end"/>
        </w:r>
      </w:hyperlink>
    </w:p>
    <w:p w14:paraId="438AE866" w14:textId="06F83917" w:rsidR="00676EB3" w:rsidRPr="002C6752" w:rsidRDefault="009D5F41">
      <w:pPr>
        <w:pStyle w:val="Bodytextplain"/>
      </w:pPr>
      <w:r w:rsidRPr="002C6752">
        <w:rPr>
          <w:rFonts w:ascii="HelveticaNeue LT 55 Roman" w:hAnsi="HelveticaNeue LT 55 Roman" w:cs="Arial"/>
          <w:noProof/>
          <w:sz w:val="20"/>
          <w:szCs w:val="20"/>
        </w:rPr>
        <w:fldChar w:fldCharType="end"/>
      </w:r>
      <w:r w:rsidR="003229E3" w:rsidRPr="002C6752">
        <w:rPr>
          <w:rFonts w:ascii="HelveticaNeue LT 55 Roman" w:hAnsi="HelveticaNeue LT 55 Roman" w:cs="Arial"/>
          <w:noProof/>
          <w:sz w:val="20"/>
          <w:szCs w:val="20"/>
        </w:rPr>
        <w:t xml:space="preserve"> </w:t>
      </w:r>
    </w:p>
    <w:p w14:paraId="430279E1" w14:textId="7C0BC7E1" w:rsidR="00676EB3" w:rsidRPr="002C6752" w:rsidRDefault="008242F7" w:rsidP="00F37840">
      <w:pPr>
        <w:pStyle w:val="Heading1"/>
        <w:spacing w:after="600"/>
      </w:pPr>
      <w:bookmarkStart w:id="3" w:name="_AboutThisGuide"/>
      <w:bookmarkStart w:id="4" w:name="_Toc46844225"/>
      <w:bookmarkStart w:id="5" w:name="_ASICRef417"/>
      <w:bookmarkStart w:id="6" w:name="_ASICRef356"/>
      <w:bookmarkStart w:id="7" w:name="_ASICRef802"/>
      <w:bookmarkEnd w:id="3"/>
      <w:r w:rsidRPr="002C6752">
        <w:lastRenderedPageBreak/>
        <w:t>Overview</w:t>
      </w:r>
      <w:bookmarkEnd w:id="4"/>
      <w:r w:rsidR="00676EB3" w:rsidRPr="002C6752">
        <w:t xml:space="preserve"> </w:t>
      </w:r>
      <w:bookmarkEnd w:id="5"/>
      <w:bookmarkEnd w:id="6"/>
      <w:bookmarkEnd w:id="7"/>
    </w:p>
    <w:p w14:paraId="510A8AFF" w14:textId="77777777" w:rsidR="00676EB3" w:rsidRPr="002C6752" w:rsidRDefault="00676EB3" w:rsidP="005F073C">
      <w:pPr>
        <w:pStyle w:val="KPhead"/>
      </w:pPr>
      <w:r w:rsidRPr="002C6752">
        <w:t>Key points</w:t>
      </w:r>
    </w:p>
    <w:p w14:paraId="7319E2A0" w14:textId="64D29D80" w:rsidR="00E64133" w:rsidRPr="002C6752" w:rsidRDefault="00E64133" w:rsidP="00E64133">
      <w:pPr>
        <w:pStyle w:val="KPtext"/>
      </w:pPr>
      <w:r w:rsidRPr="002C6752">
        <w:t>Financial fir</w:t>
      </w:r>
      <w:r w:rsidR="00A4441E" w:rsidRPr="002C6752">
        <w:t>ms must have</w:t>
      </w:r>
      <w:r w:rsidRPr="002C6752">
        <w:t xml:space="preserve"> a dispute resolution system that consists of:</w:t>
      </w:r>
    </w:p>
    <w:p w14:paraId="4317F874" w14:textId="2573EF90" w:rsidR="00E64133" w:rsidRPr="002C6752" w:rsidRDefault="00A4441E" w:rsidP="00F37840">
      <w:pPr>
        <w:pStyle w:val="KPbullet"/>
        <w:spacing w:before="80"/>
      </w:pPr>
      <w:r w:rsidRPr="002C6752">
        <w:t>a</w:t>
      </w:r>
      <w:r w:rsidR="00E64133" w:rsidRPr="002C6752">
        <w:t xml:space="preserve">n internal dispute resolution </w:t>
      </w:r>
      <w:r w:rsidR="001C6DB2" w:rsidRPr="002C6752">
        <w:t xml:space="preserve">(IDR) </w:t>
      </w:r>
      <w:r w:rsidR="00EE051F">
        <w:t xml:space="preserve">procedure </w:t>
      </w:r>
      <w:r w:rsidR="00E64133" w:rsidRPr="002C6752">
        <w:t>that meets the standards or requirements made or appro</w:t>
      </w:r>
      <w:r w:rsidR="0067565A" w:rsidRPr="002C6752">
        <w:t>ved by ASIC</w:t>
      </w:r>
      <w:r w:rsidR="00E64133" w:rsidRPr="002C6752">
        <w:t>; and</w:t>
      </w:r>
    </w:p>
    <w:p w14:paraId="09A35C60" w14:textId="44DD8791" w:rsidR="00676EB3" w:rsidRPr="002C6752" w:rsidRDefault="00A4441E" w:rsidP="00F37840">
      <w:pPr>
        <w:pStyle w:val="KPbullet"/>
        <w:spacing w:before="80"/>
      </w:pPr>
      <w:r w:rsidRPr="002C6752">
        <w:t>m</w:t>
      </w:r>
      <w:r w:rsidR="00E64133" w:rsidRPr="002C6752">
        <w:t>embership of the Australian Financial Complaints Authority (AFCA).</w:t>
      </w:r>
      <w:r w:rsidR="00676EB3" w:rsidRPr="002C6752">
        <w:t xml:space="preserve"> </w:t>
      </w:r>
    </w:p>
    <w:p w14:paraId="00F2CC88" w14:textId="05E1A89C" w:rsidR="00A4441E" w:rsidRPr="002C6752" w:rsidRDefault="00A4441E" w:rsidP="00A4441E">
      <w:pPr>
        <w:pStyle w:val="KPtext"/>
      </w:pPr>
      <w:r w:rsidRPr="002C6752">
        <w:t>Our dispute resolution</w:t>
      </w:r>
      <w:r w:rsidR="00073DEC" w:rsidRPr="002C6752">
        <w:t xml:space="preserve"> standards and </w:t>
      </w:r>
      <w:r w:rsidR="001D2892" w:rsidRPr="002C6752">
        <w:t>requirements are set out in</w:t>
      </w:r>
      <w:r w:rsidRPr="002C6752">
        <w:t>:</w:t>
      </w:r>
    </w:p>
    <w:p w14:paraId="44289518" w14:textId="5263D126" w:rsidR="00EF51A8" w:rsidRPr="002C6752" w:rsidRDefault="005841A4" w:rsidP="00F37840">
      <w:pPr>
        <w:pStyle w:val="KPbullet"/>
        <w:spacing w:before="80"/>
        <w:rPr>
          <w:spacing w:val="-2"/>
        </w:rPr>
      </w:pPr>
      <w:r w:rsidRPr="002C6752">
        <w:rPr>
          <w:spacing w:val="-2"/>
        </w:rPr>
        <w:t>t</w:t>
      </w:r>
      <w:r w:rsidR="00EF51A8" w:rsidRPr="002C6752">
        <w:rPr>
          <w:spacing w:val="-2"/>
        </w:rPr>
        <w:t xml:space="preserve">his guide, which </w:t>
      </w:r>
      <w:r w:rsidR="00EF51A8" w:rsidRPr="00F37840">
        <w:t>sets</w:t>
      </w:r>
      <w:r w:rsidR="00EF51A8" w:rsidRPr="002C6752">
        <w:rPr>
          <w:spacing w:val="-2"/>
        </w:rPr>
        <w:t xml:space="preserve"> out how fina</w:t>
      </w:r>
      <w:r w:rsidR="00CC4230" w:rsidRPr="002C6752">
        <w:rPr>
          <w:spacing w:val="-2"/>
        </w:rPr>
        <w:t xml:space="preserve">ncial firms must </w:t>
      </w:r>
      <w:r w:rsidR="00EF51A8" w:rsidRPr="002C6752">
        <w:rPr>
          <w:spacing w:val="-2"/>
        </w:rPr>
        <w:t>meet their obligations; and</w:t>
      </w:r>
    </w:p>
    <w:p w14:paraId="0412C37D" w14:textId="011CC210" w:rsidR="00EF51A8" w:rsidRPr="002C6752" w:rsidRDefault="00DD52BD" w:rsidP="00F37840">
      <w:pPr>
        <w:pStyle w:val="KPbullet"/>
        <w:spacing w:before="80"/>
      </w:pPr>
      <w:hyperlink r:id="rId21" w:history="1">
        <w:r w:rsidR="005841A4" w:rsidRPr="002C6752">
          <w:rPr>
            <w:rStyle w:val="Hyperlink"/>
          </w:rPr>
          <w:t>R</w:t>
        </w:r>
        <w:r w:rsidR="008242F7" w:rsidRPr="002C6752">
          <w:rPr>
            <w:rStyle w:val="Hyperlink"/>
          </w:rPr>
          <w:t xml:space="preserve">egulatory </w:t>
        </w:r>
        <w:r w:rsidR="005841A4" w:rsidRPr="002C6752">
          <w:rPr>
            <w:rStyle w:val="Hyperlink"/>
          </w:rPr>
          <w:t>G</w:t>
        </w:r>
        <w:r w:rsidR="008242F7" w:rsidRPr="002C6752">
          <w:rPr>
            <w:rStyle w:val="Hyperlink"/>
          </w:rPr>
          <w:t>uide</w:t>
        </w:r>
        <w:r w:rsidR="005841A4" w:rsidRPr="002C6752">
          <w:rPr>
            <w:rStyle w:val="Hyperlink"/>
          </w:rPr>
          <w:t xml:space="preserve"> 267</w:t>
        </w:r>
      </w:hyperlink>
      <w:r w:rsidR="00EF51A8" w:rsidRPr="002C6752">
        <w:t xml:space="preserve"> </w:t>
      </w:r>
      <w:r w:rsidR="00EF51A8" w:rsidRPr="002C6752">
        <w:rPr>
          <w:i/>
        </w:rPr>
        <w:t>Oversight of the Australian Financial Complaints Authority</w:t>
      </w:r>
      <w:r w:rsidR="00EF51A8" w:rsidRPr="002C6752">
        <w:t xml:space="preserve"> (RG </w:t>
      </w:r>
      <w:r w:rsidR="008242F7" w:rsidRPr="002C6752">
        <w:t>267</w:t>
      </w:r>
      <w:r w:rsidR="00EF51A8" w:rsidRPr="002C6752">
        <w:t>), which sets out how we will administer ASIC</w:t>
      </w:r>
      <w:r w:rsidR="00E12C7C">
        <w:t>’</w:t>
      </w:r>
      <w:r w:rsidR="00EF51A8" w:rsidRPr="002C6752">
        <w:t>s powers and perform our oversight role over AFCA.</w:t>
      </w:r>
    </w:p>
    <w:p w14:paraId="2867F618" w14:textId="4EBDBAFB" w:rsidR="00BE0123" w:rsidRPr="002C6752" w:rsidRDefault="008242F7" w:rsidP="00BE0123">
      <w:pPr>
        <w:pStyle w:val="KPtext"/>
      </w:pPr>
      <w:r w:rsidRPr="002C6752">
        <w:t>We</w:t>
      </w:r>
      <w:r w:rsidR="00BE0123" w:rsidRPr="002C6752">
        <w:t xml:space="preserve"> must, when considering whether to make or approve standards or requirements relating to IDR, take into account:</w:t>
      </w:r>
    </w:p>
    <w:p w14:paraId="4A7C69C3" w14:textId="65F32FF9" w:rsidR="00BE0123" w:rsidRPr="002C6752" w:rsidRDefault="00BE0123" w:rsidP="00F37840">
      <w:pPr>
        <w:pStyle w:val="KPbullet"/>
        <w:spacing w:before="80"/>
      </w:pPr>
      <w:r w:rsidRPr="002C6752">
        <w:t>A</w:t>
      </w:r>
      <w:r w:rsidR="00592CE7" w:rsidRPr="002C6752">
        <w:t>ustralian</w:t>
      </w:r>
      <w:r w:rsidR="008242F7" w:rsidRPr="002C6752">
        <w:t xml:space="preserve"> Standard</w:t>
      </w:r>
      <w:r w:rsidR="00592CE7" w:rsidRPr="002C6752">
        <w:t xml:space="preserve"> </w:t>
      </w:r>
      <w:hyperlink r:id="rId22" w:history="1">
        <w:r w:rsidR="00592CE7" w:rsidRPr="002C6752">
          <w:rPr>
            <w:rStyle w:val="Hyperlink"/>
          </w:rPr>
          <w:t>AS/NZS 10002:2014</w:t>
        </w:r>
      </w:hyperlink>
      <w:r w:rsidR="00592CE7" w:rsidRPr="002C6752">
        <w:t xml:space="preserve"> </w:t>
      </w:r>
      <w:r w:rsidR="00592CE7" w:rsidRPr="002C6752">
        <w:rPr>
          <w:i/>
        </w:rPr>
        <w:t xml:space="preserve">Guidelines for complaint </w:t>
      </w:r>
      <w:r w:rsidR="00592CE7" w:rsidRPr="00833B23">
        <w:rPr>
          <w:i/>
        </w:rPr>
        <w:t>management in organizations</w:t>
      </w:r>
      <w:r w:rsidR="00592CE7" w:rsidRPr="002C6752">
        <w:t xml:space="preserve"> (AS/NZS 10002:2014); and</w:t>
      </w:r>
    </w:p>
    <w:p w14:paraId="252E8861" w14:textId="1F0244CC" w:rsidR="00BE0123" w:rsidRPr="002C6752" w:rsidRDefault="005841A4" w:rsidP="00F37840">
      <w:pPr>
        <w:pStyle w:val="KPbullet"/>
        <w:spacing w:before="80"/>
      </w:pPr>
      <w:r w:rsidRPr="002C6752">
        <w:t>a</w:t>
      </w:r>
      <w:r w:rsidR="00592CE7" w:rsidRPr="002C6752">
        <w:t>ny other matter we consider relevant.</w:t>
      </w:r>
    </w:p>
    <w:p w14:paraId="416D7E06" w14:textId="0EED17BC" w:rsidR="0017452C" w:rsidRPr="002C6752" w:rsidRDefault="0017452C" w:rsidP="00EF51A8">
      <w:pPr>
        <w:pStyle w:val="KPtext"/>
      </w:pPr>
      <w:r w:rsidRPr="002C6752">
        <w:t>The standards and requirements highlighted in this guide are enforceable</w:t>
      </w:r>
      <w:r w:rsidR="00431199" w:rsidRPr="002C6752">
        <w:t>.</w:t>
      </w:r>
    </w:p>
    <w:p w14:paraId="2072F660" w14:textId="1B6E2544" w:rsidR="00A4441E" w:rsidRPr="002C6752" w:rsidRDefault="00A4441E" w:rsidP="00EF51A8">
      <w:pPr>
        <w:pStyle w:val="KPtext"/>
      </w:pPr>
      <w:r w:rsidRPr="002C6752">
        <w:t xml:space="preserve">This </w:t>
      </w:r>
      <w:r w:rsidR="001D2892" w:rsidRPr="002C6752">
        <w:t>regulatory guide</w:t>
      </w:r>
      <w:r w:rsidRPr="002C6752">
        <w:t xml:space="preserve"> updates our </w:t>
      </w:r>
      <w:r w:rsidR="00357F69" w:rsidRPr="002C6752">
        <w:t>previous</w:t>
      </w:r>
      <w:r w:rsidR="00CC4230" w:rsidRPr="002C6752">
        <w:t xml:space="preserve"> </w:t>
      </w:r>
      <w:r w:rsidRPr="002C6752">
        <w:t>IDR</w:t>
      </w:r>
      <w:r w:rsidR="00E1383E">
        <w:t xml:space="preserve"> standards and requirements</w:t>
      </w:r>
      <w:r w:rsidRPr="002C6752">
        <w:t xml:space="preserve"> to:</w:t>
      </w:r>
    </w:p>
    <w:p w14:paraId="753367E9" w14:textId="0865950C" w:rsidR="00A4441E" w:rsidRPr="002C6752" w:rsidRDefault="00475D32" w:rsidP="00F37840">
      <w:pPr>
        <w:pStyle w:val="KPbullet"/>
        <w:spacing w:before="80"/>
      </w:pPr>
      <w:r w:rsidRPr="002C6752">
        <w:t>give effect to</w:t>
      </w:r>
      <w:r w:rsidR="00A4441E" w:rsidRPr="002C6752">
        <w:t xml:space="preserve"> the reforms introduced by the</w:t>
      </w:r>
      <w:r w:rsidR="000671D1" w:rsidRPr="002C6752">
        <w:t xml:space="preserve"> </w:t>
      </w:r>
      <w:r w:rsidR="000671D1" w:rsidRPr="002C6752">
        <w:rPr>
          <w:i/>
        </w:rPr>
        <w:t>Treasury Laws Amendment (Putting Consumers First</w:t>
      </w:r>
      <w:r w:rsidR="00E91048" w:rsidRPr="002C6752">
        <w:rPr>
          <w:i/>
        </w:rPr>
        <w:t>—</w:t>
      </w:r>
      <w:r w:rsidR="000671D1" w:rsidRPr="002C6752">
        <w:rPr>
          <w:i/>
        </w:rPr>
        <w:t>Establishment of the Australian Financial Complaints Authority) Act 2018</w:t>
      </w:r>
      <w:r w:rsidR="00D54825">
        <w:t>,</w:t>
      </w:r>
      <w:r w:rsidR="000671D1" w:rsidRPr="002C6752">
        <w:t xml:space="preserve"> which implements the Australian Government</w:t>
      </w:r>
      <w:r w:rsidR="00E12C7C">
        <w:t>’</w:t>
      </w:r>
      <w:r w:rsidR="000671D1" w:rsidRPr="002C6752">
        <w:t xml:space="preserve">s response to the Review of the financial system </w:t>
      </w:r>
      <w:r w:rsidR="000671D1" w:rsidRPr="002C6752">
        <w:rPr>
          <w:spacing w:val="-2"/>
        </w:rPr>
        <w:t>external dispute resolution and complaints framework</w:t>
      </w:r>
      <w:r w:rsidR="00357F69" w:rsidRPr="002C6752">
        <w:rPr>
          <w:spacing w:val="-2"/>
        </w:rPr>
        <w:t xml:space="preserve"> (Ramsay Review)</w:t>
      </w:r>
      <w:r w:rsidR="000671D1" w:rsidRPr="002C6752">
        <w:rPr>
          <w:spacing w:val="-2"/>
        </w:rPr>
        <w:t>;</w:t>
      </w:r>
    </w:p>
    <w:p w14:paraId="5108DCD3" w14:textId="342A8896" w:rsidR="00730CFF" w:rsidRPr="002C6752" w:rsidRDefault="00730CFF" w:rsidP="00F37840">
      <w:pPr>
        <w:pStyle w:val="KPbullet"/>
        <w:spacing w:before="80"/>
      </w:pPr>
      <w:r w:rsidRPr="002C6752">
        <w:t xml:space="preserve">reflect the </w:t>
      </w:r>
      <w:r w:rsidR="00475D32" w:rsidRPr="002C6752">
        <w:t>requirements for effective complaint</w:t>
      </w:r>
      <w:r w:rsidR="00CC4230" w:rsidRPr="002C6752">
        <w:t>s</w:t>
      </w:r>
      <w:r w:rsidR="00475D32" w:rsidRPr="002C6752">
        <w:t xml:space="preserve"> handling set</w:t>
      </w:r>
      <w:r w:rsidR="00592CE7" w:rsidRPr="002C6752">
        <w:t xml:space="preserve"> out in AS/NZS 10002:2014</w:t>
      </w:r>
      <w:r w:rsidR="00475D32" w:rsidRPr="002C6752">
        <w:t>; and</w:t>
      </w:r>
    </w:p>
    <w:p w14:paraId="1CBAC261" w14:textId="67A83D68" w:rsidR="00475D32" w:rsidRPr="002C6752" w:rsidRDefault="00475D32" w:rsidP="00F37840">
      <w:pPr>
        <w:pStyle w:val="KPbullet"/>
        <w:spacing w:before="80"/>
      </w:pPr>
      <w:r w:rsidRPr="002C6752">
        <w:t xml:space="preserve">refine our requirements in some key areas based on our </w:t>
      </w:r>
      <w:r w:rsidR="00FE77FC" w:rsidRPr="002C6752">
        <w:t xml:space="preserve">regulatory </w:t>
      </w:r>
      <w:r w:rsidRPr="002C6752">
        <w:t>experience.</w:t>
      </w:r>
    </w:p>
    <w:p w14:paraId="4A251FB4" w14:textId="4733333C" w:rsidR="00676EB3" w:rsidRPr="002C6752" w:rsidRDefault="00475D32" w:rsidP="00F37840">
      <w:pPr>
        <w:pStyle w:val="Heading2"/>
        <w:spacing w:before="600"/>
      </w:pPr>
      <w:bookmarkStart w:id="8" w:name="_ASICRef14"/>
      <w:bookmarkStart w:id="9" w:name="_Toc46844226"/>
      <w:bookmarkStart w:id="10" w:name="_Hlk32233806"/>
      <w:bookmarkEnd w:id="8"/>
      <w:r w:rsidRPr="002C6752">
        <w:t>Financial services dispute resolution framework</w:t>
      </w:r>
      <w:bookmarkEnd w:id="9"/>
    </w:p>
    <w:p w14:paraId="41AFD47C" w14:textId="242DADB2" w:rsidR="00DD58FB" w:rsidRDefault="00DD58FB" w:rsidP="00C31FD2">
      <w:pPr>
        <w:pStyle w:val="Enfparashead"/>
      </w:pPr>
      <w:r>
        <w:t xml:space="preserve">Enforceable paragraph: </w:t>
      </w:r>
      <w:r>
        <w:fldChar w:fldCharType="begin"/>
      </w:r>
      <w:r>
        <w:instrText xml:space="preserve"> REF _Ref33602567 \r \h </w:instrText>
      </w:r>
      <w:r>
        <w:fldChar w:fldCharType="separate"/>
      </w:r>
      <w:r w:rsidR="00DE6E77">
        <w:t>RG 271.1</w:t>
      </w:r>
      <w:r>
        <w:fldChar w:fldCharType="end"/>
      </w:r>
      <w:r w:rsidR="00216189">
        <w:t xml:space="preserve"> (including note</w:t>
      </w:r>
      <w:r w:rsidR="00961C3B">
        <w:t>s</w:t>
      </w:r>
      <w:r w:rsidR="00216189">
        <w:t>)</w:t>
      </w:r>
    </w:p>
    <w:p w14:paraId="52DF522F" w14:textId="09B2A8DB" w:rsidR="00316FCE" w:rsidRPr="006F5DC8" w:rsidRDefault="00D020F4" w:rsidP="00C31FD2">
      <w:pPr>
        <w:pStyle w:val="Enfparastext"/>
        <w:rPr>
          <w:spacing w:val="-2"/>
        </w:rPr>
      </w:pPr>
      <w:bookmarkStart w:id="11" w:name="_Ref33602567"/>
      <w:r w:rsidRPr="006F5DC8">
        <w:rPr>
          <w:spacing w:val="-2"/>
        </w:rPr>
        <w:t>F</w:t>
      </w:r>
      <w:r w:rsidR="00316FCE" w:rsidRPr="006F5DC8">
        <w:rPr>
          <w:spacing w:val="-2"/>
        </w:rPr>
        <w:t>inancial firms</w:t>
      </w:r>
      <w:r w:rsidR="005A05E7" w:rsidRPr="006F5DC8">
        <w:rPr>
          <w:spacing w:val="-2"/>
        </w:rPr>
        <w:t xml:space="preserve"> </w:t>
      </w:r>
      <w:r w:rsidR="00B4499D" w:rsidRPr="006F5DC8">
        <w:rPr>
          <w:spacing w:val="-2"/>
        </w:rPr>
        <w:t>must</w:t>
      </w:r>
      <w:r w:rsidR="00316FCE" w:rsidRPr="006F5DC8">
        <w:rPr>
          <w:spacing w:val="-2"/>
        </w:rPr>
        <w:t xml:space="preserve"> have in place a dispute resolution system</w:t>
      </w:r>
      <w:r w:rsidR="005A05E7" w:rsidRPr="006F5DC8">
        <w:rPr>
          <w:spacing w:val="-2"/>
        </w:rPr>
        <w:t xml:space="preserve"> that</w:t>
      </w:r>
      <w:r w:rsidR="00316FCE" w:rsidRPr="006F5DC8">
        <w:rPr>
          <w:spacing w:val="-2"/>
        </w:rPr>
        <w:t xml:space="preserve"> consist</w:t>
      </w:r>
      <w:r w:rsidR="006F5DC8" w:rsidRPr="006F5DC8">
        <w:rPr>
          <w:spacing w:val="-2"/>
        </w:rPr>
        <w:t>s</w:t>
      </w:r>
      <w:r w:rsidR="00316FCE" w:rsidRPr="006F5DC8">
        <w:rPr>
          <w:spacing w:val="-2"/>
        </w:rPr>
        <w:t xml:space="preserve"> of:</w:t>
      </w:r>
      <w:bookmarkEnd w:id="11"/>
    </w:p>
    <w:p w14:paraId="5C60B5BB" w14:textId="66684C92" w:rsidR="00316FCE" w:rsidRPr="002C6752" w:rsidRDefault="00BC3170" w:rsidP="00C31FD2">
      <w:pPr>
        <w:pStyle w:val="Enfparassubparaa"/>
      </w:pPr>
      <w:r>
        <w:t xml:space="preserve">an </w:t>
      </w:r>
      <w:r w:rsidR="00316FCE" w:rsidRPr="002C6752">
        <w:t xml:space="preserve">IDR </w:t>
      </w:r>
      <w:r w:rsidR="0095077A">
        <w:t>procedure</w:t>
      </w:r>
      <w:r>
        <w:t xml:space="preserve"> </w:t>
      </w:r>
      <w:r w:rsidR="00316FCE" w:rsidRPr="002C6752">
        <w:t>that compl</w:t>
      </w:r>
      <w:r>
        <w:t>ies</w:t>
      </w:r>
      <w:r w:rsidR="00316FCE" w:rsidRPr="002C6752">
        <w:t xml:space="preserve"> with standards and requirements made or appr</w:t>
      </w:r>
      <w:r w:rsidR="008A4009" w:rsidRPr="002C6752">
        <w:t>oved by ASIC</w:t>
      </w:r>
      <w:r w:rsidR="00316FCE" w:rsidRPr="002C6752">
        <w:t>; and</w:t>
      </w:r>
    </w:p>
    <w:p w14:paraId="0528ACEA" w14:textId="00654C8A" w:rsidR="00316FCE" w:rsidRPr="002C6752" w:rsidRDefault="00CC0E2E" w:rsidP="00C31FD2">
      <w:pPr>
        <w:pStyle w:val="Enfparassubparaa"/>
      </w:pPr>
      <w:bookmarkStart w:id="12" w:name="_ASICRef927"/>
      <w:r w:rsidRPr="002C6752">
        <w:t>m</w:t>
      </w:r>
      <w:r w:rsidR="005841A4" w:rsidRPr="002C6752">
        <w:t>embership of AFCA</w:t>
      </w:r>
      <w:r w:rsidR="004D7EAE" w:rsidRPr="002C6752">
        <w:t>.</w:t>
      </w:r>
      <w:bookmarkEnd w:id="12"/>
    </w:p>
    <w:p w14:paraId="7F6DE1FD" w14:textId="43994C13" w:rsidR="00D020F4" w:rsidRDefault="00D020F4" w:rsidP="00C31FD2">
      <w:pPr>
        <w:pStyle w:val="Enfparasnote"/>
      </w:pPr>
      <w:r w:rsidRPr="002C6752">
        <w:t>Note</w:t>
      </w:r>
      <w:r w:rsidR="006F5DC8">
        <w:t xml:space="preserve"> 1</w:t>
      </w:r>
      <w:r w:rsidRPr="002C6752">
        <w:t>: See s912A(1)(g) and 1017G(1) of the</w:t>
      </w:r>
      <w:r w:rsidR="00FF4D9A" w:rsidRPr="002C6752">
        <w:t xml:space="preserve"> </w:t>
      </w:r>
      <w:r w:rsidR="00FF4D9A" w:rsidRPr="002C6752">
        <w:rPr>
          <w:i/>
        </w:rPr>
        <w:t>Corporations Act 2001</w:t>
      </w:r>
      <w:r w:rsidRPr="002C6752">
        <w:t xml:space="preserve"> </w:t>
      </w:r>
      <w:r w:rsidR="00FF4D9A" w:rsidRPr="002C6752">
        <w:t>(</w:t>
      </w:r>
      <w:r w:rsidRPr="002C6752">
        <w:t>Corporations Act</w:t>
      </w:r>
      <w:r w:rsidR="00FF4D9A" w:rsidRPr="002C6752">
        <w:t>)</w:t>
      </w:r>
      <w:r w:rsidRPr="002C6752">
        <w:t xml:space="preserve">, s47(1)(h) and (i) of the </w:t>
      </w:r>
      <w:r w:rsidR="00D27776" w:rsidRPr="002C6752">
        <w:rPr>
          <w:i/>
        </w:rPr>
        <w:t xml:space="preserve">National Consumer Credit Protection Act 2009 </w:t>
      </w:r>
      <w:r w:rsidR="00D27776" w:rsidRPr="002C6752">
        <w:t>(</w:t>
      </w:r>
      <w:r w:rsidR="00430EAA" w:rsidRPr="002C6752">
        <w:t xml:space="preserve">National </w:t>
      </w:r>
      <w:r w:rsidRPr="002C6752">
        <w:lastRenderedPageBreak/>
        <w:t>Credit Act</w:t>
      </w:r>
      <w:r w:rsidR="00D27776" w:rsidRPr="002C6752">
        <w:t>)</w:t>
      </w:r>
      <w:r w:rsidRPr="002C6752">
        <w:t xml:space="preserve">, s101(1) and (1A) of the </w:t>
      </w:r>
      <w:r w:rsidR="00D27776" w:rsidRPr="002C6752">
        <w:rPr>
          <w:i/>
        </w:rPr>
        <w:t>Superannuation Industry (Supervision) Act 1993</w:t>
      </w:r>
      <w:r w:rsidR="00D27776" w:rsidRPr="002C6752">
        <w:t xml:space="preserve"> (</w:t>
      </w:r>
      <w:r w:rsidRPr="002C6752">
        <w:t>SIS Act</w:t>
      </w:r>
      <w:r w:rsidR="00D27776" w:rsidRPr="002C6752">
        <w:t>)</w:t>
      </w:r>
      <w:r w:rsidRPr="002C6752">
        <w:t>, and s47(1) and (2) of the</w:t>
      </w:r>
      <w:r w:rsidRPr="002C6752">
        <w:rPr>
          <w:i/>
        </w:rPr>
        <w:t xml:space="preserve"> </w:t>
      </w:r>
      <w:r w:rsidR="00D27776" w:rsidRPr="002C6752">
        <w:rPr>
          <w:i/>
        </w:rPr>
        <w:t xml:space="preserve">Retirement Savings Account Act 1997 </w:t>
      </w:r>
      <w:r w:rsidR="00D27776" w:rsidRPr="002C6752">
        <w:t>(</w:t>
      </w:r>
      <w:r w:rsidRPr="002C6752">
        <w:t>RSA Act</w:t>
      </w:r>
      <w:r w:rsidR="00D27776" w:rsidRPr="002C6752">
        <w:t>).</w:t>
      </w:r>
    </w:p>
    <w:p w14:paraId="6B085B54" w14:textId="04EDE37A" w:rsidR="006F5DC8" w:rsidRPr="002C6752" w:rsidRDefault="006F5DC8" w:rsidP="00C31FD2">
      <w:pPr>
        <w:pStyle w:val="Enfparasnote"/>
      </w:pPr>
      <w:r>
        <w:t xml:space="preserve">Note 2: Unlicensed carried over instrument lenders (unlicensed COI lenders) have IDR obligations, but are not required to be a member of AFCA (see </w:t>
      </w:r>
      <w:r>
        <w:fldChar w:fldCharType="begin"/>
      </w:r>
      <w:r>
        <w:instrText xml:space="preserve"> REF _ASICRef811 \w \h </w:instrText>
      </w:r>
      <w:r>
        <w:fldChar w:fldCharType="separate"/>
      </w:r>
      <w:r w:rsidR="00DE6E77">
        <w:t>RG 271.3</w:t>
      </w:r>
      <w:r>
        <w:fldChar w:fldCharType="end"/>
      </w:r>
      <w:r>
        <w:t>).</w:t>
      </w:r>
    </w:p>
    <w:p w14:paraId="38D728EF" w14:textId="639BDA8D" w:rsidR="00E21029" w:rsidRPr="002C6752" w:rsidRDefault="00FA280B" w:rsidP="00E5660C">
      <w:pPr>
        <w:pStyle w:val="BodyText"/>
      </w:pPr>
      <w:bookmarkStart w:id="13" w:name="_Ref5287255"/>
      <w:r>
        <w:t xml:space="preserve">Most </w:t>
      </w:r>
      <w:r w:rsidR="0031167A">
        <w:t>f</w:t>
      </w:r>
      <w:r w:rsidR="00E21029" w:rsidRPr="002C6752">
        <w:t>inancial firms also have a requirement to comply with th</w:t>
      </w:r>
      <w:r w:rsidR="00BC3170">
        <w:t>eir</w:t>
      </w:r>
      <w:r w:rsidR="00E21029" w:rsidRPr="002C6752">
        <w:t xml:space="preserve"> IDR pro</w:t>
      </w:r>
      <w:r w:rsidR="0095077A">
        <w:t>cedur</w:t>
      </w:r>
      <w:r w:rsidR="006B475C">
        <w:t>e</w:t>
      </w:r>
      <w:r w:rsidR="0095077A">
        <w:t>s</w:t>
      </w:r>
      <w:r w:rsidR="00A91DDC" w:rsidRPr="002C6752">
        <w:t>:</w:t>
      </w:r>
      <w:r w:rsidR="001D2892" w:rsidRPr="002C6752">
        <w:t xml:space="preserve"> see </w:t>
      </w:r>
      <w:r w:rsidR="00A706E9" w:rsidRPr="002C6752">
        <w:t xml:space="preserve">modified </w:t>
      </w:r>
      <w:r w:rsidR="001D2892" w:rsidRPr="002C6752">
        <w:t>s912A(1)(g) and 1017G(1) of the Corporations Act</w:t>
      </w:r>
      <w:r w:rsidR="00A91DDC" w:rsidRPr="002C6752">
        <w:t>,</w:t>
      </w:r>
      <w:r w:rsidR="001D2892" w:rsidRPr="002C6752">
        <w:t xml:space="preserve"> and </w:t>
      </w:r>
      <w:r w:rsidR="00A706E9" w:rsidRPr="002C6752">
        <w:t xml:space="preserve">modified </w:t>
      </w:r>
      <w:r w:rsidR="001D2892" w:rsidRPr="002C6752">
        <w:t>s47(1)(h) and (i) of the National Credit Act</w:t>
      </w:r>
      <w:r w:rsidR="00E21029" w:rsidRPr="002C6752">
        <w:t>.</w:t>
      </w:r>
      <w:bookmarkEnd w:id="13"/>
      <w:r w:rsidR="00E21029" w:rsidRPr="002C6752">
        <w:t xml:space="preserve"> </w:t>
      </w:r>
    </w:p>
    <w:p w14:paraId="3C5C5C4E" w14:textId="7163F7FC" w:rsidR="00D020F4" w:rsidRPr="002C6752" w:rsidRDefault="00316FCE" w:rsidP="00642749">
      <w:pPr>
        <w:pStyle w:val="BodyText"/>
      </w:pPr>
      <w:bookmarkStart w:id="14" w:name="_ASICRef811"/>
      <w:bookmarkStart w:id="15" w:name="_Hlk33528687"/>
      <w:bookmarkEnd w:id="10"/>
      <w:r w:rsidRPr="002C6752">
        <w:t>A modified regulatory regime applies to some unlicensed credit firms</w:t>
      </w:r>
      <w:r w:rsidR="00E20853">
        <w:t>.</w:t>
      </w:r>
      <w:r w:rsidRPr="002C6752">
        <w:t xml:space="preserve"> </w:t>
      </w:r>
      <w:r w:rsidR="00E20853">
        <w:t>C</w:t>
      </w:r>
      <w:r w:rsidRPr="002C6752">
        <w:t xml:space="preserve">redit </w:t>
      </w:r>
      <w:r w:rsidRPr="005F073C">
        <w:rPr>
          <w:spacing w:val="-4"/>
        </w:rPr>
        <w:t>representatives</w:t>
      </w:r>
      <w:r w:rsidR="00E20853" w:rsidRPr="005F073C">
        <w:rPr>
          <w:spacing w:val="-4"/>
        </w:rPr>
        <w:t xml:space="preserve"> and exempt special purpose funding entities (SPFEs) (including </w:t>
      </w:r>
      <w:r w:rsidR="00E20853">
        <w:t>securitisation bodies) do not have IDR obligations, but must be a member of AFCA.</w:t>
      </w:r>
      <w:r w:rsidR="00DD58FB">
        <w:t xml:space="preserve"> </w:t>
      </w:r>
      <w:r w:rsidR="00E20853">
        <w:t xml:space="preserve">Unlicensed carried over instrument lenders </w:t>
      </w:r>
      <w:r w:rsidR="00216189">
        <w:t xml:space="preserve">(unlicensed COI lenders) </w:t>
      </w:r>
      <w:r w:rsidR="00E20853">
        <w:t>have IDR obligations but are not required to be a member of AFCA</w:t>
      </w:r>
      <w:r w:rsidR="00D020F4" w:rsidRPr="002C6752">
        <w:t>.</w:t>
      </w:r>
      <w:bookmarkEnd w:id="14"/>
    </w:p>
    <w:p w14:paraId="047E48A8" w14:textId="76055E5A" w:rsidR="00316FCE" w:rsidRPr="002C6752" w:rsidRDefault="00D020F4" w:rsidP="00926410">
      <w:pPr>
        <w:pStyle w:val="Note"/>
        <w:spacing w:before="120"/>
      </w:pPr>
      <w:r w:rsidRPr="002C6752">
        <w:t>Note</w:t>
      </w:r>
      <w:r w:rsidR="00316FCE" w:rsidRPr="002C6752">
        <w:t>:</w:t>
      </w:r>
      <w:r w:rsidR="003229E3" w:rsidRPr="002C6752">
        <w:t xml:space="preserve"> </w:t>
      </w:r>
      <w:r w:rsidRPr="002C6752">
        <w:t>S</w:t>
      </w:r>
      <w:r w:rsidR="00316FCE" w:rsidRPr="002C6752">
        <w:t>ee s64 and 65 of the National Credit Act</w:t>
      </w:r>
      <w:r w:rsidR="00430EAA" w:rsidRPr="002C6752">
        <w:t>,</w:t>
      </w:r>
      <w:r w:rsidR="00316FCE" w:rsidRPr="002C6752">
        <w:t xml:space="preserve"> and regs 23B and 23C of the National Consumer Credit Protection Regulations 2010 (National Credit Regulations)</w:t>
      </w:r>
      <w:r w:rsidR="006228BD">
        <w:t xml:space="preserve">; see also reg 25E </w:t>
      </w:r>
      <w:r w:rsidR="00297D21">
        <w:t xml:space="preserve">of the National Credit Regulations </w:t>
      </w:r>
      <w:r w:rsidR="006228BD">
        <w:t xml:space="preserve">and s47(1)(e) of the National Credit Act (inserted by </w:t>
      </w:r>
      <w:bookmarkStart w:id="16" w:name="_Hlk33703246"/>
      <w:r w:rsidR="006228BD">
        <w:t>Sch 2 to the National Credit Regulations</w:t>
      </w:r>
      <w:bookmarkEnd w:id="16"/>
      <w:r w:rsidR="006228BD">
        <w:t>)</w:t>
      </w:r>
      <w:r w:rsidR="00216189">
        <w:t>.</w:t>
      </w:r>
    </w:p>
    <w:bookmarkEnd w:id="15"/>
    <w:p w14:paraId="7BB5F89E" w14:textId="7F8474D0" w:rsidR="00316FCE" w:rsidRPr="002C6752" w:rsidRDefault="00D020F4" w:rsidP="00642749">
      <w:pPr>
        <w:pStyle w:val="BodyText"/>
      </w:pPr>
      <w:r w:rsidRPr="002C6752">
        <w:fldChar w:fldCharType="begin"/>
      </w:r>
      <w:r w:rsidRPr="002C6752">
        <w:instrText xml:space="preserve"> REF _Ref341327 \h </w:instrText>
      </w:r>
      <w:r w:rsidR="002F1325" w:rsidRPr="002C6752">
        <w:instrText xml:space="preserve"> \* MERGEFORMAT </w:instrText>
      </w:r>
      <w:r w:rsidRPr="002C6752">
        <w:fldChar w:fldCharType="separate"/>
      </w:r>
      <w:r w:rsidR="00DE6E77" w:rsidRPr="002C6752">
        <w:t xml:space="preserve">Table </w:t>
      </w:r>
      <w:r w:rsidR="00DE6E77">
        <w:rPr>
          <w:noProof/>
        </w:rPr>
        <w:t>1</w:t>
      </w:r>
      <w:r w:rsidRPr="002C6752">
        <w:fldChar w:fldCharType="end"/>
      </w:r>
      <w:r w:rsidR="00316FCE" w:rsidRPr="002C6752">
        <w:t xml:space="preserve"> sets out the dispute resolution requirements by type of financial firm.</w:t>
      </w:r>
    </w:p>
    <w:p w14:paraId="23D56C08" w14:textId="15FBD755" w:rsidR="00F9341C" w:rsidRPr="002C6752" w:rsidRDefault="00F9341C" w:rsidP="00F37840">
      <w:pPr>
        <w:pStyle w:val="tabletitlefullwidth"/>
        <w:spacing w:before="240"/>
      </w:pPr>
      <w:bookmarkStart w:id="17" w:name="_Ref341327"/>
      <w:r w:rsidRPr="002C6752">
        <w:t xml:space="preserve">Table </w:t>
      </w:r>
      <w:r w:rsidR="00DD52BD">
        <w:fldChar w:fldCharType="begin"/>
      </w:r>
      <w:r w:rsidR="00DD52BD">
        <w:instrText xml:space="preserve"> SEQ Table \* ARABIC </w:instrText>
      </w:r>
      <w:r w:rsidR="00DD52BD">
        <w:fldChar w:fldCharType="separate"/>
      </w:r>
      <w:r w:rsidR="00DE6E77">
        <w:rPr>
          <w:noProof/>
        </w:rPr>
        <w:t>1</w:t>
      </w:r>
      <w:r w:rsidR="00DD52BD">
        <w:rPr>
          <w:noProof/>
        </w:rPr>
        <w:fldChar w:fldCharType="end"/>
      </w:r>
      <w:bookmarkEnd w:id="17"/>
      <w:r w:rsidRPr="002C6752">
        <w:t>:</w:t>
      </w:r>
      <w:r w:rsidRPr="002C6752">
        <w:tab/>
        <w:t>Legislative dispute resolution requirements by firm type</w:t>
      </w:r>
    </w:p>
    <w:tbl>
      <w:tblPr>
        <w:tblW w:w="9072" w:type="dxa"/>
        <w:tblBorders>
          <w:top w:val="single" w:sz="4" w:space="0" w:color="999999"/>
          <w:bottom w:val="single" w:sz="4" w:space="0" w:color="999999"/>
          <w:insideH w:val="single" w:sz="4" w:space="0" w:color="999999"/>
        </w:tblBorders>
        <w:tblLayout w:type="fixed"/>
        <w:tblCellMar>
          <w:bottom w:w="113" w:type="dxa"/>
        </w:tblCellMar>
        <w:tblLook w:val="0020" w:firstRow="1" w:lastRow="0" w:firstColumn="0" w:lastColumn="0" w:noHBand="0" w:noVBand="0"/>
      </w:tblPr>
      <w:tblGrid>
        <w:gridCol w:w="1564"/>
        <w:gridCol w:w="3405"/>
        <w:gridCol w:w="4103"/>
      </w:tblGrid>
      <w:tr w:rsidR="00F9341C" w:rsidRPr="002C6752" w14:paraId="54D07601" w14:textId="77777777" w:rsidTr="00AD3787">
        <w:trPr>
          <w:cantSplit/>
          <w:tblHeader/>
        </w:trPr>
        <w:tc>
          <w:tcPr>
            <w:tcW w:w="1564" w:type="dxa"/>
            <w:shd w:val="clear" w:color="auto" w:fill="C2E3FA"/>
          </w:tcPr>
          <w:p w14:paraId="4D9E454C" w14:textId="77777777" w:rsidR="00F9341C" w:rsidRPr="002C6752" w:rsidRDefault="00F9341C" w:rsidP="008C4884">
            <w:pPr>
              <w:pStyle w:val="tablehead"/>
            </w:pPr>
            <w:r w:rsidRPr="002C6752">
              <w:t>Firm type</w:t>
            </w:r>
          </w:p>
        </w:tc>
        <w:tc>
          <w:tcPr>
            <w:tcW w:w="3405" w:type="dxa"/>
            <w:shd w:val="clear" w:color="auto" w:fill="C2E3FA"/>
          </w:tcPr>
          <w:p w14:paraId="4BD55F02" w14:textId="77777777" w:rsidR="00F9341C" w:rsidRPr="002C6752" w:rsidRDefault="00F9341C" w:rsidP="008C4884">
            <w:pPr>
              <w:pStyle w:val="tablehead"/>
            </w:pPr>
            <w:r w:rsidRPr="002C6752">
              <w:t>Description</w:t>
            </w:r>
          </w:p>
        </w:tc>
        <w:tc>
          <w:tcPr>
            <w:tcW w:w="4102" w:type="dxa"/>
            <w:shd w:val="clear" w:color="auto" w:fill="C2E3FA"/>
          </w:tcPr>
          <w:p w14:paraId="53AAA6DE" w14:textId="77777777" w:rsidR="00F9341C" w:rsidRPr="002C6752" w:rsidRDefault="00F9341C" w:rsidP="008C4884">
            <w:pPr>
              <w:pStyle w:val="tablehead"/>
            </w:pPr>
            <w:r w:rsidRPr="002C6752">
              <w:t>Dispute resolution requirements</w:t>
            </w:r>
          </w:p>
        </w:tc>
      </w:tr>
      <w:tr w:rsidR="00F9341C" w:rsidRPr="002C6752" w14:paraId="1A288B64" w14:textId="77777777" w:rsidTr="00AD3787">
        <w:trPr>
          <w:cantSplit/>
        </w:trPr>
        <w:tc>
          <w:tcPr>
            <w:tcW w:w="1564" w:type="dxa"/>
          </w:tcPr>
          <w:p w14:paraId="5C4BD8A8" w14:textId="52003F2B" w:rsidR="00F9341C" w:rsidRPr="002C6752" w:rsidRDefault="006F5DC8" w:rsidP="008C4884">
            <w:pPr>
              <w:pStyle w:val="tbltext"/>
            </w:pPr>
            <w:r>
              <w:t>Australian financial services (</w:t>
            </w:r>
            <w:r w:rsidR="00F9341C" w:rsidRPr="002C6752">
              <w:t>AFS</w:t>
            </w:r>
            <w:r>
              <w:t>)</w:t>
            </w:r>
            <w:r w:rsidR="00F9341C" w:rsidRPr="002C6752">
              <w:t xml:space="preserve"> licensees</w:t>
            </w:r>
          </w:p>
        </w:tc>
        <w:tc>
          <w:tcPr>
            <w:tcW w:w="3405" w:type="dxa"/>
          </w:tcPr>
          <w:p w14:paraId="64C38C21" w14:textId="643C4531" w:rsidR="00F9341C" w:rsidRPr="002C6752" w:rsidRDefault="00F9341C" w:rsidP="008C4884">
            <w:pPr>
              <w:pStyle w:val="tbltext"/>
            </w:pPr>
            <w:r w:rsidRPr="002C6752">
              <w:t>An AFS licensee is a business carrying out financial services.</w:t>
            </w:r>
            <w:r w:rsidR="003229E3" w:rsidRPr="002C6752">
              <w:t xml:space="preserve"> </w:t>
            </w:r>
            <w:r w:rsidRPr="002C6752">
              <w:t>This includes businesses that:</w:t>
            </w:r>
            <w:r w:rsidR="003229E3" w:rsidRPr="002C6752">
              <w:t xml:space="preserve"> </w:t>
            </w:r>
          </w:p>
          <w:p w14:paraId="3CE3CBCB" w14:textId="33E5E28F" w:rsidR="00F9341C" w:rsidRPr="002C6752" w:rsidRDefault="001800E1" w:rsidP="008C4884">
            <w:pPr>
              <w:pStyle w:val="tablebullet"/>
            </w:pPr>
            <w:r w:rsidRPr="002C6752">
              <w:t>p</w:t>
            </w:r>
            <w:r w:rsidR="00F9341C" w:rsidRPr="002C6752">
              <w:t>rovide financial product advice to clients;</w:t>
            </w:r>
          </w:p>
          <w:p w14:paraId="0A0E039D" w14:textId="15314B9D" w:rsidR="00F9341C" w:rsidRPr="002C6752" w:rsidRDefault="001800E1" w:rsidP="008C4884">
            <w:pPr>
              <w:pStyle w:val="tablebullet"/>
            </w:pPr>
            <w:r w:rsidRPr="002C6752">
              <w:t>d</w:t>
            </w:r>
            <w:r w:rsidR="00F9341C" w:rsidRPr="002C6752">
              <w:t>eal in a financial product;</w:t>
            </w:r>
          </w:p>
          <w:p w14:paraId="56AD61D8" w14:textId="1F2E7A56" w:rsidR="00F9341C" w:rsidRPr="002C6752" w:rsidRDefault="001800E1" w:rsidP="008C4884">
            <w:pPr>
              <w:pStyle w:val="tablebullet"/>
            </w:pPr>
            <w:r w:rsidRPr="002C6752">
              <w:t>m</w:t>
            </w:r>
            <w:r w:rsidR="00F9341C" w:rsidRPr="002C6752">
              <w:t>ake a market for a financial product;</w:t>
            </w:r>
          </w:p>
          <w:p w14:paraId="548F8411" w14:textId="551806D7" w:rsidR="00F9341C" w:rsidRPr="002C6752" w:rsidRDefault="001800E1" w:rsidP="008C4884">
            <w:pPr>
              <w:pStyle w:val="tablebullet"/>
            </w:pPr>
            <w:r w:rsidRPr="002C6752">
              <w:t>o</w:t>
            </w:r>
            <w:r w:rsidR="00F9341C" w:rsidRPr="002C6752">
              <w:t>perate a registered scheme;</w:t>
            </w:r>
          </w:p>
          <w:p w14:paraId="20CA6FE5" w14:textId="15CB3888" w:rsidR="00F9341C" w:rsidRPr="002C6752" w:rsidRDefault="001800E1" w:rsidP="008C4884">
            <w:pPr>
              <w:pStyle w:val="tablebullet"/>
            </w:pPr>
            <w:r w:rsidRPr="002C6752">
              <w:t>p</w:t>
            </w:r>
            <w:r w:rsidR="00F9341C" w:rsidRPr="002C6752">
              <w:t>rovide a custodial or depository service; or</w:t>
            </w:r>
          </w:p>
          <w:p w14:paraId="1133775D" w14:textId="30446564" w:rsidR="00F9341C" w:rsidRPr="002C6752" w:rsidRDefault="001800E1" w:rsidP="008C4884">
            <w:pPr>
              <w:pStyle w:val="tablebullet"/>
            </w:pPr>
            <w:r w:rsidRPr="002C6752">
              <w:t>p</w:t>
            </w:r>
            <w:r w:rsidR="00F9341C" w:rsidRPr="002C6752">
              <w:t>rovide traditional trustee company services</w:t>
            </w:r>
            <w:r w:rsidR="00961E5C" w:rsidRPr="002C6752">
              <w:t xml:space="preserve"> (traditional services)</w:t>
            </w:r>
            <w:r w:rsidR="00F9341C" w:rsidRPr="002C6752">
              <w:t>.</w:t>
            </w:r>
          </w:p>
        </w:tc>
        <w:tc>
          <w:tcPr>
            <w:tcW w:w="4102" w:type="dxa"/>
          </w:tcPr>
          <w:p w14:paraId="7E76F616" w14:textId="490A97BD" w:rsidR="00F9341C" w:rsidRPr="002C6752" w:rsidRDefault="00F9341C" w:rsidP="008C4884">
            <w:pPr>
              <w:pStyle w:val="tbltext"/>
            </w:pPr>
            <w:r w:rsidRPr="002C6752">
              <w:t>AFS licensees must have a dispute resolution system that consists of:</w:t>
            </w:r>
          </w:p>
          <w:p w14:paraId="34CB98E3" w14:textId="57BD89B6" w:rsidR="00F9341C" w:rsidRPr="002C6752" w:rsidRDefault="00FE3B6C" w:rsidP="008C4884">
            <w:pPr>
              <w:pStyle w:val="tablebullet"/>
            </w:pPr>
            <w:r w:rsidRPr="002C6752">
              <w:t xml:space="preserve">an </w:t>
            </w:r>
            <w:r w:rsidR="00F9341C" w:rsidRPr="002C6752">
              <w:t>IDR proc</w:t>
            </w:r>
            <w:r w:rsidR="0095077A">
              <w:t>edure</w:t>
            </w:r>
            <w:r w:rsidR="00F9341C" w:rsidRPr="002C6752">
              <w:t xml:space="preserve"> that compl</w:t>
            </w:r>
            <w:r w:rsidRPr="002C6752">
              <w:t>ies</w:t>
            </w:r>
            <w:r w:rsidR="00F9341C" w:rsidRPr="002C6752">
              <w:t xml:space="preserve"> with the standards and requirements made or approved by ASIC (set out </w:t>
            </w:r>
            <w:r w:rsidR="00E91048" w:rsidRPr="002C6752">
              <w:t>in this guide</w:t>
            </w:r>
            <w:r w:rsidR="00F9341C" w:rsidRPr="002C6752">
              <w:t>) that cover complaints made by retail clients in relation to the financial services provided; and</w:t>
            </w:r>
          </w:p>
          <w:p w14:paraId="6B98648A" w14:textId="350F5161" w:rsidR="00F9341C" w:rsidRPr="002C6752" w:rsidRDefault="00F9341C" w:rsidP="008C4884">
            <w:pPr>
              <w:pStyle w:val="tablebullet"/>
            </w:pPr>
            <w:r w:rsidRPr="002C6752">
              <w:t>membership of AFCA.</w:t>
            </w:r>
          </w:p>
          <w:p w14:paraId="27B1B46E" w14:textId="6A78A90F" w:rsidR="00DD2A34" w:rsidRPr="002C6752" w:rsidRDefault="00DD2A34" w:rsidP="00223687">
            <w:pPr>
              <w:pStyle w:val="tablebullet"/>
              <w:numPr>
                <w:ilvl w:val="0"/>
                <w:numId w:val="0"/>
              </w:numPr>
              <w:ind w:left="21"/>
            </w:pPr>
            <w:r w:rsidRPr="002C6752">
              <w:t>AFS licensees must also comply with their IDR proce</w:t>
            </w:r>
            <w:r w:rsidR="0095077A">
              <w:t>dure</w:t>
            </w:r>
            <w:r w:rsidR="00AA608F">
              <w:t>.</w:t>
            </w:r>
          </w:p>
          <w:p w14:paraId="01B50FB7" w14:textId="4E209061" w:rsidR="001800E1" w:rsidRPr="002C6752" w:rsidRDefault="001800E1" w:rsidP="00642749">
            <w:pPr>
              <w:pStyle w:val="tblnote"/>
            </w:pPr>
            <w:r w:rsidRPr="002C6752">
              <w:t>Note: See s912A</w:t>
            </w:r>
            <w:r w:rsidR="00DE77A4">
              <w:t>(1)(g)</w:t>
            </w:r>
            <w:r w:rsidRPr="002C6752">
              <w:t xml:space="preserve"> of the Corporations Act.</w:t>
            </w:r>
          </w:p>
        </w:tc>
      </w:tr>
      <w:tr w:rsidR="00F9341C" w:rsidRPr="002C6752" w14:paraId="7190D98B" w14:textId="77777777" w:rsidTr="00AD3787">
        <w:trPr>
          <w:cantSplit/>
        </w:trPr>
        <w:tc>
          <w:tcPr>
            <w:tcW w:w="1564" w:type="dxa"/>
          </w:tcPr>
          <w:p w14:paraId="20783FBE" w14:textId="77777777" w:rsidR="00F9341C" w:rsidRPr="002C6752" w:rsidRDefault="00F9341C" w:rsidP="008C4884">
            <w:pPr>
              <w:pStyle w:val="tbltext"/>
            </w:pPr>
            <w:r w:rsidRPr="002C6752">
              <w:t>Unlicensed product issuers and unlicensed secondary sellers</w:t>
            </w:r>
          </w:p>
        </w:tc>
        <w:tc>
          <w:tcPr>
            <w:tcW w:w="3405" w:type="dxa"/>
          </w:tcPr>
          <w:p w14:paraId="40322049" w14:textId="77777777" w:rsidR="00F9341C" w:rsidRPr="002C6752" w:rsidRDefault="00F9341C" w:rsidP="00642749">
            <w:pPr>
              <w:pStyle w:val="tbltext"/>
            </w:pPr>
            <w:r w:rsidRPr="002C6752">
              <w:t>An unlicensed product issuer is an issuer of a financial product who is not an AFS licensee.</w:t>
            </w:r>
          </w:p>
          <w:p w14:paraId="5E0D5634" w14:textId="77777777" w:rsidR="00F9341C" w:rsidRPr="002C6752" w:rsidRDefault="00F9341C" w:rsidP="005F073C">
            <w:pPr>
              <w:pStyle w:val="tbltext"/>
              <w:spacing w:before="60"/>
            </w:pPr>
            <w:r w:rsidRPr="002C6752">
              <w:t>An unlicensed secondary seller is a person who offers the secondary sale of a financial product under s1012C(5)(b) or (8) of the Corporations Act and who is not an AFS licensee.</w:t>
            </w:r>
          </w:p>
        </w:tc>
        <w:tc>
          <w:tcPr>
            <w:tcW w:w="4102" w:type="dxa"/>
          </w:tcPr>
          <w:p w14:paraId="40B0DFE2" w14:textId="10483AE0" w:rsidR="00F9341C" w:rsidRPr="002C6752" w:rsidRDefault="001800E1" w:rsidP="008C4884">
            <w:pPr>
              <w:pStyle w:val="tbltext"/>
            </w:pPr>
            <w:r w:rsidRPr="002C6752">
              <w:t>U</w:t>
            </w:r>
            <w:r w:rsidR="00F9341C" w:rsidRPr="002C6752">
              <w:t>nlicensed product issuers and unlicensed secondary sellers are required to have a dispute resolution system that consists of:</w:t>
            </w:r>
          </w:p>
          <w:p w14:paraId="5C89B685" w14:textId="190AD894" w:rsidR="00F9341C" w:rsidRPr="002C6752" w:rsidRDefault="00FE3B6C" w:rsidP="008C4884">
            <w:pPr>
              <w:pStyle w:val="tablebullet"/>
            </w:pPr>
            <w:r w:rsidRPr="002C6752">
              <w:t xml:space="preserve">an </w:t>
            </w:r>
            <w:r w:rsidR="00F9341C" w:rsidRPr="002C6752">
              <w:t>IDR proc</w:t>
            </w:r>
            <w:r w:rsidR="0095077A">
              <w:t>edure</w:t>
            </w:r>
            <w:r w:rsidR="00F9341C" w:rsidRPr="002C6752">
              <w:t xml:space="preserve"> that compl</w:t>
            </w:r>
            <w:r w:rsidRPr="002C6752">
              <w:t>ies</w:t>
            </w:r>
            <w:r w:rsidR="00F9341C" w:rsidRPr="002C6752">
              <w:t xml:space="preserve"> with the standards and requirements made or approved by ASIC (set out </w:t>
            </w:r>
            <w:r w:rsidR="00E91048" w:rsidRPr="002C6752">
              <w:t>in this guide</w:t>
            </w:r>
            <w:r w:rsidR="00F9341C" w:rsidRPr="002C6752">
              <w:t>) that cover complaints made by retail clients in relation to the financial services provided; and</w:t>
            </w:r>
          </w:p>
          <w:p w14:paraId="2A9A8458" w14:textId="6DB68F56" w:rsidR="00F9341C" w:rsidRPr="002C6752" w:rsidRDefault="00F9341C" w:rsidP="008C4884">
            <w:pPr>
              <w:pStyle w:val="tablebullet"/>
            </w:pPr>
            <w:r w:rsidRPr="002C6752">
              <w:t>membership of AFCA.</w:t>
            </w:r>
          </w:p>
          <w:p w14:paraId="0FA5D699" w14:textId="405E327F" w:rsidR="00A706E9" w:rsidRPr="002C6752" w:rsidRDefault="00A706E9" w:rsidP="005F073C">
            <w:pPr>
              <w:pStyle w:val="tbltext"/>
              <w:spacing w:before="60"/>
            </w:pPr>
            <w:r w:rsidRPr="002C6752">
              <w:t>Unlicensed product issuers and unlicensed secondary sellers must also comply with their IDR processes.</w:t>
            </w:r>
          </w:p>
          <w:p w14:paraId="2A2BE8DB" w14:textId="333277C4" w:rsidR="001800E1" w:rsidRPr="002C6752" w:rsidRDefault="001800E1" w:rsidP="00642749">
            <w:pPr>
              <w:pStyle w:val="tblnote"/>
            </w:pPr>
            <w:r w:rsidRPr="002C6752">
              <w:t>Note: See s1017G(2) of the Corporations Act.</w:t>
            </w:r>
          </w:p>
        </w:tc>
      </w:tr>
      <w:tr w:rsidR="00F9341C" w:rsidRPr="002C6752" w14:paraId="0F36D736" w14:textId="77777777" w:rsidTr="00AD3787">
        <w:trPr>
          <w:cantSplit/>
        </w:trPr>
        <w:tc>
          <w:tcPr>
            <w:tcW w:w="1564" w:type="dxa"/>
          </w:tcPr>
          <w:p w14:paraId="5CF6AE58" w14:textId="77777777" w:rsidR="00F9341C" w:rsidRPr="002C6752" w:rsidRDefault="00F9341C" w:rsidP="008C4884">
            <w:pPr>
              <w:pStyle w:val="tbltext"/>
            </w:pPr>
            <w:r w:rsidRPr="002C6752">
              <w:lastRenderedPageBreak/>
              <w:t>Superannuation trustees</w:t>
            </w:r>
          </w:p>
        </w:tc>
        <w:tc>
          <w:tcPr>
            <w:tcW w:w="3405" w:type="dxa"/>
          </w:tcPr>
          <w:p w14:paraId="7E8B41C1" w14:textId="70100AE7" w:rsidR="00F9341C" w:rsidRPr="002C6752" w:rsidRDefault="00F9341C" w:rsidP="00642749">
            <w:pPr>
              <w:pStyle w:val="tbltext"/>
            </w:pPr>
            <w:r w:rsidRPr="002C6752">
              <w:t>A trustee of a regulated superannuation fund</w:t>
            </w:r>
            <w:r w:rsidR="001800E1" w:rsidRPr="002C6752">
              <w:t xml:space="preserve"> (other than a</w:t>
            </w:r>
            <w:r w:rsidR="00492250">
              <w:t xml:space="preserve"> self-managed superannuation fund</w:t>
            </w:r>
            <w:r w:rsidR="001800E1" w:rsidRPr="002C6752">
              <w:t xml:space="preserve"> </w:t>
            </w:r>
            <w:r w:rsidR="00492250">
              <w:t>(</w:t>
            </w:r>
            <w:r w:rsidR="001800E1" w:rsidRPr="002C6752">
              <w:t>SMSF</w:t>
            </w:r>
            <w:r w:rsidR="00492250">
              <w:t>)</w:t>
            </w:r>
            <w:r w:rsidR="001800E1" w:rsidRPr="002C6752">
              <w:t>), trustee</w:t>
            </w:r>
            <w:r w:rsidRPr="002C6752">
              <w:t xml:space="preserve"> of an approved deposit fund</w:t>
            </w:r>
            <w:r w:rsidR="004F2879" w:rsidRPr="002C6752">
              <w:t xml:space="preserve"> </w:t>
            </w:r>
            <w:r w:rsidR="001800E1" w:rsidRPr="002C6752">
              <w:t>or a</w:t>
            </w:r>
            <w:r w:rsidR="00492250">
              <w:t xml:space="preserve"> retirement savings account</w:t>
            </w:r>
            <w:r w:rsidR="004F2879" w:rsidRPr="002C6752">
              <w:t xml:space="preserve"> </w:t>
            </w:r>
            <w:r w:rsidR="00492250">
              <w:t>(</w:t>
            </w:r>
            <w:r w:rsidR="004F2879" w:rsidRPr="002C6752">
              <w:t>RSA</w:t>
            </w:r>
            <w:r w:rsidR="00492250">
              <w:t>)</w:t>
            </w:r>
            <w:r w:rsidR="004F2879" w:rsidRPr="002C6752">
              <w:t xml:space="preserve"> provider</w:t>
            </w:r>
            <w:r w:rsidRPr="002C6752">
              <w:t>.</w:t>
            </w:r>
          </w:p>
        </w:tc>
        <w:tc>
          <w:tcPr>
            <w:tcW w:w="4102" w:type="dxa"/>
          </w:tcPr>
          <w:p w14:paraId="3F667682" w14:textId="46362C26" w:rsidR="00F9341C" w:rsidRPr="002C6752" w:rsidRDefault="00D845E9" w:rsidP="008C4884">
            <w:pPr>
              <w:pStyle w:val="tbltext"/>
            </w:pPr>
            <w:r w:rsidRPr="002C6752">
              <w:t>S</w:t>
            </w:r>
            <w:r w:rsidR="001800E1" w:rsidRPr="002C6752">
              <w:t>uperannuation</w:t>
            </w:r>
            <w:r w:rsidR="00F9341C" w:rsidRPr="002C6752">
              <w:t xml:space="preserve"> trustee</w:t>
            </w:r>
            <w:r w:rsidRPr="002C6752">
              <w:t>s</w:t>
            </w:r>
            <w:r w:rsidR="004F2879" w:rsidRPr="002C6752">
              <w:t xml:space="preserve"> </w:t>
            </w:r>
            <w:r w:rsidR="00F9341C" w:rsidRPr="002C6752">
              <w:t>must:</w:t>
            </w:r>
          </w:p>
          <w:p w14:paraId="58DD3A8F" w14:textId="4F7C9B57" w:rsidR="00F9341C" w:rsidRPr="002C6752" w:rsidRDefault="001800E1" w:rsidP="00FF49A5">
            <w:pPr>
              <w:pStyle w:val="tablebullet"/>
            </w:pPr>
            <w:r w:rsidRPr="002C6752">
              <w:t>b</w:t>
            </w:r>
            <w:r w:rsidR="00F9341C" w:rsidRPr="002C6752">
              <w:t>e a member of AFCA; and</w:t>
            </w:r>
          </w:p>
          <w:p w14:paraId="3A1C57EA" w14:textId="50235FD6" w:rsidR="00F9341C" w:rsidRPr="002C6752" w:rsidRDefault="001800E1" w:rsidP="00FF49A5">
            <w:pPr>
              <w:pStyle w:val="tablebullet"/>
            </w:pPr>
            <w:r w:rsidRPr="002C6752">
              <w:t>h</w:t>
            </w:r>
            <w:r w:rsidR="00F9341C" w:rsidRPr="002C6752">
              <w:t>ave an IDR proce</w:t>
            </w:r>
            <w:r w:rsidR="0095077A">
              <w:t>dure</w:t>
            </w:r>
            <w:r w:rsidR="00F9341C" w:rsidRPr="002C6752">
              <w:t xml:space="preserve"> that complies with the standards and requirements</w:t>
            </w:r>
            <w:r w:rsidRPr="002C6752">
              <w:t xml:space="preserve"> set out</w:t>
            </w:r>
            <w:r w:rsidR="00F9341C" w:rsidRPr="002C6752">
              <w:t xml:space="preserve"> in s912A(2)(a)(i) of the Corporations Act.</w:t>
            </w:r>
          </w:p>
          <w:p w14:paraId="1CE195FB" w14:textId="20280368" w:rsidR="001800E1" w:rsidRPr="002C6752" w:rsidRDefault="001800E1" w:rsidP="008C4884">
            <w:pPr>
              <w:pStyle w:val="tblnote"/>
            </w:pPr>
            <w:r w:rsidRPr="002C6752">
              <w:t>Note 1: See s101(1)(a)–(c) of the SIS Act.</w:t>
            </w:r>
          </w:p>
          <w:p w14:paraId="6C658F49" w14:textId="17DFFEAC" w:rsidR="00F9341C" w:rsidRPr="005F073C" w:rsidRDefault="00F9341C" w:rsidP="008C4884">
            <w:pPr>
              <w:pStyle w:val="tblnote"/>
              <w:rPr>
                <w:spacing w:val="-4"/>
              </w:rPr>
            </w:pPr>
            <w:r w:rsidRPr="005F073C">
              <w:rPr>
                <w:spacing w:val="-4"/>
              </w:rPr>
              <w:t>Note</w:t>
            </w:r>
            <w:r w:rsidR="001800E1" w:rsidRPr="005F073C">
              <w:rPr>
                <w:spacing w:val="-4"/>
              </w:rPr>
              <w:t xml:space="preserve"> 2</w:t>
            </w:r>
            <w:r w:rsidRPr="005F073C">
              <w:rPr>
                <w:spacing w:val="-4"/>
              </w:rPr>
              <w:t>: However, s101(1)(a)–(c) of the SIS Act does not apply to a trustee if the trustee is required under the Corporations Act to have a dispute resolution system complying with s912A(2) or 1017G(2) of the Act.</w:t>
            </w:r>
          </w:p>
        </w:tc>
      </w:tr>
      <w:tr w:rsidR="00F9341C" w:rsidRPr="002C6752" w14:paraId="6BB1956C" w14:textId="77777777" w:rsidTr="00AD3787">
        <w:trPr>
          <w:cantSplit/>
        </w:trPr>
        <w:tc>
          <w:tcPr>
            <w:tcW w:w="1564" w:type="dxa"/>
          </w:tcPr>
          <w:p w14:paraId="45EAF77A" w14:textId="73605919" w:rsidR="00F9341C" w:rsidRPr="002C6752" w:rsidRDefault="006F5DC8" w:rsidP="008C4884">
            <w:pPr>
              <w:pStyle w:val="tbltext"/>
            </w:pPr>
            <w:r>
              <w:t>Australian credit licen</w:t>
            </w:r>
            <w:r w:rsidR="003C7EEA">
              <w:t>s</w:t>
            </w:r>
            <w:r>
              <w:t>ees (c</w:t>
            </w:r>
            <w:r w:rsidR="00F9341C" w:rsidRPr="002C6752">
              <w:t>redit licensees</w:t>
            </w:r>
            <w:r>
              <w:t>)</w:t>
            </w:r>
          </w:p>
        </w:tc>
        <w:tc>
          <w:tcPr>
            <w:tcW w:w="3405" w:type="dxa"/>
          </w:tcPr>
          <w:p w14:paraId="6224DA63" w14:textId="77777777" w:rsidR="00F9341C" w:rsidRPr="002C6752" w:rsidRDefault="00F9341C" w:rsidP="008C4884">
            <w:pPr>
              <w:pStyle w:val="tbltext"/>
            </w:pPr>
            <w:r w:rsidRPr="002C6752">
              <w:t>Credit providers and lessors, including those who are assigned the contractual rights of a credit provider or lessor (which can include debt collectors who purchase a debt from a credit provider or lessor).</w:t>
            </w:r>
          </w:p>
          <w:p w14:paraId="3ADAE45A" w14:textId="77777777" w:rsidR="00F9341C" w:rsidRPr="002C6752" w:rsidRDefault="00F9341C" w:rsidP="005F073C">
            <w:pPr>
              <w:pStyle w:val="tbltext"/>
              <w:spacing w:before="60"/>
            </w:pPr>
            <w:r w:rsidRPr="002C6752">
              <w:t>Credit service providers (such as brokers and other intermediaries), and other (such as debt collectors) who act on behalf of the credit provider or lessor.</w:t>
            </w:r>
          </w:p>
        </w:tc>
        <w:tc>
          <w:tcPr>
            <w:tcW w:w="4103" w:type="dxa"/>
          </w:tcPr>
          <w:p w14:paraId="7A77291C" w14:textId="0739CA14" w:rsidR="00F9341C" w:rsidRPr="002C6752" w:rsidRDefault="001800E1" w:rsidP="008C4884">
            <w:pPr>
              <w:pStyle w:val="tbltext"/>
            </w:pPr>
            <w:r w:rsidRPr="002C6752">
              <w:t>C</w:t>
            </w:r>
            <w:r w:rsidR="00F9341C" w:rsidRPr="002C6752">
              <w:t>redit licensees are required to have a dispute resolution system that consists of:</w:t>
            </w:r>
          </w:p>
          <w:p w14:paraId="4870FDE6" w14:textId="782065D0" w:rsidR="00F9341C" w:rsidRPr="002C6752" w:rsidRDefault="00FE3B6C" w:rsidP="008C4884">
            <w:pPr>
              <w:pStyle w:val="tablebullet"/>
            </w:pPr>
            <w:r w:rsidRPr="002C6752">
              <w:t xml:space="preserve">an </w:t>
            </w:r>
            <w:r w:rsidR="00F9341C" w:rsidRPr="002C6752">
              <w:t>IDR proce</w:t>
            </w:r>
            <w:r w:rsidR="0095077A">
              <w:t>dure</w:t>
            </w:r>
            <w:r w:rsidR="00F9341C" w:rsidRPr="002C6752">
              <w:t xml:space="preserve"> that compl</w:t>
            </w:r>
            <w:r w:rsidRPr="002C6752">
              <w:t>ies</w:t>
            </w:r>
            <w:r w:rsidR="00F9341C" w:rsidRPr="002C6752">
              <w:t xml:space="preserve"> with the standards and requirements made or approved by ASIC (set out</w:t>
            </w:r>
            <w:r w:rsidR="00E91048" w:rsidRPr="002C6752">
              <w:t xml:space="preserve"> in this guide</w:t>
            </w:r>
            <w:r w:rsidR="00F9341C" w:rsidRPr="002C6752">
              <w:t>) that cover disputes relating to credit activities they and their representatives engage in; and</w:t>
            </w:r>
          </w:p>
          <w:p w14:paraId="2F861889" w14:textId="4CB2B729" w:rsidR="001800E1" w:rsidRPr="002C6752" w:rsidRDefault="000B23FE" w:rsidP="001800E1">
            <w:pPr>
              <w:pStyle w:val="tablebullet"/>
            </w:pPr>
            <w:r w:rsidRPr="002C6752">
              <w:t>m</w:t>
            </w:r>
            <w:r w:rsidR="00F9341C" w:rsidRPr="002C6752">
              <w:t>embership of AFCA.</w:t>
            </w:r>
          </w:p>
          <w:p w14:paraId="7F298A37" w14:textId="6D1C4ABB" w:rsidR="00A706E9" w:rsidRPr="002C6752" w:rsidRDefault="00A706E9" w:rsidP="005F073C">
            <w:pPr>
              <w:pStyle w:val="tbltext"/>
              <w:spacing w:before="60"/>
            </w:pPr>
            <w:r w:rsidRPr="002C6752">
              <w:t>Credit licensees must also comply with their IDR proce</w:t>
            </w:r>
            <w:r w:rsidR="0095077A">
              <w:t>dures</w:t>
            </w:r>
            <w:r w:rsidRPr="002C6752">
              <w:t>.</w:t>
            </w:r>
          </w:p>
          <w:p w14:paraId="1000044C" w14:textId="488002A1" w:rsidR="00F9341C" w:rsidRPr="002C6752" w:rsidRDefault="001800E1" w:rsidP="00642749">
            <w:pPr>
              <w:pStyle w:val="tblnote"/>
            </w:pPr>
            <w:r w:rsidRPr="002C6752">
              <w:t>Note: See s47 of the National Credit Act</w:t>
            </w:r>
            <w:r w:rsidR="001C557C" w:rsidRPr="002C6752">
              <w:t>.</w:t>
            </w:r>
          </w:p>
        </w:tc>
      </w:tr>
      <w:tr w:rsidR="00F9341C" w:rsidRPr="002C6752" w14:paraId="00DF979A" w14:textId="77777777" w:rsidTr="00AD3787">
        <w:trPr>
          <w:cantSplit/>
        </w:trPr>
        <w:tc>
          <w:tcPr>
            <w:tcW w:w="1564" w:type="dxa"/>
          </w:tcPr>
          <w:p w14:paraId="16BE4AD2" w14:textId="77777777" w:rsidR="00F9341C" w:rsidRPr="002C6752" w:rsidRDefault="00F9341C" w:rsidP="008C4884">
            <w:pPr>
              <w:pStyle w:val="tbltext"/>
            </w:pPr>
            <w:r w:rsidRPr="002C6752">
              <w:t>Credit representatives</w:t>
            </w:r>
          </w:p>
        </w:tc>
        <w:tc>
          <w:tcPr>
            <w:tcW w:w="3405" w:type="dxa"/>
          </w:tcPr>
          <w:p w14:paraId="1D491410" w14:textId="772DFC1E" w:rsidR="00F9341C" w:rsidRPr="002C6752" w:rsidRDefault="00F9341C" w:rsidP="008C4884">
            <w:pPr>
              <w:pStyle w:val="tbltext"/>
            </w:pPr>
            <w:r w:rsidRPr="002C6752">
              <w:t>A credit representative is a person authorised to engage in specified credit activities on behalf of a credit licensee under s64(2) or 65(2) of the National Credit Act.</w:t>
            </w:r>
            <w:r w:rsidR="003229E3" w:rsidRPr="002C6752">
              <w:t xml:space="preserve"> </w:t>
            </w:r>
            <w:r w:rsidRPr="002C6752">
              <w:t>The employees and directors of a credit licensee do not need to be formally authorised</w:t>
            </w:r>
            <w:r w:rsidR="000B23FE" w:rsidRPr="002C6752">
              <w:t>—</w:t>
            </w:r>
            <w:r w:rsidRPr="002C6752">
              <w:t>they act as representatives of the credit licensee without a specific authorisation.</w:t>
            </w:r>
            <w:r w:rsidR="003229E3" w:rsidRPr="002C6752">
              <w:t xml:space="preserve"> </w:t>
            </w:r>
            <w:r w:rsidRPr="002C6752">
              <w:t>A person can also be authorised as a credit representative by more than one credit licensee.</w:t>
            </w:r>
          </w:p>
        </w:tc>
        <w:tc>
          <w:tcPr>
            <w:tcW w:w="4102" w:type="dxa"/>
          </w:tcPr>
          <w:p w14:paraId="17935F04" w14:textId="5994F1D3" w:rsidR="00F9341C" w:rsidRPr="002C6752" w:rsidRDefault="00F9341C" w:rsidP="008C4884">
            <w:pPr>
              <w:pStyle w:val="tbltext"/>
            </w:pPr>
            <w:r w:rsidRPr="002C6752">
              <w:t>Credit representatives do not need to have IDR proce</w:t>
            </w:r>
            <w:r w:rsidR="00FE3B6C" w:rsidRPr="002C6752">
              <w:t>ss</w:t>
            </w:r>
            <w:r w:rsidRPr="002C6752">
              <w:t>es that meet the standards and requirements made or approved by ASIC.</w:t>
            </w:r>
            <w:r w:rsidR="003229E3" w:rsidRPr="002C6752">
              <w:t xml:space="preserve"> </w:t>
            </w:r>
            <w:r w:rsidRPr="002C6752">
              <w:t>This is because a credit licensee</w:t>
            </w:r>
            <w:r w:rsidR="00E12C7C">
              <w:t>’</w:t>
            </w:r>
            <w:r w:rsidRPr="002C6752">
              <w:t>s IDR proce</w:t>
            </w:r>
            <w:r w:rsidR="00FE3B6C" w:rsidRPr="002C6752">
              <w:t>ss</w:t>
            </w:r>
            <w:r w:rsidRPr="002C6752">
              <w:t xml:space="preserve"> must </w:t>
            </w:r>
            <w:r w:rsidRPr="005F073C">
              <w:rPr>
                <w:spacing w:val="-4"/>
              </w:rPr>
              <w:t>cover disputes relating to its credit representatives.</w:t>
            </w:r>
          </w:p>
          <w:p w14:paraId="0BB0CE95" w14:textId="4701A24C" w:rsidR="00F9341C" w:rsidRPr="002C6752" w:rsidRDefault="000B23FE" w:rsidP="005F073C">
            <w:pPr>
              <w:pStyle w:val="tbltext"/>
              <w:spacing w:before="60"/>
            </w:pPr>
            <w:r w:rsidRPr="002C6752">
              <w:t>M</w:t>
            </w:r>
            <w:r w:rsidR="00F9341C" w:rsidRPr="002C6752">
              <w:t>ost</w:t>
            </w:r>
            <w:r w:rsidR="00F9341C" w:rsidRPr="002C6752">
              <w:rPr>
                <w:color w:val="FF0000"/>
              </w:rPr>
              <w:t xml:space="preserve"> </w:t>
            </w:r>
            <w:r w:rsidR="00F9341C" w:rsidRPr="002C6752">
              <w:t>credit representatives are required to be separate members of AFCA</w:t>
            </w:r>
            <w:r w:rsidRPr="002C6752">
              <w:t>: see s64 and 65 of the National Credit Act</w:t>
            </w:r>
            <w:r w:rsidR="00F9341C" w:rsidRPr="002C6752">
              <w:t>.</w:t>
            </w:r>
          </w:p>
          <w:p w14:paraId="18F1F177" w14:textId="77777777" w:rsidR="00F9341C" w:rsidRPr="002C6752" w:rsidRDefault="00F9341C" w:rsidP="005F073C">
            <w:pPr>
              <w:pStyle w:val="tbltext"/>
              <w:spacing w:before="60"/>
            </w:pPr>
            <w:r w:rsidRPr="002C6752">
              <w:t>However, a person who has been sub-authorised under s65(1) of the National Credit Act and is an employee or director of the body corporate that gave the sub-authorisation does not need to be a separate member of AFCA.</w:t>
            </w:r>
          </w:p>
          <w:p w14:paraId="14C912B6" w14:textId="69BA7BE1" w:rsidR="00F9341C" w:rsidRPr="002C6752" w:rsidRDefault="00F9341C" w:rsidP="008C4884">
            <w:pPr>
              <w:pStyle w:val="tblnote"/>
            </w:pPr>
            <w:r w:rsidRPr="002C6752">
              <w:t xml:space="preserve">Note: </w:t>
            </w:r>
            <w:r w:rsidR="00E116F2" w:rsidRPr="002C6752">
              <w:t>S</w:t>
            </w:r>
            <w:r w:rsidRPr="002C6752">
              <w:t xml:space="preserve">ee reg 16 </w:t>
            </w:r>
            <w:r w:rsidR="000B23FE" w:rsidRPr="002C6752">
              <w:t xml:space="preserve">of the </w:t>
            </w:r>
            <w:r w:rsidRPr="002C6752">
              <w:t>National Credit Regulations</w:t>
            </w:r>
            <w:r w:rsidR="000B23FE" w:rsidRPr="002C6752">
              <w:t>.</w:t>
            </w:r>
          </w:p>
        </w:tc>
      </w:tr>
      <w:tr w:rsidR="00F9341C" w:rsidRPr="002C6752" w14:paraId="01B07C77" w14:textId="77777777" w:rsidTr="00AD3787">
        <w:trPr>
          <w:cantSplit/>
        </w:trPr>
        <w:tc>
          <w:tcPr>
            <w:tcW w:w="1564" w:type="dxa"/>
          </w:tcPr>
          <w:p w14:paraId="1CC7AD5D" w14:textId="01AA9450" w:rsidR="00F9341C" w:rsidRPr="002C6752" w:rsidRDefault="00F9341C" w:rsidP="008C4884">
            <w:pPr>
              <w:pStyle w:val="tbltext"/>
            </w:pPr>
            <w:r w:rsidRPr="002C6752">
              <w:lastRenderedPageBreak/>
              <w:t>Unlicensed COI lenders (including prescribed unlicensed COI lenders)</w:t>
            </w:r>
          </w:p>
        </w:tc>
        <w:tc>
          <w:tcPr>
            <w:tcW w:w="3405" w:type="dxa"/>
          </w:tcPr>
          <w:p w14:paraId="33528807" w14:textId="036C8E67" w:rsidR="00F9341C" w:rsidRPr="002C6752" w:rsidRDefault="00F9341C" w:rsidP="008C4884">
            <w:pPr>
              <w:pStyle w:val="tbltext"/>
              <w:rPr>
                <w:i/>
              </w:rPr>
            </w:pPr>
            <w:r w:rsidRPr="002C6752">
              <w:t xml:space="preserve">A </w:t>
            </w:r>
            <w:r w:rsidR="00E12C7C">
              <w:t>‘</w:t>
            </w:r>
            <w:r w:rsidRPr="002C6752">
              <w:t>carried over instrument</w:t>
            </w:r>
            <w:r w:rsidR="00E12C7C">
              <w:t>’</w:t>
            </w:r>
            <w:r w:rsidRPr="002C6752">
              <w:t xml:space="preserve"> is a contract or other instrument that was made and in force, and to which an old Credit Code applied immediately before 1 July 2010 (see s4(1) of the </w:t>
            </w:r>
            <w:r w:rsidRPr="002C6752">
              <w:rPr>
                <w:i/>
              </w:rPr>
              <w:t>National Consumer Credit Protection (Transitional and Consequential Provisions) Act 2009</w:t>
            </w:r>
            <w:r w:rsidR="00430EAA" w:rsidRPr="002C6752">
              <w:t>)</w:t>
            </w:r>
            <w:r w:rsidRPr="002C6752">
              <w:rPr>
                <w:i/>
              </w:rPr>
              <w:t>.</w:t>
            </w:r>
          </w:p>
          <w:p w14:paraId="00393F37" w14:textId="54962EF5" w:rsidR="00F9341C" w:rsidRPr="002C6752" w:rsidRDefault="00F9341C" w:rsidP="008C4884">
            <w:pPr>
              <w:pStyle w:val="tbltext"/>
            </w:pPr>
            <w:r w:rsidRPr="002C6752">
              <w:t>Unlicensed COI lenders are credit providers or lessors who only have a closed pool of carried over instruments and have chosen not to obtain a credit licence (or to restrict their activities to their carried over instruments, and subsequently cancel their credit licence).</w:t>
            </w:r>
          </w:p>
          <w:p w14:paraId="2F3AC177" w14:textId="1B16381D" w:rsidR="00F9341C" w:rsidRPr="002C6752" w:rsidRDefault="00F9341C" w:rsidP="008C4884">
            <w:pPr>
              <w:pStyle w:val="tblnote"/>
            </w:pPr>
            <w:r w:rsidRPr="002C6752">
              <w:t xml:space="preserve">Note: </w:t>
            </w:r>
            <w:r w:rsidR="000B23FE" w:rsidRPr="002C6752">
              <w:t>A</w:t>
            </w:r>
            <w:r w:rsidRPr="002C6752">
              <w:t xml:space="preserve"> </w:t>
            </w:r>
            <w:r w:rsidR="00E12C7C">
              <w:t>‘</w:t>
            </w:r>
            <w:r w:rsidRPr="002C6752">
              <w:t>prescribed unlicensed COI lender</w:t>
            </w:r>
            <w:r w:rsidR="00E12C7C">
              <w:t>’</w:t>
            </w:r>
            <w:r w:rsidRPr="002C6752">
              <w:t xml:space="preserve"> is an unlicensed COI lender who fails to meet certain probity requirements and who has restrictions placed on their conduct in relation to their carried over instruments.</w:t>
            </w:r>
            <w:r w:rsidR="003229E3" w:rsidRPr="002C6752">
              <w:t xml:space="preserve"> </w:t>
            </w:r>
            <w:r w:rsidRPr="002C6752">
              <w:t>A prescribed unlicensed COI lender must not engage in credit activities with respect to their carried over instruments (other than the activities engaged in solely by being the credit provider or lessor).</w:t>
            </w:r>
            <w:r w:rsidR="003229E3" w:rsidRPr="002C6752">
              <w:t xml:space="preserve"> </w:t>
            </w:r>
            <w:r w:rsidRPr="002C6752">
              <w:t xml:space="preserve">They must instead appoint a credit licensee to act as a </w:t>
            </w:r>
            <w:r w:rsidR="00E12C7C">
              <w:t>‘</w:t>
            </w:r>
            <w:r w:rsidRPr="002C6752">
              <w:t>representative</w:t>
            </w:r>
            <w:r w:rsidR="00E12C7C">
              <w:t>’</w:t>
            </w:r>
            <w:r w:rsidRPr="002C6752">
              <w:t xml:space="preserve"> to engage in credit activities on their behalf with respect to their carried over instruments.</w:t>
            </w:r>
            <w:r w:rsidR="003229E3" w:rsidRPr="002C6752">
              <w:t xml:space="preserve"> </w:t>
            </w:r>
          </w:p>
        </w:tc>
        <w:tc>
          <w:tcPr>
            <w:tcW w:w="4102" w:type="dxa"/>
          </w:tcPr>
          <w:p w14:paraId="7C1CAEF5" w14:textId="77777777" w:rsidR="00F9341C" w:rsidRPr="002C6752" w:rsidRDefault="00F9341C" w:rsidP="008C4884">
            <w:pPr>
              <w:pStyle w:val="tbltext"/>
            </w:pPr>
            <w:bookmarkStart w:id="18" w:name="_Hlk33528920"/>
            <w:r w:rsidRPr="002C6752">
              <w:t>Unlicensed COI lenders (including prescribed unlicensed COI lenders):</w:t>
            </w:r>
          </w:p>
          <w:p w14:paraId="7370F0D6" w14:textId="242504A9" w:rsidR="00F9341C" w:rsidRPr="002C6752" w:rsidRDefault="00F9341C" w:rsidP="008C4884">
            <w:pPr>
              <w:pStyle w:val="tablebullet"/>
            </w:pPr>
            <w:r w:rsidRPr="002C6752">
              <w:t xml:space="preserve">must have </w:t>
            </w:r>
            <w:r w:rsidR="00FE3B6C" w:rsidRPr="002C6752">
              <w:t xml:space="preserve">an </w:t>
            </w:r>
            <w:r w:rsidRPr="002C6752">
              <w:t>IDR proce</w:t>
            </w:r>
            <w:r w:rsidR="0095077A">
              <w:t>dure</w:t>
            </w:r>
            <w:r w:rsidRPr="002C6752">
              <w:t xml:space="preserve"> that compl</w:t>
            </w:r>
            <w:r w:rsidR="00FE3B6C" w:rsidRPr="002C6752">
              <w:t>ies</w:t>
            </w:r>
            <w:r w:rsidRPr="002C6752">
              <w:t xml:space="preserve"> with the standards and requirements made or approved by ASIC (set out in </w:t>
            </w:r>
            <w:r w:rsidR="00E85D31" w:rsidRPr="002C6752">
              <w:t>this guide</w:t>
            </w:r>
            <w:r w:rsidRPr="002C6752">
              <w:t>) that cover complaints in relation to the credit activities they engage in with respect to their carried over instruments; and</w:t>
            </w:r>
          </w:p>
          <w:p w14:paraId="4ED445B1" w14:textId="28384F8A" w:rsidR="00F9341C" w:rsidRPr="002C6752" w:rsidRDefault="00F9341C" w:rsidP="008C4884">
            <w:pPr>
              <w:pStyle w:val="tablebullet"/>
            </w:pPr>
            <w:r w:rsidRPr="002C6752">
              <w:t>may choose to join AFCA.</w:t>
            </w:r>
          </w:p>
          <w:p w14:paraId="13503A4D" w14:textId="3B308510" w:rsidR="00A706E9" w:rsidRPr="002C6752" w:rsidRDefault="00A706E9" w:rsidP="009A6619">
            <w:pPr>
              <w:pStyle w:val="tbltext"/>
            </w:pPr>
            <w:r w:rsidRPr="002C6752">
              <w:t>Unlicensed COI lenders must also comply with their IDR proce</w:t>
            </w:r>
            <w:r w:rsidR="0095077A">
              <w:t>dure</w:t>
            </w:r>
            <w:r w:rsidRPr="002C6752">
              <w:t>.</w:t>
            </w:r>
          </w:p>
          <w:p w14:paraId="40826C32" w14:textId="69765AC9" w:rsidR="00F9341C" w:rsidRPr="002C6752" w:rsidRDefault="00F9341C" w:rsidP="008C4884">
            <w:pPr>
              <w:pStyle w:val="tblnote"/>
            </w:pPr>
            <w:r w:rsidRPr="002C6752">
              <w:t xml:space="preserve">Note 1: Details of the obligations of unlicensed COI lenders are set out in </w:t>
            </w:r>
            <w:hyperlink r:id="rId23" w:history="1">
              <w:r w:rsidRPr="002C6752">
                <w:rPr>
                  <w:rStyle w:val="Hyperlink"/>
                </w:rPr>
                <w:t>Information Sheet 110</w:t>
              </w:r>
            </w:hyperlink>
            <w:r w:rsidRPr="002C6752">
              <w:t xml:space="preserve"> </w:t>
            </w:r>
            <w:r w:rsidRPr="002C6752">
              <w:rPr>
                <w:i/>
              </w:rPr>
              <w:t xml:space="preserve">Lenders with carried over instruments </w:t>
            </w:r>
            <w:r w:rsidRPr="002C6752">
              <w:t xml:space="preserve">(INFO 110), </w:t>
            </w:r>
            <w:hyperlink r:id="rId24" w:history="1">
              <w:r w:rsidRPr="002C6752">
                <w:rPr>
                  <w:rStyle w:val="Hyperlink"/>
                </w:rPr>
                <w:t>Regulatory Guide 205</w:t>
              </w:r>
            </w:hyperlink>
            <w:r w:rsidRPr="002C6752">
              <w:rPr>
                <w:i/>
              </w:rPr>
              <w:t xml:space="preserve"> Credit licensing: Credit conduct obligations</w:t>
            </w:r>
            <w:r w:rsidRPr="002C6752">
              <w:t xml:space="preserve"> (RG 205),</w:t>
            </w:r>
            <w:hyperlink r:id="rId25" w:history="1">
              <w:r w:rsidR="005E10C4">
                <w:rPr>
                  <w:rStyle w:val="Hyperlink"/>
                </w:rPr>
                <w:t xml:space="preserve"> Regulatory Guide 206</w:t>
              </w:r>
            </w:hyperlink>
            <w:r w:rsidRPr="002C6752">
              <w:t xml:space="preserve"> </w:t>
            </w:r>
            <w:r w:rsidRPr="002C6752">
              <w:rPr>
                <w:i/>
              </w:rPr>
              <w:t>Credit licensing: Competence and training</w:t>
            </w:r>
            <w:r w:rsidRPr="002C6752">
              <w:t xml:space="preserve"> (RG</w:t>
            </w:r>
            <w:r w:rsidR="002211F7">
              <w:t> </w:t>
            </w:r>
            <w:r w:rsidRPr="002C6752">
              <w:t xml:space="preserve">206) and </w:t>
            </w:r>
            <w:hyperlink r:id="rId26" w:history="1">
              <w:r w:rsidRPr="002C6752">
                <w:rPr>
                  <w:rStyle w:val="Hyperlink"/>
                </w:rPr>
                <w:t>Regulatory Guide 207</w:t>
              </w:r>
            </w:hyperlink>
            <w:r w:rsidRPr="002C6752">
              <w:t xml:space="preserve"> </w:t>
            </w:r>
            <w:r w:rsidRPr="002C6752">
              <w:rPr>
                <w:i/>
              </w:rPr>
              <w:t>Credit licensing: Financial requirements</w:t>
            </w:r>
            <w:r w:rsidRPr="002C6752">
              <w:t xml:space="preserve"> (RG</w:t>
            </w:r>
            <w:r w:rsidR="000B23FE" w:rsidRPr="002C6752">
              <w:t> </w:t>
            </w:r>
            <w:r w:rsidRPr="002C6752">
              <w:t>207).</w:t>
            </w:r>
          </w:p>
          <w:p w14:paraId="667D8C49" w14:textId="52B6F3B0" w:rsidR="00F9341C" w:rsidRPr="002C6752" w:rsidRDefault="00F9341C" w:rsidP="008C4884">
            <w:pPr>
              <w:pStyle w:val="tblnote"/>
            </w:pPr>
            <w:r w:rsidRPr="002C6752">
              <w:t>Note 2: A prescribed unlicensed COI lender may arrange for their credit licensee</w:t>
            </w:r>
            <w:r w:rsidR="00E12C7C">
              <w:t>’</w:t>
            </w:r>
            <w:r w:rsidRPr="002C6752">
              <w:t>s dispute resolution system to cover complaints in relation to their carried over instruments.</w:t>
            </w:r>
            <w:r w:rsidR="003229E3" w:rsidRPr="002C6752">
              <w:t xml:space="preserve"> </w:t>
            </w:r>
            <w:r w:rsidRPr="002C6752">
              <w:t xml:space="preserve">However, the prescribed unlicensed COI lender remains responsible for ensuring that the requirements </w:t>
            </w:r>
            <w:r w:rsidR="001F6A1C" w:rsidRPr="002C6752">
              <w:t>and standards set out in Section</w:t>
            </w:r>
            <w:r w:rsidR="00D42439" w:rsidRPr="002C6752">
              <w:t>s</w:t>
            </w:r>
            <w:r w:rsidR="001F6A1C" w:rsidRPr="002C6752">
              <w:t xml:space="preserve"> </w:t>
            </w:r>
            <w:r w:rsidR="00E4237C" w:rsidRPr="002C6752">
              <w:fldChar w:fldCharType="begin"/>
            </w:r>
            <w:r w:rsidR="00E4237C" w:rsidRPr="002C6752">
              <w:instrText xml:space="preserve"> REF _ASICRef677 \r \h </w:instrText>
            </w:r>
            <w:r w:rsidR="00E4237C" w:rsidRPr="002C6752">
              <w:fldChar w:fldCharType="separate"/>
            </w:r>
            <w:r w:rsidR="00DE6E77">
              <w:t>C</w:t>
            </w:r>
            <w:r w:rsidR="00E4237C" w:rsidRPr="002C6752">
              <w:fldChar w:fldCharType="end"/>
            </w:r>
            <w:r w:rsidR="00D42439" w:rsidRPr="002C6752">
              <w:rPr>
                <w:rFonts w:cs="Arial"/>
              </w:rPr>
              <w:t>–</w:t>
            </w:r>
            <w:r w:rsidR="00D42439" w:rsidRPr="002C6752">
              <w:fldChar w:fldCharType="begin"/>
            </w:r>
            <w:r w:rsidR="00D42439" w:rsidRPr="002C6752">
              <w:rPr>
                <w:rFonts w:cs="Arial"/>
              </w:rPr>
              <w:instrText xml:space="preserve"> REF _Ref5091942 \r \h </w:instrText>
            </w:r>
            <w:r w:rsidR="002F1325" w:rsidRPr="002C6752">
              <w:instrText xml:space="preserve"> \* MERGEFORMAT </w:instrText>
            </w:r>
            <w:r w:rsidR="00D42439" w:rsidRPr="002C6752">
              <w:fldChar w:fldCharType="separate"/>
            </w:r>
            <w:r w:rsidR="00DE6E77">
              <w:rPr>
                <w:rFonts w:cs="Arial"/>
              </w:rPr>
              <w:t>D</w:t>
            </w:r>
            <w:r w:rsidR="00D42439" w:rsidRPr="002C6752">
              <w:fldChar w:fldCharType="end"/>
            </w:r>
            <w:r w:rsidR="00D42439" w:rsidRPr="002C6752">
              <w:t xml:space="preserve"> </w:t>
            </w:r>
            <w:r w:rsidRPr="002C6752">
              <w:t>are met.</w:t>
            </w:r>
          </w:p>
          <w:p w14:paraId="797BA95A" w14:textId="699AC3F6" w:rsidR="00F9341C" w:rsidRPr="002C6752" w:rsidRDefault="00F9341C" w:rsidP="008C4884">
            <w:pPr>
              <w:pStyle w:val="tbltext"/>
            </w:pPr>
            <w:r w:rsidRPr="002C6752">
              <w:t>Unlicensed COI lenders who choose not to join AFCA must keep a register of each of the following:</w:t>
            </w:r>
          </w:p>
          <w:p w14:paraId="181CE3EC" w14:textId="77777777" w:rsidR="00F9341C" w:rsidRPr="002C6752" w:rsidRDefault="00F9341C" w:rsidP="00642749">
            <w:pPr>
              <w:pStyle w:val="tablebullet"/>
            </w:pPr>
            <w:r w:rsidRPr="002C6752">
              <w:t>complaints relating to their carried over instruments;</w:t>
            </w:r>
          </w:p>
          <w:p w14:paraId="2760A2E3" w14:textId="77777777" w:rsidR="00F9341C" w:rsidRPr="002C6752" w:rsidRDefault="00F9341C" w:rsidP="00642749">
            <w:pPr>
              <w:pStyle w:val="tablebullet"/>
            </w:pPr>
            <w:r w:rsidRPr="002C6752">
              <w:t>hardship notices made under s72 of the National Credit Code (at Sch 1 to the National Credit Act); and</w:t>
            </w:r>
          </w:p>
          <w:p w14:paraId="4155A340" w14:textId="77777777" w:rsidR="00F9341C" w:rsidRPr="002C6752" w:rsidRDefault="00F9341C" w:rsidP="00642749">
            <w:pPr>
              <w:pStyle w:val="tablebullet"/>
            </w:pPr>
            <w:r w:rsidRPr="002C6752">
              <w:t>requests for postponement of enforcement proceedings under s94 of the National Credit Code.</w:t>
            </w:r>
          </w:p>
          <w:p w14:paraId="0D649E5A" w14:textId="2B1024F9" w:rsidR="00F9341C" w:rsidRPr="002C6752" w:rsidRDefault="00F9341C" w:rsidP="008C4884">
            <w:pPr>
              <w:pStyle w:val="tblnote"/>
            </w:pPr>
            <w:r w:rsidRPr="002C6752">
              <w:t>Note 1: Unlicensed COI lenders that make arrangements for a third-party provider or their representative</w:t>
            </w:r>
            <w:r w:rsidR="00E12C7C">
              <w:t>’</w:t>
            </w:r>
            <w:r w:rsidRPr="002C6752">
              <w:t>s dispute resolution system to cover complaints relating to their carried over instruments, and that are not a member of AFCA, are still required to meet these register requirements.</w:t>
            </w:r>
          </w:p>
          <w:p w14:paraId="67D56C81" w14:textId="799459E6" w:rsidR="00F9341C" w:rsidRPr="002C6752" w:rsidRDefault="00F9341C" w:rsidP="0033710A">
            <w:pPr>
              <w:pStyle w:val="tblnote"/>
            </w:pPr>
            <w:r w:rsidRPr="002C6752">
              <w:t xml:space="preserve">Note 2: See s47(1A) of the National Credit Act (inserted by Sch 2 </w:t>
            </w:r>
            <w:r w:rsidR="00716750" w:rsidRPr="002C6752">
              <w:t>to</w:t>
            </w:r>
            <w:r w:rsidRPr="002C6752">
              <w:t xml:space="preserve"> the National Credit Regulations) for details of the information the registers must include.</w:t>
            </w:r>
            <w:bookmarkEnd w:id="18"/>
          </w:p>
        </w:tc>
      </w:tr>
      <w:tr w:rsidR="00F9341C" w:rsidRPr="002C6752" w14:paraId="2EA11217" w14:textId="77777777" w:rsidTr="00AD3787">
        <w:trPr>
          <w:cantSplit/>
        </w:trPr>
        <w:tc>
          <w:tcPr>
            <w:tcW w:w="1564" w:type="dxa"/>
          </w:tcPr>
          <w:p w14:paraId="6AA38E69" w14:textId="694F5F80" w:rsidR="00F9341C" w:rsidRPr="002C6752" w:rsidRDefault="00F9341C" w:rsidP="008C4884">
            <w:pPr>
              <w:pStyle w:val="tbltext"/>
            </w:pPr>
            <w:r w:rsidRPr="002C6752">
              <w:lastRenderedPageBreak/>
              <w:t>Exempt SPFEs</w:t>
            </w:r>
          </w:p>
        </w:tc>
        <w:tc>
          <w:tcPr>
            <w:tcW w:w="3405" w:type="dxa"/>
          </w:tcPr>
          <w:p w14:paraId="1F9B404B" w14:textId="62F95C67" w:rsidR="00F9341C" w:rsidRPr="002C6752" w:rsidRDefault="00F9341C" w:rsidP="008C4884">
            <w:pPr>
              <w:pStyle w:val="tbltext"/>
            </w:pPr>
            <w:r w:rsidRPr="002C6752">
              <w:t>SPFEs include securitisation entities and fundraising special purpose entities that make (or buy) loans or leases and repackage them as investment products to sell to investors.</w:t>
            </w:r>
          </w:p>
          <w:p w14:paraId="21FE482D" w14:textId="6E8A76B8" w:rsidR="00F9341C" w:rsidRPr="002C6752" w:rsidRDefault="00F9341C" w:rsidP="008C4884">
            <w:pPr>
              <w:pStyle w:val="tblnote"/>
            </w:pPr>
            <w:r w:rsidRPr="002C6752">
              <w:t xml:space="preserve">Note: </w:t>
            </w:r>
            <w:r w:rsidR="00716750" w:rsidRPr="002C6752">
              <w:t>S</w:t>
            </w:r>
            <w:r w:rsidRPr="002C6752">
              <w:t xml:space="preserve">ee the definition of </w:t>
            </w:r>
            <w:r w:rsidR="00E12C7C">
              <w:t>‘</w:t>
            </w:r>
            <w:r w:rsidRPr="002C6752">
              <w:t>special purpose funding</w:t>
            </w:r>
            <w:r w:rsidR="00E12C7C">
              <w:t>’</w:t>
            </w:r>
            <w:r w:rsidRPr="002C6752">
              <w:t xml:space="preserve"> entity in s5 of the National Credit Act (inserted by Sch 3 to the National Credit Regulations).</w:t>
            </w:r>
          </w:p>
          <w:p w14:paraId="3323B267" w14:textId="77777777" w:rsidR="00F9341C" w:rsidRPr="002C6752" w:rsidRDefault="00F9341C" w:rsidP="008C4884">
            <w:pPr>
              <w:pStyle w:val="tbltext"/>
            </w:pPr>
            <w:r w:rsidRPr="002C6752">
              <w:t>SPFEs can either operate under a credit licence or as exempt SPFEs: see the licensing exemption in regs 23B and 23C of the National Credit Regulations.</w:t>
            </w:r>
          </w:p>
          <w:p w14:paraId="7B7FDAE7" w14:textId="606447D2" w:rsidR="00F9341C" w:rsidRPr="002C6752" w:rsidRDefault="00F9341C" w:rsidP="008C4884">
            <w:pPr>
              <w:pStyle w:val="tblnote"/>
              <w:rPr>
                <w:sz w:val="18"/>
                <w:szCs w:val="18"/>
              </w:rPr>
            </w:pPr>
            <w:r w:rsidRPr="002C6752">
              <w:t xml:space="preserve">Note: See the definition of </w:t>
            </w:r>
            <w:r w:rsidR="00E12C7C">
              <w:t>‘</w:t>
            </w:r>
            <w:r w:rsidRPr="002C6752">
              <w:t>exempt special purpose funding entity</w:t>
            </w:r>
            <w:r w:rsidR="00E12C7C">
              <w:t>’</w:t>
            </w:r>
            <w:r w:rsidRPr="002C6752">
              <w:t xml:space="preserve"> in reg 3 of the National Credit Regulations.</w:t>
            </w:r>
          </w:p>
        </w:tc>
        <w:tc>
          <w:tcPr>
            <w:tcW w:w="4102" w:type="dxa"/>
          </w:tcPr>
          <w:p w14:paraId="72FDC6AD" w14:textId="27488506" w:rsidR="00F9341C" w:rsidRPr="002C6752" w:rsidRDefault="00072579" w:rsidP="008C4884">
            <w:pPr>
              <w:pStyle w:val="subsubparai"/>
              <w:numPr>
                <w:ilvl w:val="0"/>
                <w:numId w:val="0"/>
              </w:numPr>
              <w:spacing w:before="120" w:line="240" w:lineRule="atLeast"/>
              <w:ind w:left="34"/>
              <w:rPr>
                <w:rFonts w:ascii="Arial" w:hAnsi="Arial" w:cs="Arial"/>
                <w:sz w:val="18"/>
                <w:szCs w:val="18"/>
              </w:rPr>
            </w:pPr>
            <w:r w:rsidRPr="002C6752">
              <w:rPr>
                <w:rFonts w:ascii="Arial" w:hAnsi="Arial" w:cs="Arial"/>
                <w:sz w:val="18"/>
                <w:szCs w:val="18"/>
              </w:rPr>
              <w:t>Exempt SPFEs</w:t>
            </w:r>
            <w:r w:rsidR="00F9341C" w:rsidRPr="002C6752">
              <w:rPr>
                <w:rFonts w:ascii="Arial" w:hAnsi="Arial" w:cs="Arial"/>
                <w:sz w:val="18"/>
                <w:szCs w:val="18"/>
              </w:rPr>
              <w:t xml:space="preserve"> may rely on a licensing exemption: see regs 23B and 23C</w:t>
            </w:r>
            <w:r w:rsidR="00716750" w:rsidRPr="002C6752">
              <w:rPr>
                <w:rFonts w:ascii="Arial" w:hAnsi="Arial" w:cs="Arial"/>
                <w:sz w:val="18"/>
                <w:szCs w:val="18"/>
              </w:rPr>
              <w:t xml:space="preserve"> of the National Credit Regulations</w:t>
            </w:r>
            <w:r w:rsidR="00F9341C" w:rsidRPr="002C6752">
              <w:rPr>
                <w:rFonts w:ascii="Arial" w:hAnsi="Arial" w:cs="Arial"/>
                <w:sz w:val="18"/>
                <w:szCs w:val="18"/>
              </w:rPr>
              <w:t>.</w:t>
            </w:r>
            <w:r w:rsidR="003229E3" w:rsidRPr="002C6752">
              <w:rPr>
                <w:rFonts w:ascii="Arial" w:hAnsi="Arial" w:cs="Arial"/>
                <w:sz w:val="18"/>
                <w:szCs w:val="18"/>
              </w:rPr>
              <w:t xml:space="preserve"> </w:t>
            </w:r>
            <w:r w:rsidR="00F9341C" w:rsidRPr="002C6752">
              <w:rPr>
                <w:rFonts w:ascii="Arial" w:hAnsi="Arial" w:cs="Arial"/>
                <w:sz w:val="18"/>
                <w:szCs w:val="18"/>
              </w:rPr>
              <w:t>If they do, they must:</w:t>
            </w:r>
          </w:p>
          <w:p w14:paraId="0CBBD74F" w14:textId="77777777" w:rsidR="00F9341C" w:rsidRPr="002C6752" w:rsidRDefault="00F9341C" w:rsidP="008C4884">
            <w:pPr>
              <w:pStyle w:val="tablebullet"/>
            </w:pPr>
            <w:r w:rsidRPr="002C6752">
              <w:t>enter into a servicing agreement with a credit licensee under which that licensee acts on their behalf; and</w:t>
            </w:r>
          </w:p>
          <w:p w14:paraId="1D3F99F0" w14:textId="77777777" w:rsidR="00F9341C" w:rsidRPr="002C6752" w:rsidRDefault="00F9341C" w:rsidP="008C4884">
            <w:pPr>
              <w:pStyle w:val="tablebullet"/>
            </w:pPr>
            <w:r w:rsidRPr="002C6752">
              <w:t>be a member of AFCA.</w:t>
            </w:r>
          </w:p>
          <w:p w14:paraId="2C01546B" w14:textId="3E19B130" w:rsidR="00F9341C" w:rsidRPr="002C6752" w:rsidRDefault="00F9341C" w:rsidP="008C4884">
            <w:pPr>
              <w:pStyle w:val="subsubparai"/>
              <w:numPr>
                <w:ilvl w:val="0"/>
                <w:numId w:val="0"/>
              </w:numPr>
              <w:spacing w:before="120" w:line="240" w:lineRule="atLeast"/>
              <w:ind w:left="33"/>
              <w:rPr>
                <w:rFonts w:ascii="Arial" w:hAnsi="Arial" w:cs="Arial"/>
                <w:sz w:val="18"/>
                <w:szCs w:val="18"/>
              </w:rPr>
            </w:pPr>
            <w:r w:rsidRPr="002C6752">
              <w:rPr>
                <w:rFonts w:ascii="Arial" w:hAnsi="Arial" w:cs="Arial"/>
                <w:sz w:val="18"/>
                <w:szCs w:val="18"/>
              </w:rPr>
              <w:t>Exempt SPFEs do not have any IDR requirements.</w:t>
            </w:r>
            <w:r w:rsidR="003229E3" w:rsidRPr="002C6752">
              <w:rPr>
                <w:rFonts w:ascii="Arial" w:hAnsi="Arial" w:cs="Arial"/>
                <w:sz w:val="18"/>
                <w:szCs w:val="18"/>
              </w:rPr>
              <w:t xml:space="preserve"> </w:t>
            </w:r>
            <w:r w:rsidRPr="002C6752">
              <w:rPr>
                <w:rFonts w:ascii="Arial" w:hAnsi="Arial" w:cs="Arial"/>
                <w:sz w:val="18"/>
                <w:szCs w:val="18"/>
              </w:rPr>
              <w:t>We expect that the credit licensee</w:t>
            </w:r>
            <w:r w:rsidR="00E12C7C">
              <w:rPr>
                <w:rFonts w:ascii="Arial" w:hAnsi="Arial" w:cs="Arial"/>
                <w:sz w:val="18"/>
                <w:szCs w:val="18"/>
              </w:rPr>
              <w:t>’</w:t>
            </w:r>
            <w:r w:rsidRPr="002C6752">
              <w:rPr>
                <w:rFonts w:ascii="Arial" w:hAnsi="Arial" w:cs="Arial"/>
                <w:sz w:val="18"/>
                <w:szCs w:val="18"/>
              </w:rPr>
              <w:t>s IDR process will cover complaints about both:</w:t>
            </w:r>
          </w:p>
          <w:p w14:paraId="4A106A9B" w14:textId="77777777" w:rsidR="00F9341C" w:rsidRPr="002C6752" w:rsidRDefault="00F9341C" w:rsidP="008C4884">
            <w:pPr>
              <w:pStyle w:val="tablebullet"/>
            </w:pPr>
            <w:r w:rsidRPr="002C6752">
              <w:t>credit activities engaged in by the licensee under a servicing agreement; and</w:t>
            </w:r>
          </w:p>
          <w:p w14:paraId="72D69F10" w14:textId="1AE84B24" w:rsidR="00F9341C" w:rsidRPr="002C6752" w:rsidRDefault="00F9341C" w:rsidP="008C4884">
            <w:pPr>
              <w:pStyle w:val="tablebullet"/>
            </w:pPr>
            <w:r w:rsidRPr="002C6752">
              <w:t>conduct of the exempt SPFE (including where changes are sought to the terms of the contract</w:t>
            </w:r>
            <w:r w:rsidR="00716750" w:rsidRPr="002C6752">
              <w:t>–-</w:t>
            </w:r>
            <w:r w:rsidRPr="002C6752">
              <w:t>for example, on the basis of hardship or because the contract was unsuitable or unjust).</w:t>
            </w:r>
          </w:p>
        </w:tc>
      </w:tr>
      <w:tr w:rsidR="00F9341C" w:rsidRPr="002C6752" w14:paraId="75875212" w14:textId="77777777" w:rsidTr="00AD3787">
        <w:trPr>
          <w:cantSplit/>
        </w:trPr>
        <w:tc>
          <w:tcPr>
            <w:tcW w:w="1564" w:type="dxa"/>
          </w:tcPr>
          <w:p w14:paraId="743FB7C5" w14:textId="77777777" w:rsidR="00F9341C" w:rsidRPr="002C6752" w:rsidRDefault="00F9341C" w:rsidP="008C4884">
            <w:pPr>
              <w:pStyle w:val="tbltext"/>
            </w:pPr>
            <w:r w:rsidRPr="002C6752">
              <w:t>Credit licensees acting on behalf of exempt SPFEs under a servicing agreement</w:t>
            </w:r>
          </w:p>
        </w:tc>
        <w:tc>
          <w:tcPr>
            <w:tcW w:w="3405" w:type="dxa"/>
          </w:tcPr>
          <w:p w14:paraId="4B7A0258" w14:textId="055F2829" w:rsidR="00F9341C" w:rsidRPr="002C6752" w:rsidRDefault="00F9341C" w:rsidP="008C4884">
            <w:pPr>
              <w:pStyle w:val="tbltext"/>
            </w:pPr>
            <w:r w:rsidRPr="002C6752">
              <w:t xml:space="preserve">A credit licensee acting on behalf of an exempt </w:t>
            </w:r>
            <w:r w:rsidR="00716750" w:rsidRPr="002C6752">
              <w:t xml:space="preserve">SPFE, such as a </w:t>
            </w:r>
            <w:r w:rsidRPr="002C6752">
              <w:t>securitisation entity that makes (or buys) loans or leases and repackages them as investment products to sell to investors.</w:t>
            </w:r>
          </w:p>
        </w:tc>
        <w:tc>
          <w:tcPr>
            <w:tcW w:w="4102" w:type="dxa"/>
          </w:tcPr>
          <w:p w14:paraId="22B8B486" w14:textId="77777777" w:rsidR="00F9341C" w:rsidRPr="002C6752" w:rsidRDefault="00F9341C" w:rsidP="008C4884">
            <w:pPr>
              <w:pStyle w:val="tbltext"/>
            </w:pPr>
            <w:r w:rsidRPr="002C6752">
              <w:t>When performing this role for an exempt SPFE, the credit licensee must:</w:t>
            </w:r>
          </w:p>
          <w:p w14:paraId="22F24841" w14:textId="77777777" w:rsidR="00F9341C" w:rsidRPr="002C6752" w:rsidRDefault="00F9341C" w:rsidP="008C4884">
            <w:pPr>
              <w:pStyle w:val="tablebullet"/>
            </w:pPr>
            <w:r w:rsidRPr="002C6752">
              <w:t>notify ASIC when they enter into a servicing agreement with an exempt SPFE and provide details of its membership with AFCA; and</w:t>
            </w:r>
          </w:p>
          <w:p w14:paraId="43CABBB5" w14:textId="77777777" w:rsidR="00F9341C" w:rsidRPr="002C6752" w:rsidRDefault="00F9341C" w:rsidP="008C4884">
            <w:pPr>
              <w:pStyle w:val="tablebullet"/>
            </w:pPr>
            <w:r w:rsidRPr="002C6752">
              <w:t>notify ASIC when they cease to be a party to the servicing agreement.</w:t>
            </w:r>
          </w:p>
          <w:p w14:paraId="538FDD47" w14:textId="043818CB" w:rsidR="00F9341C" w:rsidRPr="002C6752" w:rsidRDefault="00F9341C" w:rsidP="008C4884">
            <w:pPr>
              <w:pStyle w:val="tbltext"/>
            </w:pPr>
            <w:r w:rsidRPr="002C6752">
              <w:t>The credit licensee should also ensure that their IDR proce</w:t>
            </w:r>
            <w:r w:rsidR="00FE3B6C" w:rsidRPr="002C6752">
              <w:t>ss</w:t>
            </w:r>
            <w:r w:rsidRPr="002C6752">
              <w:t xml:space="preserve"> cover</w:t>
            </w:r>
            <w:r w:rsidR="00FE3B6C" w:rsidRPr="002C6752">
              <w:t>s</w:t>
            </w:r>
            <w:r w:rsidRPr="002C6752">
              <w:t>:</w:t>
            </w:r>
          </w:p>
          <w:p w14:paraId="5128D46B" w14:textId="3267B527" w:rsidR="00F9341C" w:rsidRPr="002C6752" w:rsidRDefault="00F9341C" w:rsidP="008C4884">
            <w:pPr>
              <w:pStyle w:val="tablebullet"/>
            </w:pPr>
            <w:r w:rsidRPr="002C6752">
              <w:t>the exempt SPFE</w:t>
            </w:r>
            <w:r w:rsidR="00E12C7C">
              <w:t>’</w:t>
            </w:r>
            <w:r w:rsidRPr="002C6752">
              <w:t>s activities; and</w:t>
            </w:r>
          </w:p>
          <w:p w14:paraId="2669EEBB" w14:textId="77777777" w:rsidR="00F9341C" w:rsidRPr="002C6752" w:rsidRDefault="00F9341C" w:rsidP="008C4884">
            <w:pPr>
              <w:pStyle w:val="tablebullet"/>
            </w:pPr>
            <w:r w:rsidRPr="002C6752">
              <w:t>complaints that arise when they act as the representative of the exempt SPFE and complaints about the conduct of the exempt SPFE.</w:t>
            </w:r>
          </w:p>
          <w:p w14:paraId="48F837F3" w14:textId="77777777" w:rsidR="00F9341C" w:rsidRPr="002C6752" w:rsidRDefault="00F9341C" w:rsidP="008C4884">
            <w:pPr>
              <w:pStyle w:val="tbltext"/>
            </w:pPr>
            <w:r w:rsidRPr="002C6752">
              <w:t>The credit licensee must inform a complainant of their right to complain to AFCA or directly refer them to AFCA.</w:t>
            </w:r>
          </w:p>
        </w:tc>
      </w:tr>
      <w:tr w:rsidR="00FF49A5" w:rsidRPr="002C6752" w14:paraId="1D8F206C" w14:textId="77777777" w:rsidTr="00AD3787">
        <w:trPr>
          <w:cantSplit/>
        </w:trPr>
        <w:tc>
          <w:tcPr>
            <w:tcW w:w="1564" w:type="dxa"/>
          </w:tcPr>
          <w:p w14:paraId="589C9726" w14:textId="5C9767F6" w:rsidR="00FF49A5" w:rsidRPr="002C6752" w:rsidRDefault="00FF49A5" w:rsidP="00FF49A5">
            <w:pPr>
              <w:pStyle w:val="tbltext"/>
            </w:pPr>
            <w:r w:rsidRPr="002C6752">
              <w:t>Financial technology (</w:t>
            </w:r>
            <w:r w:rsidR="00716750" w:rsidRPr="002C6752">
              <w:t>f</w:t>
            </w:r>
            <w:r w:rsidRPr="002C6752">
              <w:t>intech) businesses</w:t>
            </w:r>
          </w:p>
        </w:tc>
        <w:tc>
          <w:tcPr>
            <w:tcW w:w="3405" w:type="dxa"/>
          </w:tcPr>
          <w:p w14:paraId="0A5F7928" w14:textId="04BA14AF" w:rsidR="00FF49A5" w:rsidRPr="002C6752" w:rsidRDefault="00FF49A5" w:rsidP="00FF49A5">
            <w:pPr>
              <w:pStyle w:val="tbltext"/>
            </w:pPr>
            <w:r w:rsidRPr="002C6752">
              <w:t xml:space="preserve">A financial technology business relying on a fintech licensing exemption provided by </w:t>
            </w:r>
            <w:hyperlink r:id="rId27" w:history="1">
              <w:r w:rsidRPr="0022623E">
                <w:rPr>
                  <w:rStyle w:val="Hyperlink"/>
                </w:rPr>
                <w:t>ASIC Corporations (Concept Validation Licensing Exemption) Instrument 2016/1175</w:t>
              </w:r>
            </w:hyperlink>
            <w:r w:rsidRPr="002C6752">
              <w:t xml:space="preserve"> and </w:t>
            </w:r>
            <w:hyperlink r:id="rId28" w:history="1">
              <w:r w:rsidRPr="0022623E">
                <w:rPr>
                  <w:rStyle w:val="Hyperlink"/>
                </w:rPr>
                <w:t>ASIC Credit (Concept Validation Licensing Exemption) Instrument 2016/1176</w:t>
              </w:r>
            </w:hyperlink>
            <w:r w:rsidR="00716750" w:rsidRPr="002C6752">
              <w:t>.</w:t>
            </w:r>
          </w:p>
        </w:tc>
        <w:tc>
          <w:tcPr>
            <w:tcW w:w="4102" w:type="dxa"/>
          </w:tcPr>
          <w:p w14:paraId="62CBF354" w14:textId="7C43F5E5" w:rsidR="00FF49A5" w:rsidRPr="002C6752" w:rsidRDefault="00716750" w:rsidP="00FF49A5">
            <w:pPr>
              <w:pStyle w:val="tbltext"/>
            </w:pPr>
            <w:r w:rsidRPr="002C6752">
              <w:t>F</w:t>
            </w:r>
            <w:r w:rsidR="00FF49A5" w:rsidRPr="002C6752">
              <w:t xml:space="preserve">intech businesses </w:t>
            </w:r>
            <w:r w:rsidR="002D052F">
              <w:t xml:space="preserve">relying on a fintech licensing exemption </w:t>
            </w:r>
            <w:r w:rsidR="00FF49A5" w:rsidRPr="002C6752">
              <w:t>must have a dispute resolution system that consists of:</w:t>
            </w:r>
          </w:p>
          <w:p w14:paraId="4542D819" w14:textId="3915472D" w:rsidR="00FF49A5" w:rsidRPr="002C6752" w:rsidRDefault="00FE3B6C" w:rsidP="00FF49A5">
            <w:pPr>
              <w:pStyle w:val="tablebullet"/>
            </w:pPr>
            <w:r w:rsidRPr="002C6752">
              <w:t xml:space="preserve">an </w:t>
            </w:r>
            <w:r w:rsidR="00FF49A5" w:rsidRPr="002C6752">
              <w:t>IDR proce</w:t>
            </w:r>
            <w:r w:rsidR="0095077A">
              <w:t>dure</w:t>
            </w:r>
            <w:r w:rsidR="00FF49A5" w:rsidRPr="002C6752">
              <w:t xml:space="preserve"> that compl</w:t>
            </w:r>
            <w:r w:rsidRPr="002C6752">
              <w:t>ies</w:t>
            </w:r>
            <w:r w:rsidR="00FF49A5" w:rsidRPr="002C6752">
              <w:t xml:space="preserve"> with the standards and requirements made or approved by ASIC (set out </w:t>
            </w:r>
            <w:r w:rsidR="00E85D31" w:rsidRPr="002C6752">
              <w:t>in this guide</w:t>
            </w:r>
            <w:r w:rsidR="00FF49A5" w:rsidRPr="002C6752">
              <w:t>); and</w:t>
            </w:r>
          </w:p>
          <w:p w14:paraId="30691737" w14:textId="55C5D31A" w:rsidR="00FF49A5" w:rsidRPr="002C6752" w:rsidRDefault="00FE3B6C" w:rsidP="00FF49A5">
            <w:pPr>
              <w:pStyle w:val="tablebullet"/>
            </w:pPr>
            <w:r w:rsidRPr="002C6752">
              <w:t>m</w:t>
            </w:r>
            <w:r w:rsidR="00FF49A5" w:rsidRPr="002C6752">
              <w:t>embership of AFCA.</w:t>
            </w:r>
          </w:p>
          <w:p w14:paraId="0BB799AC" w14:textId="71B82C8D" w:rsidR="00FF49A5" w:rsidRPr="002C6752" w:rsidRDefault="00716750" w:rsidP="00642749">
            <w:pPr>
              <w:pStyle w:val="tblnote"/>
            </w:pPr>
            <w:r w:rsidRPr="002C6752">
              <w:t xml:space="preserve">Note: See </w:t>
            </w:r>
            <w:hyperlink r:id="rId29" w:history="1">
              <w:r w:rsidRPr="002C6752">
                <w:rPr>
                  <w:rStyle w:val="Hyperlink"/>
                </w:rPr>
                <w:t>Regulatory Guide 257</w:t>
              </w:r>
            </w:hyperlink>
            <w:r w:rsidRPr="002C6752">
              <w:t xml:space="preserve"> </w:t>
            </w:r>
            <w:r w:rsidRPr="002C6752">
              <w:rPr>
                <w:i/>
              </w:rPr>
              <w:t xml:space="preserve">Testing fintech products and services without holding an AFS or credit licence </w:t>
            </w:r>
            <w:r w:rsidRPr="002C6752">
              <w:t>(R</w:t>
            </w:r>
            <w:r w:rsidR="00D42439" w:rsidRPr="002C6752">
              <w:t>G 257) at RG 257.103–RG 257.110.</w:t>
            </w:r>
          </w:p>
        </w:tc>
      </w:tr>
    </w:tbl>
    <w:p w14:paraId="59406E65" w14:textId="6412FF43" w:rsidR="00946B2C" w:rsidRPr="002C6752" w:rsidRDefault="006B4F0B" w:rsidP="006B4F0B">
      <w:pPr>
        <w:pStyle w:val="Heading2"/>
      </w:pPr>
      <w:bookmarkStart w:id="19" w:name="_Toc46844227"/>
      <w:r w:rsidRPr="002C6752">
        <w:lastRenderedPageBreak/>
        <w:t>ASIC</w:t>
      </w:r>
      <w:r w:rsidR="00E12C7C">
        <w:t>’</w:t>
      </w:r>
      <w:r w:rsidRPr="002C6752">
        <w:t xml:space="preserve">s role </w:t>
      </w:r>
      <w:r w:rsidR="003229E3" w:rsidRPr="002C6752">
        <w:t>in</w:t>
      </w:r>
      <w:r w:rsidRPr="002C6752">
        <w:t xml:space="preserve"> internal dispute resolution</w:t>
      </w:r>
      <w:bookmarkEnd w:id="19"/>
    </w:p>
    <w:p w14:paraId="0FF23486" w14:textId="77777777" w:rsidR="00587684" w:rsidRPr="002C6752" w:rsidRDefault="00587684" w:rsidP="0053412F">
      <w:pPr>
        <w:pStyle w:val="BodyText"/>
      </w:pPr>
      <w:r w:rsidRPr="002C6752">
        <w:t>The objectives of Ch 7 of the Corporations Act are to promote:</w:t>
      </w:r>
    </w:p>
    <w:p w14:paraId="59D5A8EF" w14:textId="0A9392D8" w:rsidR="00587684" w:rsidRPr="002C6752" w:rsidRDefault="0001283F" w:rsidP="00587684">
      <w:pPr>
        <w:pStyle w:val="subparaa"/>
      </w:pPr>
      <w:r w:rsidRPr="002C6752">
        <w:t>t</w:t>
      </w:r>
      <w:r w:rsidR="00587684" w:rsidRPr="002C6752">
        <w:t xml:space="preserve">he confident and informed participation of consumers and investors in the Australian financial system (also an objective of ASIC under s1 of the </w:t>
      </w:r>
      <w:r w:rsidR="00587684" w:rsidRPr="002C6752">
        <w:rPr>
          <w:i/>
        </w:rPr>
        <w:t>Australian Securities and Investments Commission Act 2001</w:t>
      </w:r>
      <w:r w:rsidR="00587684" w:rsidRPr="002C6752">
        <w:t>);</w:t>
      </w:r>
    </w:p>
    <w:p w14:paraId="74BEB1C3" w14:textId="56C361FE" w:rsidR="00587684" w:rsidRPr="002C6752" w:rsidRDefault="0001283F" w:rsidP="00587684">
      <w:pPr>
        <w:pStyle w:val="subparaa"/>
      </w:pPr>
      <w:r w:rsidRPr="002C6752">
        <w:t>f</w:t>
      </w:r>
      <w:r w:rsidR="00587684" w:rsidRPr="002C6752">
        <w:t>airness, honesty and professionalism by those who provide financial services;</w:t>
      </w:r>
    </w:p>
    <w:p w14:paraId="52B676FB" w14:textId="20932E3C" w:rsidR="00587684" w:rsidRPr="002C6752" w:rsidRDefault="0001283F" w:rsidP="00587684">
      <w:pPr>
        <w:pStyle w:val="subparaa"/>
      </w:pPr>
      <w:r w:rsidRPr="002C6752">
        <w:t>f</w:t>
      </w:r>
      <w:r w:rsidR="00587684" w:rsidRPr="002C6752">
        <w:t>air, orderly and transparent markets; and</w:t>
      </w:r>
    </w:p>
    <w:p w14:paraId="3CFF5FD0" w14:textId="496168EC" w:rsidR="00587684" w:rsidRPr="002C6752" w:rsidRDefault="0001283F" w:rsidP="00587684">
      <w:pPr>
        <w:pStyle w:val="subparaa"/>
      </w:pPr>
      <w:r w:rsidRPr="002C6752">
        <w:t>t</w:t>
      </w:r>
      <w:r w:rsidR="00587684" w:rsidRPr="002C6752">
        <w:t>he reduction of systemic risks.</w:t>
      </w:r>
    </w:p>
    <w:p w14:paraId="09DC98F2" w14:textId="03DFAA68" w:rsidR="00587684" w:rsidRPr="002C6752" w:rsidRDefault="00587684" w:rsidP="00587684">
      <w:pPr>
        <w:pStyle w:val="Note"/>
      </w:pPr>
      <w:r w:rsidRPr="002C6752">
        <w:t xml:space="preserve">Note: </w:t>
      </w:r>
      <w:r w:rsidR="00D86218" w:rsidRPr="002C6752">
        <w:t>S</w:t>
      </w:r>
      <w:r w:rsidRPr="002C6752">
        <w:t>ee s760A</w:t>
      </w:r>
      <w:r w:rsidR="00D86218" w:rsidRPr="002C6752">
        <w:t xml:space="preserve"> of</w:t>
      </w:r>
      <w:r w:rsidR="0093471D">
        <w:t xml:space="preserve"> the</w:t>
      </w:r>
      <w:r w:rsidRPr="002C6752">
        <w:t xml:space="preserve"> Corporations Act</w:t>
      </w:r>
    </w:p>
    <w:p w14:paraId="4AE07548" w14:textId="2B26ED92" w:rsidR="00587684" w:rsidRPr="002C6752" w:rsidRDefault="00587684" w:rsidP="00587684">
      <w:pPr>
        <w:pStyle w:val="BodyText"/>
      </w:pPr>
      <w:r w:rsidRPr="002C6752">
        <w:t xml:space="preserve">Within this framework, </w:t>
      </w:r>
      <w:r w:rsidR="00D86218" w:rsidRPr="002C6752">
        <w:t>we are</w:t>
      </w:r>
      <w:r w:rsidR="00946B2C" w:rsidRPr="002C6752">
        <w:t xml:space="preserve"> responsible for </w:t>
      </w:r>
      <w:r w:rsidRPr="002C6752">
        <w:t xml:space="preserve">overseeing the effective </w:t>
      </w:r>
      <w:r w:rsidRPr="002C6752">
        <w:rPr>
          <w:spacing w:val="-4"/>
        </w:rPr>
        <w:t xml:space="preserve">operation of the dispute resolution system, which includes </w:t>
      </w:r>
      <w:r w:rsidR="00946B2C" w:rsidRPr="002C6752">
        <w:rPr>
          <w:spacing w:val="-4"/>
        </w:rPr>
        <w:t xml:space="preserve">setting the standards </w:t>
      </w:r>
      <w:r w:rsidR="00946B2C" w:rsidRPr="002C6752">
        <w:t>and requirements for financial firms</w:t>
      </w:r>
      <w:r w:rsidR="00E12C7C">
        <w:t>’</w:t>
      </w:r>
      <w:r w:rsidR="00946B2C" w:rsidRPr="002C6752">
        <w:t xml:space="preserve"> I</w:t>
      </w:r>
      <w:r w:rsidRPr="002C6752">
        <w:t xml:space="preserve">DR </w:t>
      </w:r>
      <w:r w:rsidR="00AA2EE3" w:rsidRPr="002C6752">
        <w:t>proce</w:t>
      </w:r>
      <w:r w:rsidR="00FE3B6C" w:rsidRPr="002C6752">
        <w:t>ss</w:t>
      </w:r>
      <w:r w:rsidR="00AA2EE3" w:rsidRPr="002C6752">
        <w:t xml:space="preserve">es </w:t>
      </w:r>
      <w:r w:rsidRPr="002C6752">
        <w:t>and oversight of AFCA.</w:t>
      </w:r>
    </w:p>
    <w:p w14:paraId="54FE405E" w14:textId="67F22613" w:rsidR="00946B2C" w:rsidRPr="002C6752" w:rsidRDefault="00D86218" w:rsidP="00282E63">
      <w:pPr>
        <w:pStyle w:val="BodyText"/>
      </w:pPr>
      <w:r w:rsidRPr="002C6752">
        <w:t>We</w:t>
      </w:r>
      <w:r w:rsidR="004016DB" w:rsidRPr="002C6752">
        <w:t xml:space="preserve"> must, when considering whether to make or approve standards or requirements relating to IDR, take into account:</w:t>
      </w:r>
    </w:p>
    <w:p w14:paraId="38F83562" w14:textId="0107D1E2" w:rsidR="004016DB" w:rsidRPr="002C6752" w:rsidRDefault="00DD52BD" w:rsidP="004016DB">
      <w:pPr>
        <w:pStyle w:val="subparaa"/>
      </w:pPr>
      <w:hyperlink r:id="rId30" w:history="1">
        <w:r w:rsidR="004016DB" w:rsidRPr="002C6752">
          <w:rPr>
            <w:rStyle w:val="Hyperlink"/>
          </w:rPr>
          <w:t>AS/NZS 10002:2014</w:t>
        </w:r>
      </w:hyperlink>
      <w:r w:rsidR="004016DB" w:rsidRPr="002C6752">
        <w:t>; and</w:t>
      </w:r>
    </w:p>
    <w:p w14:paraId="3D4515A7" w14:textId="7FAFF81C" w:rsidR="00447655" w:rsidRPr="002C6752" w:rsidRDefault="00447655" w:rsidP="00642749">
      <w:pPr>
        <w:pStyle w:val="Note"/>
      </w:pPr>
      <w:r w:rsidRPr="002C6752">
        <w:t>Note: AS/NZS 10002:2014 is published by SAI Global and available for purchase on their website. It is also available through public libraries across Australia.</w:t>
      </w:r>
    </w:p>
    <w:p w14:paraId="2524C546" w14:textId="7C97509B" w:rsidR="004016DB" w:rsidRPr="002C6752" w:rsidRDefault="0001283F" w:rsidP="004016DB">
      <w:pPr>
        <w:pStyle w:val="subparaa"/>
      </w:pPr>
      <w:r w:rsidRPr="002C6752">
        <w:t>a</w:t>
      </w:r>
      <w:r w:rsidR="004016DB" w:rsidRPr="002C6752">
        <w:t>ny other matter we consider relevant.</w:t>
      </w:r>
    </w:p>
    <w:p w14:paraId="53FC35D4" w14:textId="575F35D1" w:rsidR="00D86218" w:rsidRPr="002C6752" w:rsidRDefault="00D86218" w:rsidP="00642749">
      <w:pPr>
        <w:pStyle w:val="Note"/>
      </w:pPr>
      <w:r w:rsidRPr="002C6752">
        <w:t xml:space="preserve">Note: See regs 7.6.02(1)(a) and 7.9.77(1)(a) of the Corporations Regulations </w:t>
      </w:r>
      <w:r w:rsidR="00FF4D9A" w:rsidRPr="002C6752">
        <w:t xml:space="preserve">2001 (Corporations Regulations) </w:t>
      </w:r>
      <w:r w:rsidRPr="002C6752">
        <w:t xml:space="preserve">and reg 10(1)(a) and item 2.20 of Sch 2 </w:t>
      </w:r>
      <w:r w:rsidR="006D2262">
        <w:t>to</w:t>
      </w:r>
      <w:r w:rsidRPr="002C6752">
        <w:t xml:space="preserve"> the National Credit Regulations.</w:t>
      </w:r>
    </w:p>
    <w:p w14:paraId="0AFA0582" w14:textId="1CDBD7CB" w:rsidR="00A85759" w:rsidRPr="002C6752" w:rsidRDefault="00A85759" w:rsidP="00D31DF2">
      <w:pPr>
        <w:pStyle w:val="BodyText"/>
      </w:pPr>
      <w:bookmarkStart w:id="20" w:name="_ASICRef985"/>
      <w:bookmarkStart w:id="21" w:name="_ASICRef734"/>
      <w:bookmarkStart w:id="22" w:name="_ASICRef431"/>
      <w:bookmarkStart w:id="23" w:name="_Hlk33519978"/>
      <w:r w:rsidRPr="002C6752">
        <w:t xml:space="preserve">The standards and requirements </w:t>
      </w:r>
      <w:r w:rsidR="00300045" w:rsidRPr="002C6752">
        <w:t>set out in</w:t>
      </w:r>
      <w:r w:rsidR="00DD3E61" w:rsidRPr="002C6752">
        <w:t xml:space="preserve"> </w:t>
      </w:r>
      <w:hyperlink r:id="rId31" w:anchor="instrument-2020-98" w:history="1">
        <w:r w:rsidR="00DD3E61" w:rsidRPr="00AD44A6">
          <w:rPr>
            <w:rStyle w:val="Hyperlink"/>
          </w:rPr>
          <w:t>ASIC Corporations, Credit and Superannuation (Internal Dispute Resolution) Instrument 2020/98</w:t>
        </w:r>
      </w:hyperlink>
      <w:r w:rsidR="00DD3E61" w:rsidRPr="002C6752">
        <w:t xml:space="preserve"> and</w:t>
      </w:r>
      <w:r w:rsidR="00300045" w:rsidRPr="002C6752">
        <w:t xml:space="preserve"> </w:t>
      </w:r>
      <w:r w:rsidRPr="002C6752">
        <w:t>highlighted in this guide are enforceable.</w:t>
      </w:r>
      <w:bookmarkEnd w:id="20"/>
      <w:bookmarkEnd w:id="21"/>
      <w:bookmarkEnd w:id="22"/>
      <w:r w:rsidR="00DD58FB">
        <w:t xml:space="preserve"> </w:t>
      </w:r>
      <w:r w:rsidR="00D267D5">
        <w:t xml:space="preserve">Other highlighted requirements </w:t>
      </w:r>
      <w:r w:rsidR="008A45F6">
        <w:t xml:space="preserve">in this guide </w:t>
      </w:r>
      <w:r w:rsidR="00D267D5">
        <w:t>reflect existing legal requirements and are also enforceable.</w:t>
      </w:r>
    </w:p>
    <w:p w14:paraId="31091BA7" w14:textId="09742313" w:rsidR="004A6C65" w:rsidRPr="002C6752" w:rsidRDefault="004A6C65" w:rsidP="00642749">
      <w:pPr>
        <w:pStyle w:val="BodyText"/>
      </w:pPr>
      <w:bookmarkStart w:id="24" w:name="_ASICRef275"/>
      <w:bookmarkEnd w:id="23"/>
      <w:r w:rsidRPr="002C6752">
        <w:t>The parts of this guide that we have not highlighted or set out in the instrument are guidance to help financial firms comply with their legal obl</w:t>
      </w:r>
      <w:r w:rsidR="00922538" w:rsidRPr="002C6752">
        <w:t>i</w:t>
      </w:r>
      <w:r w:rsidRPr="002C6752">
        <w:t>gations.</w:t>
      </w:r>
      <w:bookmarkEnd w:id="24"/>
    </w:p>
    <w:p w14:paraId="1F9137C4" w14:textId="5EB9397E" w:rsidR="00D86218" w:rsidRPr="002C6752" w:rsidRDefault="00643863" w:rsidP="00642749">
      <w:pPr>
        <w:pStyle w:val="BodyText"/>
      </w:pPr>
      <w:r w:rsidRPr="002C6752">
        <w:t>We may</w:t>
      </w:r>
      <w:r w:rsidR="00D86218" w:rsidRPr="002C6752">
        <w:t xml:space="preserve"> </w:t>
      </w:r>
      <w:r w:rsidR="0001283F" w:rsidRPr="002C6752">
        <w:t>v</w:t>
      </w:r>
      <w:r w:rsidRPr="002C6752">
        <w:t>ary or revoke</w:t>
      </w:r>
      <w:r w:rsidR="00D86218" w:rsidRPr="002C6752">
        <w:t>:</w:t>
      </w:r>
      <w:r w:rsidRPr="002C6752">
        <w:t xml:space="preserve"> </w:t>
      </w:r>
    </w:p>
    <w:p w14:paraId="12B75776" w14:textId="429BEF86" w:rsidR="00643863" w:rsidRPr="002C6752" w:rsidRDefault="00643863" w:rsidP="00D86218">
      <w:pPr>
        <w:pStyle w:val="subparaa"/>
      </w:pPr>
      <w:r w:rsidRPr="002C6752">
        <w:t xml:space="preserve">a standard or requirement that we have made </w:t>
      </w:r>
      <w:r w:rsidR="00D86218" w:rsidRPr="002C6752">
        <w:t>for</w:t>
      </w:r>
      <w:r w:rsidRPr="002C6752">
        <w:t xml:space="preserve"> IDR; and</w:t>
      </w:r>
    </w:p>
    <w:p w14:paraId="1EA2F388" w14:textId="11536252" w:rsidR="00643863" w:rsidRPr="002C6752" w:rsidRDefault="00643863" w:rsidP="00643863">
      <w:pPr>
        <w:pStyle w:val="subparaa"/>
      </w:pPr>
      <w:r w:rsidRPr="002C6752">
        <w:t>the operation of a standard or requirement that we have approved in its application to IDR.</w:t>
      </w:r>
    </w:p>
    <w:p w14:paraId="03C3D816" w14:textId="2E56E6A7" w:rsidR="00643863" w:rsidRPr="002C6752" w:rsidRDefault="00643863" w:rsidP="00643863">
      <w:pPr>
        <w:pStyle w:val="Note"/>
      </w:pPr>
      <w:r w:rsidRPr="002C6752">
        <w:t xml:space="preserve">Note: </w:t>
      </w:r>
      <w:r w:rsidR="00D86218" w:rsidRPr="002C6752">
        <w:t>S</w:t>
      </w:r>
      <w:r w:rsidRPr="002C6752">
        <w:t>ee regs 7.6.02(2) and 7.9.77(2)</w:t>
      </w:r>
      <w:r w:rsidR="00D86218" w:rsidRPr="002C6752">
        <w:t xml:space="preserve"> of the</w:t>
      </w:r>
      <w:r w:rsidRPr="002C6752">
        <w:t xml:space="preserve"> Corporations Regulations</w:t>
      </w:r>
      <w:r w:rsidR="00D86218" w:rsidRPr="002C6752">
        <w:t>, and</w:t>
      </w:r>
      <w:r w:rsidRPr="002C6752">
        <w:t xml:space="preserve"> reg 10(2) and </w:t>
      </w:r>
      <w:r w:rsidR="00130110">
        <w:t xml:space="preserve">Item 2.20 of </w:t>
      </w:r>
      <w:r w:rsidRPr="002C6752">
        <w:t>Sch 2</w:t>
      </w:r>
      <w:r w:rsidR="00D86218" w:rsidRPr="002C6752">
        <w:t xml:space="preserve"> to the</w:t>
      </w:r>
      <w:r w:rsidRPr="002C6752">
        <w:t xml:space="preserve"> National Credit Regulations.</w:t>
      </w:r>
    </w:p>
    <w:p w14:paraId="0366AB43" w14:textId="2CE31D06" w:rsidR="001D2892" w:rsidRPr="002C6752" w:rsidRDefault="004D7EAE" w:rsidP="00553058">
      <w:pPr>
        <w:pStyle w:val="BodyText"/>
      </w:pPr>
      <w:r w:rsidRPr="002C6752">
        <w:t xml:space="preserve">We have made the requirements in this guide to </w:t>
      </w:r>
      <w:r w:rsidR="009A271F">
        <w:t>meet our statutory obligations and</w:t>
      </w:r>
      <w:r w:rsidR="00216189">
        <w:t>,</w:t>
      </w:r>
      <w:r w:rsidR="009A271F">
        <w:t xml:space="preserve"> in doing so, </w:t>
      </w:r>
      <w:r w:rsidR="0000578B">
        <w:t xml:space="preserve">promote </w:t>
      </w:r>
      <w:r w:rsidRPr="002C6752">
        <w:t>fair consumer outcomes.</w:t>
      </w:r>
    </w:p>
    <w:p w14:paraId="21CC7C00" w14:textId="13E26DE4" w:rsidR="006242DF" w:rsidRPr="002C6752" w:rsidRDefault="00AA2EE3" w:rsidP="00994B97">
      <w:pPr>
        <w:pStyle w:val="Heading3"/>
      </w:pPr>
      <w:r w:rsidRPr="002C6752">
        <w:lastRenderedPageBreak/>
        <w:t>The importance of IDR</w:t>
      </w:r>
    </w:p>
    <w:p w14:paraId="66350C0B" w14:textId="0FDFF130" w:rsidR="00285685" w:rsidRDefault="00E532F6" w:rsidP="0020109E">
      <w:pPr>
        <w:pStyle w:val="BodyText"/>
      </w:pPr>
      <w:r w:rsidRPr="002C6752">
        <w:t>C</w:t>
      </w:r>
      <w:r w:rsidR="0020109E" w:rsidRPr="002C6752">
        <w:t xml:space="preserve">onsumer and small business access to fair, timely and effective dispute resolution </w:t>
      </w:r>
      <w:r w:rsidR="004524B0" w:rsidRPr="002C6752">
        <w:t xml:space="preserve">is </w:t>
      </w:r>
      <w:r w:rsidR="00AA2EE3" w:rsidRPr="002C6752">
        <w:t>an essential part</w:t>
      </w:r>
      <w:r w:rsidR="0020109E" w:rsidRPr="002C6752">
        <w:t xml:space="preserve"> of the financial services consumer protection framework.</w:t>
      </w:r>
      <w:r w:rsidR="00324596">
        <w:t xml:space="preserve"> It is consistent with ASIC</w:t>
      </w:r>
      <w:r w:rsidR="00E12C7C">
        <w:t>’</w:t>
      </w:r>
      <w:r w:rsidR="00324596">
        <w:t>s function of promoting consumer protection in the Australian financial system.</w:t>
      </w:r>
      <w:r w:rsidR="001A0800">
        <w:t xml:space="preserve"> </w:t>
      </w:r>
    </w:p>
    <w:p w14:paraId="4DA8A9F6" w14:textId="6C3FFEFD" w:rsidR="0020109E" w:rsidRPr="002C6752" w:rsidRDefault="00285685" w:rsidP="00E30BEE">
      <w:pPr>
        <w:pStyle w:val="Note"/>
      </w:pPr>
      <w:r>
        <w:t xml:space="preserve">Note: See </w:t>
      </w:r>
      <w:r w:rsidR="001A0800">
        <w:t xml:space="preserve">s12A(2) </w:t>
      </w:r>
      <w:r w:rsidR="00E30BEE">
        <w:t xml:space="preserve">of the </w:t>
      </w:r>
      <w:r w:rsidR="001A0800" w:rsidRPr="00E96FC9">
        <w:rPr>
          <w:i/>
        </w:rPr>
        <w:t>A</w:t>
      </w:r>
      <w:r w:rsidR="00E30BEE" w:rsidRPr="00E96FC9">
        <w:rPr>
          <w:i/>
        </w:rPr>
        <w:t xml:space="preserve">ustralian </w:t>
      </w:r>
      <w:r w:rsidR="001A0800" w:rsidRPr="00E96FC9">
        <w:rPr>
          <w:i/>
        </w:rPr>
        <w:t>S</w:t>
      </w:r>
      <w:r w:rsidR="00E30BEE" w:rsidRPr="00E96FC9">
        <w:rPr>
          <w:i/>
        </w:rPr>
        <w:t xml:space="preserve">ecurities and </w:t>
      </w:r>
      <w:r w:rsidR="001A0800" w:rsidRPr="00E96FC9">
        <w:rPr>
          <w:i/>
        </w:rPr>
        <w:t>I</w:t>
      </w:r>
      <w:r w:rsidR="00E30BEE" w:rsidRPr="00E96FC9">
        <w:rPr>
          <w:i/>
        </w:rPr>
        <w:t xml:space="preserve">nvestments </w:t>
      </w:r>
      <w:r w:rsidR="001A0800" w:rsidRPr="00E96FC9">
        <w:rPr>
          <w:i/>
        </w:rPr>
        <w:t>C</w:t>
      </w:r>
      <w:r w:rsidR="00E30BEE" w:rsidRPr="00E96FC9">
        <w:rPr>
          <w:i/>
        </w:rPr>
        <w:t>ommission</w:t>
      </w:r>
      <w:r w:rsidR="001A0800" w:rsidRPr="00E96FC9">
        <w:rPr>
          <w:i/>
        </w:rPr>
        <w:t xml:space="preserve"> Act</w:t>
      </w:r>
      <w:r w:rsidR="00E30BEE" w:rsidRPr="00E96FC9">
        <w:rPr>
          <w:i/>
        </w:rPr>
        <w:t xml:space="preserve"> 2001</w:t>
      </w:r>
      <w:r w:rsidR="00E30BEE">
        <w:t>.</w:t>
      </w:r>
    </w:p>
    <w:p w14:paraId="0FD1B18F" w14:textId="0DD0F671" w:rsidR="00380761" w:rsidRPr="002C6752" w:rsidRDefault="00BD0F29" w:rsidP="0020109E">
      <w:pPr>
        <w:pStyle w:val="BodyText"/>
      </w:pPr>
      <w:r w:rsidRPr="002C6752">
        <w:t xml:space="preserve">As the </w:t>
      </w:r>
      <w:r w:rsidR="00AA2EE3" w:rsidRPr="002C6752">
        <w:t>first step in</w:t>
      </w:r>
      <w:r w:rsidRPr="002C6752">
        <w:t xml:space="preserve"> </w:t>
      </w:r>
      <w:r w:rsidR="001A0800">
        <w:t>the</w:t>
      </w:r>
      <w:r w:rsidRPr="002C6752">
        <w:t xml:space="preserve"> financial</w:t>
      </w:r>
      <w:r w:rsidR="0020109E" w:rsidRPr="002C6752">
        <w:t xml:space="preserve"> dispute resolution framework, IDR provides an opportunity for redress</w:t>
      </w:r>
      <w:r w:rsidR="004524B0" w:rsidRPr="002C6752">
        <w:t xml:space="preserve"> to millions</w:t>
      </w:r>
      <w:r w:rsidR="00A835BF" w:rsidRPr="002C6752">
        <w:t xml:space="preserve"> of </w:t>
      </w:r>
      <w:r w:rsidR="0020109E" w:rsidRPr="002C6752">
        <w:t>consumers and small businesses each year</w:t>
      </w:r>
      <w:r w:rsidR="00542486" w:rsidRPr="002C6752">
        <w:t>.</w:t>
      </w:r>
      <w:r w:rsidR="003229E3" w:rsidRPr="002C6752">
        <w:t xml:space="preserve"> </w:t>
      </w:r>
    </w:p>
    <w:p w14:paraId="5D1C2362" w14:textId="03A645C8" w:rsidR="00242E33" w:rsidRPr="002C6752" w:rsidRDefault="00242E33" w:rsidP="00242E33">
      <w:pPr>
        <w:pStyle w:val="BodyText"/>
      </w:pPr>
      <w:r w:rsidRPr="002C6752">
        <w:t>The</w:t>
      </w:r>
      <w:r w:rsidR="00527FB2" w:rsidRPr="002C6752">
        <w:t xml:space="preserve"> Ramsay Review</w:t>
      </w:r>
      <w:r w:rsidR="00E12C7C">
        <w:t>’</w:t>
      </w:r>
      <w:r w:rsidR="00527FB2" w:rsidRPr="002C6752">
        <w:t>s</w:t>
      </w:r>
      <w:r w:rsidRPr="002C6752">
        <w:t xml:space="preserve"> </w:t>
      </w:r>
      <w:hyperlink r:id="rId32" w:history="1">
        <w:r w:rsidRPr="002C6752">
          <w:rPr>
            <w:rStyle w:val="Hyperlink"/>
            <w:i/>
          </w:rPr>
          <w:t xml:space="preserve">Final </w:t>
        </w:r>
        <w:r w:rsidR="00527FB2" w:rsidRPr="002C6752">
          <w:rPr>
            <w:rStyle w:val="Hyperlink"/>
            <w:i/>
          </w:rPr>
          <w:t>r</w:t>
        </w:r>
        <w:r w:rsidRPr="002C6752">
          <w:rPr>
            <w:rStyle w:val="Hyperlink"/>
            <w:i/>
          </w:rPr>
          <w:t>eport</w:t>
        </w:r>
        <w:r w:rsidR="00527FB2" w:rsidRPr="002C6752">
          <w:rPr>
            <w:rStyle w:val="Hyperlink"/>
            <w:i/>
          </w:rPr>
          <w:t>:</w:t>
        </w:r>
        <w:r w:rsidRPr="002C6752">
          <w:rPr>
            <w:rStyle w:val="Hyperlink"/>
            <w:i/>
          </w:rPr>
          <w:t xml:space="preserve"> Review of the financial system external dispute resolution and complaints framework</w:t>
        </w:r>
      </w:hyperlink>
      <w:r w:rsidRPr="002C6752">
        <w:t xml:space="preserve"> </w:t>
      </w:r>
      <w:r w:rsidR="00527FB2" w:rsidRPr="002C6752">
        <w:t xml:space="preserve">(Ramsay Review final report) </w:t>
      </w:r>
      <w:r w:rsidRPr="002C6752">
        <w:t>stated</w:t>
      </w:r>
      <w:r w:rsidR="00527FB2" w:rsidRPr="002C6752">
        <w:t xml:space="preserve"> at p. 18</w:t>
      </w:r>
      <w:r w:rsidR="00130110">
        <w:t>9</w:t>
      </w:r>
      <w:r w:rsidRPr="002C6752">
        <w:t>:</w:t>
      </w:r>
    </w:p>
    <w:p w14:paraId="1B865AD1" w14:textId="69A5C6DD" w:rsidR="00242E33" w:rsidRPr="002C6752" w:rsidRDefault="00242E33" w:rsidP="00642749">
      <w:pPr>
        <w:pStyle w:val="Blockquote"/>
      </w:pPr>
      <w:r w:rsidRPr="002C6752">
        <w:t>Effective IDR benefits both firms and consumers.</w:t>
      </w:r>
      <w:r w:rsidR="003229E3" w:rsidRPr="002C6752">
        <w:t xml:space="preserve"> </w:t>
      </w:r>
      <w:r w:rsidRPr="002C6752">
        <w:t>IDR is an important element of financial firms</w:t>
      </w:r>
      <w:r w:rsidR="00E12C7C">
        <w:t>’</w:t>
      </w:r>
      <w:r w:rsidRPr="002C6752">
        <w:t xml:space="preserve"> overall relationship with their customers and is the primary avenue for aggrieved consumers to seek redress.</w:t>
      </w:r>
      <w:r w:rsidR="003229E3" w:rsidRPr="002C6752">
        <w:t xml:space="preserve"> </w:t>
      </w:r>
      <w:r w:rsidRPr="002C6752">
        <w:t xml:space="preserve">Pressure on </w:t>
      </w:r>
      <w:r w:rsidR="00FF4D9A" w:rsidRPr="002C6752">
        <w:t>[external dispute resolution]</w:t>
      </w:r>
      <w:r w:rsidRPr="002C6752">
        <w:t xml:space="preserve"> is reduced when complaints are resolved directly between firms and their customers.</w:t>
      </w:r>
    </w:p>
    <w:p w14:paraId="46F39EF3" w14:textId="5699CDC7" w:rsidR="00542486" w:rsidRPr="002C6752" w:rsidRDefault="00542486" w:rsidP="00542486">
      <w:pPr>
        <w:pStyle w:val="BodyText"/>
      </w:pPr>
      <w:r w:rsidRPr="002C6752">
        <w:t>We encourage</w:t>
      </w:r>
      <w:r w:rsidR="00AA2EE3" w:rsidRPr="002C6752">
        <w:t xml:space="preserve"> all financial</w:t>
      </w:r>
      <w:r w:rsidRPr="002C6752">
        <w:t xml:space="preserve"> firms to cultivate an organisational culture that welcomes feedback and value</w:t>
      </w:r>
      <w:r w:rsidR="00527FB2" w:rsidRPr="002C6752">
        <w:t>s</w:t>
      </w:r>
      <w:r w:rsidRPr="002C6752">
        <w:t xml:space="preserve"> complaints.</w:t>
      </w:r>
      <w:r w:rsidR="003229E3" w:rsidRPr="002C6752">
        <w:t xml:space="preserve"> </w:t>
      </w:r>
      <w:r w:rsidRPr="002C6752">
        <w:t>A positive co</w:t>
      </w:r>
      <w:r w:rsidR="00AA7695" w:rsidRPr="002C6752">
        <w:t>mplaint management culture</w:t>
      </w:r>
      <w:r w:rsidRPr="002C6752">
        <w:t xml:space="preserve"> can produce beneficial outcomes for both consumers and firms</w:t>
      </w:r>
      <w:r w:rsidR="00527FB2" w:rsidRPr="002C6752">
        <w:t>,</w:t>
      </w:r>
      <w:r w:rsidRPr="002C6752">
        <w:t xml:space="preserve"> including:</w:t>
      </w:r>
    </w:p>
    <w:p w14:paraId="0B25AF84" w14:textId="77777777" w:rsidR="00542486" w:rsidRPr="002C6752" w:rsidRDefault="00542486" w:rsidP="00542486">
      <w:pPr>
        <w:pStyle w:val="subparaa"/>
      </w:pPr>
      <w:r w:rsidRPr="002C6752">
        <w:t>the opportunity to resolve complaints quickly and directly;</w:t>
      </w:r>
    </w:p>
    <w:p w14:paraId="6B2F0C8E" w14:textId="325A2C78" w:rsidR="00542486" w:rsidRPr="002C6752" w:rsidRDefault="0096345C" w:rsidP="0096345C">
      <w:pPr>
        <w:pStyle w:val="subparaa"/>
      </w:pPr>
      <w:r w:rsidRPr="002C6752">
        <w:t>the promotion of trusted relationships</w:t>
      </w:r>
      <w:r w:rsidR="005F7718" w:rsidRPr="002C6752">
        <w:t xml:space="preserve"> between the parties</w:t>
      </w:r>
      <w:r w:rsidR="00542486" w:rsidRPr="002C6752">
        <w:t>;</w:t>
      </w:r>
    </w:p>
    <w:p w14:paraId="4868BEA0" w14:textId="67BB1B85" w:rsidR="0096345C" w:rsidRPr="002C6752" w:rsidRDefault="0096345C" w:rsidP="0096345C">
      <w:pPr>
        <w:pStyle w:val="subparaa"/>
      </w:pPr>
      <w:r w:rsidRPr="002C6752">
        <w:t>improved levels of consumer confidence and satisfaction;</w:t>
      </w:r>
    </w:p>
    <w:p w14:paraId="1D263036" w14:textId="78C5D12B" w:rsidR="0096345C" w:rsidRPr="002C6752" w:rsidRDefault="0096345C" w:rsidP="00542486">
      <w:pPr>
        <w:pStyle w:val="subparaa"/>
      </w:pPr>
      <w:r w:rsidRPr="002C6752">
        <w:t xml:space="preserve">greater </w:t>
      </w:r>
      <w:r w:rsidR="00941380" w:rsidRPr="002C6752">
        <w:t>understanding</w:t>
      </w:r>
      <w:r w:rsidRPr="002C6752">
        <w:t xml:space="preserve"> of</w:t>
      </w:r>
      <w:r w:rsidR="00941380" w:rsidRPr="002C6752">
        <w:t xml:space="preserve"> t</w:t>
      </w:r>
      <w:r w:rsidR="004B1029" w:rsidRPr="002C6752">
        <w:t>he key drivers of complaints</w:t>
      </w:r>
      <w:r w:rsidR="00941380" w:rsidRPr="002C6752">
        <w:t>;</w:t>
      </w:r>
      <w:r w:rsidRPr="002C6752">
        <w:t xml:space="preserve"> </w:t>
      </w:r>
    </w:p>
    <w:p w14:paraId="1069F904" w14:textId="355943B5" w:rsidR="00941380" w:rsidRPr="002C6752" w:rsidRDefault="004B1029" w:rsidP="00542486">
      <w:pPr>
        <w:pStyle w:val="subparaa"/>
      </w:pPr>
      <w:r w:rsidRPr="002C6752">
        <w:t>the ability</w:t>
      </w:r>
      <w:r w:rsidR="00925A82" w:rsidRPr="002C6752">
        <w:t xml:space="preserve"> </w:t>
      </w:r>
      <w:r w:rsidR="00D01501" w:rsidRPr="002C6752">
        <w:t>to identify emerging issues and</w:t>
      </w:r>
      <w:r w:rsidRPr="002C6752">
        <w:t xml:space="preserve"> </w:t>
      </w:r>
      <w:r w:rsidR="0096345C" w:rsidRPr="002C6752">
        <w:t>inform product and service delivery improvements; and</w:t>
      </w:r>
    </w:p>
    <w:p w14:paraId="621872ED" w14:textId="629E974F" w:rsidR="00542486" w:rsidRPr="002C6752" w:rsidRDefault="0096345C" w:rsidP="00542486">
      <w:pPr>
        <w:pStyle w:val="subparaa"/>
      </w:pPr>
      <w:r w:rsidRPr="002C6752">
        <w:t>reduced</w:t>
      </w:r>
      <w:r w:rsidR="00542486" w:rsidRPr="002C6752">
        <w:t xml:space="preserve"> AFCA </w:t>
      </w:r>
      <w:r w:rsidR="00150680">
        <w:t xml:space="preserve">and future remediation </w:t>
      </w:r>
      <w:r w:rsidR="00542486" w:rsidRPr="002C6752">
        <w:t>costs.</w:t>
      </w:r>
    </w:p>
    <w:p w14:paraId="0C56D334" w14:textId="06C9DB5C" w:rsidR="00242E33" w:rsidRPr="002C6752" w:rsidRDefault="00CC2787" w:rsidP="00242E33">
      <w:pPr>
        <w:pStyle w:val="BodyText"/>
      </w:pPr>
      <w:bookmarkStart w:id="25" w:name="_ASICRef754"/>
      <w:r w:rsidRPr="002C6752">
        <w:t>To develop and</w:t>
      </w:r>
      <w:r w:rsidR="00941380" w:rsidRPr="002C6752">
        <w:t xml:space="preserve"> maintain a</w:t>
      </w:r>
      <w:r w:rsidR="00242E33" w:rsidRPr="002C6752">
        <w:t xml:space="preserve"> positive complaint management culture</w:t>
      </w:r>
      <w:r w:rsidR="00941380" w:rsidRPr="002C6752">
        <w:t xml:space="preserve">, </w:t>
      </w:r>
      <w:r w:rsidR="00527FB2" w:rsidRPr="002C6752">
        <w:t xml:space="preserve">financial </w:t>
      </w:r>
      <w:r w:rsidR="00941380" w:rsidRPr="002C6752">
        <w:t xml:space="preserve">firms </w:t>
      </w:r>
      <w:r w:rsidR="001D2892" w:rsidRPr="002C6752">
        <w:t>should</w:t>
      </w:r>
      <w:r w:rsidR="00941380" w:rsidRPr="002C6752">
        <w:t xml:space="preserve"> have a robust IDR </w:t>
      </w:r>
      <w:r w:rsidR="00E76BC0" w:rsidRPr="002C6752">
        <w:t xml:space="preserve">process, including all </w:t>
      </w:r>
      <w:r w:rsidR="00242E33" w:rsidRPr="002C6752">
        <w:t>procedures, documents, policies, resources, governance and arrangements in place to manage complaints.</w:t>
      </w:r>
      <w:r w:rsidR="003229E3" w:rsidRPr="002C6752">
        <w:t xml:space="preserve"> </w:t>
      </w:r>
      <w:bookmarkEnd w:id="25"/>
    </w:p>
    <w:p w14:paraId="79F12C1B" w14:textId="721FEC81" w:rsidR="00242E33" w:rsidRPr="002C6752" w:rsidRDefault="00527FB2" w:rsidP="00242E33">
      <w:pPr>
        <w:pStyle w:val="BodyText"/>
      </w:pPr>
      <w:r w:rsidRPr="002C6752">
        <w:t>M</w:t>
      </w:r>
      <w:r w:rsidR="00242E33" w:rsidRPr="002C6752">
        <w:t>any firms have addressed the foundational aspects of their IDR</w:t>
      </w:r>
      <w:r w:rsidR="00F93941" w:rsidRPr="002C6752">
        <w:t xml:space="preserve"> </w:t>
      </w:r>
      <w:r w:rsidR="00E76BC0" w:rsidRPr="002C6752">
        <w:t>process</w:t>
      </w:r>
      <w:r w:rsidRPr="002C6752">
        <w:t>. However</w:t>
      </w:r>
      <w:r w:rsidR="00242E33" w:rsidRPr="002C6752">
        <w:t>, we consider more progress can be made in key areas</w:t>
      </w:r>
      <w:r w:rsidRPr="002C6752">
        <w:t>,</w:t>
      </w:r>
      <w:r w:rsidR="00242E33" w:rsidRPr="002C6752">
        <w:t xml:space="preserve"> including:</w:t>
      </w:r>
    </w:p>
    <w:p w14:paraId="18D68D3D" w14:textId="6519ADF7" w:rsidR="00CC2787" w:rsidRPr="002C6752" w:rsidRDefault="00CC2787" w:rsidP="00242E33">
      <w:pPr>
        <w:pStyle w:val="subparaa"/>
      </w:pPr>
      <w:r w:rsidRPr="002C6752">
        <w:t xml:space="preserve">achieving organisation-wide understanding of the definition of </w:t>
      </w:r>
      <w:r w:rsidR="00E12C7C">
        <w:t>‘</w:t>
      </w:r>
      <w:r w:rsidRPr="002C6752">
        <w:t>complain</w:t>
      </w:r>
      <w:r w:rsidR="00D01501" w:rsidRPr="002C6752">
        <w:t>t</w:t>
      </w:r>
      <w:r w:rsidR="00E12C7C">
        <w:t>’</w:t>
      </w:r>
      <w:r w:rsidR="00D01501" w:rsidRPr="002C6752">
        <w:t xml:space="preserve"> and the types of matters that must be </w:t>
      </w:r>
      <w:r w:rsidR="00527FB2" w:rsidRPr="002C6752">
        <w:t xml:space="preserve">dealt </w:t>
      </w:r>
      <w:r w:rsidR="00D01501" w:rsidRPr="002C6752">
        <w:t>with</w:t>
      </w:r>
      <w:r w:rsidR="00527FB2" w:rsidRPr="002C6752">
        <w:t xml:space="preserve"> </w:t>
      </w:r>
      <w:r w:rsidR="00D01501" w:rsidRPr="002C6752">
        <w:t>in a</w:t>
      </w:r>
      <w:r w:rsidRPr="002C6752">
        <w:t xml:space="preserve"> firm</w:t>
      </w:r>
      <w:r w:rsidR="00E12C7C">
        <w:t>’</w:t>
      </w:r>
      <w:r w:rsidRPr="002C6752">
        <w:t>s IDR process;</w:t>
      </w:r>
    </w:p>
    <w:p w14:paraId="1721C82B" w14:textId="1C3570C9" w:rsidR="00806500" w:rsidRPr="002C6752" w:rsidRDefault="005B2954" w:rsidP="00242E33">
      <w:pPr>
        <w:pStyle w:val="subparaa"/>
      </w:pPr>
      <w:r w:rsidRPr="002C6752">
        <w:t>increasing the capture</w:t>
      </w:r>
      <w:r w:rsidR="00802039" w:rsidRPr="002C6752">
        <w:t>, tracking</w:t>
      </w:r>
      <w:r w:rsidR="00072579" w:rsidRPr="002C6752">
        <w:t>, analysis</w:t>
      </w:r>
      <w:r w:rsidRPr="002C6752">
        <w:t xml:space="preserve"> and reporting of complaint data;</w:t>
      </w:r>
    </w:p>
    <w:p w14:paraId="2519CB5F" w14:textId="62E570B5" w:rsidR="006D49FE" w:rsidRPr="002C6752" w:rsidRDefault="00CC2787" w:rsidP="00242E33">
      <w:pPr>
        <w:pStyle w:val="subparaa"/>
      </w:pPr>
      <w:r w:rsidRPr="002C6752">
        <w:lastRenderedPageBreak/>
        <w:t>improving t</w:t>
      </w:r>
      <w:r w:rsidR="00941380" w:rsidRPr="002C6752">
        <w:t>imeliness and efficiency;</w:t>
      </w:r>
    </w:p>
    <w:p w14:paraId="1F3CCAE5" w14:textId="3269849A" w:rsidR="00CC2787" w:rsidRPr="002C6752" w:rsidRDefault="005B2954" w:rsidP="00242E33">
      <w:pPr>
        <w:pStyle w:val="subparaa"/>
      </w:pPr>
      <w:r w:rsidRPr="002C6752">
        <w:t>enhancing the quality of written</w:t>
      </w:r>
      <w:r w:rsidR="00CC2787" w:rsidRPr="002C6752">
        <w:t xml:space="preserve"> communications and IDR responses;</w:t>
      </w:r>
    </w:p>
    <w:p w14:paraId="34360D2F" w14:textId="1491CD72" w:rsidR="00242E33" w:rsidRPr="002C6752" w:rsidRDefault="005B2954" w:rsidP="00242E33">
      <w:pPr>
        <w:pStyle w:val="subparaa"/>
      </w:pPr>
      <w:r w:rsidRPr="002C6752">
        <w:t xml:space="preserve">strengthening </w:t>
      </w:r>
      <w:r w:rsidR="00D01501" w:rsidRPr="002C6752">
        <w:t>complaint management skills</w:t>
      </w:r>
      <w:r w:rsidR="00242E33" w:rsidRPr="002C6752">
        <w:t xml:space="preserve">; </w:t>
      </w:r>
    </w:p>
    <w:p w14:paraId="18A483D7" w14:textId="77777777" w:rsidR="00242E33" w:rsidRPr="002C6752" w:rsidRDefault="00242E33" w:rsidP="00242E33">
      <w:pPr>
        <w:pStyle w:val="subparaa"/>
      </w:pPr>
      <w:r w:rsidRPr="002C6752">
        <w:t>fostering organisation-wide accountability for complaint management; and</w:t>
      </w:r>
    </w:p>
    <w:p w14:paraId="6FCE0858" w14:textId="31C19ECF" w:rsidR="00E532F6" w:rsidRPr="002C6752" w:rsidRDefault="00242E33" w:rsidP="00E532F6">
      <w:pPr>
        <w:pStyle w:val="subparaa"/>
      </w:pPr>
      <w:r w:rsidRPr="002C6752">
        <w:t xml:space="preserve">leveraging the power of technology and data </w:t>
      </w:r>
      <w:r w:rsidR="005B2954" w:rsidRPr="002C6752">
        <w:t>analytics to improve both the IDR process and the products and services offered by financial firms</w:t>
      </w:r>
      <w:r w:rsidRPr="002C6752">
        <w:t>.</w:t>
      </w:r>
    </w:p>
    <w:p w14:paraId="4B9611EA" w14:textId="713B09B5" w:rsidR="005B15C5" w:rsidRPr="002C6752" w:rsidRDefault="005B15C5" w:rsidP="005B15C5">
      <w:pPr>
        <w:pStyle w:val="Heading2"/>
      </w:pPr>
      <w:bookmarkStart w:id="26" w:name="_Toc46844228"/>
      <w:r w:rsidRPr="002C6752">
        <w:t>Application of the IDR requirements</w:t>
      </w:r>
      <w:bookmarkEnd w:id="26"/>
    </w:p>
    <w:p w14:paraId="00F05946" w14:textId="09FDDC84" w:rsidR="005B3DA9" w:rsidRPr="002C6752" w:rsidRDefault="00321EE6" w:rsidP="006B2395">
      <w:pPr>
        <w:pStyle w:val="BodyText"/>
      </w:pPr>
      <w:bookmarkStart w:id="27" w:name="_ASICRef592"/>
      <w:r>
        <w:t>T</w:t>
      </w:r>
      <w:r w:rsidR="005B3DA9" w:rsidRPr="002C6752">
        <w:t xml:space="preserve">he IDR requirements set out in this guide </w:t>
      </w:r>
      <w:r>
        <w:t xml:space="preserve">apply </w:t>
      </w:r>
      <w:r w:rsidR="005B3DA9" w:rsidRPr="002C6752">
        <w:t xml:space="preserve">to any expression of dissatisfaction made by a consumer that meets the definition of </w:t>
      </w:r>
      <w:r w:rsidR="00E12C7C">
        <w:t>‘</w:t>
      </w:r>
      <w:r w:rsidR="005B3DA9" w:rsidRPr="002C6752">
        <w:t>complaint</w:t>
      </w:r>
      <w:r w:rsidR="00E12C7C">
        <w:t>’</w:t>
      </w:r>
      <w:r w:rsidR="005B3DA9" w:rsidRPr="002C6752">
        <w:t xml:space="preserve"> set out in in AS/NZS 10002:2014: see </w:t>
      </w:r>
      <w:r w:rsidR="00CB3F69" w:rsidRPr="002C6752">
        <w:fldChar w:fldCharType="begin"/>
      </w:r>
      <w:r w:rsidR="00CB3F69" w:rsidRPr="002C6752">
        <w:instrText xml:space="preserve"> REF _ASICRef277 \w \h </w:instrText>
      </w:r>
      <w:r w:rsidR="00CB3F69" w:rsidRPr="002C6752">
        <w:fldChar w:fldCharType="separate"/>
      </w:r>
      <w:r w:rsidR="00DE6E77">
        <w:t>RG 271.27</w:t>
      </w:r>
      <w:r w:rsidR="00CB3F69" w:rsidRPr="002C6752">
        <w:fldChar w:fldCharType="end"/>
      </w:r>
      <w:r w:rsidR="001E2B1E" w:rsidRPr="002C6752">
        <w:t>.</w:t>
      </w:r>
      <w:bookmarkEnd w:id="27"/>
    </w:p>
    <w:p w14:paraId="49D5EA25" w14:textId="29A9AC17" w:rsidR="004800DE" w:rsidRPr="002C6752" w:rsidRDefault="004800DE" w:rsidP="00642749">
      <w:pPr>
        <w:pStyle w:val="BodyText"/>
      </w:pPr>
      <w:bookmarkStart w:id="28" w:name="_Hlk5889273"/>
      <w:r w:rsidRPr="002C6752">
        <w:t>We have provided guidance on the types of consumer</w:t>
      </w:r>
      <w:r w:rsidR="00714D7E" w:rsidRPr="002C6752">
        <w:t xml:space="preserve"> (including small businesses)</w:t>
      </w:r>
      <w:r w:rsidRPr="002C6752">
        <w:t xml:space="preserve"> that financial firms</w:t>
      </w:r>
      <w:r w:rsidR="00E12C7C">
        <w:t>’</w:t>
      </w:r>
      <w:r w:rsidRPr="002C6752">
        <w:t xml:space="preserve"> IDR processes </w:t>
      </w:r>
      <w:r w:rsidR="00D35156">
        <w:t xml:space="preserve">should </w:t>
      </w:r>
      <w:r w:rsidRPr="002C6752">
        <w:t>cover</w:t>
      </w:r>
      <w:r w:rsidR="00714D7E" w:rsidRPr="002C6752">
        <w:t xml:space="preserve">: see </w:t>
      </w:r>
      <w:r w:rsidR="002E5382" w:rsidRPr="002C6752">
        <w:fldChar w:fldCharType="begin"/>
      </w:r>
      <w:r w:rsidR="002E5382" w:rsidRPr="002C6752">
        <w:instrText xml:space="preserve"> REF _ASICRef954 \w \h </w:instrText>
      </w:r>
      <w:r w:rsidR="002E5382" w:rsidRPr="002C6752">
        <w:fldChar w:fldCharType="separate"/>
      </w:r>
      <w:r w:rsidR="00DE6E77">
        <w:t>RG 271.36</w:t>
      </w:r>
      <w:r w:rsidR="002E5382" w:rsidRPr="002C6752">
        <w:fldChar w:fldCharType="end"/>
      </w:r>
      <w:r w:rsidR="00714D7E" w:rsidRPr="002C6752">
        <w:t>–</w:t>
      </w:r>
      <w:r w:rsidR="00714D7E" w:rsidRPr="002C6752">
        <w:fldChar w:fldCharType="begin"/>
      </w:r>
      <w:r w:rsidR="00714D7E" w:rsidRPr="002C6752">
        <w:instrText xml:space="preserve"> REF _ASICRef543 \w \h </w:instrText>
      </w:r>
      <w:r w:rsidR="002F1325" w:rsidRPr="002C6752">
        <w:instrText xml:space="preserve"> \* MERGEFORMAT </w:instrText>
      </w:r>
      <w:r w:rsidR="00714D7E" w:rsidRPr="002C6752">
        <w:fldChar w:fldCharType="separate"/>
      </w:r>
      <w:r w:rsidR="00DE6E77">
        <w:t>RG 271.44</w:t>
      </w:r>
      <w:r w:rsidR="00714D7E" w:rsidRPr="002C6752">
        <w:fldChar w:fldCharType="end"/>
      </w:r>
      <w:r w:rsidRPr="002C6752">
        <w:t>.</w:t>
      </w:r>
      <w:bookmarkEnd w:id="28"/>
      <w:r w:rsidRPr="002C6752">
        <w:t xml:space="preserve"> </w:t>
      </w:r>
    </w:p>
    <w:p w14:paraId="654D5406" w14:textId="0BA9963D" w:rsidR="00907014" w:rsidRPr="002C6752" w:rsidRDefault="00907014" w:rsidP="00642749">
      <w:pPr>
        <w:pStyle w:val="BodyText"/>
      </w:pPr>
      <w:bookmarkStart w:id="29" w:name="_ASICRef588"/>
      <w:r w:rsidRPr="002C6752">
        <w:t>Financial firms may tailor their IDR process to suit the nature, scale and complexity of their business. We have provided guidance on the issues firms should consider when tailoring their process at</w:t>
      </w:r>
      <w:r w:rsidR="003F479B" w:rsidRPr="002C6752">
        <w:t xml:space="preserve"> </w:t>
      </w:r>
      <w:r w:rsidR="002D6E41" w:rsidRPr="002C6752">
        <w:fldChar w:fldCharType="begin"/>
      </w:r>
      <w:r w:rsidR="002D6E41" w:rsidRPr="002C6752">
        <w:instrText xml:space="preserve"> REF _ASICRef847 \w \h </w:instrText>
      </w:r>
      <w:r w:rsidR="002F1325" w:rsidRPr="002C6752">
        <w:instrText xml:space="preserve"> \* MERGEFORMAT </w:instrText>
      </w:r>
      <w:r w:rsidR="002D6E41" w:rsidRPr="002C6752">
        <w:fldChar w:fldCharType="separate"/>
      </w:r>
      <w:r w:rsidR="00DE6E77">
        <w:t>RG 271.23</w:t>
      </w:r>
      <w:r w:rsidR="002D6E41" w:rsidRPr="002C6752">
        <w:fldChar w:fldCharType="end"/>
      </w:r>
      <w:r w:rsidR="002D6E41" w:rsidRPr="002C6752">
        <w:t>–</w:t>
      </w:r>
      <w:r w:rsidR="002D6E41" w:rsidRPr="002C6752">
        <w:fldChar w:fldCharType="begin"/>
      </w:r>
      <w:r w:rsidR="002D6E41" w:rsidRPr="002C6752">
        <w:instrText xml:space="preserve"> REF _ASICRef826 \w \h </w:instrText>
      </w:r>
      <w:r w:rsidR="002F1325" w:rsidRPr="002C6752">
        <w:instrText xml:space="preserve"> \* MERGEFORMAT </w:instrText>
      </w:r>
      <w:r w:rsidR="002D6E41" w:rsidRPr="002C6752">
        <w:fldChar w:fldCharType="separate"/>
      </w:r>
      <w:r w:rsidR="00DE6E77">
        <w:t>RG 271.24</w:t>
      </w:r>
      <w:r w:rsidR="002D6E41" w:rsidRPr="002C6752">
        <w:fldChar w:fldCharType="end"/>
      </w:r>
      <w:r w:rsidRPr="002C6752">
        <w:t>.</w:t>
      </w:r>
      <w:bookmarkEnd w:id="29"/>
    </w:p>
    <w:p w14:paraId="432F922A" w14:textId="62022113" w:rsidR="00907014" w:rsidRPr="002C6752" w:rsidRDefault="00907014" w:rsidP="00642749">
      <w:pPr>
        <w:pStyle w:val="BodyText"/>
      </w:pPr>
      <w:r w:rsidRPr="002C6752">
        <w:t>Financial firms may also outsource part or all of their IDR process. For guidance on the responsibilit</w:t>
      </w:r>
      <w:r w:rsidR="002D05F9" w:rsidRPr="002C6752">
        <w:t>ies</w:t>
      </w:r>
      <w:r w:rsidRPr="002C6752">
        <w:t xml:space="preserve"> that still apply to firms that have ou</w:t>
      </w:r>
      <w:r w:rsidR="003F479B" w:rsidRPr="002C6752">
        <w:t xml:space="preserve">tsourced their IDR process, see </w:t>
      </w:r>
      <w:r w:rsidR="0061090C" w:rsidRPr="002C6752">
        <w:fldChar w:fldCharType="begin"/>
      </w:r>
      <w:r w:rsidR="0061090C" w:rsidRPr="002C6752">
        <w:instrText xml:space="preserve"> REF _ASICRef430 \w \h </w:instrText>
      </w:r>
      <w:r w:rsidR="002F1325" w:rsidRPr="002C6752">
        <w:instrText xml:space="preserve"> \* MERGEFORMAT </w:instrText>
      </w:r>
      <w:r w:rsidR="0061090C" w:rsidRPr="002C6752">
        <w:fldChar w:fldCharType="separate"/>
      </w:r>
      <w:r w:rsidR="00DE6E77">
        <w:t>RG 271.45</w:t>
      </w:r>
      <w:r w:rsidR="0061090C" w:rsidRPr="002C6752">
        <w:fldChar w:fldCharType="end"/>
      </w:r>
      <w:r w:rsidR="0061090C" w:rsidRPr="002C6752">
        <w:t>–</w:t>
      </w:r>
      <w:r w:rsidR="002E5382" w:rsidRPr="002C6752">
        <w:fldChar w:fldCharType="begin"/>
      </w:r>
      <w:r w:rsidR="002E5382" w:rsidRPr="002C6752">
        <w:instrText xml:space="preserve"> REF _ASICRef797 \w \h </w:instrText>
      </w:r>
      <w:r w:rsidR="002E5382" w:rsidRPr="002C6752">
        <w:fldChar w:fldCharType="separate"/>
      </w:r>
      <w:r w:rsidR="00DE6E77">
        <w:t>RG 271.48</w:t>
      </w:r>
      <w:r w:rsidR="002E5382" w:rsidRPr="002C6752">
        <w:fldChar w:fldCharType="end"/>
      </w:r>
      <w:r w:rsidR="003F479B" w:rsidRPr="002C6752">
        <w:t>.</w:t>
      </w:r>
    </w:p>
    <w:p w14:paraId="4C8D4D01" w14:textId="4B251AE3" w:rsidR="005B15C5" w:rsidRPr="002C6752" w:rsidRDefault="00E76BC0" w:rsidP="005B15C5">
      <w:pPr>
        <w:pStyle w:val="Heading2"/>
      </w:pPr>
      <w:bookmarkStart w:id="30" w:name="_Toc46844229"/>
      <w:r w:rsidRPr="002C6752">
        <w:t>R</w:t>
      </w:r>
      <w:r w:rsidR="005B15C5" w:rsidRPr="002C6752">
        <w:t>equirements for IDR processes</w:t>
      </w:r>
      <w:bookmarkEnd w:id="30"/>
    </w:p>
    <w:p w14:paraId="4739E31B" w14:textId="229C928B" w:rsidR="005B15C5" w:rsidRPr="002C6752" w:rsidRDefault="007E38DB" w:rsidP="005B15C5">
      <w:pPr>
        <w:pStyle w:val="BodyText"/>
      </w:pPr>
      <w:bookmarkStart w:id="31" w:name="_ASICRef864"/>
      <w:bookmarkStart w:id="32" w:name="_ASICRef922"/>
      <w:r>
        <w:t>This guide sets out</w:t>
      </w:r>
      <w:r w:rsidR="005B15C5" w:rsidRPr="002C6752">
        <w:t>:</w:t>
      </w:r>
      <w:bookmarkEnd w:id="31"/>
      <w:bookmarkEnd w:id="32"/>
    </w:p>
    <w:p w14:paraId="12CA57A1" w14:textId="6AD5EC3C" w:rsidR="005B15C5" w:rsidRPr="002C6752" w:rsidRDefault="005B15C5" w:rsidP="005B15C5">
      <w:pPr>
        <w:pStyle w:val="subparaa"/>
      </w:pPr>
      <w:r w:rsidRPr="002C6752">
        <w:t xml:space="preserve">the definition of </w:t>
      </w:r>
      <w:r w:rsidR="00E12C7C">
        <w:t>‘</w:t>
      </w:r>
      <w:r w:rsidRPr="002C6752">
        <w:t>complaint</w:t>
      </w:r>
      <w:r w:rsidR="00E12C7C">
        <w:t>’</w:t>
      </w:r>
      <w:r w:rsidRPr="002C6752">
        <w:t xml:space="preserve"> s</w:t>
      </w:r>
      <w:r w:rsidR="003F479B" w:rsidRPr="002C6752">
        <w:t xml:space="preserve">et out in AS/NZS 10002:2014 (see </w:t>
      </w:r>
      <w:r w:rsidR="00632051" w:rsidRPr="002C6752">
        <w:fldChar w:fldCharType="begin"/>
      </w:r>
      <w:r w:rsidR="00632051" w:rsidRPr="002C6752">
        <w:instrText xml:space="preserve"> REF _ASICRef104 \w \h </w:instrText>
      </w:r>
      <w:r w:rsidR="00632051" w:rsidRPr="002C6752">
        <w:fldChar w:fldCharType="separate"/>
      </w:r>
      <w:r w:rsidR="00DE6E77">
        <w:t>RG 271.27</w:t>
      </w:r>
      <w:r w:rsidR="00632051" w:rsidRPr="002C6752">
        <w:fldChar w:fldCharType="end"/>
      </w:r>
      <w:r w:rsidRPr="002C6752">
        <w:t>);</w:t>
      </w:r>
    </w:p>
    <w:p w14:paraId="3CC46BD2" w14:textId="4D3E7846" w:rsidR="00B91647" w:rsidRPr="002C6752" w:rsidRDefault="009A3DA9" w:rsidP="005B15C5">
      <w:pPr>
        <w:pStyle w:val="subparaa"/>
      </w:pPr>
      <w:r>
        <w:t xml:space="preserve">the </w:t>
      </w:r>
      <w:r w:rsidR="007E38DB">
        <w:t xml:space="preserve">minimum content requirements for </w:t>
      </w:r>
      <w:r w:rsidR="00B91647" w:rsidRPr="002C6752">
        <w:t>IDR responses</w:t>
      </w:r>
      <w:r w:rsidR="003F479B" w:rsidRPr="002C6752">
        <w:t xml:space="preserve"> (see </w:t>
      </w:r>
      <w:r w:rsidR="009B4FEE" w:rsidRPr="002C6752">
        <w:fldChar w:fldCharType="begin"/>
      </w:r>
      <w:r w:rsidR="009B4FEE" w:rsidRPr="002C6752">
        <w:instrText xml:space="preserve"> REF _ASICRef103 \w \h </w:instrText>
      </w:r>
      <w:r w:rsidR="009B4FEE" w:rsidRPr="002C6752">
        <w:fldChar w:fldCharType="separate"/>
      </w:r>
      <w:r w:rsidR="00DE6E77">
        <w:t>RG 271.53</w:t>
      </w:r>
      <w:r w:rsidR="009B4FEE" w:rsidRPr="002C6752">
        <w:fldChar w:fldCharType="end"/>
      </w:r>
      <w:r w:rsidR="0002560B" w:rsidRPr="002C6752">
        <w:t>–</w:t>
      </w:r>
      <w:r w:rsidR="0002560B" w:rsidRPr="002C6752">
        <w:fldChar w:fldCharType="begin"/>
      </w:r>
      <w:r w:rsidR="0002560B" w:rsidRPr="002C6752">
        <w:instrText xml:space="preserve"> REF _ASICRef329 \r \h </w:instrText>
      </w:r>
      <w:r w:rsidR="0002560B" w:rsidRPr="002C6752">
        <w:fldChar w:fldCharType="separate"/>
      </w:r>
      <w:r w:rsidR="00DE6E77">
        <w:t>RG 271.55</w:t>
      </w:r>
      <w:r w:rsidR="0002560B" w:rsidRPr="002C6752">
        <w:fldChar w:fldCharType="end"/>
      </w:r>
      <w:r w:rsidR="00B91647" w:rsidRPr="002C6752">
        <w:t>);</w:t>
      </w:r>
    </w:p>
    <w:p w14:paraId="145BBD69" w14:textId="2DD17C63" w:rsidR="005B15C5" w:rsidRPr="002C6752" w:rsidRDefault="009A3DA9" w:rsidP="005B15C5">
      <w:pPr>
        <w:pStyle w:val="subparaa"/>
      </w:pPr>
      <w:r>
        <w:t xml:space="preserve">the </w:t>
      </w:r>
      <w:r w:rsidR="005B15C5" w:rsidRPr="002C6752">
        <w:t xml:space="preserve">maximum IDR timeframes </w:t>
      </w:r>
      <w:r w:rsidR="006F1367" w:rsidRPr="002C6752">
        <w:t xml:space="preserve">for </w:t>
      </w:r>
      <w:r w:rsidR="005B15C5" w:rsidRPr="002C6752">
        <w:t>providing an IDR response</w:t>
      </w:r>
      <w:r w:rsidR="003F479B" w:rsidRPr="002C6752">
        <w:t xml:space="preserve"> </w:t>
      </w:r>
      <w:r w:rsidR="00CB1DA2" w:rsidRPr="002C6752">
        <w:t xml:space="preserve">(see </w:t>
      </w:r>
      <w:r w:rsidR="00CB1DA2" w:rsidRPr="002C6752">
        <w:fldChar w:fldCharType="begin"/>
      </w:r>
      <w:r w:rsidR="00CB1DA2" w:rsidRPr="002C6752">
        <w:instrText xml:space="preserve"> REF _ASICRef972 \w \h </w:instrText>
      </w:r>
      <w:r w:rsidR="00CB1DA2" w:rsidRPr="002C6752">
        <w:fldChar w:fldCharType="separate"/>
      </w:r>
      <w:r w:rsidR="00DE6E77">
        <w:t>RG 271.56</w:t>
      </w:r>
      <w:r w:rsidR="00CB1DA2" w:rsidRPr="002C6752">
        <w:fldChar w:fldCharType="end"/>
      </w:r>
      <w:r w:rsidR="00CB1DA2" w:rsidRPr="002C6752">
        <w:t>–</w:t>
      </w:r>
      <w:r w:rsidR="00CB1DA2" w:rsidRPr="002C6752">
        <w:fldChar w:fldCharType="begin"/>
      </w:r>
      <w:r w:rsidR="00CB1DA2" w:rsidRPr="002C6752">
        <w:instrText xml:space="preserve"> REF _ASICRef217 \w \h </w:instrText>
      </w:r>
      <w:r w:rsidR="00CB1DA2" w:rsidRPr="002C6752">
        <w:fldChar w:fldCharType="separate"/>
      </w:r>
      <w:r w:rsidR="00DE6E77">
        <w:t>RG 271.106</w:t>
      </w:r>
      <w:r w:rsidR="00CB1DA2" w:rsidRPr="002C6752">
        <w:fldChar w:fldCharType="end"/>
      </w:r>
      <w:r w:rsidR="003F479B" w:rsidRPr="002C6752">
        <w:t>)</w:t>
      </w:r>
      <w:r w:rsidR="005B15C5" w:rsidRPr="002C6752">
        <w:t xml:space="preserve">; </w:t>
      </w:r>
    </w:p>
    <w:p w14:paraId="52B20562" w14:textId="20A1058E" w:rsidR="00B91647" w:rsidRPr="009A3DA9" w:rsidRDefault="009A3DA9" w:rsidP="005B15C5">
      <w:pPr>
        <w:pStyle w:val="subparaa"/>
      </w:pPr>
      <w:r w:rsidRPr="00D54825">
        <w:t xml:space="preserve">our </w:t>
      </w:r>
      <w:r w:rsidR="00B01002" w:rsidRPr="00D54825">
        <w:t xml:space="preserve">requirements </w:t>
      </w:r>
      <w:r w:rsidRPr="00D54825">
        <w:t>for how</w:t>
      </w:r>
      <w:r w:rsidR="00B91647" w:rsidRPr="00396C59">
        <w:t xml:space="preserve"> </w:t>
      </w:r>
      <w:r w:rsidRPr="00396C59">
        <w:t>f</w:t>
      </w:r>
      <w:r>
        <w:t>inancial firms</w:t>
      </w:r>
      <w:r w:rsidR="00E12C7C">
        <w:t>’</w:t>
      </w:r>
      <w:r w:rsidR="00B91647" w:rsidRPr="002C6752">
        <w:t xml:space="preserve"> IDR </w:t>
      </w:r>
      <w:r w:rsidR="00D41259">
        <w:t xml:space="preserve">processes and procedures will interact with </w:t>
      </w:r>
      <w:r w:rsidR="00B91647" w:rsidRPr="002C6752">
        <w:t>AFCA</w:t>
      </w:r>
      <w:r w:rsidR="003F479B" w:rsidRPr="002C6752">
        <w:t xml:space="preserve"> (see </w:t>
      </w:r>
      <w:r w:rsidR="002E5382" w:rsidRPr="00C31FD2">
        <w:fldChar w:fldCharType="begin"/>
      </w:r>
      <w:r w:rsidR="002E5382" w:rsidRPr="00C31FD2">
        <w:instrText xml:space="preserve"> REF _ASICRef16 \w \h  \* MERGEFORMAT </w:instrText>
      </w:r>
      <w:r w:rsidR="002E5382" w:rsidRPr="00C31FD2">
        <w:fldChar w:fldCharType="separate"/>
      </w:r>
      <w:r w:rsidR="00DE6E77">
        <w:t>RG 271.111</w:t>
      </w:r>
      <w:r w:rsidR="002E5382" w:rsidRPr="00C31FD2">
        <w:fldChar w:fldCharType="end"/>
      </w:r>
      <w:r w:rsidR="00632051" w:rsidRPr="009A3DA9">
        <w:t>–</w:t>
      </w:r>
      <w:r w:rsidR="00632051" w:rsidRPr="009A3DA9">
        <w:fldChar w:fldCharType="begin"/>
      </w:r>
      <w:r w:rsidR="00632051" w:rsidRPr="009A3DA9">
        <w:instrText xml:space="preserve"> REF _ASICRef959 \w \h </w:instrText>
      </w:r>
      <w:r>
        <w:instrText xml:space="preserve"> \* MERGEFORMAT </w:instrText>
      </w:r>
      <w:r w:rsidR="00632051" w:rsidRPr="009A3DA9">
        <w:fldChar w:fldCharType="separate"/>
      </w:r>
      <w:r w:rsidR="00DE6E77">
        <w:t>RG 271.116</w:t>
      </w:r>
      <w:r w:rsidR="00632051" w:rsidRPr="009A3DA9">
        <w:fldChar w:fldCharType="end"/>
      </w:r>
      <w:r w:rsidR="00B91647" w:rsidRPr="009A3DA9">
        <w:t>)</w:t>
      </w:r>
      <w:r w:rsidR="004061ED" w:rsidRPr="009A3DA9">
        <w:t>;</w:t>
      </w:r>
    </w:p>
    <w:p w14:paraId="1E7E1E51" w14:textId="40A6DB5B" w:rsidR="005B15C5" w:rsidRPr="002C6752" w:rsidRDefault="009A3DA9" w:rsidP="00B91647">
      <w:pPr>
        <w:pStyle w:val="subparaa"/>
      </w:pPr>
      <w:bookmarkStart w:id="33" w:name="_ASICRef107"/>
      <w:bookmarkStart w:id="34" w:name="_ASICRef673"/>
      <w:bookmarkStart w:id="35" w:name="_ASICRef339"/>
      <w:r>
        <w:t xml:space="preserve">the </w:t>
      </w:r>
      <w:r w:rsidR="007E38DB">
        <w:t xml:space="preserve">requirements for </w:t>
      </w:r>
      <w:r w:rsidR="001674B9" w:rsidRPr="002C6752">
        <w:t>identify</w:t>
      </w:r>
      <w:r w:rsidR="007E38DB">
        <w:t>ing</w:t>
      </w:r>
      <w:r w:rsidR="001674B9" w:rsidRPr="002C6752">
        <w:t xml:space="preserve"> and escalat</w:t>
      </w:r>
      <w:r w:rsidR="007E38DB">
        <w:t>ing</w:t>
      </w:r>
      <w:r w:rsidR="001674B9" w:rsidRPr="002C6752">
        <w:t xml:space="preserve"> systemic issues </w:t>
      </w:r>
      <w:r w:rsidR="003F479B" w:rsidRPr="002C6752">
        <w:t xml:space="preserve">(see </w:t>
      </w:r>
      <w:r w:rsidR="004061ED" w:rsidRPr="002C6752">
        <w:t xml:space="preserve">Section </w:t>
      </w:r>
      <w:r w:rsidR="004061ED" w:rsidRPr="002C6752">
        <w:fldChar w:fldCharType="begin"/>
      </w:r>
      <w:r w:rsidR="004061ED" w:rsidRPr="002C6752">
        <w:instrText xml:space="preserve"> REF _Ref5091942 \r \h </w:instrText>
      </w:r>
      <w:r w:rsidR="002F1325" w:rsidRPr="002C6752">
        <w:instrText xml:space="preserve"> \* MERGEFORMAT </w:instrText>
      </w:r>
      <w:r w:rsidR="004061ED" w:rsidRPr="002C6752">
        <w:fldChar w:fldCharType="separate"/>
      </w:r>
      <w:r w:rsidR="00DE6E77">
        <w:t>D</w:t>
      </w:r>
      <w:r w:rsidR="004061ED" w:rsidRPr="002C6752">
        <w:fldChar w:fldCharType="end"/>
      </w:r>
      <w:r w:rsidR="003F479B" w:rsidRPr="002C6752">
        <w:t>);</w:t>
      </w:r>
      <w:r w:rsidR="00B91647" w:rsidRPr="002C6752">
        <w:t xml:space="preserve"> and</w:t>
      </w:r>
      <w:bookmarkEnd w:id="33"/>
      <w:bookmarkEnd w:id="34"/>
      <w:bookmarkEnd w:id="35"/>
    </w:p>
    <w:p w14:paraId="48C3D0B6" w14:textId="3C03AFEA" w:rsidR="005B15C5" w:rsidRPr="002C6752" w:rsidRDefault="000D4E8D" w:rsidP="005B15C5">
      <w:pPr>
        <w:pStyle w:val="subparaa"/>
      </w:pPr>
      <w:r w:rsidRPr="002C6752">
        <w:t xml:space="preserve">our IDR standards </w:t>
      </w:r>
      <w:r w:rsidR="003F479B" w:rsidRPr="002C6752">
        <w:t xml:space="preserve">(see </w:t>
      </w:r>
      <w:r w:rsidR="004061ED" w:rsidRPr="002C6752">
        <w:t xml:space="preserve">Section </w:t>
      </w:r>
      <w:r w:rsidR="004061ED" w:rsidRPr="002C6752">
        <w:fldChar w:fldCharType="begin"/>
      </w:r>
      <w:r w:rsidR="004061ED" w:rsidRPr="002C6752">
        <w:instrText xml:space="preserve"> REF _Ref5091954 \r \h </w:instrText>
      </w:r>
      <w:r w:rsidR="002F1325" w:rsidRPr="002C6752">
        <w:instrText xml:space="preserve"> \* MERGEFORMAT </w:instrText>
      </w:r>
      <w:r w:rsidR="004061ED" w:rsidRPr="002C6752">
        <w:fldChar w:fldCharType="separate"/>
      </w:r>
      <w:r w:rsidR="00DE6E77">
        <w:t>E</w:t>
      </w:r>
      <w:r w:rsidR="004061ED" w:rsidRPr="002C6752">
        <w:fldChar w:fldCharType="end"/>
      </w:r>
      <w:r w:rsidR="003F479B" w:rsidRPr="002C6752">
        <w:t>)</w:t>
      </w:r>
      <w:r w:rsidR="005B15C5" w:rsidRPr="002C6752">
        <w:t>.</w:t>
      </w:r>
    </w:p>
    <w:p w14:paraId="774656F5" w14:textId="5A12A39A" w:rsidR="002D6E41" w:rsidRPr="002C6752" w:rsidRDefault="002D6E41" w:rsidP="002D6E41">
      <w:pPr>
        <w:pStyle w:val="BodyText"/>
      </w:pPr>
      <w:bookmarkStart w:id="36" w:name="_ASICRef847"/>
      <w:r w:rsidRPr="002C6752">
        <w:lastRenderedPageBreak/>
        <w:t xml:space="preserve">There are many different kinds of financial firms providing a diverse range of financial products and services. We do not take a </w:t>
      </w:r>
      <w:r w:rsidR="00E12C7C">
        <w:t>‘</w:t>
      </w:r>
      <w:r w:rsidRPr="002C6752">
        <w:t>one size fits all</w:t>
      </w:r>
      <w:r w:rsidR="00E12C7C">
        <w:t>’</w:t>
      </w:r>
      <w:r w:rsidRPr="002C6752">
        <w:t xml:space="preserve"> approach to regulation. What firms need to do to comply with their IDR obligations will vary according to the nature, scale and complexity of their business.</w:t>
      </w:r>
      <w:bookmarkEnd w:id="36"/>
    </w:p>
    <w:p w14:paraId="6082E279" w14:textId="77777777" w:rsidR="002D6E41" w:rsidRPr="002C6752" w:rsidRDefault="002D6E41" w:rsidP="002D6E41">
      <w:pPr>
        <w:pStyle w:val="BodyText"/>
      </w:pPr>
      <w:bookmarkStart w:id="37" w:name="_ASICRef826"/>
      <w:r w:rsidRPr="002C6752">
        <w:t>When reviewing or establishing an IDR process, a financial firm should take into account:</w:t>
      </w:r>
      <w:bookmarkEnd w:id="37"/>
    </w:p>
    <w:p w14:paraId="18372456" w14:textId="77777777" w:rsidR="002D6E41" w:rsidRPr="002C6752" w:rsidRDefault="002D6E41" w:rsidP="002D6E41">
      <w:pPr>
        <w:pStyle w:val="subparaa"/>
      </w:pPr>
      <w:r w:rsidRPr="002C6752">
        <w:t>the size of their business and the number of people in the organisation;</w:t>
      </w:r>
    </w:p>
    <w:p w14:paraId="1679ABB2" w14:textId="77777777" w:rsidR="002D6E41" w:rsidRPr="002C6752" w:rsidRDefault="002D6E41" w:rsidP="002D6E41">
      <w:pPr>
        <w:pStyle w:val="subparaa"/>
      </w:pPr>
      <w:r w:rsidRPr="002C6752">
        <w:t>the products and services offered and the volume and size of transactions the firm is responsible for;</w:t>
      </w:r>
    </w:p>
    <w:p w14:paraId="54BC84D5" w14:textId="77777777" w:rsidR="002D6E41" w:rsidRPr="002C6752" w:rsidRDefault="002D6E41" w:rsidP="002D6E41">
      <w:pPr>
        <w:pStyle w:val="subparaa"/>
      </w:pPr>
      <w:r w:rsidRPr="002C6752">
        <w:t xml:space="preserve">the nature of their customer base; </w:t>
      </w:r>
    </w:p>
    <w:p w14:paraId="5F40CFEB" w14:textId="77777777" w:rsidR="002D6E41" w:rsidRPr="002C6752" w:rsidRDefault="002D6E41" w:rsidP="002D6E41">
      <w:pPr>
        <w:pStyle w:val="subparaa"/>
      </w:pPr>
      <w:r w:rsidRPr="002C6752">
        <w:t>the diversity and structure of their operations (including the extent to which the IDR function is outsourced); and</w:t>
      </w:r>
    </w:p>
    <w:p w14:paraId="547563D4" w14:textId="77777777" w:rsidR="002D6E41" w:rsidRPr="002C6752" w:rsidRDefault="002D6E41" w:rsidP="002D6E41">
      <w:pPr>
        <w:pStyle w:val="subparaa"/>
      </w:pPr>
      <w:r w:rsidRPr="002C6752">
        <w:t>the likely number and complexity of complaints.</w:t>
      </w:r>
    </w:p>
    <w:p w14:paraId="151EEB6D" w14:textId="65A2CC71" w:rsidR="006B5FFF" w:rsidRPr="002C6752" w:rsidRDefault="006B5FFF" w:rsidP="009A6619">
      <w:pPr>
        <w:pStyle w:val="Heading2"/>
      </w:pPr>
      <w:bookmarkStart w:id="38" w:name="_Toc46844230"/>
      <w:bookmarkStart w:id="39" w:name="_ASICRef832"/>
      <w:r w:rsidRPr="002C6752">
        <w:t>Transition period</w:t>
      </w:r>
      <w:bookmarkEnd w:id="38"/>
    </w:p>
    <w:p w14:paraId="518294CF" w14:textId="45031D27" w:rsidR="006B5FFF" w:rsidRPr="002C6752" w:rsidRDefault="006B5FFF" w:rsidP="006B5FFF">
      <w:pPr>
        <w:pStyle w:val="BodyText"/>
      </w:pPr>
      <w:r w:rsidRPr="002C6752">
        <w:t xml:space="preserve">We acknowledge that some of the IDR reforms in this guide represent change for </w:t>
      </w:r>
      <w:r w:rsidR="00321EE6">
        <w:t xml:space="preserve">some </w:t>
      </w:r>
      <w:r w:rsidRPr="002C6752">
        <w:t xml:space="preserve">financial firms. Firms will need to undertake internal capacity building, </w:t>
      </w:r>
      <w:r w:rsidR="00321EE6">
        <w:t xml:space="preserve">establish clear lines of reporting and accountability, </w:t>
      </w:r>
      <w:r w:rsidRPr="002C6752">
        <w:t>develop processes and systems</w:t>
      </w:r>
      <w:r w:rsidR="009A3DA9">
        <w:t>,</w:t>
      </w:r>
      <w:r w:rsidRPr="002C6752">
        <w:t xml:space="preserve"> and upskill staff who are responsible for dealing with complaints.</w:t>
      </w:r>
    </w:p>
    <w:p w14:paraId="50CE3DB3" w14:textId="11FF797F" w:rsidR="006B5FFF" w:rsidRPr="002C6752" w:rsidRDefault="006B5FFF" w:rsidP="00C31FD2">
      <w:pPr>
        <w:pStyle w:val="BodyText"/>
      </w:pPr>
      <w:bookmarkStart w:id="40" w:name="_ASICRef696"/>
      <w:r w:rsidRPr="002C6752">
        <w:t xml:space="preserve">The standards, requirements and guidance in this guide apply to complaints received by financial firms on or after 5 </w:t>
      </w:r>
      <w:r w:rsidR="003036F7">
        <w:t>October</w:t>
      </w:r>
      <w:r w:rsidR="004911D3">
        <w:t xml:space="preserve"> </w:t>
      </w:r>
      <w:r w:rsidRPr="002C6752">
        <w:t>2021.</w:t>
      </w:r>
      <w:bookmarkEnd w:id="40"/>
    </w:p>
    <w:p w14:paraId="7E1674D4" w14:textId="5FD86126" w:rsidR="00632051" w:rsidRPr="002C6752" w:rsidRDefault="00632051" w:rsidP="00C31FD2">
      <w:pPr>
        <w:pStyle w:val="Note"/>
      </w:pPr>
      <w:r w:rsidRPr="002C6752">
        <w:t xml:space="preserve">Note: For complaints received by financial firms before 5 </w:t>
      </w:r>
      <w:r w:rsidR="003036F7">
        <w:t xml:space="preserve">October </w:t>
      </w:r>
      <w:r w:rsidRPr="002C6752">
        <w:t xml:space="preserve">2021, </w:t>
      </w:r>
      <w:hyperlink r:id="rId33" w:history="1">
        <w:r w:rsidRPr="002C6752">
          <w:rPr>
            <w:rStyle w:val="Hyperlink"/>
          </w:rPr>
          <w:t>Regulatory Guide 165</w:t>
        </w:r>
      </w:hyperlink>
      <w:r w:rsidRPr="002C6752">
        <w:t xml:space="preserve"> </w:t>
      </w:r>
      <w:r w:rsidRPr="002C6752">
        <w:rPr>
          <w:i/>
        </w:rPr>
        <w:t xml:space="preserve">Licensing: Internal and external dispute resolution </w:t>
      </w:r>
      <w:r w:rsidRPr="002C6752">
        <w:t>(RG 165) applies.</w:t>
      </w:r>
      <w:r w:rsidR="00D41259">
        <w:t xml:space="preserve"> We will withdraw RG 165 on 5 </w:t>
      </w:r>
      <w:r w:rsidR="003036F7">
        <w:t>October</w:t>
      </w:r>
      <w:r w:rsidR="00D41259">
        <w:t xml:space="preserve"> 2022.</w:t>
      </w:r>
    </w:p>
    <w:p w14:paraId="6D1AE291" w14:textId="1A9E78CF" w:rsidR="00C63A3D" w:rsidRPr="002C6752" w:rsidRDefault="00052923" w:rsidP="00264EAF">
      <w:pPr>
        <w:pStyle w:val="Heading1"/>
      </w:pPr>
      <w:bookmarkStart w:id="41" w:name="_Toc46844231"/>
      <w:r w:rsidRPr="002C6752">
        <w:lastRenderedPageBreak/>
        <w:t>Application of</w:t>
      </w:r>
      <w:r w:rsidR="008A3C3D" w:rsidRPr="002C6752">
        <w:t xml:space="preserve"> IDR requirements</w:t>
      </w:r>
      <w:bookmarkEnd w:id="39"/>
      <w:bookmarkEnd w:id="41"/>
    </w:p>
    <w:p w14:paraId="3B72D5C7" w14:textId="77777777" w:rsidR="00264EAF" w:rsidRPr="002C6752" w:rsidRDefault="00264EAF">
      <w:pPr>
        <w:pStyle w:val="KPhead"/>
      </w:pPr>
      <w:r w:rsidRPr="002C6752">
        <w:t>Key points</w:t>
      </w:r>
    </w:p>
    <w:p w14:paraId="3F800BEF" w14:textId="50593AF3" w:rsidR="00264EAF" w:rsidRPr="002C6752" w:rsidRDefault="001927A2">
      <w:pPr>
        <w:pStyle w:val="KPtext"/>
      </w:pPr>
      <w:r w:rsidRPr="002C6752">
        <w:t xml:space="preserve">A financial firm must have an IDR </w:t>
      </w:r>
      <w:r w:rsidR="00921C1B">
        <w:t>process</w:t>
      </w:r>
      <w:r w:rsidR="00552A9E">
        <w:t xml:space="preserve"> </w:t>
      </w:r>
      <w:r w:rsidRPr="002C6752">
        <w:t xml:space="preserve">that adopts the definition of </w:t>
      </w:r>
      <w:r w:rsidR="00E12C7C">
        <w:t>‘</w:t>
      </w:r>
      <w:r w:rsidRPr="002C6752">
        <w:t>complaint</w:t>
      </w:r>
      <w:r w:rsidR="00E12C7C">
        <w:t>’</w:t>
      </w:r>
      <w:r w:rsidRPr="002C6752">
        <w:t xml:space="preserve"> set out in </w:t>
      </w:r>
      <w:r w:rsidRPr="005E10C4">
        <w:t>AS/NZS 10002:2014</w:t>
      </w:r>
      <w:r w:rsidR="00103AB6" w:rsidRPr="002C6752">
        <w:t>.</w:t>
      </w:r>
    </w:p>
    <w:p w14:paraId="2E56A518" w14:textId="0B8D24EE" w:rsidR="00264EAF" w:rsidRPr="002C6752" w:rsidRDefault="000E3D93">
      <w:pPr>
        <w:pStyle w:val="KPtext"/>
      </w:pPr>
      <w:r w:rsidRPr="002C6752">
        <w:t>Financial firms must deal with e</w:t>
      </w:r>
      <w:r w:rsidR="001927A2" w:rsidRPr="002C6752">
        <w:t>xpressions of dissatisfaction that meet this definition</w:t>
      </w:r>
      <w:r w:rsidRPr="002C6752">
        <w:t xml:space="preserve"> (including complaints made on the firm</w:t>
      </w:r>
      <w:r w:rsidR="00E12C7C">
        <w:t>’</w:t>
      </w:r>
      <w:r w:rsidRPr="002C6752">
        <w:t>s social media platform</w:t>
      </w:r>
      <w:r w:rsidR="004061ED" w:rsidRPr="002C6752">
        <w:t>(s)</w:t>
      </w:r>
      <w:r w:rsidRPr="002C6752">
        <w:t>)</w:t>
      </w:r>
      <w:r w:rsidR="001927A2" w:rsidRPr="002C6752">
        <w:t xml:space="preserve"> </w:t>
      </w:r>
      <w:r w:rsidRPr="002C6752">
        <w:t>through their</w:t>
      </w:r>
      <w:r w:rsidR="009C3CCD" w:rsidRPr="002C6752">
        <w:t xml:space="preserve"> IDR process</w:t>
      </w:r>
      <w:r w:rsidRPr="002C6752">
        <w:t>.</w:t>
      </w:r>
      <w:r w:rsidR="009C3CCD" w:rsidRPr="002C6752">
        <w:t xml:space="preserve"> </w:t>
      </w:r>
      <w:r w:rsidRPr="002C6752">
        <w:t>The IDR process</w:t>
      </w:r>
      <w:r w:rsidR="009C3CCD" w:rsidRPr="002C6752">
        <w:t xml:space="preserve"> </w:t>
      </w:r>
      <w:r w:rsidR="001927A2" w:rsidRPr="002C6752">
        <w:t xml:space="preserve">must meet the IDR requirements set out </w:t>
      </w:r>
      <w:r w:rsidRPr="002C6752">
        <w:t>in</w:t>
      </w:r>
      <w:r w:rsidR="00516835" w:rsidRPr="002C6752">
        <w:t xml:space="preserve"> this guide</w:t>
      </w:r>
      <w:r w:rsidR="00F93941" w:rsidRPr="002C6752">
        <w:t>.</w:t>
      </w:r>
      <w:r w:rsidR="001927A2" w:rsidRPr="002C6752">
        <w:t xml:space="preserve"> </w:t>
      </w:r>
    </w:p>
    <w:p w14:paraId="17E80DB9" w14:textId="430F7BBD" w:rsidR="002B4471" w:rsidRPr="002C6752" w:rsidRDefault="002B4471" w:rsidP="002B4471">
      <w:pPr>
        <w:pStyle w:val="KPtext"/>
      </w:pPr>
      <w:r w:rsidRPr="002C6752">
        <w:t xml:space="preserve">An IDR process for financial service providers must be able to deal with complaints made by </w:t>
      </w:r>
      <w:r w:rsidR="00E12C7C">
        <w:t>‘</w:t>
      </w:r>
      <w:r w:rsidRPr="002C6752">
        <w:t>retail clients</w:t>
      </w:r>
      <w:r w:rsidR="00E12C7C">
        <w:t>’</w:t>
      </w:r>
      <w:r w:rsidRPr="002C6752">
        <w:t>.</w:t>
      </w:r>
      <w:r w:rsidR="00C600F4" w:rsidRPr="002C6752">
        <w:t xml:space="preserve"> </w:t>
      </w:r>
      <w:r w:rsidR="00516835" w:rsidRPr="002C6752">
        <w:t xml:space="preserve">We have modified the definition of </w:t>
      </w:r>
      <w:r w:rsidR="00E12C7C">
        <w:t>‘</w:t>
      </w:r>
      <w:r w:rsidR="00516835" w:rsidRPr="002C6752">
        <w:t>small business</w:t>
      </w:r>
      <w:r w:rsidR="00E12C7C">
        <w:t>’</w:t>
      </w:r>
      <w:r w:rsidR="00516835" w:rsidRPr="002C6752">
        <w:t xml:space="preserve"> in s761G of the Corporations Act to align with the broader definition of </w:t>
      </w:r>
      <w:r w:rsidR="00E12C7C">
        <w:t>‘</w:t>
      </w:r>
      <w:r w:rsidR="00516835" w:rsidRPr="002C6752">
        <w:t>small business</w:t>
      </w:r>
      <w:r w:rsidR="00E12C7C">
        <w:t>’</w:t>
      </w:r>
      <w:r w:rsidR="00516835" w:rsidRPr="002C6752">
        <w:t xml:space="preserve"> set out in the </w:t>
      </w:r>
      <w:r w:rsidR="009615E9" w:rsidRPr="002C6752">
        <w:t>AFCA</w:t>
      </w:r>
      <w:r w:rsidR="00E12C7C">
        <w:t>’</w:t>
      </w:r>
      <w:r w:rsidR="009615E9" w:rsidRPr="002C6752">
        <w:t xml:space="preserve">s </w:t>
      </w:r>
      <w:hyperlink r:id="rId34" w:history="1">
        <w:r w:rsidR="00B4499D" w:rsidRPr="002C6752">
          <w:rPr>
            <w:rStyle w:val="Hyperlink"/>
          </w:rPr>
          <w:t>Complaint Resolution Scheme Rules</w:t>
        </w:r>
      </w:hyperlink>
      <w:r w:rsidR="009615E9" w:rsidRPr="002C6752">
        <w:t xml:space="preserve"> (</w:t>
      </w:r>
      <w:r w:rsidR="00516835" w:rsidRPr="002C6752">
        <w:t xml:space="preserve">AFCA </w:t>
      </w:r>
      <w:r w:rsidR="00B92055" w:rsidRPr="002C6752">
        <w:t>Rules</w:t>
      </w:r>
      <w:r w:rsidR="009615E9" w:rsidRPr="002C6752">
        <w:t>)</w:t>
      </w:r>
      <w:r w:rsidRPr="002C6752">
        <w:t>.</w:t>
      </w:r>
    </w:p>
    <w:p w14:paraId="2C18209F" w14:textId="584D6B19" w:rsidR="002D05F9" w:rsidRPr="002C6752" w:rsidRDefault="002D05F9" w:rsidP="00642749">
      <w:pPr>
        <w:pStyle w:val="KPtext"/>
      </w:pPr>
      <w:r w:rsidRPr="002C6752">
        <w:t>Financial firms may tailor their IDR process to suit the nature, scale and complexity of their business.</w:t>
      </w:r>
      <w:r w:rsidR="00C64622" w:rsidRPr="002C6752">
        <w:t xml:space="preserve"> If they</w:t>
      </w:r>
      <w:r w:rsidRPr="002C6752">
        <w:t xml:space="preserve"> outsource part or all of their IDR process, </w:t>
      </w:r>
      <w:r w:rsidR="00516835" w:rsidRPr="002C6752">
        <w:t>the ID</w:t>
      </w:r>
      <w:r w:rsidR="00AC15F4" w:rsidRPr="002C6752">
        <w:t>R</w:t>
      </w:r>
      <w:r w:rsidR="00516835" w:rsidRPr="002C6752">
        <w:t xml:space="preserve"> requirements </w:t>
      </w:r>
      <w:r w:rsidRPr="002C6752">
        <w:t>still apply.</w:t>
      </w:r>
    </w:p>
    <w:p w14:paraId="54310A05" w14:textId="68CBC2BD" w:rsidR="00264EAF" w:rsidRPr="002C6752" w:rsidRDefault="00264EAF" w:rsidP="000672FF">
      <w:pPr>
        <w:pStyle w:val="Heading2"/>
        <w:spacing w:before="600"/>
      </w:pPr>
      <w:bookmarkStart w:id="42" w:name="_Toc46844232"/>
      <w:r w:rsidRPr="002C6752">
        <w:t xml:space="preserve">Definition of </w:t>
      </w:r>
      <w:r w:rsidR="00E12C7C">
        <w:t>‘</w:t>
      </w:r>
      <w:r w:rsidRPr="002C6752">
        <w:t>complaint</w:t>
      </w:r>
      <w:r w:rsidR="00E12C7C">
        <w:t>’</w:t>
      </w:r>
      <w:bookmarkEnd w:id="42"/>
    </w:p>
    <w:p w14:paraId="17F45B1E" w14:textId="0743036D" w:rsidR="009B4FEE" w:rsidRPr="00F10F71" w:rsidRDefault="009B4FEE" w:rsidP="009A6619">
      <w:pPr>
        <w:pStyle w:val="Enfparashead"/>
      </w:pPr>
      <w:bookmarkStart w:id="43" w:name="_ASICRef579"/>
      <w:bookmarkStart w:id="44" w:name="_ASICRef622"/>
      <w:bookmarkStart w:id="45" w:name="_ASICRef910"/>
      <w:bookmarkStart w:id="46" w:name="_ASICRef160"/>
      <w:bookmarkStart w:id="47" w:name="_ASICRef373"/>
      <w:bookmarkStart w:id="48" w:name="_ASICRef783"/>
      <w:bookmarkStart w:id="49" w:name="_ASICRef827"/>
      <w:bookmarkStart w:id="50" w:name="_ASICRef709"/>
      <w:r w:rsidRPr="00F10F71">
        <w:t xml:space="preserve">Enforceable paragraphs: </w:t>
      </w:r>
      <w:r w:rsidRPr="002C6752">
        <w:fldChar w:fldCharType="begin"/>
      </w:r>
      <w:r w:rsidRPr="00F10F71">
        <w:instrText xml:space="preserve"> REF _ASICRef97 \w \h </w:instrText>
      </w:r>
      <w:r w:rsidRPr="002C6752">
        <w:fldChar w:fldCharType="separate"/>
      </w:r>
      <w:r w:rsidR="00DE6E77">
        <w:t>RG 271.27</w:t>
      </w:r>
      <w:r w:rsidRPr="002C6752">
        <w:fldChar w:fldCharType="end"/>
      </w:r>
      <w:r w:rsidRPr="00F10F71">
        <w:t>–</w:t>
      </w:r>
      <w:r w:rsidR="009A3DA9">
        <w:fldChar w:fldCharType="begin"/>
      </w:r>
      <w:r w:rsidR="009A3DA9" w:rsidRPr="00F10F71">
        <w:instrText xml:space="preserve"> REF _Ref33603544 \r \h </w:instrText>
      </w:r>
      <w:r w:rsidR="009A3DA9">
        <w:fldChar w:fldCharType="separate"/>
      </w:r>
      <w:r w:rsidR="00DE6E77">
        <w:t>RG 271.29</w:t>
      </w:r>
      <w:r w:rsidR="009A3DA9">
        <w:fldChar w:fldCharType="end"/>
      </w:r>
      <w:r w:rsidR="00F10F71" w:rsidRPr="00F10F71">
        <w:t xml:space="preserve"> (including</w:t>
      </w:r>
      <w:r w:rsidR="00F10F71">
        <w:t xml:space="preserve"> note)</w:t>
      </w:r>
    </w:p>
    <w:bookmarkStart w:id="51" w:name="_ASICRef97"/>
    <w:bookmarkStart w:id="52" w:name="_ASICRef746"/>
    <w:bookmarkStart w:id="53" w:name="_ASICRef277"/>
    <w:bookmarkStart w:id="54" w:name="_ASICRef104"/>
    <w:bookmarkStart w:id="55" w:name="_ASICRef494"/>
    <w:bookmarkStart w:id="56" w:name="_ASICRef395"/>
    <w:bookmarkStart w:id="57" w:name="_ASICRef800"/>
    <w:bookmarkStart w:id="58" w:name="_ASICRef446"/>
    <w:bookmarkStart w:id="59" w:name="_ASICRef236"/>
    <w:p w14:paraId="785A3F8C" w14:textId="4F676EE1" w:rsidR="0014144F" w:rsidRPr="002C6752" w:rsidRDefault="00DC1C9A" w:rsidP="009A6619">
      <w:pPr>
        <w:pStyle w:val="Enfparastext"/>
      </w:pPr>
      <w:r w:rsidRPr="002C6752">
        <w:fldChar w:fldCharType="begin"/>
      </w:r>
      <w:r w:rsidR="00F10F71">
        <w:instrText>HYPERLINK "https://www.standards.org.au/standards-catalogue/sa-snz/publicsafety/qr-015/as-slash-nzs--10002-colon-2014"</w:instrText>
      </w:r>
      <w:r w:rsidRPr="002C6752">
        <w:fldChar w:fldCharType="separate"/>
      </w:r>
      <w:r w:rsidR="0014144F" w:rsidRPr="002C6752">
        <w:rPr>
          <w:rStyle w:val="Hyperlink"/>
        </w:rPr>
        <w:t>AS/NZS 10002:2014</w:t>
      </w:r>
      <w:r w:rsidRPr="002C6752">
        <w:fldChar w:fldCharType="end"/>
      </w:r>
      <w:r w:rsidR="00F51972" w:rsidRPr="002C6752">
        <w:t xml:space="preserve"> sets out the following definition of </w:t>
      </w:r>
      <w:r w:rsidR="00E12C7C">
        <w:t>‘</w:t>
      </w:r>
      <w:r w:rsidR="00F51972" w:rsidRPr="002C6752">
        <w:t>complaint</w:t>
      </w:r>
      <w:r w:rsidR="00E12C7C">
        <w:t>’</w:t>
      </w:r>
      <w:r w:rsidR="00F51972" w:rsidRPr="002C6752">
        <w:t xml:space="preserve"> at p. 6</w:t>
      </w:r>
      <w:r w:rsidR="0014144F" w:rsidRPr="002C6752">
        <w:t>:</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3944E6FB" w14:textId="7FDCA4EE" w:rsidR="0014144F" w:rsidRPr="002C6752" w:rsidRDefault="00DC20B9" w:rsidP="009A6619">
      <w:pPr>
        <w:pStyle w:val="Enfparasblockquote"/>
      </w:pPr>
      <w:r w:rsidRPr="002C6752">
        <w:t>[An e</w:t>
      </w:r>
      <w:r w:rsidR="0014144F" w:rsidRPr="002C6752">
        <w:t>xpression</w:t>
      </w:r>
      <w:r w:rsidRPr="002C6752">
        <w:t>]</w:t>
      </w:r>
      <w:r w:rsidR="0014144F" w:rsidRPr="002C6752">
        <w:t xml:space="preserve"> of dissatisfaction made to or about an organi</w:t>
      </w:r>
      <w:r w:rsidRPr="002C6752">
        <w:t>z</w:t>
      </w:r>
      <w:r w:rsidR="0014144F" w:rsidRPr="002C6752">
        <w:t xml:space="preserve">ation, related to its products, services, staff or the handling of a complaint, where a </w:t>
      </w:r>
      <w:r w:rsidR="0014144F" w:rsidRPr="002C6752">
        <w:rPr>
          <w:spacing w:val="-2"/>
        </w:rPr>
        <w:t>response or resolution is explicitly or implicitly expected or legally required.</w:t>
      </w:r>
    </w:p>
    <w:p w14:paraId="235DEE3F" w14:textId="29E9FF23" w:rsidR="00264EAF" w:rsidRPr="002C6752" w:rsidRDefault="00655B75" w:rsidP="009A6619">
      <w:pPr>
        <w:pStyle w:val="Enfparastext"/>
      </w:pPr>
      <w:bookmarkStart w:id="60" w:name="_ASICRef45"/>
      <w:bookmarkStart w:id="61" w:name="_ASICRef55"/>
      <w:r w:rsidRPr="002C6752">
        <w:t>A financial firm must deal with e</w:t>
      </w:r>
      <w:r w:rsidR="002E562D" w:rsidRPr="002C6752">
        <w:t>x</w:t>
      </w:r>
      <w:r w:rsidR="00264EAF" w:rsidRPr="002C6752">
        <w:t xml:space="preserve">pressions of dissatisfaction </w:t>
      </w:r>
      <w:r w:rsidR="0014144F" w:rsidRPr="002C6752">
        <w:t>that satisfy</w:t>
      </w:r>
      <w:r w:rsidR="00264EAF" w:rsidRPr="002C6752">
        <w:t xml:space="preserve"> this definition </w:t>
      </w:r>
      <w:r w:rsidR="0014144F" w:rsidRPr="002C6752">
        <w:t xml:space="preserve">under </w:t>
      </w:r>
      <w:r w:rsidRPr="002C6752">
        <w:t xml:space="preserve">its </w:t>
      </w:r>
      <w:r w:rsidR="00264EAF" w:rsidRPr="002C6752">
        <w:t>I</w:t>
      </w:r>
      <w:r w:rsidR="001F2E8B" w:rsidRPr="002C6752">
        <w:t>DR</w:t>
      </w:r>
      <w:r w:rsidR="006B475C">
        <w:t xml:space="preserve"> </w:t>
      </w:r>
      <w:r w:rsidR="004911D3">
        <w:t>process</w:t>
      </w:r>
      <w:r w:rsidR="00802039" w:rsidRPr="002C6752">
        <w:t>, which in turn must meet the r</w:t>
      </w:r>
      <w:r w:rsidR="00264EAF" w:rsidRPr="002C6752">
        <w:t xml:space="preserve">equirements set out </w:t>
      </w:r>
      <w:r w:rsidR="00F51972" w:rsidRPr="002C6752">
        <w:t>in this guide</w:t>
      </w:r>
      <w:r w:rsidR="00264EAF" w:rsidRPr="002C6752">
        <w:t>.</w:t>
      </w:r>
      <w:bookmarkEnd w:id="60"/>
      <w:bookmarkEnd w:id="61"/>
    </w:p>
    <w:p w14:paraId="28B6B5C3" w14:textId="2EF3B4BA" w:rsidR="00655B75" w:rsidRPr="002C6752" w:rsidRDefault="00655B75" w:rsidP="009A6619">
      <w:pPr>
        <w:pStyle w:val="Enfparasnote"/>
      </w:pPr>
      <w:r w:rsidRPr="002C6752">
        <w:t xml:space="preserve">Note: We interpret the words </w:t>
      </w:r>
      <w:r w:rsidR="00E12C7C">
        <w:t>‘</w:t>
      </w:r>
      <w:r w:rsidRPr="002C6752">
        <w:t>or about an organization</w:t>
      </w:r>
      <w:r w:rsidR="00E12C7C">
        <w:t>’</w:t>
      </w:r>
      <w:r w:rsidRPr="002C6752">
        <w:t xml:space="preserve"> in the definition to cover expressions of dissatisfaction made </w:t>
      </w:r>
      <w:r w:rsidR="004B6BEF" w:rsidRPr="002C6752">
        <w:t>on</w:t>
      </w:r>
      <w:r w:rsidRPr="002C6752">
        <w:t xml:space="preserve"> social media</w:t>
      </w:r>
      <w:r w:rsidR="001B5A51" w:rsidRPr="002C6752">
        <w:t xml:space="preserve"> in accordance with </w:t>
      </w:r>
      <w:r w:rsidR="004B6BEF" w:rsidRPr="002C6752">
        <w:fldChar w:fldCharType="begin"/>
      </w:r>
      <w:r w:rsidR="004B6BEF" w:rsidRPr="002C6752">
        <w:instrText xml:space="preserve"> REF _ASICRef533 \w \h </w:instrText>
      </w:r>
      <w:r w:rsidR="00A85759" w:rsidRPr="002C6752">
        <w:instrText xml:space="preserve"> \* MERGEFORMAT </w:instrText>
      </w:r>
      <w:r w:rsidR="004B6BEF" w:rsidRPr="002C6752">
        <w:fldChar w:fldCharType="separate"/>
      </w:r>
      <w:r w:rsidR="00DE6E77">
        <w:t>RG 271.32(a)</w:t>
      </w:r>
      <w:r w:rsidR="004B6BEF" w:rsidRPr="002C6752">
        <w:fldChar w:fldCharType="end"/>
      </w:r>
      <w:r w:rsidR="001B5A51" w:rsidRPr="002C6752">
        <w:t>.</w:t>
      </w:r>
      <w:r w:rsidR="004B6BEF" w:rsidRPr="002C6752">
        <w:t xml:space="preserve"> </w:t>
      </w:r>
      <w:r w:rsidR="001B5A51" w:rsidRPr="002C6752">
        <w:t>We do not require these words to be read any more broadly than this.</w:t>
      </w:r>
      <w:r w:rsidR="004B6BEF" w:rsidRPr="002C6752">
        <w:t xml:space="preserve"> </w:t>
      </w:r>
    </w:p>
    <w:p w14:paraId="09458CBC" w14:textId="3299A76A" w:rsidR="00A1521A" w:rsidRPr="002C6752" w:rsidRDefault="00A1521A" w:rsidP="00C31FD2">
      <w:pPr>
        <w:pStyle w:val="Enfparastext"/>
      </w:pPr>
      <w:bookmarkStart w:id="62" w:name="_Ref33603544"/>
      <w:r w:rsidRPr="002C6752">
        <w:t>AFS licensees</w:t>
      </w:r>
      <w:r w:rsidR="00E12C7C">
        <w:t>’</w:t>
      </w:r>
      <w:r w:rsidRPr="002C6752">
        <w:t xml:space="preserve"> IDR process</w:t>
      </w:r>
      <w:r w:rsidR="00F97EF9" w:rsidRPr="002C6752">
        <w:t>es</w:t>
      </w:r>
      <w:r w:rsidRPr="002C6752">
        <w:t xml:space="preserve"> must cover </w:t>
      </w:r>
      <w:r w:rsidR="00E12C7C">
        <w:t>‘</w:t>
      </w:r>
      <w:r w:rsidRPr="002C6752">
        <w:t>complaints</w:t>
      </w:r>
      <w:r w:rsidR="00E12C7C">
        <w:t>’</w:t>
      </w:r>
      <w:r w:rsidRPr="002C6752">
        <w:t xml:space="preserve"> against the licensee: see s912A of the Corporations Act. Credit licensees</w:t>
      </w:r>
      <w:r w:rsidR="00E12C7C">
        <w:t>’</w:t>
      </w:r>
      <w:r w:rsidRPr="002C6752">
        <w:t xml:space="preserve"> IDR </w:t>
      </w:r>
      <w:r w:rsidR="00F97EF9" w:rsidRPr="002C6752">
        <w:t>processes</w:t>
      </w:r>
      <w:r w:rsidRPr="002C6752">
        <w:t xml:space="preserve"> must cover </w:t>
      </w:r>
      <w:r w:rsidR="00E12C7C">
        <w:t>‘</w:t>
      </w:r>
      <w:r w:rsidRPr="002C6752">
        <w:t>disputes in relation to the credit activities engaged in by the licensee</w:t>
      </w:r>
      <w:r w:rsidR="00E12C7C">
        <w:t>’</w:t>
      </w:r>
      <w:r w:rsidRPr="002C6752">
        <w:t xml:space="preserve">: see s47 of the National Credit Act. In this guide, we use </w:t>
      </w:r>
      <w:r w:rsidR="00E12C7C">
        <w:t>‘</w:t>
      </w:r>
      <w:r w:rsidRPr="002C6752">
        <w:t>complaint</w:t>
      </w:r>
      <w:r w:rsidR="00E12C7C">
        <w:t>’</w:t>
      </w:r>
      <w:r w:rsidRPr="002C6752">
        <w:t xml:space="preserve"> to mean both </w:t>
      </w:r>
      <w:r w:rsidR="00E12C7C">
        <w:t>‘</w:t>
      </w:r>
      <w:r w:rsidRPr="002C6752">
        <w:t>complaints</w:t>
      </w:r>
      <w:r w:rsidR="00E12C7C">
        <w:t>’</w:t>
      </w:r>
      <w:r w:rsidRPr="002C6752">
        <w:t xml:space="preserve"> and </w:t>
      </w:r>
      <w:r w:rsidR="00E12C7C">
        <w:t>‘</w:t>
      </w:r>
      <w:r w:rsidRPr="002C6752">
        <w:t>disputes</w:t>
      </w:r>
      <w:r w:rsidR="00E12C7C">
        <w:t>’</w:t>
      </w:r>
      <w:r w:rsidRPr="002C6752">
        <w:t xml:space="preserve"> as used in those requirements. Similarly, we use the word </w:t>
      </w:r>
      <w:r w:rsidR="00E12C7C">
        <w:t>‘</w:t>
      </w:r>
      <w:r w:rsidRPr="002C6752">
        <w:t>complainant</w:t>
      </w:r>
      <w:r w:rsidR="00E12C7C">
        <w:t>’</w:t>
      </w:r>
      <w:r w:rsidRPr="002C6752">
        <w:t xml:space="preserve"> to refer to a person either making a complaint against an AFS licensee or raising a dispute about credit activities that are engaged in by a credit licensee.</w:t>
      </w:r>
      <w:bookmarkEnd w:id="62"/>
      <w:r w:rsidRPr="002C6752">
        <w:t xml:space="preserve"> </w:t>
      </w:r>
    </w:p>
    <w:p w14:paraId="2457BEA8" w14:textId="3089AB25" w:rsidR="00DC1C9A" w:rsidRPr="002C6752" w:rsidRDefault="002E562D" w:rsidP="009D4FE6">
      <w:pPr>
        <w:pStyle w:val="BodyText"/>
        <w:rPr>
          <w:sz w:val="18"/>
        </w:rPr>
      </w:pPr>
      <w:r w:rsidRPr="002C6752">
        <w:lastRenderedPageBreak/>
        <w:t>We expect firms to take a proactive approach to identifying complaints.</w:t>
      </w:r>
      <w:r w:rsidR="003229E3" w:rsidRPr="002C6752">
        <w:t xml:space="preserve"> </w:t>
      </w:r>
      <w:r w:rsidR="001B5A51" w:rsidRPr="002C6752">
        <w:t xml:space="preserve">A response or resolution is </w:t>
      </w:r>
      <w:r w:rsidR="00E12C7C">
        <w:t>‘</w:t>
      </w:r>
      <w:r w:rsidR="001B5A51" w:rsidRPr="002C6752">
        <w:t>explicitly expected</w:t>
      </w:r>
      <w:r w:rsidR="00E12C7C">
        <w:t>’</w:t>
      </w:r>
      <w:r w:rsidR="001B5A51" w:rsidRPr="002C6752">
        <w:t xml:space="preserve"> </w:t>
      </w:r>
      <w:r w:rsidR="00E57CA3" w:rsidRPr="002C6752">
        <w:t>if</w:t>
      </w:r>
      <w:r w:rsidR="001B5A51" w:rsidRPr="002C6752">
        <w:t xml:space="preserve"> a consumer clearly requests it</w:t>
      </w:r>
      <w:r w:rsidR="00891B1B" w:rsidRPr="002C6752">
        <w:t>. It</w:t>
      </w:r>
      <w:r w:rsidR="001B5A51" w:rsidRPr="002C6752">
        <w:t xml:space="preserve"> is </w:t>
      </w:r>
      <w:r w:rsidR="00E12C7C">
        <w:t>‘</w:t>
      </w:r>
      <w:r w:rsidR="001B5A51" w:rsidRPr="002C6752">
        <w:t>implicitly expected</w:t>
      </w:r>
      <w:r w:rsidR="00E12C7C">
        <w:t>’</w:t>
      </w:r>
      <w:r w:rsidR="00DC7D78" w:rsidRPr="002C6752">
        <w:t xml:space="preserve"> </w:t>
      </w:r>
      <w:r w:rsidR="00E57CA3" w:rsidRPr="002C6752">
        <w:t>if the consumer raises</w:t>
      </w:r>
      <w:r w:rsidR="00DC7D78" w:rsidRPr="002C6752">
        <w:t xml:space="preserve"> the expression of dissatisfaction in a way that</w:t>
      </w:r>
      <w:r w:rsidR="00E57CA3" w:rsidRPr="002C6752">
        <w:t xml:space="preserve"> implies</w:t>
      </w:r>
      <w:r w:rsidR="00DC7D78" w:rsidRPr="002C6752">
        <w:t xml:space="preserve"> the consumer reasonably expects the firm to respond and/or take specific action.</w:t>
      </w:r>
      <w:r w:rsidR="004B6BEF" w:rsidRPr="002C6752">
        <w:t xml:space="preserve"> </w:t>
      </w:r>
      <w:r w:rsidR="00323EE4" w:rsidRPr="002C6752">
        <w:t xml:space="preserve">A consumer or small business is not required to expressly state the word </w:t>
      </w:r>
      <w:r w:rsidR="00E12C7C">
        <w:t>‘</w:t>
      </w:r>
      <w:r w:rsidR="00323EE4" w:rsidRPr="002C6752">
        <w:t>complaint</w:t>
      </w:r>
      <w:r w:rsidR="00E12C7C">
        <w:t>’</w:t>
      </w:r>
      <w:r w:rsidR="002C6752">
        <w:t xml:space="preserve"> </w:t>
      </w:r>
      <w:r w:rsidR="00DC7D78" w:rsidRPr="002C6752">
        <w:t xml:space="preserve">or </w:t>
      </w:r>
      <w:r w:rsidR="00E12C7C">
        <w:t>‘</w:t>
      </w:r>
      <w:r w:rsidR="00DC7D78" w:rsidRPr="002C6752">
        <w:t>dispute</w:t>
      </w:r>
      <w:r w:rsidR="00E12C7C">
        <w:t>’</w:t>
      </w:r>
      <w:r w:rsidR="00323EE4" w:rsidRPr="002C6752">
        <w:t>, or put their complaint in</w:t>
      </w:r>
      <w:r w:rsidR="00E57CA3" w:rsidRPr="002C6752">
        <w:t xml:space="preserve"> </w:t>
      </w:r>
      <w:r w:rsidR="00DC7D78" w:rsidRPr="002C6752">
        <w:t>writing</w:t>
      </w:r>
      <w:r w:rsidR="00323EE4" w:rsidRPr="002C6752">
        <w:t>, to trigger a financial firm</w:t>
      </w:r>
      <w:r w:rsidR="00E12C7C">
        <w:t>’</w:t>
      </w:r>
      <w:r w:rsidR="00323EE4" w:rsidRPr="002C6752">
        <w:t>s obligation to deal with a matter according to our IDR requirements.</w:t>
      </w:r>
      <w:r w:rsidR="003229E3" w:rsidRPr="002C6752">
        <w:t xml:space="preserve"> </w:t>
      </w:r>
    </w:p>
    <w:p w14:paraId="455356C2" w14:textId="730748E1" w:rsidR="002E562D" w:rsidRPr="002C6752" w:rsidRDefault="00755553" w:rsidP="00642749">
      <w:pPr>
        <w:pStyle w:val="Note"/>
      </w:pPr>
      <w:r w:rsidRPr="002C6752">
        <w:t>Note: Our guidance about accessibility of the IDR process, including complaint lodgement methods, is se</w:t>
      </w:r>
      <w:r w:rsidR="00B92055" w:rsidRPr="002C6752">
        <w:t xml:space="preserve">t out in </w:t>
      </w:r>
      <w:r w:rsidR="00DC20B9" w:rsidRPr="002C6752">
        <w:fldChar w:fldCharType="begin"/>
      </w:r>
      <w:r w:rsidR="00DC20B9" w:rsidRPr="002C6752">
        <w:instrText xml:space="preserve"> REF _ASICRef538 \w \h </w:instrText>
      </w:r>
      <w:r w:rsidR="002F1325" w:rsidRPr="002C6752">
        <w:instrText xml:space="preserve"> \* MERGEFORMAT </w:instrText>
      </w:r>
      <w:r w:rsidR="00DC20B9" w:rsidRPr="002C6752">
        <w:fldChar w:fldCharType="separate"/>
      </w:r>
      <w:r w:rsidR="00DE6E77">
        <w:t>RG 271.134</w:t>
      </w:r>
      <w:r w:rsidR="00DC20B9" w:rsidRPr="002C6752">
        <w:fldChar w:fldCharType="end"/>
      </w:r>
      <w:r w:rsidR="00DC20B9" w:rsidRPr="002C6752">
        <w:t>–</w:t>
      </w:r>
      <w:r w:rsidR="009913D0" w:rsidRPr="002C6752">
        <w:fldChar w:fldCharType="begin"/>
      </w:r>
      <w:r w:rsidR="009913D0" w:rsidRPr="002C6752">
        <w:instrText xml:space="preserve"> REF _ASICRef167 \w \h </w:instrText>
      </w:r>
      <w:r w:rsidR="009913D0" w:rsidRPr="002C6752">
        <w:fldChar w:fldCharType="separate"/>
      </w:r>
      <w:r w:rsidR="00DE6E77">
        <w:t>RG 271.140</w:t>
      </w:r>
      <w:r w:rsidR="009913D0" w:rsidRPr="002C6752">
        <w:fldChar w:fldCharType="end"/>
      </w:r>
      <w:r w:rsidR="00B92055" w:rsidRPr="002C6752">
        <w:t>.</w:t>
      </w:r>
    </w:p>
    <w:p w14:paraId="327E5AC7" w14:textId="5AFE4FD7" w:rsidR="0076381B" w:rsidRPr="002C6752" w:rsidRDefault="008C07AB" w:rsidP="009E0BE8">
      <w:pPr>
        <w:pStyle w:val="BodyText"/>
      </w:pPr>
      <w:r w:rsidRPr="002C6752">
        <w:t>Financial firms should not categor</w:t>
      </w:r>
      <w:r w:rsidR="00D30AF4" w:rsidRPr="002C6752">
        <w:t>i</w:t>
      </w:r>
      <w:r w:rsidRPr="002C6752">
        <w:t>se</w:t>
      </w:r>
      <w:r w:rsidR="00F53E95" w:rsidRPr="002C6752">
        <w:t xml:space="preserve"> an expression of dissatisfaction </w:t>
      </w:r>
      <w:r w:rsidR="003036F7">
        <w:t xml:space="preserve">that meets the definition of </w:t>
      </w:r>
      <w:r w:rsidR="00E12C7C">
        <w:t>‘</w:t>
      </w:r>
      <w:r w:rsidR="003036F7">
        <w:t>complaint</w:t>
      </w:r>
      <w:r w:rsidR="00E12C7C">
        <w:t>’</w:t>
      </w:r>
      <w:r w:rsidR="003036F7">
        <w:t xml:space="preserve"> </w:t>
      </w:r>
      <w:r w:rsidR="00F53E95" w:rsidRPr="002C6752">
        <w:t>as</w:t>
      </w:r>
      <w:r w:rsidRPr="002C6752">
        <w:t xml:space="preserve"> </w:t>
      </w:r>
      <w:r w:rsidR="00E12C7C">
        <w:t>‘</w:t>
      </w:r>
      <w:r w:rsidRPr="002C6752">
        <w:t>feedback</w:t>
      </w:r>
      <w:r w:rsidR="00E12C7C">
        <w:t>’</w:t>
      </w:r>
      <w:r w:rsidRPr="002C6752">
        <w:t xml:space="preserve">, an </w:t>
      </w:r>
      <w:r w:rsidR="00E12C7C">
        <w:t>‘</w:t>
      </w:r>
      <w:r w:rsidRPr="002C6752">
        <w:t>inquiry</w:t>
      </w:r>
      <w:r w:rsidR="00E12C7C">
        <w:t>’</w:t>
      </w:r>
      <w:r w:rsidRPr="002C6752">
        <w:t xml:space="preserve">, a </w:t>
      </w:r>
      <w:r w:rsidR="00E12C7C">
        <w:t>‘</w:t>
      </w:r>
      <w:r w:rsidRPr="002C6752">
        <w:t>comment</w:t>
      </w:r>
      <w:r w:rsidR="00E12C7C">
        <w:t>’</w:t>
      </w:r>
      <w:r w:rsidRPr="002C6752">
        <w:t xml:space="preserve"> or similar (and therefore not</w:t>
      </w:r>
      <w:r w:rsidR="00F53E95" w:rsidRPr="002C6752">
        <w:t xml:space="preserve"> </w:t>
      </w:r>
      <w:r w:rsidRPr="002C6752">
        <w:t>to be</w:t>
      </w:r>
      <w:r w:rsidR="00F53E95" w:rsidRPr="002C6752">
        <w:t xml:space="preserve"> dealt with in </w:t>
      </w:r>
      <w:r w:rsidR="00D30AF4" w:rsidRPr="002C6752">
        <w:t>the</w:t>
      </w:r>
      <w:r w:rsidR="00F53E95" w:rsidRPr="002C6752">
        <w:t xml:space="preserve"> firm</w:t>
      </w:r>
      <w:r w:rsidR="00E12C7C">
        <w:t>’</w:t>
      </w:r>
      <w:r w:rsidR="00F53E95" w:rsidRPr="002C6752">
        <w:t>s IDR process</w:t>
      </w:r>
      <w:r w:rsidR="00D30AF4" w:rsidRPr="002C6752">
        <w:t xml:space="preserve">) </w:t>
      </w:r>
      <w:r w:rsidR="00DC7D78" w:rsidRPr="002C6752">
        <w:t xml:space="preserve">merely </w:t>
      </w:r>
      <w:r w:rsidR="00D30AF4" w:rsidRPr="002C6752">
        <w:t>because</w:t>
      </w:r>
      <w:r w:rsidR="00F53E95" w:rsidRPr="002C6752">
        <w:t>:</w:t>
      </w:r>
    </w:p>
    <w:p w14:paraId="615700FD" w14:textId="0701E263" w:rsidR="0076381B" w:rsidRPr="002C6752" w:rsidRDefault="00D40247" w:rsidP="00994B97">
      <w:pPr>
        <w:pStyle w:val="subparaa"/>
      </w:pPr>
      <w:r w:rsidRPr="002C6752">
        <w:t>the</w:t>
      </w:r>
      <w:r w:rsidR="0076381B" w:rsidRPr="002C6752">
        <w:t xml:space="preserve"> </w:t>
      </w:r>
      <w:r w:rsidR="008C07AB" w:rsidRPr="002C6752">
        <w:t>complainant expresses their dissati</w:t>
      </w:r>
      <w:r w:rsidR="008432B5" w:rsidRPr="002C6752">
        <w:t>s</w:t>
      </w:r>
      <w:r w:rsidR="008C07AB" w:rsidRPr="002C6752">
        <w:t>faction</w:t>
      </w:r>
      <w:r w:rsidR="0076381B" w:rsidRPr="002C6752">
        <w:t xml:space="preserve"> verbally; </w:t>
      </w:r>
    </w:p>
    <w:p w14:paraId="5A08BDAD" w14:textId="670798FA" w:rsidR="0076381B" w:rsidRPr="002C6752" w:rsidRDefault="0076381B" w:rsidP="00994B97">
      <w:pPr>
        <w:pStyle w:val="subparaa"/>
      </w:pPr>
      <w:r w:rsidRPr="002C6752">
        <w:t xml:space="preserve">the firm considers </w:t>
      </w:r>
      <w:r w:rsidR="008C07AB" w:rsidRPr="002C6752">
        <w:t xml:space="preserve">that </w:t>
      </w:r>
      <w:r w:rsidRPr="002C6752">
        <w:t xml:space="preserve">the </w:t>
      </w:r>
      <w:r w:rsidR="009E0BE8" w:rsidRPr="002C6752">
        <w:t>matter</w:t>
      </w:r>
      <w:r w:rsidRPr="002C6752">
        <w:t xml:space="preserve"> does not</w:t>
      </w:r>
      <w:r w:rsidR="009E0BE8" w:rsidRPr="002C6752">
        <w:t xml:space="preserve"> have merit</w:t>
      </w:r>
      <w:r w:rsidRPr="002C6752">
        <w:t>; or</w:t>
      </w:r>
    </w:p>
    <w:p w14:paraId="0CEE7B41" w14:textId="4A8CBD6E" w:rsidR="009C6D78" w:rsidRPr="002C6752" w:rsidRDefault="00544BEB" w:rsidP="009C6D78">
      <w:pPr>
        <w:pStyle w:val="subparaa"/>
      </w:pPr>
      <w:r w:rsidRPr="002C6752">
        <w:t>a goodwill payment</w:t>
      </w:r>
      <w:r w:rsidR="0076381B" w:rsidRPr="002C6752">
        <w:t xml:space="preserve"> is made to </w:t>
      </w:r>
      <w:r w:rsidR="00D40247" w:rsidRPr="002C6752">
        <w:t>the</w:t>
      </w:r>
      <w:r w:rsidR="009E0BE8" w:rsidRPr="002C6752">
        <w:t xml:space="preserve"> complainant </w:t>
      </w:r>
      <w:r w:rsidR="0076381B" w:rsidRPr="002C6752">
        <w:t xml:space="preserve">to resolve </w:t>
      </w:r>
      <w:r w:rsidR="00D40247" w:rsidRPr="002C6752">
        <w:t>the</w:t>
      </w:r>
      <w:r w:rsidR="0076381B" w:rsidRPr="002C6752">
        <w:t xml:space="preserve"> matter without any admission of error</w:t>
      </w:r>
      <w:r w:rsidR="008C07AB" w:rsidRPr="002C6752">
        <w:t>.</w:t>
      </w:r>
    </w:p>
    <w:p w14:paraId="3C2EDBBC" w14:textId="51082B55" w:rsidR="009A3DA9" w:rsidRPr="00C31FD2" w:rsidRDefault="009A3DA9" w:rsidP="00C31FD2">
      <w:pPr>
        <w:pStyle w:val="Enfparashead"/>
      </w:pPr>
      <w:bookmarkStart w:id="63" w:name="_Ref24457516"/>
      <w:bookmarkStart w:id="64" w:name="_ASICRef474"/>
      <w:bookmarkStart w:id="65" w:name="_Hlk24361984"/>
      <w:r w:rsidRPr="00C31FD2">
        <w:t>Enforceable paragraph</w:t>
      </w:r>
      <w:r>
        <w:t xml:space="preserve">: </w:t>
      </w:r>
      <w:r>
        <w:fldChar w:fldCharType="begin"/>
      </w:r>
      <w:r>
        <w:instrText xml:space="preserve"> REF _Ref33603601 \r \h </w:instrText>
      </w:r>
      <w:r>
        <w:fldChar w:fldCharType="separate"/>
      </w:r>
      <w:r w:rsidR="00DE6E77">
        <w:t>RG 271.32</w:t>
      </w:r>
      <w:r>
        <w:fldChar w:fldCharType="end"/>
      </w:r>
      <w:r w:rsidR="00F10F71">
        <w:t xml:space="preserve"> (including notes)</w:t>
      </w:r>
    </w:p>
    <w:p w14:paraId="22CF9DEA" w14:textId="29C9F17A" w:rsidR="00DC7D78" w:rsidRPr="00C31FD2" w:rsidRDefault="009A3DA9" w:rsidP="00C31FD2">
      <w:pPr>
        <w:pStyle w:val="Enfparastext"/>
      </w:pPr>
      <w:bookmarkStart w:id="66" w:name="_Hlk44425211"/>
      <w:bookmarkStart w:id="67" w:name="_Ref33603601"/>
      <w:bookmarkStart w:id="68" w:name="_ASICRef330"/>
      <w:bookmarkStart w:id="69" w:name="_Hlk44424881"/>
      <w:r>
        <w:t>Under this guide, the following e</w:t>
      </w:r>
      <w:r w:rsidR="002435AD" w:rsidRPr="00C31FD2">
        <w:t>xpressions of dissatisfaction are complaints</w:t>
      </w:r>
      <w:bookmarkEnd w:id="66"/>
      <w:r w:rsidR="00DC7D78" w:rsidRPr="00C31FD2">
        <w:t>:</w:t>
      </w:r>
      <w:bookmarkEnd w:id="63"/>
      <w:bookmarkEnd w:id="64"/>
      <w:bookmarkEnd w:id="67"/>
      <w:bookmarkEnd w:id="68"/>
    </w:p>
    <w:p w14:paraId="31A2D654" w14:textId="2B2888B5" w:rsidR="00DC7D78" w:rsidRPr="00C31FD2" w:rsidRDefault="00DC7D78" w:rsidP="00C31FD2">
      <w:pPr>
        <w:pStyle w:val="Enfparassubparaa"/>
      </w:pPr>
      <w:bookmarkStart w:id="70" w:name="_ASICRef533"/>
      <w:bookmarkStart w:id="71" w:name="_ASICRef814"/>
      <w:r w:rsidRPr="00C31FD2">
        <w:t xml:space="preserve">posts (that meet the definition of </w:t>
      </w:r>
      <w:r w:rsidR="00E12C7C">
        <w:t>‘</w:t>
      </w:r>
      <w:r w:rsidR="007727F8" w:rsidRPr="00C31FD2">
        <w:t>complaint</w:t>
      </w:r>
      <w:r w:rsidR="00E12C7C">
        <w:t>’</w:t>
      </w:r>
      <w:r w:rsidR="007727F8" w:rsidRPr="00C31FD2">
        <w:t xml:space="preserve"> set out in </w:t>
      </w:r>
      <w:r w:rsidR="00CB1DA2" w:rsidRPr="00C31FD2">
        <w:fldChar w:fldCharType="begin"/>
      </w:r>
      <w:r w:rsidR="00CB1DA2" w:rsidRPr="00C31FD2">
        <w:instrText xml:space="preserve"> REF _ASICRef494 \w \h </w:instrText>
      </w:r>
      <w:r w:rsidR="00D35156" w:rsidRPr="00C31FD2">
        <w:instrText xml:space="preserve"> \* MERGEFORMAT </w:instrText>
      </w:r>
      <w:r w:rsidR="00CB1DA2" w:rsidRPr="00C31FD2">
        <w:fldChar w:fldCharType="separate"/>
      </w:r>
      <w:r w:rsidR="00DE6E77">
        <w:t>RG 271.27</w:t>
      </w:r>
      <w:r w:rsidR="00CB1DA2" w:rsidRPr="00C31FD2">
        <w:fldChar w:fldCharType="end"/>
      </w:r>
      <w:r w:rsidR="007727F8" w:rsidRPr="00C31FD2">
        <w:t>) on a social media channel or account owned or controlled by the financial firm that is the subject of the post</w:t>
      </w:r>
      <w:r w:rsidR="009C640A" w:rsidRPr="00C31FD2">
        <w:t>,</w:t>
      </w:r>
      <w:r w:rsidR="007727F8" w:rsidRPr="00C31FD2">
        <w:t xml:space="preserve"> where the author is both identifiable and contactable;</w:t>
      </w:r>
      <w:bookmarkEnd w:id="70"/>
      <w:bookmarkEnd w:id="71"/>
    </w:p>
    <w:p w14:paraId="09237FDA" w14:textId="4FC60E33" w:rsidR="007727F8" w:rsidRPr="00C31FD2" w:rsidRDefault="007727F8" w:rsidP="00C31FD2">
      <w:pPr>
        <w:pStyle w:val="Enfparasnote"/>
      </w:pPr>
      <w:r w:rsidRPr="00C31FD2">
        <w:t>Note 1: We do not expect financial firms to seek to identify complaints made on third party social media accounts or channels.</w:t>
      </w:r>
    </w:p>
    <w:p w14:paraId="7C1B91F7" w14:textId="172AD131" w:rsidR="007727F8" w:rsidRPr="00C31FD2" w:rsidRDefault="007727F8" w:rsidP="00C31FD2">
      <w:pPr>
        <w:pStyle w:val="Enfparasnote"/>
      </w:pPr>
      <w:r w:rsidRPr="00C31FD2">
        <w:t xml:space="preserve">Note 2: When responding to a complaint made on social media in accordance with </w:t>
      </w:r>
      <w:r w:rsidR="007376E8">
        <w:fldChar w:fldCharType="begin"/>
      </w:r>
      <w:r w:rsidR="007376E8">
        <w:instrText xml:space="preserve"> REF _Ref33603601 \r \h </w:instrText>
      </w:r>
      <w:r w:rsidR="007376E8">
        <w:fldChar w:fldCharType="separate"/>
      </w:r>
      <w:r w:rsidR="00DE6E77">
        <w:t>RG 271.32</w:t>
      </w:r>
      <w:r w:rsidR="007376E8">
        <w:fldChar w:fldCharType="end"/>
      </w:r>
      <w:r w:rsidR="007376E8">
        <w:fldChar w:fldCharType="begin"/>
      </w:r>
      <w:r w:rsidR="007376E8">
        <w:instrText xml:space="preserve"> REF _ASICRef533 \r \h </w:instrText>
      </w:r>
      <w:r w:rsidR="007376E8">
        <w:fldChar w:fldCharType="separate"/>
      </w:r>
      <w:r w:rsidR="00DE6E77">
        <w:t>(a)</w:t>
      </w:r>
      <w:r w:rsidR="007376E8">
        <w:fldChar w:fldCharType="end"/>
      </w:r>
      <w:r w:rsidRPr="00C31FD2">
        <w:t>, a financial firm must ensure consumer privacy is protected.</w:t>
      </w:r>
    </w:p>
    <w:p w14:paraId="1358FAAB" w14:textId="0749ED7D" w:rsidR="007727F8" w:rsidRPr="00C31FD2" w:rsidRDefault="007727F8" w:rsidP="00C31FD2">
      <w:pPr>
        <w:pStyle w:val="Enfparasnote"/>
      </w:pPr>
      <w:r w:rsidRPr="00C31FD2">
        <w:t>Note</w:t>
      </w:r>
      <w:r w:rsidR="009C640A" w:rsidRPr="00C31FD2">
        <w:t xml:space="preserve"> 3</w:t>
      </w:r>
      <w:r w:rsidRPr="00C31FD2">
        <w:t xml:space="preserve">: Representatives of financial firms must refer complaints made </w:t>
      </w:r>
      <w:r w:rsidR="00A91B1C" w:rsidRPr="00C31FD2">
        <w:t>on</w:t>
      </w:r>
      <w:r w:rsidRPr="00C31FD2">
        <w:t xml:space="preserve"> social media in accordance with </w:t>
      </w:r>
      <w:bookmarkStart w:id="72" w:name="_Hlk24553627"/>
      <w:r w:rsidR="007376E8">
        <w:fldChar w:fldCharType="begin"/>
      </w:r>
      <w:r w:rsidR="007376E8">
        <w:instrText xml:space="preserve"> REF _Ref33603601 \r \h </w:instrText>
      </w:r>
      <w:r w:rsidR="007376E8">
        <w:fldChar w:fldCharType="separate"/>
      </w:r>
      <w:r w:rsidR="00DE6E77">
        <w:t>RG 271.32</w:t>
      </w:r>
      <w:r w:rsidR="007376E8">
        <w:fldChar w:fldCharType="end"/>
      </w:r>
      <w:r w:rsidR="007376E8">
        <w:fldChar w:fldCharType="begin"/>
      </w:r>
      <w:r w:rsidR="007376E8">
        <w:instrText xml:space="preserve"> REF _ASICRef533 \r \h </w:instrText>
      </w:r>
      <w:r w:rsidR="007376E8">
        <w:fldChar w:fldCharType="separate"/>
      </w:r>
      <w:r w:rsidR="00DE6E77">
        <w:t>(a)</w:t>
      </w:r>
      <w:r w:rsidR="007376E8">
        <w:fldChar w:fldCharType="end"/>
      </w:r>
      <w:bookmarkEnd w:id="72"/>
      <w:r w:rsidRPr="00C31FD2">
        <w:t xml:space="preserve"> to their licensee</w:t>
      </w:r>
      <w:r w:rsidR="00A91B1C" w:rsidRPr="00C31FD2">
        <w:t>,</w:t>
      </w:r>
      <w:r w:rsidRPr="00C31FD2">
        <w:t xml:space="preserve"> as they are required to do for complaints they receive </w:t>
      </w:r>
      <w:r w:rsidR="00A91B1C" w:rsidRPr="00C31FD2">
        <w:t>through</w:t>
      </w:r>
      <w:r w:rsidRPr="00C31FD2">
        <w:t xml:space="preserve"> other channels.</w:t>
      </w:r>
    </w:p>
    <w:p w14:paraId="1292D27C" w14:textId="4548B38D" w:rsidR="007727F8" w:rsidRPr="00C31FD2" w:rsidRDefault="00FC0CAC" w:rsidP="00C31FD2">
      <w:pPr>
        <w:pStyle w:val="Enfparassubparaa"/>
      </w:pPr>
      <w:r w:rsidRPr="005F073C">
        <w:rPr>
          <w:spacing w:val="-2"/>
        </w:rPr>
        <w:t xml:space="preserve">an objection to a proposed decision about how and to whom to pay a </w:t>
      </w:r>
      <w:r w:rsidR="00921C1B">
        <w:rPr>
          <w:spacing w:val="-2"/>
        </w:rPr>
        <w:t xml:space="preserve">superannuation </w:t>
      </w:r>
      <w:r w:rsidRPr="005F073C">
        <w:rPr>
          <w:spacing w:val="-2"/>
        </w:rPr>
        <w:t>death benefit distribution</w:t>
      </w:r>
      <w:r>
        <w:rPr>
          <w:spacing w:val="-2"/>
        </w:rPr>
        <w:t>;</w:t>
      </w:r>
    </w:p>
    <w:p w14:paraId="63EE7254" w14:textId="2058A598" w:rsidR="007727F8" w:rsidRPr="00DF698E" w:rsidRDefault="00340DC3" w:rsidP="00C31FD2">
      <w:pPr>
        <w:pStyle w:val="Enfparassubparaa"/>
      </w:pPr>
      <w:bookmarkStart w:id="73" w:name="_Hlk44425174"/>
      <w:bookmarkEnd w:id="65"/>
      <w:bookmarkEnd w:id="69"/>
      <w:r w:rsidRPr="00DF698E">
        <w:t>complaint</w:t>
      </w:r>
      <w:r w:rsidR="00FA4425" w:rsidRPr="00DF698E">
        <w:t>s</w:t>
      </w:r>
      <w:r w:rsidRPr="00DF698E">
        <w:t xml:space="preserve"> </w:t>
      </w:r>
      <w:r w:rsidR="00FA4425" w:rsidRPr="00DF698E">
        <w:t xml:space="preserve">about a </w:t>
      </w:r>
      <w:r w:rsidRPr="00DF698E">
        <w:t xml:space="preserve">matter that is the subject of an existing remediation program </w:t>
      </w:r>
      <w:r w:rsidR="00FA4425" w:rsidRPr="00DF698E">
        <w:t xml:space="preserve">or about </w:t>
      </w:r>
      <w:r w:rsidR="00A91B1C" w:rsidRPr="00DF698E">
        <w:t>the</w:t>
      </w:r>
      <w:r w:rsidR="00FA4425" w:rsidRPr="00DF698E">
        <w:t xml:space="preserve"> remediation </w:t>
      </w:r>
      <w:r w:rsidR="00E2655A" w:rsidRPr="00DF698E">
        <w:t xml:space="preserve">program </w:t>
      </w:r>
      <w:r w:rsidR="00FA4425" w:rsidRPr="00DF698E">
        <w:t>itself (e.g. delays, lack of communication)</w:t>
      </w:r>
      <w:r w:rsidRPr="00DF698E">
        <w:t>;</w:t>
      </w:r>
    </w:p>
    <w:bookmarkEnd w:id="73"/>
    <w:p w14:paraId="2B9CF394" w14:textId="20DF9460" w:rsidR="00340DC3" w:rsidRPr="00C31FD2" w:rsidRDefault="00340DC3" w:rsidP="00C31FD2">
      <w:pPr>
        <w:pStyle w:val="Enfparassubparaa"/>
      </w:pPr>
      <w:r w:rsidRPr="00C31FD2">
        <w:t xml:space="preserve">complaints </w:t>
      </w:r>
      <w:r w:rsidR="001D35AB" w:rsidRPr="00C31FD2">
        <w:t>about</w:t>
      </w:r>
      <w:r w:rsidRPr="00C31FD2">
        <w:t xml:space="preserve"> the handling of an insurance claim </w:t>
      </w:r>
      <w:r w:rsidR="001D35AB" w:rsidRPr="00C31FD2">
        <w:t>(e.g.</w:t>
      </w:r>
      <w:r w:rsidR="002C6752" w:rsidRPr="00C31FD2">
        <w:t xml:space="preserve"> </w:t>
      </w:r>
      <w:r w:rsidRPr="00C31FD2">
        <w:t>excessive delays or unreasonable information requests</w:t>
      </w:r>
      <w:r w:rsidR="001D35AB" w:rsidRPr="00C31FD2">
        <w:t>)</w:t>
      </w:r>
      <w:r w:rsidRPr="00C31FD2">
        <w:t>.</w:t>
      </w:r>
    </w:p>
    <w:p w14:paraId="161EF757" w14:textId="6A563015" w:rsidR="00C66D04" w:rsidRPr="002C6752" w:rsidRDefault="00C66D04" w:rsidP="00642749">
      <w:pPr>
        <w:pStyle w:val="Heading3"/>
      </w:pPr>
      <w:bookmarkStart w:id="74" w:name="_ASICRef162"/>
      <w:r w:rsidRPr="002C6752">
        <w:lastRenderedPageBreak/>
        <w:t xml:space="preserve">What is not a </w:t>
      </w:r>
      <w:r w:rsidR="00E12C7C">
        <w:t>‘</w:t>
      </w:r>
      <w:r w:rsidRPr="002C6752">
        <w:t>complaint</w:t>
      </w:r>
      <w:r w:rsidR="00E12C7C">
        <w:t>’</w:t>
      </w:r>
    </w:p>
    <w:p w14:paraId="1BED08E7" w14:textId="5A44AD0E" w:rsidR="002E562D" w:rsidRPr="002C6752" w:rsidRDefault="00340DC3" w:rsidP="002E562D">
      <w:pPr>
        <w:pStyle w:val="BodyText"/>
      </w:pPr>
      <w:r w:rsidRPr="002C6752">
        <w:t xml:space="preserve">For avoidance of doubt, we do not consider the following to be </w:t>
      </w:r>
      <w:r w:rsidR="00E12C7C">
        <w:t>‘</w:t>
      </w:r>
      <w:r w:rsidRPr="002C6752">
        <w:t>complaints</w:t>
      </w:r>
      <w:r w:rsidR="00E12C7C">
        <w:t>’</w:t>
      </w:r>
      <w:r w:rsidR="002E562D" w:rsidRPr="002C6752">
        <w:t>:</w:t>
      </w:r>
      <w:bookmarkEnd w:id="74"/>
    </w:p>
    <w:p w14:paraId="6F7B3D83" w14:textId="07118161" w:rsidR="002E562D" w:rsidRPr="002C6752" w:rsidRDefault="00340DC3" w:rsidP="002E562D">
      <w:pPr>
        <w:pStyle w:val="subparaa"/>
      </w:pPr>
      <w:r w:rsidRPr="002C6752">
        <w:t>employment</w:t>
      </w:r>
      <w:r w:rsidR="001D35AB" w:rsidRPr="002C6752">
        <w:t>-</w:t>
      </w:r>
      <w:r w:rsidRPr="002C6752">
        <w:t>related complaints raised by financial firm staff</w:t>
      </w:r>
      <w:r w:rsidR="002E562D" w:rsidRPr="002C6752">
        <w:t xml:space="preserve">; </w:t>
      </w:r>
      <w:r w:rsidR="00FA4425" w:rsidRPr="002C6752">
        <w:t>and</w:t>
      </w:r>
    </w:p>
    <w:p w14:paraId="36D6B8BE" w14:textId="2B46945E" w:rsidR="00F830A3" w:rsidRPr="002C6752" w:rsidRDefault="002E562D" w:rsidP="006242DF">
      <w:pPr>
        <w:pStyle w:val="subparaa"/>
      </w:pPr>
      <w:r w:rsidRPr="002C6752">
        <w:t>comments made about a firm w</w:t>
      </w:r>
      <w:r w:rsidR="00F830A3" w:rsidRPr="002C6752">
        <w:t>here a response is not</w:t>
      </w:r>
      <w:r w:rsidR="00ED6C34" w:rsidRPr="002C6752">
        <w:t xml:space="preserve"> </w:t>
      </w:r>
      <w:r w:rsidR="00340DC3" w:rsidRPr="002C6752">
        <w:t>expected</w:t>
      </w:r>
      <w:r w:rsidR="00ED6C34" w:rsidRPr="002C6752">
        <w:t>, such as</w:t>
      </w:r>
      <w:r w:rsidR="00F830A3" w:rsidRPr="002C6752">
        <w:t>:</w:t>
      </w:r>
    </w:p>
    <w:p w14:paraId="08135D99" w14:textId="77777777" w:rsidR="002E562D" w:rsidRPr="002C6752" w:rsidRDefault="002E562D" w:rsidP="002E562D">
      <w:pPr>
        <w:pStyle w:val="subsubparai"/>
      </w:pPr>
      <w:r w:rsidRPr="002C6752">
        <w:t>feedback provided in surveys; or</w:t>
      </w:r>
    </w:p>
    <w:p w14:paraId="69FA7C57" w14:textId="1F133A3C" w:rsidR="002E562D" w:rsidRPr="002C6752" w:rsidRDefault="002E562D" w:rsidP="002E562D">
      <w:pPr>
        <w:pStyle w:val="subsubparai"/>
      </w:pPr>
      <w:r w:rsidRPr="002C6752">
        <w:t>reports</w:t>
      </w:r>
      <w:r w:rsidR="000E3233" w:rsidRPr="002C6752">
        <w:t xml:space="preserve"> </w:t>
      </w:r>
      <w:r w:rsidRPr="002C6752">
        <w:t>intended solely to bring a matter to a financial firm</w:t>
      </w:r>
      <w:r w:rsidR="00E12C7C">
        <w:t>’</w:t>
      </w:r>
      <w:r w:rsidRPr="002C6752">
        <w:t>s attention</w:t>
      </w:r>
      <w:r w:rsidR="00C66D04" w:rsidRPr="002C6752">
        <w:t>—</w:t>
      </w:r>
      <w:r w:rsidR="000E3233" w:rsidRPr="002C6752">
        <w:t xml:space="preserve">for example, that an </w:t>
      </w:r>
      <w:r w:rsidR="00C66D04" w:rsidRPr="002C6752">
        <w:t>automatic teller machine (</w:t>
      </w:r>
      <w:r w:rsidR="000E3233" w:rsidRPr="002C6752">
        <w:t>A</w:t>
      </w:r>
      <w:r w:rsidR="00454719" w:rsidRPr="002C6752">
        <w:t>TM</w:t>
      </w:r>
      <w:r w:rsidR="00C66D04" w:rsidRPr="002C6752">
        <w:t>)</w:t>
      </w:r>
      <w:r w:rsidR="00454719" w:rsidRPr="002C6752">
        <w:t xml:space="preserve"> is </w:t>
      </w:r>
      <w:r w:rsidR="00F830A3" w:rsidRPr="002C6752">
        <w:t>damaged</w:t>
      </w:r>
      <w:r w:rsidRPr="002C6752">
        <w:t>.</w:t>
      </w:r>
    </w:p>
    <w:p w14:paraId="2CC49741" w14:textId="77777777" w:rsidR="00340DC3" w:rsidRPr="002C6752" w:rsidRDefault="00340DC3" w:rsidP="00340DC3">
      <w:pPr>
        <w:pStyle w:val="BodyText"/>
      </w:pPr>
      <w:r w:rsidRPr="002C6752">
        <w:t>Financial firms structure and resource their complaint management function(s) differently. Smaller firms may have one person responsible for complaints, along with other duties. Medium-sized and large firms may empower their frontline staff to resolve complaints at the first point of contact, and also provide further opportunities for matters to be considered by a specialist complaints team if complainants are not satisfied with the initial action taken. Some firms, especially in the banking sector, also offer customer advocates as an additional escalation point.</w:t>
      </w:r>
    </w:p>
    <w:p w14:paraId="0CEB74A1" w14:textId="4108B498" w:rsidR="00340DC3" w:rsidRPr="002C6752" w:rsidRDefault="00340DC3" w:rsidP="00340DC3">
      <w:pPr>
        <w:pStyle w:val="BodyText"/>
      </w:pPr>
      <w:bookmarkStart w:id="75" w:name="_ASICRef705"/>
      <w:bookmarkStart w:id="76" w:name="_ASICRef938"/>
      <w:r w:rsidRPr="002C6752">
        <w:t>Regardless of a firm</w:t>
      </w:r>
      <w:r w:rsidR="00E12C7C">
        <w:t>’</w:t>
      </w:r>
      <w:r w:rsidRPr="002C6752">
        <w:t>s structure, it is the complainant</w:t>
      </w:r>
      <w:r w:rsidR="00E12C7C">
        <w:t>’</w:t>
      </w:r>
      <w:r w:rsidRPr="002C6752">
        <w:t xml:space="preserve">s expression of dissatisfaction (that meets the definition of </w:t>
      </w:r>
      <w:r w:rsidR="00E12C7C">
        <w:t>‘</w:t>
      </w:r>
      <w:r w:rsidRPr="002C6752">
        <w:t>complaint</w:t>
      </w:r>
      <w:r w:rsidR="00E12C7C">
        <w:t>’</w:t>
      </w:r>
      <w:r w:rsidRPr="002C6752">
        <w:t xml:space="preserve"> in </w:t>
      </w:r>
      <w:r w:rsidR="00CB1DA2" w:rsidRPr="002C6752">
        <w:fldChar w:fldCharType="begin"/>
      </w:r>
      <w:r w:rsidR="00CB1DA2" w:rsidRPr="002C6752">
        <w:instrText xml:space="preserve"> REF _ASICRef395 \w \h </w:instrText>
      </w:r>
      <w:r w:rsidR="00CB1DA2" w:rsidRPr="002C6752">
        <w:fldChar w:fldCharType="separate"/>
      </w:r>
      <w:r w:rsidR="00DE6E77">
        <w:t>RG 271.27</w:t>
      </w:r>
      <w:r w:rsidR="00CB1DA2" w:rsidRPr="002C6752">
        <w:fldChar w:fldCharType="end"/>
      </w:r>
      <w:r w:rsidRPr="002C6752">
        <w:t>) that triggers a firm</w:t>
      </w:r>
      <w:r w:rsidR="00E12C7C">
        <w:t>’</w:t>
      </w:r>
      <w:r w:rsidRPr="002C6752">
        <w:t xml:space="preserve">s obligation to deal with the matter according to our IDR requirements, </w:t>
      </w:r>
      <w:r w:rsidRPr="002C6752">
        <w:rPr>
          <w:i/>
        </w:rPr>
        <w:t>not</w:t>
      </w:r>
      <w:r w:rsidRPr="002C6752">
        <w:t xml:space="preserve"> the referral of a complaint to a specialist complaints or IDR team. </w:t>
      </w:r>
      <w:bookmarkEnd w:id="75"/>
      <w:bookmarkEnd w:id="76"/>
    </w:p>
    <w:p w14:paraId="66CC9EC1" w14:textId="4A358650" w:rsidR="002F00B7" w:rsidRPr="002C6752" w:rsidRDefault="00F51972" w:rsidP="006244CE">
      <w:pPr>
        <w:pStyle w:val="Heading2"/>
        <w:spacing w:before="600"/>
      </w:pPr>
      <w:bookmarkStart w:id="77" w:name="_Toc46844233"/>
      <w:r w:rsidRPr="002C6752">
        <w:t>D</w:t>
      </w:r>
      <w:r w:rsidR="002F00B7" w:rsidRPr="002C6752">
        <w:t xml:space="preserve">efinition of </w:t>
      </w:r>
      <w:r w:rsidR="00E12C7C">
        <w:t>‘</w:t>
      </w:r>
      <w:r w:rsidR="006C04AD" w:rsidRPr="002C6752">
        <w:t>complainant</w:t>
      </w:r>
      <w:r w:rsidR="00E12C7C">
        <w:t>’</w:t>
      </w:r>
      <w:bookmarkEnd w:id="77"/>
    </w:p>
    <w:p w14:paraId="77F35775" w14:textId="349582ED" w:rsidR="00CF12F9" w:rsidRPr="002C6752" w:rsidRDefault="00CF12F9" w:rsidP="006244CE">
      <w:pPr>
        <w:pStyle w:val="Heading3"/>
        <w:spacing w:before="360"/>
      </w:pPr>
      <w:r w:rsidRPr="002C6752">
        <w:t>Small business complaints</w:t>
      </w:r>
    </w:p>
    <w:p w14:paraId="41A4C169" w14:textId="07249EB5" w:rsidR="009B4FEE" w:rsidRPr="002C6752" w:rsidRDefault="009B4FEE" w:rsidP="009A6619">
      <w:pPr>
        <w:pStyle w:val="Enfparashead"/>
      </w:pPr>
      <w:bookmarkStart w:id="78" w:name="_ASICRef278"/>
      <w:r w:rsidRPr="002C6752">
        <w:t xml:space="preserve">Enforceable paragraph: </w:t>
      </w:r>
      <w:r w:rsidRPr="002C6752">
        <w:fldChar w:fldCharType="begin"/>
      </w:r>
      <w:r w:rsidRPr="002C6752">
        <w:instrText xml:space="preserve"> REF _ASICRef155 \w \h  \* MERGEFORMAT </w:instrText>
      </w:r>
      <w:r w:rsidRPr="002C6752">
        <w:fldChar w:fldCharType="separate"/>
      </w:r>
      <w:r w:rsidR="00DE6E77">
        <w:t>RG 271.36</w:t>
      </w:r>
      <w:r w:rsidRPr="002C6752">
        <w:fldChar w:fldCharType="end"/>
      </w:r>
    </w:p>
    <w:p w14:paraId="0857AB85" w14:textId="37087C1A" w:rsidR="00D745D4" w:rsidRPr="002C6752" w:rsidRDefault="003B130C" w:rsidP="009A6619">
      <w:pPr>
        <w:pStyle w:val="Enfparastext"/>
      </w:pPr>
      <w:bookmarkStart w:id="79" w:name="_ASICRef155"/>
      <w:bookmarkStart w:id="80" w:name="_ASICRef903"/>
      <w:bookmarkStart w:id="81" w:name="_ASICRef121"/>
      <w:bookmarkStart w:id="82" w:name="_ASICRef954"/>
      <w:r w:rsidRPr="002C6752">
        <w:t>A</w:t>
      </w:r>
      <w:r w:rsidR="00F47F6F" w:rsidRPr="002C6752">
        <w:t>ny IDR process for financial service providers must be able to deal</w:t>
      </w:r>
      <w:r w:rsidR="00D76CA2" w:rsidRPr="002C6752">
        <w:t xml:space="preserve">, at a minimum, </w:t>
      </w:r>
      <w:r w:rsidR="00F47F6F" w:rsidRPr="002C6752">
        <w:t xml:space="preserve">with complaints made by </w:t>
      </w:r>
      <w:r w:rsidR="00E12C7C">
        <w:t>‘</w:t>
      </w:r>
      <w:r w:rsidR="00F47F6F" w:rsidRPr="002C6752">
        <w:t>retail clients</w:t>
      </w:r>
      <w:r w:rsidR="00E12C7C">
        <w:t>’</w:t>
      </w:r>
      <w:r w:rsidR="002F3D0B" w:rsidRPr="002C6752">
        <w:t>,</w:t>
      </w:r>
      <w:r w:rsidR="00F47F6F" w:rsidRPr="002C6752">
        <w:t xml:space="preserve"> as defined by s761G of the Corporations Act and its related regulations</w:t>
      </w:r>
      <w:r w:rsidR="001B4085" w:rsidRPr="002C6752">
        <w:t>.</w:t>
      </w:r>
      <w:r w:rsidR="00C600F4" w:rsidRPr="002C6752">
        <w:t xml:space="preserve"> </w:t>
      </w:r>
      <w:bookmarkEnd w:id="78"/>
      <w:bookmarkEnd w:id="79"/>
      <w:bookmarkEnd w:id="80"/>
      <w:bookmarkEnd w:id="81"/>
      <w:bookmarkEnd w:id="82"/>
    </w:p>
    <w:p w14:paraId="1BB66A53" w14:textId="6CDD4BC5" w:rsidR="00B1396B" w:rsidRPr="002C6752" w:rsidRDefault="00823086" w:rsidP="00E5660C">
      <w:pPr>
        <w:pStyle w:val="BodyText"/>
      </w:pPr>
      <w:r w:rsidRPr="002C6752">
        <w:t xml:space="preserve">The </w:t>
      </w:r>
      <w:hyperlink r:id="rId35" w:history="1">
        <w:r w:rsidRPr="002C6752">
          <w:rPr>
            <w:rStyle w:val="Hyperlink"/>
          </w:rPr>
          <w:t>AFCA Rules</w:t>
        </w:r>
      </w:hyperlink>
      <w:r w:rsidRPr="002C6752">
        <w:t xml:space="preserve"> define </w:t>
      </w:r>
      <w:r w:rsidR="00E12C7C">
        <w:t>‘</w:t>
      </w:r>
      <w:r w:rsidRPr="002C6752">
        <w:t>small business</w:t>
      </w:r>
      <w:r w:rsidR="00E12C7C">
        <w:t>’</w:t>
      </w:r>
      <w:r w:rsidRPr="002C6752">
        <w:t xml:space="preserve"> as </w:t>
      </w:r>
      <w:r w:rsidR="00B1396B" w:rsidRPr="002C6752">
        <w:t xml:space="preserve">a </w:t>
      </w:r>
      <w:r w:rsidR="0037679B" w:rsidRPr="002C6752">
        <w:t>business that had less than 100 </w:t>
      </w:r>
      <w:r w:rsidR="00B1396B" w:rsidRPr="002C6752">
        <w:t xml:space="preserve">employees at the time of the act or omission by the </w:t>
      </w:r>
      <w:r w:rsidR="002F3D0B" w:rsidRPr="002C6752">
        <w:t>f</w:t>
      </w:r>
      <w:r w:rsidR="00B1396B" w:rsidRPr="002C6752">
        <w:t xml:space="preserve">inancial </w:t>
      </w:r>
      <w:r w:rsidR="002F3D0B" w:rsidRPr="002C6752">
        <w:t>f</w:t>
      </w:r>
      <w:r w:rsidR="00B1396B" w:rsidRPr="002C6752">
        <w:t>irm t</w:t>
      </w:r>
      <w:r w:rsidRPr="002C6752">
        <w:t>hat gave rise to the complaint</w:t>
      </w:r>
      <w:r w:rsidR="002F3D0B" w:rsidRPr="002C6752">
        <w:t>: see Section E.1 of the AFCA Rules</w:t>
      </w:r>
      <w:r w:rsidRPr="002C6752">
        <w:t>.</w:t>
      </w:r>
      <w:r w:rsidR="003229E3" w:rsidRPr="002C6752">
        <w:t xml:space="preserve"> </w:t>
      </w:r>
      <w:r w:rsidR="00B1396B" w:rsidRPr="002C6752">
        <w:t xml:space="preserve">A small business includes a </w:t>
      </w:r>
      <w:r w:rsidR="002F3D0B" w:rsidRPr="002C6752">
        <w:t>p</w:t>
      </w:r>
      <w:r w:rsidR="00B1396B" w:rsidRPr="002C6752">
        <w:t xml:space="preserve">rimary </w:t>
      </w:r>
      <w:r w:rsidR="002F3D0B" w:rsidRPr="002C6752">
        <w:t>p</w:t>
      </w:r>
      <w:r w:rsidR="00B1396B" w:rsidRPr="002C6752">
        <w:t>roducer</w:t>
      </w:r>
      <w:r w:rsidR="002F3D0B" w:rsidRPr="002C6752">
        <w:t>, if that primary producer is also a small business</w:t>
      </w:r>
      <w:r w:rsidR="00B1396B" w:rsidRPr="002C6752">
        <w:t>.</w:t>
      </w:r>
      <w:r w:rsidR="002F3D0B" w:rsidRPr="002C6752" w:rsidDel="002F3D0B">
        <w:rPr>
          <w:rStyle w:val="FootnoteReference"/>
        </w:rPr>
        <w:t xml:space="preserve"> </w:t>
      </w:r>
    </w:p>
    <w:p w14:paraId="3743B180" w14:textId="0E3E1B2A" w:rsidR="00B1396B" w:rsidRPr="002C6752" w:rsidRDefault="00B1396B" w:rsidP="00B1396B">
      <w:pPr>
        <w:pStyle w:val="Note"/>
      </w:pPr>
      <w:r w:rsidRPr="002C6752">
        <w:t>Note</w:t>
      </w:r>
      <w:r w:rsidR="002875A4" w:rsidRPr="002C6752">
        <w:t xml:space="preserve"> 1</w:t>
      </w:r>
      <w:r w:rsidRPr="002C6752">
        <w:t xml:space="preserve">: </w:t>
      </w:r>
      <w:r w:rsidR="002F3D0B" w:rsidRPr="002C6752">
        <w:t xml:space="preserve">The </w:t>
      </w:r>
      <w:r w:rsidRPr="002C6752">
        <w:t xml:space="preserve">AFCA Rules </w:t>
      </w:r>
      <w:r w:rsidR="002F3D0B" w:rsidRPr="002C6752">
        <w:t xml:space="preserve">define a primary producer as </w:t>
      </w:r>
      <w:r w:rsidRPr="002C6752">
        <w:t>a primary production business within the meaning of s995.1(1) of the</w:t>
      </w:r>
      <w:r w:rsidRPr="002C6752">
        <w:rPr>
          <w:i/>
        </w:rPr>
        <w:t xml:space="preserve"> Income Tax Assessment Act 1997</w:t>
      </w:r>
      <w:r w:rsidRPr="002C6752">
        <w:t>.</w:t>
      </w:r>
    </w:p>
    <w:p w14:paraId="7FA4C57D" w14:textId="10E6C0B9" w:rsidR="002875A4" w:rsidRPr="002C6752" w:rsidRDefault="002875A4" w:rsidP="002875A4">
      <w:pPr>
        <w:pStyle w:val="Note"/>
      </w:pPr>
      <w:r w:rsidRPr="002C6752">
        <w:t>Note 2: The AFCA Rules exclude from AFCA</w:t>
      </w:r>
      <w:r w:rsidR="00E12C7C">
        <w:t>’</w:t>
      </w:r>
      <w:r w:rsidRPr="002C6752">
        <w:t>s jurisdiction a complaint where a complainant is a member of a group of related bodies corporate and that group has 100</w:t>
      </w:r>
      <w:r w:rsidR="00DE6E77">
        <w:t> </w:t>
      </w:r>
      <w:r w:rsidRPr="002C6752">
        <w:t>em</w:t>
      </w:r>
      <w:r w:rsidR="00D06DD8" w:rsidRPr="002C6752">
        <w:t>p</w:t>
      </w:r>
      <w:r w:rsidRPr="002C6752">
        <w:t>loyees or more.</w:t>
      </w:r>
    </w:p>
    <w:p w14:paraId="1FE27C07" w14:textId="398A8E31" w:rsidR="00507716" w:rsidRPr="002C6752" w:rsidRDefault="00B4499D" w:rsidP="00507716">
      <w:pPr>
        <w:pStyle w:val="BodyText"/>
      </w:pPr>
      <w:bookmarkStart w:id="83" w:name="_ASICRef88"/>
      <w:r w:rsidRPr="002C6752">
        <w:lastRenderedPageBreak/>
        <w:t>We have modified (for IDR purposes only) t</w:t>
      </w:r>
      <w:r w:rsidR="00507716" w:rsidRPr="002C6752">
        <w:t xml:space="preserve">he definition of </w:t>
      </w:r>
      <w:r w:rsidR="00E12C7C">
        <w:t>‘</w:t>
      </w:r>
      <w:r w:rsidR="00507716" w:rsidRPr="002C6752">
        <w:t>small business</w:t>
      </w:r>
      <w:r w:rsidR="00E12C7C">
        <w:t>’</w:t>
      </w:r>
      <w:r w:rsidR="00507716" w:rsidRPr="002C6752">
        <w:t xml:space="preserve"> in s761G of the Corporations Act</w:t>
      </w:r>
      <w:r w:rsidR="00E06665" w:rsidRPr="002C6752">
        <w:t xml:space="preserve"> </w:t>
      </w:r>
      <w:r w:rsidRPr="002C6752">
        <w:t xml:space="preserve">to </w:t>
      </w:r>
      <w:r w:rsidR="00E06665" w:rsidRPr="002C6752">
        <w:t>align</w:t>
      </w:r>
      <w:r w:rsidR="00072579" w:rsidRPr="002C6752">
        <w:t xml:space="preserve"> it</w:t>
      </w:r>
      <w:r w:rsidR="00E06665" w:rsidRPr="002C6752">
        <w:t xml:space="preserve"> with </w:t>
      </w:r>
      <w:r w:rsidRPr="002C6752">
        <w:t>the</w:t>
      </w:r>
      <w:r w:rsidR="00072579" w:rsidRPr="002C6752">
        <w:t xml:space="preserve"> broader</w:t>
      </w:r>
      <w:r w:rsidR="00E06665" w:rsidRPr="002C6752">
        <w:t xml:space="preserve"> definition</w:t>
      </w:r>
      <w:r w:rsidRPr="002C6752">
        <w:t xml:space="preserve"> in the AFCA</w:t>
      </w:r>
      <w:r w:rsidR="00072579" w:rsidRPr="002C6752">
        <w:t xml:space="preserve"> Rules</w:t>
      </w:r>
      <w:r w:rsidR="00C600F4" w:rsidRPr="002C6752">
        <w:t>.</w:t>
      </w:r>
      <w:r w:rsidR="00E06665" w:rsidRPr="002C6752">
        <w:t xml:space="preserve"> This </w:t>
      </w:r>
      <w:r w:rsidR="00E06665" w:rsidRPr="002C6752" w:rsidDel="00EB45B0">
        <w:t>guarantee</w:t>
      </w:r>
      <w:r w:rsidR="00E06665" w:rsidRPr="002C6752">
        <w:t>s</w:t>
      </w:r>
      <w:r w:rsidR="00E06665" w:rsidRPr="002C6752" w:rsidDel="00EB45B0">
        <w:t xml:space="preserve"> consistent dispute resolution access for small </w:t>
      </w:r>
      <w:r w:rsidR="00E06665" w:rsidRPr="005F073C" w:rsidDel="00EB45B0">
        <w:rPr>
          <w:spacing w:val="-4"/>
        </w:rPr>
        <w:t xml:space="preserve">business complainants through both IDR and </w:t>
      </w:r>
      <w:r w:rsidR="00FF4D9A" w:rsidRPr="005F073C">
        <w:rPr>
          <w:spacing w:val="-4"/>
        </w:rPr>
        <w:t>external dispute resolution (</w:t>
      </w:r>
      <w:r w:rsidR="00E06665" w:rsidRPr="005F073C" w:rsidDel="00EB45B0">
        <w:rPr>
          <w:spacing w:val="-4"/>
        </w:rPr>
        <w:t>EDR</w:t>
      </w:r>
      <w:r w:rsidR="00FF4D9A" w:rsidRPr="005F073C">
        <w:rPr>
          <w:spacing w:val="-4"/>
        </w:rPr>
        <w:t>)</w:t>
      </w:r>
      <w:r w:rsidR="00E06665" w:rsidRPr="005F073C">
        <w:rPr>
          <w:spacing w:val="-4"/>
        </w:rPr>
        <w:t>.</w:t>
      </w:r>
      <w:bookmarkEnd w:id="83"/>
    </w:p>
    <w:p w14:paraId="4EF41DE8" w14:textId="6D2D1CE0" w:rsidR="00F47F6F" w:rsidRPr="00C31FD2" w:rsidRDefault="00CF12F9" w:rsidP="006244CE">
      <w:pPr>
        <w:pStyle w:val="Heading3"/>
        <w:spacing w:before="360"/>
      </w:pPr>
      <w:r w:rsidRPr="00C31FD2">
        <w:t>Traditional trustee complaints</w:t>
      </w:r>
    </w:p>
    <w:p w14:paraId="24C05DDC" w14:textId="66B5D014" w:rsidR="009A3DA9" w:rsidRPr="009A3DA9" w:rsidRDefault="009A3DA9" w:rsidP="00C31FD2">
      <w:pPr>
        <w:pStyle w:val="Enfparashead"/>
      </w:pPr>
      <w:r w:rsidRPr="009A3DA9">
        <w:t>Enforceable par</w:t>
      </w:r>
      <w:r w:rsidRPr="00C31FD2">
        <w:t xml:space="preserve">agraph: </w:t>
      </w:r>
      <w:r>
        <w:rPr>
          <w:lang w:val="fr-FR"/>
        </w:rPr>
        <w:fldChar w:fldCharType="begin"/>
      </w:r>
      <w:r w:rsidRPr="00C31FD2">
        <w:instrText xml:space="preserve"> REF _Ref33603716 \r \h </w:instrText>
      </w:r>
      <w:r>
        <w:rPr>
          <w:lang w:val="fr-FR"/>
        </w:rPr>
      </w:r>
      <w:r>
        <w:rPr>
          <w:lang w:val="fr-FR"/>
        </w:rPr>
        <w:fldChar w:fldCharType="separate"/>
      </w:r>
      <w:r w:rsidR="00DE6E77">
        <w:t>RG 271.39</w:t>
      </w:r>
      <w:r>
        <w:rPr>
          <w:lang w:val="fr-FR"/>
        </w:rPr>
        <w:fldChar w:fldCharType="end"/>
      </w:r>
      <w:r w:rsidRPr="00C31FD2">
        <w:t xml:space="preserve"> (including note)</w:t>
      </w:r>
    </w:p>
    <w:p w14:paraId="50293544" w14:textId="1D536E6F" w:rsidR="00834C62" w:rsidRPr="00C31FD2" w:rsidRDefault="00E06665" w:rsidP="00C31FD2">
      <w:pPr>
        <w:pStyle w:val="Enfparastext"/>
      </w:pPr>
      <w:bookmarkStart w:id="84" w:name="_Ref33603716"/>
      <w:r w:rsidRPr="00C31FD2">
        <w:t xml:space="preserve">The </w:t>
      </w:r>
      <w:r w:rsidR="00F47F6F" w:rsidRPr="00C31FD2">
        <w:t>IDR proce</w:t>
      </w:r>
      <w:r w:rsidR="00FE3B6C" w:rsidRPr="00C31FD2">
        <w:t>ss</w:t>
      </w:r>
      <w:r w:rsidR="00F47F6F" w:rsidRPr="00C31FD2">
        <w:t xml:space="preserve"> for trustee companies providing traditional</w:t>
      </w:r>
      <w:r w:rsidR="00961E5C" w:rsidRPr="00C31FD2">
        <w:t xml:space="preserve"> </w:t>
      </w:r>
      <w:r w:rsidR="00F47F6F" w:rsidRPr="00C31FD2">
        <w:t xml:space="preserve">services </w:t>
      </w:r>
      <w:r w:rsidR="00961E5C" w:rsidRPr="00C31FD2">
        <w:t xml:space="preserve">(traditional trustees) </w:t>
      </w:r>
      <w:r w:rsidR="00F47F6F" w:rsidRPr="00C31FD2">
        <w:t>must be able to deal with complaints made by retail clients.</w:t>
      </w:r>
      <w:r w:rsidR="003229E3" w:rsidRPr="00C31FD2">
        <w:t xml:space="preserve"> </w:t>
      </w:r>
      <w:r w:rsidR="00F47F6F" w:rsidRPr="00C31FD2">
        <w:t>For traditional services, these specifically include</w:t>
      </w:r>
      <w:r w:rsidR="00834C62" w:rsidRPr="00C31FD2">
        <w:t xml:space="preserve"> </w:t>
      </w:r>
      <w:r w:rsidR="00F47F6F" w:rsidRPr="00C31FD2">
        <w:t>individuals and small businesses who</w:t>
      </w:r>
      <w:r w:rsidR="00834C62" w:rsidRPr="00C31FD2">
        <w:t>:</w:t>
      </w:r>
      <w:bookmarkEnd w:id="84"/>
      <w:r w:rsidR="00F47F6F" w:rsidRPr="00C31FD2">
        <w:t xml:space="preserve"> </w:t>
      </w:r>
    </w:p>
    <w:p w14:paraId="692D3EAE" w14:textId="12F15A7D" w:rsidR="00F47F6F" w:rsidRPr="00C31FD2" w:rsidRDefault="00F47F6F" w:rsidP="00C31FD2">
      <w:pPr>
        <w:pStyle w:val="Enfparassubparaa"/>
      </w:pPr>
      <w:r w:rsidRPr="00C31FD2">
        <w:t>directly engage a trustee company to provide traditional services (e.g. to prepare a will, trust instrument, power of attorney or agency arrangement); and</w:t>
      </w:r>
    </w:p>
    <w:p w14:paraId="07CA9752" w14:textId="4CDDF32E" w:rsidR="00F47F6F" w:rsidRPr="00C31FD2" w:rsidRDefault="00F47F6F" w:rsidP="00C31FD2">
      <w:pPr>
        <w:pStyle w:val="Enfparassubparaa"/>
      </w:pPr>
      <w:r w:rsidRPr="00C31FD2">
        <w:t xml:space="preserve">do not directly engage the services of </w:t>
      </w:r>
      <w:r w:rsidR="00961E5C" w:rsidRPr="00C31FD2">
        <w:t>the</w:t>
      </w:r>
      <w:r w:rsidRPr="00C31FD2">
        <w:t xml:space="preserve"> trustee company, but who may request an information return.</w:t>
      </w:r>
      <w:r w:rsidR="003229E3" w:rsidRPr="00C31FD2">
        <w:t xml:space="preserve"> </w:t>
      </w:r>
      <w:r w:rsidRPr="00C31FD2">
        <w:t>These persons include:</w:t>
      </w:r>
    </w:p>
    <w:p w14:paraId="021BCCCE" w14:textId="4E56E4B4" w:rsidR="00F47F6F" w:rsidRPr="00C31FD2" w:rsidRDefault="00F47F6F" w:rsidP="00C31FD2">
      <w:pPr>
        <w:pStyle w:val="Enfparassubparai"/>
      </w:pPr>
      <w:r w:rsidRPr="00C31FD2">
        <w:t xml:space="preserve">beneficiaries (including </w:t>
      </w:r>
      <w:r w:rsidR="00834C62" w:rsidRPr="00C31FD2">
        <w:t>beneficiaries named in a</w:t>
      </w:r>
      <w:r w:rsidRPr="00C31FD2">
        <w:t xml:space="preserve"> deceased</w:t>
      </w:r>
      <w:r w:rsidR="00E12C7C">
        <w:t>’</w:t>
      </w:r>
      <w:r w:rsidRPr="00C31FD2">
        <w:t>s will</w:t>
      </w:r>
      <w:r w:rsidR="00834C62" w:rsidRPr="00C31FD2">
        <w:t>,</w:t>
      </w:r>
      <w:r w:rsidRPr="00C31FD2">
        <w:t xml:space="preserve"> p</w:t>
      </w:r>
      <w:r w:rsidR="00834C62" w:rsidRPr="00C31FD2">
        <w:t>eople</w:t>
      </w:r>
      <w:r w:rsidRPr="00C31FD2">
        <w:t xml:space="preserve"> </w:t>
      </w:r>
      <w:r w:rsidR="00834C62" w:rsidRPr="00C31FD2">
        <w:t xml:space="preserve">who </w:t>
      </w:r>
      <w:r w:rsidRPr="00C31FD2">
        <w:t>ha</w:t>
      </w:r>
      <w:r w:rsidR="00834C62" w:rsidRPr="00C31FD2">
        <w:t>ve</w:t>
      </w:r>
      <w:r w:rsidRPr="00C31FD2">
        <w:t xml:space="preserve"> an interest in </w:t>
      </w:r>
      <w:r w:rsidR="00834C62" w:rsidRPr="00C31FD2">
        <w:t xml:space="preserve">the </w:t>
      </w:r>
      <w:r w:rsidRPr="00C31FD2">
        <w:t xml:space="preserve">estate </w:t>
      </w:r>
      <w:r w:rsidR="00834C62" w:rsidRPr="00C31FD2">
        <w:t xml:space="preserve">of someone who </w:t>
      </w:r>
      <w:r w:rsidRPr="00C31FD2">
        <w:t>has die</w:t>
      </w:r>
      <w:r w:rsidR="00834C62" w:rsidRPr="00C31FD2">
        <w:t>d</w:t>
      </w:r>
      <w:r w:rsidRPr="00C31FD2">
        <w:t xml:space="preserve"> without a will</w:t>
      </w:r>
      <w:r w:rsidR="00834C62" w:rsidRPr="00C31FD2">
        <w:t>,</w:t>
      </w:r>
      <w:r w:rsidRPr="00C31FD2">
        <w:t xml:space="preserve"> </w:t>
      </w:r>
      <w:r w:rsidR="00834C62" w:rsidRPr="00C31FD2">
        <w:t>and</w:t>
      </w:r>
      <w:r w:rsidRPr="00C31FD2">
        <w:t xml:space="preserve"> </w:t>
      </w:r>
      <w:r w:rsidR="00834C62" w:rsidRPr="00C31FD2">
        <w:t>people who</w:t>
      </w:r>
      <w:r w:rsidRPr="00C31FD2">
        <w:t xml:space="preserve"> ha</w:t>
      </w:r>
      <w:r w:rsidR="00834C62" w:rsidRPr="00C31FD2">
        <w:t>ve</w:t>
      </w:r>
      <w:r w:rsidRPr="00C31FD2">
        <w:t xml:space="preserve"> commenced legal proceedings to be included as a beneficiary of a deceased</w:t>
      </w:r>
      <w:r w:rsidR="00E12C7C">
        <w:t>’</w:t>
      </w:r>
      <w:r w:rsidRPr="00C31FD2">
        <w:t>s estate); and</w:t>
      </w:r>
    </w:p>
    <w:p w14:paraId="7F8CAE29" w14:textId="006D0D6B" w:rsidR="00F47F6F" w:rsidRPr="00C31FD2" w:rsidRDefault="00F47F6F" w:rsidP="00C31FD2">
      <w:pPr>
        <w:pStyle w:val="Enfparassubparai"/>
      </w:pPr>
      <w:r w:rsidRPr="00C31FD2">
        <w:t xml:space="preserve">certain other persons </w:t>
      </w:r>
      <w:r w:rsidR="00834C62" w:rsidRPr="00C31FD2">
        <w:t>involved in</w:t>
      </w:r>
      <w:r w:rsidRPr="00C31FD2">
        <w:t xml:space="preserve"> ch</w:t>
      </w:r>
      <w:r w:rsidR="0037679B" w:rsidRPr="00C31FD2">
        <w:t>aritable and other trusts (e.g. </w:t>
      </w:r>
      <w:r w:rsidR="00834C62" w:rsidRPr="00C31FD2">
        <w:t>the</w:t>
      </w:r>
      <w:r w:rsidRPr="00C31FD2">
        <w:t xml:space="preserve"> settlor of a trust, or a person who has</w:t>
      </w:r>
      <w:r w:rsidR="00834C62" w:rsidRPr="00C31FD2">
        <w:t xml:space="preserve"> the</w:t>
      </w:r>
      <w:r w:rsidRPr="00C31FD2">
        <w:t xml:space="preserve"> power to appoint or remove a trustee or vary any of the terms of the trust)</w:t>
      </w:r>
      <w:r w:rsidR="00834C62" w:rsidRPr="00C31FD2">
        <w:t>.</w:t>
      </w:r>
    </w:p>
    <w:p w14:paraId="530244FF" w14:textId="2D738E92" w:rsidR="00F47F6F" w:rsidRPr="002C6752" w:rsidRDefault="00F47F6F" w:rsidP="00C31FD2">
      <w:pPr>
        <w:pStyle w:val="Enfparasnote"/>
      </w:pPr>
      <w:r w:rsidRPr="00C31FD2">
        <w:t>Note: See s601RAB(3) and 761G of the Corporations Act, and regs 7.1.28A and 5D.2.01 of the Corporations Regulations</w:t>
      </w:r>
      <w:r w:rsidR="00834C62" w:rsidRPr="00C31FD2">
        <w:t>.</w:t>
      </w:r>
    </w:p>
    <w:p w14:paraId="191DBCFC" w14:textId="2477684D" w:rsidR="00F47F6F" w:rsidRPr="0000578B" w:rsidRDefault="00F47F6F" w:rsidP="00642749">
      <w:pPr>
        <w:pStyle w:val="BodyText"/>
      </w:pPr>
      <w:r w:rsidRPr="00DC5A8A">
        <w:t xml:space="preserve">An </w:t>
      </w:r>
      <w:r w:rsidR="00E12C7C">
        <w:t>‘</w:t>
      </w:r>
      <w:r w:rsidRPr="00DC5A8A">
        <w:t>information return</w:t>
      </w:r>
      <w:r w:rsidR="00E12C7C">
        <w:t>’</w:t>
      </w:r>
      <w:r w:rsidRPr="00DC5A8A">
        <w:t xml:space="preserve"> </w:t>
      </w:r>
      <w:r w:rsidR="00DC5A8A">
        <w:t>needs to</w:t>
      </w:r>
      <w:r w:rsidRPr="00DC5A8A">
        <w:t xml:space="preserve"> include certain information about the trust, including information about income earned on the trust</w:t>
      </w:r>
      <w:r w:rsidR="00E12C7C">
        <w:t>’</w:t>
      </w:r>
      <w:r w:rsidRPr="00DC5A8A">
        <w:t>s assets, expenses and the net value of the trust</w:t>
      </w:r>
      <w:r w:rsidR="00E12C7C">
        <w:t>’</w:t>
      </w:r>
      <w:r w:rsidRPr="00E20853">
        <w:t>s assets: see s601RAC(1)(e) of the Corporations Act and regs 5D.2.01, 5D.2.02 and 7.1.28A of the Corporations Regulations</w:t>
      </w:r>
      <w:r w:rsidRPr="0000578B">
        <w:t>.</w:t>
      </w:r>
    </w:p>
    <w:p w14:paraId="220F32DD" w14:textId="06740B25" w:rsidR="00CF12F9" w:rsidRPr="002C6752" w:rsidRDefault="00CF12F9" w:rsidP="00B050EA">
      <w:pPr>
        <w:pStyle w:val="Heading3"/>
      </w:pPr>
      <w:r w:rsidRPr="002C6752">
        <w:t>Superannuation</w:t>
      </w:r>
      <w:r w:rsidR="00591695" w:rsidRPr="002C6752">
        <w:t>-</w:t>
      </w:r>
      <w:r w:rsidRPr="002C6752">
        <w:t>related complaints</w:t>
      </w:r>
    </w:p>
    <w:p w14:paraId="1CB8B17A" w14:textId="5CFC7DBE" w:rsidR="00D06DD8" w:rsidRPr="002C6752" w:rsidRDefault="00D06DD8" w:rsidP="009A6619">
      <w:pPr>
        <w:pStyle w:val="Enfparashead"/>
      </w:pPr>
      <w:bookmarkStart w:id="85" w:name="_Hlk525216150"/>
      <w:r w:rsidRPr="002C6752">
        <w:t xml:space="preserve">Enforceable paragraph: </w:t>
      </w:r>
      <w:r w:rsidRPr="002C6752">
        <w:fldChar w:fldCharType="begin"/>
      </w:r>
      <w:r w:rsidRPr="002C6752">
        <w:instrText xml:space="preserve"> REF _ASICRef596 \w \h </w:instrText>
      </w:r>
      <w:r w:rsidRPr="002C6752">
        <w:fldChar w:fldCharType="separate"/>
      </w:r>
      <w:r w:rsidR="00DE6E77">
        <w:t>RG 271.41</w:t>
      </w:r>
      <w:r w:rsidRPr="002C6752">
        <w:fldChar w:fldCharType="end"/>
      </w:r>
      <w:r w:rsidR="009A3DA9">
        <w:t>–</w:t>
      </w:r>
      <w:r w:rsidR="009A3DA9">
        <w:fldChar w:fldCharType="begin"/>
      </w:r>
      <w:r w:rsidR="009A3DA9">
        <w:instrText xml:space="preserve"> REF _Ref33603818 \r \h </w:instrText>
      </w:r>
      <w:r w:rsidR="009A3DA9">
        <w:fldChar w:fldCharType="separate"/>
      </w:r>
      <w:r w:rsidR="00DE6E77">
        <w:t>RG 271.42</w:t>
      </w:r>
      <w:r w:rsidR="009A3DA9">
        <w:fldChar w:fldCharType="end"/>
      </w:r>
    </w:p>
    <w:p w14:paraId="3DEEC1F3" w14:textId="2665714F" w:rsidR="00E26E86" w:rsidRPr="002C6752" w:rsidRDefault="001D35AB" w:rsidP="009A6619">
      <w:pPr>
        <w:pStyle w:val="Enfparastext"/>
      </w:pPr>
      <w:bookmarkStart w:id="86" w:name="_ASICRef596"/>
      <w:r w:rsidRPr="002C6752">
        <w:t>There are specific requirements for</w:t>
      </w:r>
      <w:r w:rsidR="00D34A65" w:rsidRPr="002C6752">
        <w:t xml:space="preserve"> IDR process</w:t>
      </w:r>
      <w:r w:rsidRPr="002C6752">
        <w:t>es</w:t>
      </w:r>
      <w:r w:rsidR="00D34A65" w:rsidRPr="002C6752">
        <w:t xml:space="preserve"> for regulated superannuation funds (except for SMSFs), approved deposit funds and RSA providers</w:t>
      </w:r>
      <w:r w:rsidRPr="002C6752">
        <w:t>. At a minimum, th</w:t>
      </w:r>
      <w:r w:rsidR="00E26E86" w:rsidRPr="002C6752">
        <w:t>eir IDR</w:t>
      </w:r>
      <w:r w:rsidRPr="002C6752">
        <w:t xml:space="preserve"> process</w:t>
      </w:r>
      <w:r w:rsidR="00D34A65" w:rsidRPr="002C6752">
        <w:t xml:space="preserve"> must be able to deal with complaints made by a superannuation fund member or third</w:t>
      </w:r>
      <w:r w:rsidR="00E26E86" w:rsidRPr="002C6752">
        <w:t>-</w:t>
      </w:r>
      <w:r w:rsidR="00D34A65" w:rsidRPr="002C6752">
        <w:t xml:space="preserve">party beneficiary </w:t>
      </w:r>
      <w:r w:rsidR="00E26E86" w:rsidRPr="002C6752">
        <w:t>who is:</w:t>
      </w:r>
      <w:bookmarkEnd w:id="86"/>
    </w:p>
    <w:p w14:paraId="0BDDEEFF" w14:textId="3F6BA393" w:rsidR="00E26E86" w:rsidRPr="002C6752" w:rsidRDefault="00D34A65" w:rsidP="009A6619">
      <w:pPr>
        <w:pStyle w:val="Enfparassubparaa"/>
      </w:pPr>
      <w:r w:rsidRPr="002C6752">
        <w:t>eligible to make a complaint to AFCA under s1053 of the Corporations Act</w:t>
      </w:r>
      <w:r w:rsidR="00E26E86" w:rsidRPr="002C6752">
        <w:t>;</w:t>
      </w:r>
      <w:r w:rsidRPr="002C6752">
        <w:t xml:space="preserve"> or </w:t>
      </w:r>
    </w:p>
    <w:p w14:paraId="0A897B93" w14:textId="04ED8998" w:rsidR="00D34A65" w:rsidRPr="002C6752" w:rsidRDefault="00D34A65" w:rsidP="009A6619">
      <w:pPr>
        <w:pStyle w:val="Enfparassubparaa"/>
      </w:pPr>
      <w:r w:rsidRPr="002C6752">
        <w:lastRenderedPageBreak/>
        <w:t xml:space="preserve">taken to be a member of a regulated superannuation fund or approved deposit fund, or a holder of an RSA, </w:t>
      </w:r>
      <w:r w:rsidR="002F06BF" w:rsidRPr="002C6752">
        <w:t>under</w:t>
      </w:r>
      <w:r w:rsidRPr="002C6752">
        <w:t xml:space="preserve"> s1053A of the Corporations Act.</w:t>
      </w:r>
    </w:p>
    <w:p w14:paraId="3F9B9FCF" w14:textId="7FD1B02F" w:rsidR="00D34A65" w:rsidRPr="00C31FD2" w:rsidRDefault="00D34A65" w:rsidP="00C31FD2">
      <w:pPr>
        <w:pStyle w:val="Enfparastext"/>
      </w:pPr>
      <w:bookmarkStart w:id="87" w:name="_Ref33603818"/>
      <w:r w:rsidRPr="00C31FD2">
        <w:t>This means that the IDR process must accept and deal with complaints made by:</w:t>
      </w:r>
      <w:bookmarkEnd w:id="87"/>
    </w:p>
    <w:p w14:paraId="2A60E7E0" w14:textId="7BC1513F" w:rsidR="00D34A65" w:rsidRPr="00C31FD2" w:rsidRDefault="00D34A65" w:rsidP="00C31FD2">
      <w:pPr>
        <w:pStyle w:val="Enfparassubparaa"/>
      </w:pPr>
      <w:r w:rsidRPr="00C31FD2">
        <w:t>superannuation product holders</w:t>
      </w:r>
      <w:r w:rsidR="00D83F9B" w:rsidRPr="00C31FD2">
        <w:t>:</w:t>
      </w:r>
    </w:p>
    <w:p w14:paraId="06068C1D" w14:textId="6DD85238" w:rsidR="00D34A65" w:rsidRPr="00C31FD2" w:rsidRDefault="00D34A65" w:rsidP="00C31FD2">
      <w:pPr>
        <w:pStyle w:val="Enfparassubparai"/>
      </w:pPr>
      <w:r w:rsidRPr="00C31FD2">
        <w:t>members or former members of a regulated superannuation fund (but not an SMSF);</w:t>
      </w:r>
    </w:p>
    <w:p w14:paraId="1ED7161F" w14:textId="6BA6E873" w:rsidR="00D34A65" w:rsidRPr="00C31FD2" w:rsidRDefault="005E50B7" w:rsidP="00C31FD2">
      <w:pPr>
        <w:pStyle w:val="Enfparassubparai"/>
      </w:pPr>
      <w:r w:rsidRPr="00C31FD2">
        <w:t>beneficiaries or former beneficiaries of an approved deposit fund;</w:t>
      </w:r>
    </w:p>
    <w:p w14:paraId="7D307A9C" w14:textId="5287C31B" w:rsidR="005E50B7" w:rsidRPr="00C31FD2" w:rsidRDefault="00E0729A" w:rsidP="00C31FD2">
      <w:pPr>
        <w:pStyle w:val="Enfparassubparai"/>
      </w:pPr>
      <w:r w:rsidRPr="00C31FD2">
        <w:t>people with an interest in a superannuation annuity policy issued by a life company;</w:t>
      </w:r>
    </w:p>
    <w:p w14:paraId="3D54CFD4" w14:textId="2A6B685B" w:rsidR="00E0729A" w:rsidRPr="00C31FD2" w:rsidRDefault="00E0729A" w:rsidP="00C31FD2">
      <w:pPr>
        <w:pStyle w:val="Enfparassubparai"/>
      </w:pPr>
      <w:r w:rsidRPr="00C31FD2">
        <w:t>holders or former holders of an RSA; and</w:t>
      </w:r>
    </w:p>
    <w:p w14:paraId="758F4232" w14:textId="13848DB2" w:rsidR="00E0729A" w:rsidRPr="00C31FD2" w:rsidRDefault="00E0729A" w:rsidP="00C31FD2">
      <w:pPr>
        <w:pStyle w:val="Enfparassubparai"/>
      </w:pPr>
      <w:r w:rsidRPr="00C31FD2">
        <w:t>people with an interest in an insurance contract where the premiums are paid from an RSA;</w:t>
      </w:r>
    </w:p>
    <w:p w14:paraId="5F3CA50D" w14:textId="1A8EE011" w:rsidR="00E0729A" w:rsidRPr="00C31FD2" w:rsidRDefault="00E0729A" w:rsidP="00C31FD2">
      <w:pPr>
        <w:pStyle w:val="Enfparassubparaa"/>
      </w:pPr>
      <w:r w:rsidRPr="00C31FD2">
        <w:t>beneficiaries with an interest in a death benefit;</w:t>
      </w:r>
      <w:r w:rsidR="002F06BF" w:rsidRPr="00C31FD2">
        <w:t xml:space="preserve"> and</w:t>
      </w:r>
    </w:p>
    <w:p w14:paraId="18D6180A" w14:textId="2FD4D570" w:rsidR="00E0729A" w:rsidRPr="00C31FD2" w:rsidRDefault="00E0729A" w:rsidP="00C31FD2">
      <w:pPr>
        <w:pStyle w:val="Enfparassubparaa"/>
      </w:pPr>
      <w:r w:rsidRPr="00C31FD2">
        <w:t>parties (and intending parties) to a</w:t>
      </w:r>
      <w:r w:rsidR="002F06BF" w:rsidRPr="00C31FD2">
        <w:t>n agreement under the</w:t>
      </w:r>
      <w:r w:rsidRPr="00C31FD2">
        <w:t xml:space="preserve"> </w:t>
      </w:r>
      <w:bookmarkStart w:id="88" w:name="_Hlk24555022"/>
      <w:r w:rsidRPr="00C31FD2">
        <w:rPr>
          <w:i/>
        </w:rPr>
        <w:t xml:space="preserve">Family Law </w:t>
      </w:r>
      <w:r w:rsidR="002F06BF" w:rsidRPr="00C31FD2">
        <w:rPr>
          <w:i/>
        </w:rPr>
        <w:t>Act 1975</w:t>
      </w:r>
      <w:bookmarkEnd w:id="88"/>
      <w:r w:rsidRPr="00C31FD2">
        <w:t xml:space="preserve"> or order affecting superannuation</w:t>
      </w:r>
      <w:r w:rsidR="002F06BF" w:rsidRPr="00C31FD2">
        <w:t>, including</w:t>
      </w:r>
      <w:r w:rsidRPr="00C31FD2">
        <w:t>:</w:t>
      </w:r>
    </w:p>
    <w:p w14:paraId="0A1D88AD" w14:textId="7E258C2C" w:rsidR="00E0729A" w:rsidRPr="00C31FD2" w:rsidRDefault="00E0729A" w:rsidP="00C31FD2">
      <w:pPr>
        <w:pStyle w:val="Enfparassubparai"/>
      </w:pPr>
      <w:r w:rsidRPr="00C31FD2">
        <w:t>a member, beneficiary or RSA holder</w:t>
      </w:r>
      <w:r w:rsidR="00E12C7C">
        <w:t>’</w:t>
      </w:r>
      <w:r w:rsidRPr="00C31FD2">
        <w:t xml:space="preserve">s spouse or former spouse who is party to an agreement, or subject to an order </w:t>
      </w:r>
      <w:r w:rsidR="002F06BF" w:rsidRPr="00C31FD2">
        <w:t>about</w:t>
      </w:r>
      <w:r w:rsidRPr="00C31FD2">
        <w:t xml:space="preserve"> that person</w:t>
      </w:r>
      <w:r w:rsidR="00E12C7C">
        <w:t>’</w:t>
      </w:r>
      <w:r w:rsidRPr="00C31FD2">
        <w:t>s superannuation interest; and</w:t>
      </w:r>
    </w:p>
    <w:p w14:paraId="3254DAE9" w14:textId="348F06CC" w:rsidR="00E0729A" w:rsidRPr="00C31FD2" w:rsidRDefault="00E0729A" w:rsidP="00C31FD2">
      <w:pPr>
        <w:pStyle w:val="Enfparassubparai"/>
      </w:pPr>
      <w:r w:rsidRPr="00C31FD2">
        <w:t>someone eligible to request information about that superannuation interest.</w:t>
      </w:r>
    </w:p>
    <w:p w14:paraId="13EBFE86" w14:textId="3052678A" w:rsidR="00CF12F9" w:rsidRPr="002C6752" w:rsidRDefault="00CF12F9" w:rsidP="00B050EA">
      <w:pPr>
        <w:pStyle w:val="Heading3"/>
      </w:pPr>
      <w:r w:rsidRPr="002C6752">
        <w:t>Credit</w:t>
      </w:r>
      <w:r w:rsidR="00106D92" w:rsidRPr="002C6752">
        <w:t>-</w:t>
      </w:r>
      <w:r w:rsidRPr="002C6752">
        <w:t>related complaints</w:t>
      </w:r>
    </w:p>
    <w:p w14:paraId="18B32330" w14:textId="7EB82FEE" w:rsidR="00D06DD8" w:rsidRPr="002C6752" w:rsidRDefault="00D06DD8" w:rsidP="009A6619">
      <w:pPr>
        <w:pStyle w:val="Enfparashead"/>
      </w:pPr>
      <w:bookmarkStart w:id="89" w:name="_ASICRef289"/>
      <w:bookmarkEnd w:id="85"/>
      <w:r w:rsidRPr="002C6752">
        <w:t xml:space="preserve">Enforceable paragraph: </w:t>
      </w:r>
      <w:r w:rsidRPr="002C6752">
        <w:fldChar w:fldCharType="begin"/>
      </w:r>
      <w:r w:rsidRPr="002C6752">
        <w:instrText xml:space="preserve"> REF _ASICRef750 \w \h </w:instrText>
      </w:r>
      <w:r w:rsidRPr="002C6752">
        <w:fldChar w:fldCharType="separate"/>
      </w:r>
      <w:r w:rsidR="00DE6E77">
        <w:t>RG 271.43</w:t>
      </w:r>
      <w:r w:rsidRPr="002C6752">
        <w:fldChar w:fldCharType="end"/>
      </w:r>
    </w:p>
    <w:p w14:paraId="6AF6D192" w14:textId="634CE9D3" w:rsidR="00F47F6F" w:rsidRPr="002C6752" w:rsidRDefault="00F47F6F" w:rsidP="009A6619">
      <w:pPr>
        <w:pStyle w:val="Enfparastext"/>
      </w:pPr>
      <w:bookmarkStart w:id="90" w:name="_ASICRef750"/>
      <w:bookmarkStart w:id="91" w:name="_ASICRef297"/>
      <w:r w:rsidRPr="002C6752">
        <w:t>A</w:t>
      </w:r>
      <w:r w:rsidR="00106D92" w:rsidRPr="002C6752">
        <w:t>t</w:t>
      </w:r>
      <w:r w:rsidRPr="002C6752">
        <w:t xml:space="preserve"> a minimum, an IDR process for credit must be able to handle complaints made </w:t>
      </w:r>
      <w:r w:rsidR="00106D92" w:rsidRPr="002C6752">
        <w:t>about</w:t>
      </w:r>
      <w:r w:rsidRPr="002C6752">
        <w:t xml:space="preserve"> the credit activities engaged in by the credit licensee or its credit representatives, or an unlicensed COI lender: s47(1)(h)</w:t>
      </w:r>
      <w:r w:rsidR="00106D92" w:rsidRPr="002C6752">
        <w:t xml:space="preserve"> of the</w:t>
      </w:r>
      <w:r w:rsidRPr="002C6752">
        <w:t xml:space="preserve"> National Credit Act and Sch 2</w:t>
      </w:r>
      <w:r w:rsidR="00106D92" w:rsidRPr="002C6752">
        <w:t xml:space="preserve"> to the</w:t>
      </w:r>
      <w:r w:rsidRPr="002C6752">
        <w:t xml:space="preserve"> National Credit Regulations.</w:t>
      </w:r>
      <w:r w:rsidR="003229E3" w:rsidRPr="002C6752">
        <w:t xml:space="preserve"> </w:t>
      </w:r>
      <w:r w:rsidRPr="002C6752">
        <w:t>This will involve covering complaints made by consumers of credit, lessees and guarantors</w:t>
      </w:r>
      <w:r w:rsidR="00AC15F4" w:rsidRPr="002C6752">
        <w:t xml:space="preserve"> </w:t>
      </w:r>
      <w:r w:rsidR="00B55A49" w:rsidRPr="002C6752">
        <w:t xml:space="preserve">as defined </w:t>
      </w:r>
      <w:r w:rsidRPr="002C6752">
        <w:t>under the National Credit Act.</w:t>
      </w:r>
      <w:bookmarkEnd w:id="89"/>
      <w:bookmarkEnd w:id="90"/>
      <w:bookmarkEnd w:id="91"/>
    </w:p>
    <w:p w14:paraId="2044AE3D" w14:textId="14EEB549" w:rsidR="00F47F6F" w:rsidRPr="002C6752" w:rsidRDefault="00F47F6F" w:rsidP="00F47F6F">
      <w:pPr>
        <w:pStyle w:val="BodyText"/>
      </w:pPr>
      <w:bookmarkStart w:id="92" w:name="_ASICRef226"/>
      <w:bookmarkStart w:id="93" w:name="_ASICRef543"/>
      <w:r w:rsidRPr="002C6752">
        <w:t>We encourage firms to develop IDR processes that have broader cov</w:t>
      </w:r>
      <w:r w:rsidR="00B502AC" w:rsidRPr="002C6752">
        <w:t>erage than o</w:t>
      </w:r>
      <w:r w:rsidR="0012166B" w:rsidRPr="002C6752">
        <w:t xml:space="preserve">utlined at </w:t>
      </w:r>
      <w:r w:rsidR="00E03394" w:rsidRPr="002C6752">
        <w:fldChar w:fldCharType="begin"/>
      </w:r>
      <w:r w:rsidR="00E03394" w:rsidRPr="002C6752">
        <w:instrText xml:space="preserve"> REF _ASICRef297 \w \h </w:instrText>
      </w:r>
      <w:r w:rsidR="00E03394" w:rsidRPr="002C6752">
        <w:fldChar w:fldCharType="separate"/>
      </w:r>
      <w:r w:rsidR="00DE6E77">
        <w:t>RG 271.43</w:t>
      </w:r>
      <w:r w:rsidR="00E03394" w:rsidRPr="002C6752">
        <w:fldChar w:fldCharType="end"/>
      </w:r>
      <w:r w:rsidR="00D745D4" w:rsidRPr="002C6752">
        <w:t>, and</w:t>
      </w:r>
      <w:r w:rsidRPr="002C6752">
        <w:t xml:space="preserve"> that are consistent with the nature of their business and their dealings with consumers and investors.</w:t>
      </w:r>
      <w:bookmarkEnd w:id="92"/>
      <w:r w:rsidR="00C600F4" w:rsidRPr="002C6752">
        <w:t xml:space="preserve"> </w:t>
      </w:r>
      <w:r w:rsidR="00D745D4" w:rsidRPr="002C6752">
        <w:t>In particular</w:t>
      </w:r>
      <w:r w:rsidR="00C600F4" w:rsidRPr="002C6752">
        <w:t>,</w:t>
      </w:r>
      <w:r w:rsidR="00D745D4" w:rsidRPr="002C6752">
        <w:t xml:space="preserve"> we encourage all credit licensees to deal with complaints from small businesses</w:t>
      </w:r>
      <w:r w:rsidR="00993688" w:rsidRPr="002C6752">
        <w:t>—</w:t>
      </w:r>
      <w:r w:rsidR="00D745D4" w:rsidRPr="002C6752">
        <w:t>as defined in the AFCA Rules</w:t>
      </w:r>
      <w:r w:rsidR="00C600F4" w:rsidRPr="002C6752">
        <w:t>—</w:t>
      </w:r>
      <w:r w:rsidR="00D745D4" w:rsidRPr="002C6752">
        <w:t>under their IDR processes.</w:t>
      </w:r>
      <w:bookmarkEnd w:id="93"/>
    </w:p>
    <w:p w14:paraId="1E8984D1" w14:textId="77777777" w:rsidR="00D0539B" w:rsidRPr="002C6752" w:rsidRDefault="00D0539B" w:rsidP="00D0539B">
      <w:pPr>
        <w:pStyle w:val="Heading2"/>
      </w:pPr>
      <w:bookmarkStart w:id="94" w:name="_Toc46844234"/>
      <w:bookmarkStart w:id="95" w:name="_Hlk535237068"/>
      <w:r w:rsidRPr="002C6752">
        <w:lastRenderedPageBreak/>
        <w:t>Outsourcing IDR processes</w:t>
      </w:r>
      <w:bookmarkEnd w:id="94"/>
    </w:p>
    <w:p w14:paraId="1CB8FC1A" w14:textId="68A888CA" w:rsidR="00576FBC" w:rsidRPr="008F4908" w:rsidRDefault="00A27A03" w:rsidP="00D0539B">
      <w:pPr>
        <w:pStyle w:val="BodyText"/>
      </w:pPr>
      <w:bookmarkStart w:id="96" w:name="_ASICRef430"/>
      <w:r w:rsidRPr="008F4908">
        <w:t>Some</w:t>
      </w:r>
      <w:r w:rsidR="00576FBC" w:rsidRPr="008F4908">
        <w:t xml:space="preserve"> financial firms outsource </w:t>
      </w:r>
      <w:r w:rsidRPr="008F4908">
        <w:t xml:space="preserve">part, or all, of </w:t>
      </w:r>
      <w:r w:rsidR="00EC0540" w:rsidRPr="008F4908">
        <w:t>their IDR process</w:t>
      </w:r>
      <w:r w:rsidR="00576FBC" w:rsidRPr="008F4908">
        <w:t>.</w:t>
      </w:r>
      <w:r w:rsidR="003229E3" w:rsidRPr="008F4908">
        <w:t xml:space="preserve"> </w:t>
      </w:r>
      <w:r w:rsidR="00576FBC" w:rsidRPr="008F4908">
        <w:t xml:space="preserve">Outsourcing might be to external parties or to other entities within a </w:t>
      </w:r>
      <w:r w:rsidR="00A44A39" w:rsidRPr="008F4908">
        <w:t xml:space="preserve">related </w:t>
      </w:r>
      <w:r w:rsidR="00576FBC" w:rsidRPr="008F4908">
        <w:t>corporate group.</w:t>
      </w:r>
      <w:bookmarkEnd w:id="96"/>
    </w:p>
    <w:p w14:paraId="7FAC316E" w14:textId="6F37C30C" w:rsidR="0009182A" w:rsidRPr="002C6752" w:rsidRDefault="00D0539B" w:rsidP="00D0539B">
      <w:pPr>
        <w:pStyle w:val="BodyText"/>
      </w:pPr>
      <w:bookmarkStart w:id="97" w:name="_ASICRef119"/>
      <w:r w:rsidRPr="002C6752">
        <w:t xml:space="preserve">A financial firm that outsources </w:t>
      </w:r>
      <w:r w:rsidR="00A27A03" w:rsidRPr="002C6752">
        <w:t>part</w:t>
      </w:r>
      <w:r w:rsidR="00A44A39" w:rsidRPr="002C6752">
        <w:t>,</w:t>
      </w:r>
      <w:r w:rsidR="00A27A03" w:rsidRPr="002C6752">
        <w:t xml:space="preserve"> or all</w:t>
      </w:r>
      <w:r w:rsidR="00A44A39" w:rsidRPr="002C6752">
        <w:t>,</w:t>
      </w:r>
      <w:r w:rsidR="00A27A03" w:rsidRPr="002C6752">
        <w:t xml:space="preserve"> of </w:t>
      </w:r>
      <w:r w:rsidRPr="002C6752">
        <w:t xml:space="preserve">its IDR </w:t>
      </w:r>
      <w:r w:rsidR="00E45092" w:rsidRPr="002C6752">
        <w:t>process</w:t>
      </w:r>
      <w:r w:rsidR="00576FBC" w:rsidRPr="002C6752">
        <w:t xml:space="preserve"> r</w:t>
      </w:r>
      <w:r w:rsidRPr="002C6752">
        <w:t>emains r</w:t>
      </w:r>
      <w:r w:rsidR="00576FBC" w:rsidRPr="002C6752">
        <w:t>esponsible for ensuring that the</w:t>
      </w:r>
      <w:r w:rsidR="0009182A" w:rsidRPr="002C6752">
        <w:t xml:space="preserve"> service provider</w:t>
      </w:r>
      <w:r w:rsidR="00E12C7C">
        <w:t>’</w:t>
      </w:r>
      <w:r w:rsidR="0009182A" w:rsidRPr="002C6752">
        <w:t>s</w:t>
      </w:r>
      <w:r w:rsidRPr="002C6752">
        <w:t xml:space="preserve"> IDR processes comply with</w:t>
      </w:r>
      <w:r w:rsidR="00A27A03" w:rsidRPr="002C6752">
        <w:t xml:space="preserve"> all </w:t>
      </w:r>
      <w:r w:rsidRPr="002C6752">
        <w:t>the requirements in this regulatory guide.</w:t>
      </w:r>
      <w:r w:rsidR="003229E3" w:rsidRPr="002C6752">
        <w:t xml:space="preserve"> </w:t>
      </w:r>
      <w:bookmarkEnd w:id="97"/>
    </w:p>
    <w:p w14:paraId="0BF14DD0" w14:textId="26FD216C" w:rsidR="00D0539B" w:rsidRPr="002C6752" w:rsidRDefault="0009182A" w:rsidP="00D0539B">
      <w:pPr>
        <w:pStyle w:val="BodyText"/>
      </w:pPr>
      <w:r w:rsidRPr="002C6752">
        <w:t>O</w:t>
      </w:r>
      <w:r w:rsidR="00576FBC" w:rsidRPr="002C6752">
        <w:t xml:space="preserve">utsourcing </w:t>
      </w:r>
      <w:r w:rsidR="00D83F9B" w:rsidRPr="002C6752">
        <w:t xml:space="preserve">should </w:t>
      </w:r>
      <w:r w:rsidR="00A27A03" w:rsidRPr="002C6752">
        <w:t xml:space="preserve">also </w:t>
      </w:r>
      <w:r w:rsidR="00576FBC" w:rsidRPr="002C6752">
        <w:t>be d</w:t>
      </w:r>
      <w:r w:rsidRPr="002C6752">
        <w:t xml:space="preserve">one in a way that </w:t>
      </w:r>
      <w:r w:rsidR="00576FBC" w:rsidRPr="002C6752">
        <w:t>ensures accessibility for consumers and maintains a c</w:t>
      </w:r>
      <w:r w:rsidR="00110BD5" w:rsidRPr="002C6752">
        <w:t>onsumer</w:t>
      </w:r>
      <w:r w:rsidR="00A27A03" w:rsidRPr="002C6752">
        <w:t>-centric</w:t>
      </w:r>
      <w:r w:rsidR="00B050EA" w:rsidRPr="002C6752">
        <w:t xml:space="preserve"> </w:t>
      </w:r>
      <w:r w:rsidR="00576FBC" w:rsidRPr="002C6752">
        <w:t>approach</w:t>
      </w:r>
      <w:r w:rsidR="00565710" w:rsidRPr="002C6752">
        <w:t>.</w:t>
      </w:r>
    </w:p>
    <w:p w14:paraId="10CF0CB6" w14:textId="406E2859" w:rsidR="00E03394" w:rsidRPr="002C6752" w:rsidRDefault="00E03394" w:rsidP="009A6619">
      <w:pPr>
        <w:pStyle w:val="Enfparashead"/>
      </w:pPr>
      <w:bookmarkStart w:id="98" w:name="_ASICRef979"/>
      <w:bookmarkStart w:id="99" w:name="_ASICRef502"/>
      <w:bookmarkEnd w:id="95"/>
      <w:r w:rsidRPr="002C6752">
        <w:t xml:space="preserve">Enforceable paragraph: </w:t>
      </w:r>
      <w:r w:rsidRPr="002C6752">
        <w:fldChar w:fldCharType="begin"/>
      </w:r>
      <w:r w:rsidRPr="002C6752">
        <w:instrText xml:space="preserve"> REF _ASICRef480 \w \h </w:instrText>
      </w:r>
      <w:r w:rsidRPr="002C6752">
        <w:fldChar w:fldCharType="separate"/>
      </w:r>
      <w:r w:rsidR="00DE6E77">
        <w:t>RG 271.48</w:t>
      </w:r>
      <w:r w:rsidRPr="002C6752">
        <w:fldChar w:fldCharType="end"/>
      </w:r>
    </w:p>
    <w:p w14:paraId="76B185F0" w14:textId="6E1E05BD" w:rsidR="00576FBC" w:rsidRPr="002C6752" w:rsidRDefault="00B050EA" w:rsidP="009A6619">
      <w:pPr>
        <w:pStyle w:val="Enfparastext"/>
      </w:pPr>
      <w:bookmarkStart w:id="100" w:name="_ASICRef480"/>
      <w:bookmarkStart w:id="101" w:name="_ASICRef645"/>
      <w:bookmarkStart w:id="102" w:name="_ASICRef797"/>
      <w:r w:rsidRPr="002C6752">
        <w:t xml:space="preserve">Firms that </w:t>
      </w:r>
      <w:r w:rsidR="00576FBC" w:rsidRPr="002C6752">
        <w:t xml:space="preserve">outsource </w:t>
      </w:r>
      <w:r w:rsidRPr="002C6752">
        <w:t>part, or all, of their</w:t>
      </w:r>
      <w:r w:rsidR="00E45092" w:rsidRPr="002C6752">
        <w:t xml:space="preserve"> IDR process</w:t>
      </w:r>
      <w:r w:rsidR="00576FBC" w:rsidRPr="002C6752">
        <w:t xml:space="preserve"> </w:t>
      </w:r>
      <w:r w:rsidRPr="002C6752">
        <w:t>must</w:t>
      </w:r>
      <w:r w:rsidR="00576FBC" w:rsidRPr="002C6752">
        <w:t>:</w:t>
      </w:r>
      <w:bookmarkEnd w:id="98"/>
      <w:bookmarkEnd w:id="99"/>
      <w:bookmarkEnd w:id="100"/>
      <w:bookmarkEnd w:id="101"/>
      <w:bookmarkEnd w:id="102"/>
    </w:p>
    <w:p w14:paraId="136C4FE3" w14:textId="227399D9" w:rsidR="00576FBC" w:rsidRPr="002C6752" w:rsidRDefault="00576FBC" w:rsidP="009A6619">
      <w:pPr>
        <w:pStyle w:val="Enfparassubparaa"/>
      </w:pPr>
      <w:r w:rsidRPr="002C6752">
        <w:t>have measures in place to ensure that due skill and care is taken in choosing suitable service providers;</w:t>
      </w:r>
    </w:p>
    <w:p w14:paraId="3D416925" w14:textId="47E1DA1F" w:rsidR="00576FBC" w:rsidRPr="002C6752" w:rsidRDefault="00576FBC" w:rsidP="009A6619">
      <w:pPr>
        <w:pStyle w:val="Enfparassubparaa"/>
      </w:pPr>
      <w:r w:rsidRPr="002C6752">
        <w:t>monitor the ongoing performance of service providers; and</w:t>
      </w:r>
    </w:p>
    <w:p w14:paraId="116B7454" w14:textId="5CABCE34" w:rsidR="005C7E90" w:rsidRPr="002C6752" w:rsidRDefault="00576FBC" w:rsidP="009A6619">
      <w:pPr>
        <w:pStyle w:val="Enfparassubparaa"/>
      </w:pPr>
      <w:r w:rsidRPr="002C6752">
        <w:t xml:space="preserve">appropriately deal with any actions by service providers that breach service level agreements or fall short of </w:t>
      </w:r>
      <w:r w:rsidR="00B050EA" w:rsidRPr="002C6752">
        <w:t xml:space="preserve">their </w:t>
      </w:r>
      <w:r w:rsidRPr="002C6752">
        <w:t>obligatio</w:t>
      </w:r>
      <w:r w:rsidR="005C7E90" w:rsidRPr="002C6752">
        <w:t>ns under this regulatory guide.</w:t>
      </w:r>
    </w:p>
    <w:p w14:paraId="4EAED94D" w14:textId="4907555D" w:rsidR="00B249DE" w:rsidRPr="002C6752" w:rsidRDefault="00B249DE" w:rsidP="00B249DE">
      <w:pPr>
        <w:pStyle w:val="Heading1"/>
      </w:pPr>
      <w:bookmarkStart w:id="103" w:name="_KeyPoints"/>
      <w:bookmarkStart w:id="104" w:name="_Toc421695"/>
      <w:bookmarkStart w:id="105" w:name="_ASICRef677"/>
      <w:bookmarkStart w:id="106" w:name="_ASICRef928"/>
      <w:bookmarkStart w:id="107" w:name="_ASICRef28"/>
      <w:bookmarkStart w:id="108" w:name="_ASICRef871"/>
      <w:bookmarkStart w:id="109" w:name="_ASICRef18"/>
      <w:bookmarkStart w:id="110" w:name="_Toc46844235"/>
      <w:bookmarkStart w:id="111" w:name="_Hlk32229565"/>
      <w:bookmarkEnd w:id="103"/>
      <w:bookmarkEnd w:id="104"/>
      <w:r w:rsidRPr="002C6752">
        <w:lastRenderedPageBreak/>
        <w:t>Maximum</w:t>
      </w:r>
      <w:r w:rsidR="004B0011" w:rsidRPr="002C6752">
        <w:t xml:space="preserve"> IDR</w:t>
      </w:r>
      <w:r w:rsidRPr="002C6752">
        <w:t xml:space="preserve"> timeframes and </w:t>
      </w:r>
      <w:r w:rsidR="00B443A7" w:rsidRPr="002C6752">
        <w:t>IDR responses</w:t>
      </w:r>
      <w:bookmarkEnd w:id="105"/>
      <w:bookmarkEnd w:id="106"/>
      <w:bookmarkEnd w:id="107"/>
      <w:bookmarkEnd w:id="108"/>
      <w:bookmarkEnd w:id="109"/>
      <w:bookmarkEnd w:id="110"/>
    </w:p>
    <w:p w14:paraId="41745F52" w14:textId="77777777" w:rsidR="00B249DE" w:rsidRPr="002C6752" w:rsidRDefault="00B249DE">
      <w:pPr>
        <w:pStyle w:val="KPhead"/>
      </w:pPr>
      <w:r w:rsidRPr="002C6752">
        <w:t>Key points</w:t>
      </w:r>
    </w:p>
    <w:p w14:paraId="48F3842C" w14:textId="40C978D8" w:rsidR="00605287" w:rsidRPr="002C6752" w:rsidRDefault="00605287" w:rsidP="00642749">
      <w:pPr>
        <w:pStyle w:val="KPtext"/>
      </w:pPr>
      <w:r w:rsidRPr="002C6752">
        <w:t>This section sets out:</w:t>
      </w:r>
    </w:p>
    <w:p w14:paraId="41226825" w14:textId="0FD994B1" w:rsidR="00605287" w:rsidRPr="002C6752" w:rsidRDefault="00E23D2D" w:rsidP="00F37840">
      <w:pPr>
        <w:pStyle w:val="KPbullet"/>
      </w:pPr>
      <w:r w:rsidRPr="002C6752">
        <w:t xml:space="preserve">when </w:t>
      </w:r>
      <w:r w:rsidR="00BE132E" w:rsidRPr="002C6752">
        <w:t xml:space="preserve">financial firms should </w:t>
      </w:r>
      <w:r w:rsidRPr="002C6752">
        <w:t>acknowledge</w:t>
      </w:r>
      <w:r w:rsidR="007316CE" w:rsidRPr="002C6752">
        <w:t xml:space="preserve"> a complaint</w:t>
      </w:r>
      <w:r w:rsidR="00605287" w:rsidRPr="002C6752">
        <w:t xml:space="preserve">; </w:t>
      </w:r>
    </w:p>
    <w:p w14:paraId="60E532D6" w14:textId="2B5FCF41" w:rsidR="009F1FC4" w:rsidRPr="002C6752" w:rsidRDefault="009F1FC4" w:rsidP="00F37840">
      <w:pPr>
        <w:pStyle w:val="KPbullet"/>
      </w:pPr>
      <w:r w:rsidRPr="002C6752">
        <w:t>what</w:t>
      </w:r>
      <w:r w:rsidR="000A03AA" w:rsidRPr="002C6752">
        <w:t xml:space="preserve"> financial firms</w:t>
      </w:r>
      <w:r w:rsidRPr="002C6752">
        <w:t xml:space="preserve"> must include in an IDR response; </w:t>
      </w:r>
    </w:p>
    <w:p w14:paraId="6690282F" w14:textId="65E6FE3E" w:rsidR="00E23D2D" w:rsidRPr="002C6752" w:rsidRDefault="00E23D2D" w:rsidP="00F37840">
      <w:pPr>
        <w:pStyle w:val="KPbullet"/>
      </w:pPr>
      <w:r w:rsidRPr="002C6752">
        <w:t xml:space="preserve">the maximum timeframes that </w:t>
      </w:r>
      <w:r w:rsidR="00BE132E" w:rsidRPr="002C6752">
        <w:t>financial firms have to provide</w:t>
      </w:r>
      <w:r w:rsidRPr="002C6752">
        <w:t xml:space="preserve"> an IDR re</w:t>
      </w:r>
      <w:r w:rsidR="00B443A7" w:rsidRPr="002C6752">
        <w:t>s</w:t>
      </w:r>
      <w:r w:rsidRPr="002C6752">
        <w:t>ponse;</w:t>
      </w:r>
      <w:r w:rsidR="009F1FC4" w:rsidRPr="002C6752">
        <w:t xml:space="preserve"> and</w:t>
      </w:r>
    </w:p>
    <w:p w14:paraId="60023D50" w14:textId="7386F83A" w:rsidR="00605287" w:rsidRPr="002C6752" w:rsidRDefault="000353FD" w:rsidP="00F37840">
      <w:pPr>
        <w:pStyle w:val="KPbullet"/>
      </w:pPr>
      <w:r w:rsidRPr="002C6752">
        <w:t>when</w:t>
      </w:r>
      <w:r w:rsidR="00E23D2D" w:rsidRPr="002C6752">
        <w:t xml:space="preserve"> a financial firm </w:t>
      </w:r>
      <w:r w:rsidRPr="002C6752">
        <w:t>does not have</w:t>
      </w:r>
      <w:r w:rsidR="00E23D2D" w:rsidRPr="002C6752">
        <w:t xml:space="preserve"> to provide an IDR response within the maximum IDR timeframe</w:t>
      </w:r>
      <w:r w:rsidR="00605287" w:rsidRPr="002C6752">
        <w:t>.</w:t>
      </w:r>
    </w:p>
    <w:p w14:paraId="2879AB33" w14:textId="0D825E86" w:rsidR="00B249DE" w:rsidRPr="002C6752" w:rsidRDefault="00605287" w:rsidP="00605287">
      <w:pPr>
        <w:pStyle w:val="KPtext"/>
      </w:pPr>
      <w:r w:rsidRPr="002C6752">
        <w:t>We also set out our expectations about how firms</w:t>
      </w:r>
      <w:r w:rsidR="00E12C7C">
        <w:t>’</w:t>
      </w:r>
      <w:r w:rsidRPr="002C6752">
        <w:t xml:space="preserve"> IDR processes will interact with AFCA.</w:t>
      </w:r>
    </w:p>
    <w:p w14:paraId="60729E7E" w14:textId="418985BA" w:rsidR="00180EC3" w:rsidRPr="002C6752" w:rsidRDefault="00180EC3" w:rsidP="00E5660C">
      <w:pPr>
        <w:pStyle w:val="BodyText"/>
        <w:spacing w:before="480"/>
      </w:pPr>
      <w:r w:rsidRPr="002C6752">
        <w:t>Timeliness is central to effective complaint management and is a key performance measure of a firm</w:t>
      </w:r>
      <w:r w:rsidR="00E12C7C">
        <w:t>’</w:t>
      </w:r>
      <w:r w:rsidRPr="002C6752">
        <w:t>s IDR process. Findings from ASIC</w:t>
      </w:r>
      <w:r w:rsidR="00E12C7C">
        <w:t>’</w:t>
      </w:r>
      <w:r w:rsidRPr="002C6752">
        <w:t>s research into the consumer experience of the IDR journey indicate that delays and frictions in the IDR process can create real barriers for consumers and damage the c</w:t>
      </w:r>
      <w:r w:rsidR="00512E76" w:rsidRPr="002C6752">
        <w:t>ons</w:t>
      </w:r>
      <w:r w:rsidRPr="002C6752">
        <w:t>umer–firm relationship.</w:t>
      </w:r>
    </w:p>
    <w:p w14:paraId="28371F97" w14:textId="51E96C76" w:rsidR="00180EC3" w:rsidRPr="002C6752" w:rsidRDefault="00180EC3" w:rsidP="00180EC3">
      <w:pPr>
        <w:pStyle w:val="Note"/>
      </w:pPr>
      <w:r w:rsidRPr="002C6752">
        <w:t xml:space="preserve">Note: See </w:t>
      </w:r>
      <w:hyperlink r:id="rId36" w:history="1">
        <w:r w:rsidRPr="002C6752">
          <w:rPr>
            <w:rStyle w:val="Hyperlink"/>
          </w:rPr>
          <w:t>Report 603</w:t>
        </w:r>
      </w:hyperlink>
      <w:r w:rsidRPr="002C6752">
        <w:t xml:space="preserve"> </w:t>
      </w:r>
      <w:r w:rsidRPr="002C6752">
        <w:rPr>
          <w:i/>
        </w:rPr>
        <w:t xml:space="preserve">The consumer journey through the Internal Dispute Resolution process of financial service providers </w:t>
      </w:r>
      <w:r w:rsidRPr="002C6752">
        <w:t>(REP 603).</w:t>
      </w:r>
    </w:p>
    <w:p w14:paraId="045F8B60" w14:textId="43AC9F96" w:rsidR="00180EC3" w:rsidRPr="002C6752" w:rsidRDefault="00180EC3" w:rsidP="00355E29">
      <w:pPr>
        <w:pStyle w:val="BodyText"/>
      </w:pPr>
      <w:r w:rsidRPr="002C6752">
        <w:t>Important measures of timeliness include the length taken to acknowledge a complaint and to provide the complainant with an IDR response.</w:t>
      </w:r>
      <w:r w:rsidR="00C600F4" w:rsidRPr="002C6752">
        <w:t xml:space="preserve"> </w:t>
      </w:r>
    </w:p>
    <w:p w14:paraId="4D5203EC" w14:textId="0AC6B6CD" w:rsidR="00853237" w:rsidRPr="002C6752" w:rsidRDefault="00B249DE" w:rsidP="00642749">
      <w:pPr>
        <w:pStyle w:val="Heading2"/>
      </w:pPr>
      <w:bookmarkStart w:id="112" w:name="_Toc46844236"/>
      <w:r w:rsidRPr="002C6752">
        <w:t>A</w:t>
      </w:r>
      <w:r w:rsidR="00853237" w:rsidRPr="002C6752">
        <w:t>cknowledgement of complaint</w:t>
      </w:r>
      <w:bookmarkEnd w:id="112"/>
    </w:p>
    <w:p w14:paraId="5E6D4B33" w14:textId="6CCD8326" w:rsidR="00853237" w:rsidRPr="002C6752" w:rsidRDefault="00D408B3" w:rsidP="004B0011">
      <w:pPr>
        <w:pStyle w:val="BodyText"/>
      </w:pPr>
      <w:bookmarkStart w:id="113" w:name="_ASICRef760"/>
      <w:bookmarkStart w:id="114" w:name="_ASICRef15"/>
      <w:bookmarkStart w:id="115" w:name="_ASICRef631"/>
      <w:bookmarkStart w:id="116" w:name="_ASICRef60"/>
      <w:bookmarkStart w:id="117" w:name="_ASICRef331"/>
      <w:bookmarkStart w:id="118" w:name="_ASICRef149"/>
      <w:bookmarkStart w:id="119" w:name="_ASICRef169"/>
      <w:bookmarkStart w:id="120" w:name="_ASICRef100"/>
      <w:bookmarkStart w:id="121" w:name="_ASICRef878"/>
      <w:r w:rsidRPr="002C6752">
        <w:t>A</w:t>
      </w:r>
      <w:r w:rsidR="00343890" w:rsidRPr="002C6752">
        <w:t xml:space="preserve"> financial </w:t>
      </w:r>
      <w:r w:rsidR="00853237" w:rsidRPr="002C6752">
        <w:t xml:space="preserve">firm </w:t>
      </w:r>
      <w:r w:rsidR="00FA3A92" w:rsidRPr="002C6752">
        <w:t>should</w:t>
      </w:r>
      <w:r w:rsidR="00853237" w:rsidRPr="002C6752">
        <w:t xml:space="preserve"> acknowledge receipt of each complaint promptly.</w:t>
      </w:r>
      <w:r w:rsidR="003229E3" w:rsidRPr="002C6752">
        <w:t xml:space="preserve"> </w:t>
      </w:r>
      <w:r w:rsidR="00927EF8" w:rsidRPr="002C6752">
        <w:t>We</w:t>
      </w:r>
      <w:r w:rsidR="00853237" w:rsidRPr="002C6752">
        <w:t xml:space="preserve"> expect that </w:t>
      </w:r>
      <w:r w:rsidR="00927EF8" w:rsidRPr="002C6752">
        <w:t>firms will</w:t>
      </w:r>
      <w:r w:rsidR="00853237" w:rsidRPr="002C6752">
        <w:t xml:space="preserve"> acknowledge</w:t>
      </w:r>
      <w:r w:rsidR="00927EF8" w:rsidRPr="002C6752">
        <w:t xml:space="preserve"> the complaint</w:t>
      </w:r>
      <w:r w:rsidR="00853237" w:rsidRPr="002C6752">
        <w:t xml:space="preserve"> within 24 hours (or one business day) of recei</w:t>
      </w:r>
      <w:r w:rsidR="00927EF8" w:rsidRPr="002C6752">
        <w:t>ving it</w:t>
      </w:r>
      <w:r w:rsidR="000970F1" w:rsidRPr="002C6752">
        <w:t>, or as soon as practicable</w:t>
      </w:r>
      <w:r w:rsidR="0051744E" w:rsidRPr="002C6752">
        <w:t>.</w:t>
      </w:r>
      <w:bookmarkEnd w:id="113"/>
      <w:bookmarkEnd w:id="114"/>
      <w:bookmarkEnd w:id="115"/>
      <w:bookmarkEnd w:id="116"/>
      <w:bookmarkEnd w:id="117"/>
      <w:bookmarkEnd w:id="118"/>
      <w:bookmarkEnd w:id="119"/>
      <w:bookmarkEnd w:id="120"/>
      <w:bookmarkEnd w:id="121"/>
    </w:p>
    <w:p w14:paraId="4C63AA28" w14:textId="5EFA2DE1" w:rsidR="000F1CCC" w:rsidRPr="002C6752" w:rsidRDefault="000F1CCC" w:rsidP="00853237">
      <w:pPr>
        <w:pStyle w:val="BodyText"/>
      </w:pPr>
      <w:bookmarkStart w:id="122" w:name="_Ref24552123"/>
      <w:bookmarkStart w:id="123" w:name="_ASICRef414"/>
      <w:bookmarkStart w:id="124" w:name="_ASICRef156"/>
      <w:bookmarkStart w:id="125" w:name="_ASICRef459"/>
      <w:bookmarkStart w:id="126" w:name="_ASICRef610"/>
      <w:r w:rsidRPr="002C6752">
        <w:t>F</w:t>
      </w:r>
      <w:r w:rsidR="00927EF8" w:rsidRPr="002C6752">
        <w:t>inancial f</w:t>
      </w:r>
      <w:r w:rsidRPr="002C6752">
        <w:t xml:space="preserve">irms may acknowledge a complaint </w:t>
      </w:r>
      <w:r w:rsidR="001771FB" w:rsidRPr="002C6752">
        <w:t>verbally or in writing</w:t>
      </w:r>
      <w:r w:rsidR="002A4464" w:rsidRPr="002C6752">
        <w:t xml:space="preserve"> (email, post or social media channels)</w:t>
      </w:r>
      <w:r w:rsidR="001771FB" w:rsidRPr="002C6752">
        <w:t>.</w:t>
      </w:r>
      <w:r w:rsidR="003229E3" w:rsidRPr="002C6752">
        <w:t xml:space="preserve"> </w:t>
      </w:r>
      <w:r w:rsidR="001771FB" w:rsidRPr="002C6752">
        <w:t>When</w:t>
      </w:r>
      <w:r w:rsidRPr="002C6752">
        <w:t xml:space="preserve"> determining the appropriate method of communication, we expect firms to </w:t>
      </w:r>
      <w:r w:rsidR="00927EF8" w:rsidRPr="002C6752">
        <w:t>take into account</w:t>
      </w:r>
      <w:r w:rsidRPr="002C6752">
        <w:t xml:space="preserve"> the </w:t>
      </w:r>
      <w:r w:rsidR="00853237" w:rsidRPr="002C6752">
        <w:t xml:space="preserve">method used by the complainant to lodge their complaint </w:t>
      </w:r>
      <w:r w:rsidRPr="002C6752">
        <w:t>and</w:t>
      </w:r>
      <w:r w:rsidR="00853237" w:rsidRPr="002C6752">
        <w:t xml:space="preserve"> any preferences they </w:t>
      </w:r>
      <w:r w:rsidR="00DB7B3F" w:rsidRPr="002C6752">
        <w:t xml:space="preserve">may </w:t>
      </w:r>
      <w:r w:rsidR="00853237" w:rsidRPr="002C6752">
        <w:t>have expressed about communication methods.</w:t>
      </w:r>
      <w:bookmarkEnd w:id="122"/>
      <w:r w:rsidR="003229E3" w:rsidRPr="002C6752">
        <w:t xml:space="preserve"> </w:t>
      </w:r>
      <w:bookmarkEnd w:id="123"/>
      <w:bookmarkEnd w:id="124"/>
      <w:bookmarkEnd w:id="125"/>
      <w:bookmarkEnd w:id="126"/>
    </w:p>
    <w:p w14:paraId="21614E35" w14:textId="4F003060" w:rsidR="00EF7B06" w:rsidRPr="002C6752" w:rsidRDefault="000353FD" w:rsidP="009A6619">
      <w:pPr>
        <w:pStyle w:val="Heading2"/>
      </w:pPr>
      <w:bookmarkStart w:id="127" w:name="_Toc46844237"/>
      <w:bookmarkStart w:id="128" w:name="_ASICRef862"/>
      <w:bookmarkStart w:id="129" w:name="_ASICRef301"/>
      <w:r w:rsidRPr="002C6752">
        <w:lastRenderedPageBreak/>
        <w:t>What an IDR response must contain</w:t>
      </w:r>
      <w:bookmarkEnd w:id="127"/>
      <w:r w:rsidR="00B003F5" w:rsidRPr="002C6752">
        <w:t xml:space="preserve"> </w:t>
      </w:r>
      <w:bookmarkStart w:id="130" w:name="_ASICRef53"/>
      <w:bookmarkStart w:id="131" w:name="_ASICRef575"/>
      <w:bookmarkStart w:id="132" w:name="_ASICRef410"/>
      <w:bookmarkStart w:id="133" w:name="_ASICRef428"/>
      <w:bookmarkStart w:id="134" w:name="_ASICRef106"/>
      <w:bookmarkStart w:id="135" w:name="_ASICRef482"/>
      <w:bookmarkStart w:id="136" w:name="_ASICRef390"/>
      <w:bookmarkStart w:id="137" w:name="_ASICRef753"/>
    </w:p>
    <w:p w14:paraId="6547D85F" w14:textId="00F11C2B" w:rsidR="00F077D4" w:rsidRPr="00F10F71" w:rsidRDefault="00F077D4" w:rsidP="00223687">
      <w:pPr>
        <w:pStyle w:val="Enfparashead"/>
      </w:pPr>
      <w:bookmarkStart w:id="138" w:name="_ASICRef492"/>
      <w:bookmarkStart w:id="139" w:name="_ASICRef30"/>
      <w:r w:rsidRPr="00F10F71">
        <w:t xml:space="preserve">Enforceable paragraphs: </w:t>
      </w:r>
      <w:r w:rsidR="00183429" w:rsidRPr="002C6752">
        <w:fldChar w:fldCharType="begin"/>
      </w:r>
      <w:r w:rsidR="00183429" w:rsidRPr="00F10F71">
        <w:instrText xml:space="preserve"> REF _ASICRef254 \w \h </w:instrText>
      </w:r>
      <w:r w:rsidR="00183429" w:rsidRPr="002C6752">
        <w:fldChar w:fldCharType="separate"/>
      </w:r>
      <w:r w:rsidR="00DE6E77">
        <w:t>RG 271.53</w:t>
      </w:r>
      <w:r w:rsidR="00183429" w:rsidRPr="002C6752">
        <w:fldChar w:fldCharType="end"/>
      </w:r>
      <w:r w:rsidR="00183429" w:rsidRPr="00F10F71">
        <w:t>–</w:t>
      </w:r>
      <w:r w:rsidR="00183429" w:rsidRPr="002C6752">
        <w:fldChar w:fldCharType="begin"/>
      </w:r>
      <w:r w:rsidR="00183429" w:rsidRPr="00F10F71">
        <w:instrText xml:space="preserve"> REF _ASICRef340 \w \h </w:instrText>
      </w:r>
      <w:r w:rsidR="00183429" w:rsidRPr="002C6752">
        <w:fldChar w:fldCharType="separate"/>
      </w:r>
      <w:r w:rsidR="00DE6E77">
        <w:t>RG 271.54</w:t>
      </w:r>
      <w:r w:rsidR="00183429" w:rsidRPr="002C6752">
        <w:fldChar w:fldCharType="end"/>
      </w:r>
      <w:r w:rsidR="00F10F71" w:rsidRPr="00F10F71">
        <w:t xml:space="preserve"> (including</w:t>
      </w:r>
      <w:r w:rsidR="00F10F71">
        <w:t xml:space="preserve"> notes)</w:t>
      </w:r>
    </w:p>
    <w:p w14:paraId="567055D7" w14:textId="157FD26B" w:rsidR="004B0011" w:rsidRPr="002C6752" w:rsidRDefault="004B0011" w:rsidP="009A6619">
      <w:pPr>
        <w:pStyle w:val="Enfparastext"/>
      </w:pPr>
      <w:bookmarkStart w:id="140" w:name="_ASICRef103"/>
      <w:bookmarkStart w:id="141" w:name="_ASICRef254"/>
      <w:bookmarkStart w:id="142" w:name="_ASICRef529"/>
      <w:bookmarkStart w:id="143" w:name="_ASICRef713"/>
      <w:bookmarkStart w:id="144" w:name="_ASICRef433"/>
      <w:bookmarkStart w:id="145" w:name="_ASICRef824"/>
      <w:r w:rsidRPr="002C6752">
        <w:t xml:space="preserve">An </w:t>
      </w:r>
      <w:r w:rsidR="00E12C7C">
        <w:t>‘</w:t>
      </w:r>
      <w:r w:rsidRPr="002C6752">
        <w:t>IDR response</w:t>
      </w:r>
      <w:r w:rsidR="00E12C7C">
        <w:t>’</w:t>
      </w:r>
      <w:r w:rsidRPr="002C6752">
        <w:t xml:space="preserve"> is </w:t>
      </w:r>
      <w:r w:rsidR="00093A74">
        <w:t xml:space="preserve">a </w:t>
      </w:r>
      <w:r w:rsidRPr="002C6752">
        <w:t>written communication from a financial firm to the complainant, informing them of:</w:t>
      </w:r>
      <w:bookmarkEnd w:id="128"/>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2E9A0321" w14:textId="2EC6E53E" w:rsidR="004B0011" w:rsidRPr="002C6752" w:rsidRDefault="004B0011" w:rsidP="009A6619">
      <w:pPr>
        <w:pStyle w:val="Enfparassubparaa"/>
      </w:pPr>
      <w:r w:rsidRPr="002C6752">
        <w:t>the final outcome of their complaint at IDR (either confirmation of actions taken by the firm to fully resolve the complaint or reasons for rejection or partial rejection of the complaint);</w:t>
      </w:r>
    </w:p>
    <w:p w14:paraId="6576E3A6" w14:textId="1F555A03" w:rsidR="004B0011" w:rsidRPr="002C6752" w:rsidRDefault="004B0011" w:rsidP="009A6619">
      <w:pPr>
        <w:pStyle w:val="Enfparassubparaa"/>
      </w:pPr>
      <w:bookmarkStart w:id="146" w:name="_ASICRef584"/>
      <w:bookmarkStart w:id="147" w:name="_ASICRef295"/>
      <w:r w:rsidRPr="002C6752">
        <w:t>their right to take the complaint to AFCA if they are not satisfied with the IDR response; and</w:t>
      </w:r>
      <w:bookmarkEnd w:id="146"/>
      <w:bookmarkEnd w:id="147"/>
    </w:p>
    <w:p w14:paraId="1D084F44" w14:textId="77777777" w:rsidR="004B0011" w:rsidRPr="002C6752" w:rsidRDefault="004B0011" w:rsidP="009A6619">
      <w:pPr>
        <w:pStyle w:val="Enfparassubparaa"/>
      </w:pPr>
      <w:bookmarkStart w:id="148" w:name="_ASICRef363"/>
      <w:bookmarkStart w:id="149" w:name="_ASICRef382"/>
      <w:r w:rsidRPr="002C6752">
        <w:t>the contact details for AFCA.</w:t>
      </w:r>
      <w:bookmarkEnd w:id="148"/>
      <w:bookmarkEnd w:id="149"/>
    </w:p>
    <w:p w14:paraId="3BB8BBF9" w14:textId="76813ACF" w:rsidR="004B0011" w:rsidRDefault="004B0011" w:rsidP="009A6619">
      <w:pPr>
        <w:pStyle w:val="Enfparasnote"/>
      </w:pPr>
      <w:r w:rsidRPr="002C6752">
        <w:t>Note</w:t>
      </w:r>
      <w:r w:rsidR="00E43FAF">
        <w:t xml:space="preserve"> 1</w:t>
      </w:r>
      <w:r w:rsidRPr="002C6752">
        <w:t xml:space="preserve">: In order to give an IDR response, unlicensed COI lenders who have not joined AFCA must inform the complainant of the final outcome of their complaint at IDR within 30 </w:t>
      </w:r>
      <w:r w:rsidR="00B121F9">
        <w:t xml:space="preserve">calendar </w:t>
      </w:r>
      <w:r w:rsidRPr="002C6752">
        <w:t>days.</w:t>
      </w:r>
    </w:p>
    <w:p w14:paraId="6747E031" w14:textId="5AB13A4C" w:rsidR="00E43FAF" w:rsidRPr="002C6752" w:rsidRDefault="00E43FAF" w:rsidP="009A6619">
      <w:pPr>
        <w:pStyle w:val="Enfparasnote"/>
      </w:pPr>
      <w:r>
        <w:t xml:space="preserve">Note 2: </w:t>
      </w:r>
      <w:r w:rsidR="0093471D">
        <w:t>If</w:t>
      </w:r>
      <w:r>
        <w:t xml:space="preserve"> </w:t>
      </w:r>
      <w:r w:rsidR="0093471D">
        <w:t>the</w:t>
      </w:r>
      <w:r>
        <w:t xml:space="preserve"> complaint relates to a </w:t>
      </w:r>
      <w:r w:rsidR="00921C1B">
        <w:t xml:space="preserve">superannuation </w:t>
      </w:r>
      <w:r>
        <w:t xml:space="preserve">death benefit distribution, </w:t>
      </w:r>
      <w:r w:rsidR="0093471D">
        <w:t>the</w:t>
      </w:r>
      <w:r w:rsidR="00AB6384">
        <w:t xml:space="preserve"> death benefit decision-maker</w:t>
      </w:r>
      <w:r w:rsidR="0093471D">
        <w:t xml:space="preserve"> must also</w:t>
      </w:r>
      <w:r w:rsidR="00853859">
        <w:t xml:space="preserve"> </w:t>
      </w:r>
      <w:r w:rsidR="0093471D">
        <w:t>give</w:t>
      </w:r>
      <w:r w:rsidR="00E40E11">
        <w:t xml:space="preserve"> </w:t>
      </w:r>
      <w:r w:rsidR="0093471D">
        <w:t xml:space="preserve">the complainant </w:t>
      </w:r>
      <w:r w:rsidR="00AB6384">
        <w:t>information about the 28</w:t>
      </w:r>
      <w:r w:rsidR="00853859">
        <w:t xml:space="preserve"> calendar </w:t>
      </w:r>
      <w:r w:rsidR="00AB6384">
        <w:t xml:space="preserve">day time limit </w:t>
      </w:r>
      <w:r w:rsidR="0093471D">
        <w:t>(</w:t>
      </w:r>
      <w:r w:rsidR="00AB6384">
        <w:t>under s1056 of the Corporations Act</w:t>
      </w:r>
      <w:r w:rsidR="0093471D">
        <w:t>)</w:t>
      </w:r>
      <w:r w:rsidR="00AB6384">
        <w:t xml:space="preserve"> for lod</w:t>
      </w:r>
      <w:r w:rsidR="0093471D">
        <w:t>g</w:t>
      </w:r>
      <w:r w:rsidR="00AB6384">
        <w:t xml:space="preserve">ing a complaint with AFCA (see </w:t>
      </w:r>
      <w:r w:rsidR="0093471D">
        <w:fldChar w:fldCharType="begin"/>
      </w:r>
      <w:r w:rsidR="0093471D">
        <w:instrText xml:space="preserve"> REF _ASICRef961 \w \h </w:instrText>
      </w:r>
      <w:r w:rsidR="0093471D">
        <w:fldChar w:fldCharType="separate"/>
      </w:r>
      <w:r w:rsidR="00DE6E77">
        <w:t>RG 271.84(a)</w:t>
      </w:r>
      <w:r w:rsidR="0093471D">
        <w:fldChar w:fldCharType="end"/>
      </w:r>
      <w:r w:rsidR="0093471D" w:rsidRPr="00914F38">
        <w:t>)</w:t>
      </w:r>
      <w:r w:rsidR="00AB6384" w:rsidRPr="00914F38">
        <w:t>.</w:t>
      </w:r>
      <w:r w:rsidR="00AB6384">
        <w:t xml:space="preserve"> This time limit must be included in a death benefit decision-maker</w:t>
      </w:r>
      <w:r w:rsidR="00E12C7C">
        <w:t>’</w:t>
      </w:r>
      <w:r w:rsidR="00AB6384">
        <w:t>s notice.</w:t>
      </w:r>
    </w:p>
    <w:p w14:paraId="39100AD6" w14:textId="115724AA" w:rsidR="004B0011" w:rsidRPr="002C6752" w:rsidRDefault="004B0011" w:rsidP="009A6619">
      <w:pPr>
        <w:pStyle w:val="Enfparastext"/>
      </w:pPr>
      <w:bookmarkStart w:id="150" w:name="_ASICRef774"/>
      <w:bookmarkStart w:id="151" w:name="_ASICRef269"/>
      <w:bookmarkStart w:id="152" w:name="_ASICRef872"/>
      <w:bookmarkStart w:id="153" w:name="_ASICRef340"/>
      <w:bookmarkStart w:id="154" w:name="_ASICRef243"/>
      <w:r w:rsidRPr="002C6752">
        <w:t>If a financial firm rejects or partially rejects the complaint, the IDR response must clearly set out the reasons for the decision by:</w:t>
      </w:r>
      <w:bookmarkEnd w:id="150"/>
      <w:bookmarkEnd w:id="151"/>
      <w:bookmarkEnd w:id="152"/>
      <w:bookmarkEnd w:id="153"/>
      <w:bookmarkEnd w:id="154"/>
    </w:p>
    <w:p w14:paraId="377C833E" w14:textId="6D37C9FC" w:rsidR="004B0011" w:rsidRPr="002C6752" w:rsidRDefault="004B0011" w:rsidP="009A6619">
      <w:pPr>
        <w:pStyle w:val="Enfparassubparaa"/>
      </w:pPr>
      <w:r w:rsidRPr="002C6752">
        <w:t>identifying and addressing the issues raised in the complaint;</w:t>
      </w:r>
    </w:p>
    <w:p w14:paraId="3EC3B0A6" w14:textId="5BC898DE" w:rsidR="004B0011" w:rsidRPr="002C6752" w:rsidRDefault="004B0011" w:rsidP="009A6619">
      <w:pPr>
        <w:pStyle w:val="Enfparassubparaa"/>
      </w:pPr>
      <w:r w:rsidRPr="002C6752">
        <w:t>setting out the financial firm</w:t>
      </w:r>
      <w:r w:rsidR="00E12C7C">
        <w:t>’</w:t>
      </w:r>
      <w:r w:rsidRPr="002C6752">
        <w:t>s findings on material questions of fact and referring to the information that supports those findings; and</w:t>
      </w:r>
    </w:p>
    <w:p w14:paraId="745CA2F3" w14:textId="77777777" w:rsidR="004B0011" w:rsidRPr="002C6752" w:rsidRDefault="004B0011" w:rsidP="009A6619">
      <w:pPr>
        <w:pStyle w:val="Enfparassubparaa"/>
      </w:pPr>
      <w:r w:rsidRPr="002C6752">
        <w:t>providing enough detail for the complainant to understand the basis of the decision and to be fully informed when deciding whether to escalate the matter to AFCA or another forum.</w:t>
      </w:r>
    </w:p>
    <w:p w14:paraId="20E42B88" w14:textId="76FC23A3" w:rsidR="004B0011" w:rsidRPr="002C6752" w:rsidRDefault="004B0011" w:rsidP="00642749">
      <w:pPr>
        <w:pStyle w:val="BodyText"/>
      </w:pPr>
      <w:bookmarkStart w:id="155" w:name="_ASICRef329"/>
      <w:bookmarkStart w:id="156" w:name="_ASICRef95"/>
      <w:bookmarkStart w:id="157" w:name="_ASICRef256"/>
      <w:bookmarkStart w:id="158" w:name="_ASICRef322"/>
      <w:bookmarkStart w:id="159" w:name="_ASICRef223"/>
      <w:r w:rsidRPr="002C6752">
        <w:t>The level of detail in an IDR response should reflect the complexity of the complaint and the nature and extent of any investigation conducted by the firm.</w:t>
      </w:r>
      <w:bookmarkEnd w:id="155"/>
      <w:bookmarkEnd w:id="156"/>
      <w:bookmarkEnd w:id="157"/>
      <w:bookmarkEnd w:id="158"/>
      <w:bookmarkEnd w:id="159"/>
      <w:r w:rsidR="00DD58FB">
        <w:t xml:space="preserve"> </w:t>
      </w:r>
      <w:r w:rsidR="00853CFA">
        <w:t>We do not expect financial firms to provide information in an IDR response that would breach the firm</w:t>
      </w:r>
      <w:r w:rsidR="00E12C7C">
        <w:t>’</w:t>
      </w:r>
      <w:r w:rsidR="00853CFA">
        <w:t xml:space="preserve">s privacy or other legislative obligations (e.g. the </w:t>
      </w:r>
      <w:r w:rsidR="00E12C7C">
        <w:t>‘</w:t>
      </w:r>
      <w:r w:rsidR="00853CFA">
        <w:t>tipping off</w:t>
      </w:r>
      <w:r w:rsidR="00E12C7C">
        <w:t>’</w:t>
      </w:r>
      <w:r w:rsidR="00853CFA">
        <w:t xml:space="preserve"> provisions of </w:t>
      </w:r>
      <w:r w:rsidR="00853CFA" w:rsidRPr="00833B23">
        <w:rPr>
          <w:i/>
        </w:rPr>
        <w:t xml:space="preserve">the Anti-Money Laundering and Counter-Terrorism Financing Act </w:t>
      </w:r>
      <w:r w:rsidR="00853CFA" w:rsidRPr="00C31FD2">
        <w:rPr>
          <w:i/>
        </w:rPr>
        <w:t>2006</w:t>
      </w:r>
      <w:r w:rsidR="00853CFA">
        <w:t>).</w:t>
      </w:r>
    </w:p>
    <w:p w14:paraId="0E83EE64" w14:textId="67EA457E" w:rsidR="004B0011" w:rsidRPr="002C6752" w:rsidRDefault="009F65AE" w:rsidP="009A6619">
      <w:pPr>
        <w:pStyle w:val="Heading2"/>
      </w:pPr>
      <w:bookmarkStart w:id="160" w:name="_Toc46844238"/>
      <w:bookmarkStart w:id="161" w:name="_Hlk24362106"/>
      <w:r w:rsidRPr="002C6752">
        <w:lastRenderedPageBreak/>
        <w:t>M</w:t>
      </w:r>
      <w:r w:rsidR="00B55A49" w:rsidRPr="002C6752">
        <w:t>aximum timeframes</w:t>
      </w:r>
      <w:r w:rsidR="00E277E0" w:rsidRPr="002C6752">
        <w:t xml:space="preserve"> for an IDR response</w:t>
      </w:r>
      <w:bookmarkEnd w:id="160"/>
      <w:r w:rsidR="00E277E0" w:rsidRPr="002C6752">
        <w:t xml:space="preserve"> </w:t>
      </w:r>
    </w:p>
    <w:p w14:paraId="34019CCA" w14:textId="33AA450F" w:rsidR="00FA3A92" w:rsidRPr="002C6752" w:rsidRDefault="00FA3A92" w:rsidP="009A6619">
      <w:pPr>
        <w:pStyle w:val="Heading3"/>
      </w:pPr>
      <w:r w:rsidRPr="002C6752">
        <w:t xml:space="preserve">When an IDR response </w:t>
      </w:r>
      <w:r w:rsidR="000353FD" w:rsidRPr="002C6752">
        <w:t xml:space="preserve">must </w:t>
      </w:r>
      <w:r w:rsidRPr="002C6752">
        <w:t>be provided</w:t>
      </w:r>
      <w:r w:rsidR="000353FD" w:rsidRPr="002C6752">
        <w:t xml:space="preserve"> by</w:t>
      </w:r>
    </w:p>
    <w:bookmarkStart w:id="162" w:name="_ASICRef279"/>
    <w:bookmarkStart w:id="163" w:name="_ASICRef489"/>
    <w:bookmarkStart w:id="164" w:name="_ASICRef654"/>
    <w:bookmarkStart w:id="165" w:name="_ASICRef0"/>
    <w:bookmarkStart w:id="166" w:name="_ASICRef634"/>
    <w:p w14:paraId="1CBE2544" w14:textId="41B9F982" w:rsidR="00183429" w:rsidRPr="002C6752" w:rsidRDefault="00191694" w:rsidP="009A6619">
      <w:pPr>
        <w:pStyle w:val="Enfparashead"/>
      </w:pPr>
      <w:r>
        <w:rPr>
          <w:noProof/>
        </w:rPr>
        <mc:AlternateContent>
          <mc:Choice Requires="wps">
            <w:drawing>
              <wp:anchor distT="0" distB="0" distL="114300" distR="114300" simplePos="0" relativeHeight="251658240" behindDoc="0" locked="0" layoutInCell="1" allowOverlap="1" wp14:anchorId="57FDB3AE" wp14:editId="308465CF">
                <wp:simplePos x="0" y="0"/>
                <wp:positionH relativeFrom="column">
                  <wp:posOffset>5834325</wp:posOffset>
                </wp:positionH>
                <wp:positionV relativeFrom="paragraph">
                  <wp:posOffset>124735</wp:posOffset>
                </wp:positionV>
                <wp:extent cx="0" cy="7649155"/>
                <wp:effectExtent l="0" t="0" r="38100" b="28575"/>
                <wp:wrapNone/>
                <wp:docPr id="1" name="Straight Connector 1"/>
                <wp:cNvGraphicFramePr/>
                <a:graphic xmlns:a="http://schemas.openxmlformats.org/drawingml/2006/main">
                  <a:graphicData uri="http://schemas.microsoft.com/office/word/2010/wordprocessingShape">
                    <wps:wsp>
                      <wps:cNvCnPr/>
                      <wps:spPr>
                        <a:xfrm>
                          <a:off x="0" y="0"/>
                          <a:ext cx="0" cy="7649155"/>
                        </a:xfrm>
                        <a:prstGeom prst="line">
                          <a:avLst/>
                        </a:prstGeom>
                        <a:ln w="6350">
                          <a:solidFill>
                            <a:srgbClr val="253746"/>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781C659" id="Straight Connector 1" o:spid="_x0000_s1026" style="position:absolute;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9.4pt,9.8pt" to="459.4pt,6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uW53AEAAA0EAAAOAAAAZHJzL2Uyb0RvYy54bWysU02P0zAQvSPxHyzfaZLutgtR0z10tVwQ&#10;VOzyA1zHTiz5S2PTpP+esZNmV4CQQFyceDzz5r039u5+NJqcBQTlbEOrVUmJsNy1ynYN/fb8+O49&#10;JSEy2zLtrGjoRQR6v3/7Zjf4Wqxd73QrgCCIDfXgG9rH6OuiCLwXhoWV88LioXRgWMQtdEULbEB0&#10;o4t1WW6LwUHrwXERAkYfpkO6z/hSCh6/SBlEJLqhyC3mFfJ6Smux37G6A+Z7xWca7B9YGKYsNl2g&#10;Hlhk5DuoX6CM4uCCk3HFnSmclIqLrAHVVOVPap565kXWguYEv9gU/h8s/3w+AlEtzo4SywyO6CkC&#10;U10fycFZiwY6IFXyafChxvSDPcK8C/4ISfQowaQvyiFj9vayeCvGSPgU5Bi9295+qDabhFe8FHoI&#10;8aNwhqSfhmplk2xWs/OnEKfUa0oKa0uGhm5vNmXOCk6r9lFpnc4CdKeDBnJmOPH15ubudjs3e5WG&#10;rbVFBknSJCL/xYsWE/5XIdEUpF1NHdJ1FAss41zYmE3JSJidyiRSWApnan8qnPNTqchX9W+Kl4rc&#10;2dm4FBtlHfyOdhyvlOWUf3Vg0p0sOLn2ksebrcE7l8c0v490qV/vc/nLK97/AAAA//8DAFBLAwQU&#10;AAYACAAAACEArf20Fd0AAAALAQAADwAAAGRycy9kb3ducmV2LnhtbEyPwW7CMBBE75X4B2uReitO&#10;ogpBGgchJE4cKmhV9WjiJU6J11FsSPL33aqH9rgzo9k3xWZ0rbhjHxpPCtJFAgKp8qahWsH72/5p&#10;BSJETUa3nlDBhAE25eyh0LnxAx3xfoq14BIKuVZgY+xyKUNl0emw8B0SexffOx357Gtpej1wuWtl&#10;liRL6XRD/MHqDncWq+vp5hS8Hi5fw/EjxcbGZJoMeUP7T6Ue5+P2BUTEMf6F4Qef0aFkprO/kQmi&#10;VbBOV4we2VgvQXDgVzizkGXPGciykP83lN8AAAD//wMAUEsBAi0AFAAGAAgAAAAhALaDOJL+AAAA&#10;4QEAABMAAAAAAAAAAAAAAAAAAAAAAFtDb250ZW50X1R5cGVzXS54bWxQSwECLQAUAAYACAAAACEA&#10;OP0h/9YAAACUAQAACwAAAAAAAAAAAAAAAAAvAQAAX3JlbHMvLnJlbHNQSwECLQAUAAYACAAAACEA&#10;EWLludwBAAANBAAADgAAAAAAAAAAAAAAAAAuAgAAZHJzL2Uyb0RvYy54bWxQSwECLQAUAAYACAAA&#10;ACEArf20Fd0AAAALAQAADwAAAAAAAAAAAAAAAAA2BAAAZHJzL2Rvd25yZXYueG1sUEsFBgAAAAAE&#10;AAQA8wAAAEAFAAAAAA==&#10;" strokecolor="#253746" strokeweight=".5pt"/>
            </w:pict>
          </mc:Fallback>
        </mc:AlternateContent>
      </w:r>
      <w:r w:rsidR="00183429" w:rsidRPr="002C6752">
        <w:t>Enforceable paragraph</w:t>
      </w:r>
      <w:r w:rsidR="003A71ED" w:rsidRPr="002C6752">
        <w:t>s</w:t>
      </w:r>
      <w:r w:rsidR="00183429" w:rsidRPr="002C6752">
        <w:t xml:space="preserve">: </w:t>
      </w:r>
      <w:r w:rsidR="004252C0" w:rsidRPr="002C6752">
        <w:fldChar w:fldCharType="begin"/>
      </w:r>
      <w:r w:rsidR="004252C0" w:rsidRPr="002C6752">
        <w:instrText xml:space="preserve"> REF _ASICRef347 \w \h </w:instrText>
      </w:r>
      <w:r w:rsidR="004252C0" w:rsidRPr="002C6752">
        <w:fldChar w:fldCharType="separate"/>
      </w:r>
      <w:r w:rsidR="00DE6E77">
        <w:t>RG 271.56</w:t>
      </w:r>
      <w:r w:rsidR="004252C0" w:rsidRPr="002C6752">
        <w:fldChar w:fldCharType="end"/>
      </w:r>
      <w:r w:rsidR="004252C0" w:rsidRPr="002C6752">
        <w:t>–</w:t>
      </w:r>
      <w:r w:rsidR="004D6516">
        <w:fldChar w:fldCharType="begin"/>
      </w:r>
      <w:r w:rsidR="004D6516">
        <w:instrText xml:space="preserve"> REF _ASICRef931 \r \h </w:instrText>
      </w:r>
      <w:r w:rsidR="004D6516">
        <w:fldChar w:fldCharType="separate"/>
      </w:r>
      <w:r w:rsidR="00DE6E77">
        <w:t>RG 271.60</w:t>
      </w:r>
      <w:r w:rsidR="004D6516">
        <w:fldChar w:fldCharType="end"/>
      </w:r>
      <w:r w:rsidR="004252C0" w:rsidRPr="002C6752">
        <w:t xml:space="preserve"> and </w:t>
      </w:r>
      <w:r w:rsidR="004252C0" w:rsidRPr="002C6752">
        <w:fldChar w:fldCharType="begin"/>
      </w:r>
      <w:r w:rsidR="004252C0" w:rsidRPr="002C6752">
        <w:instrText xml:space="preserve"> REF _Ref32313295 \h </w:instrText>
      </w:r>
      <w:r w:rsidR="004252C0" w:rsidRPr="002C6752">
        <w:fldChar w:fldCharType="separate"/>
      </w:r>
      <w:r w:rsidR="00DE6E77" w:rsidRPr="002C6752">
        <w:t xml:space="preserve">Table </w:t>
      </w:r>
      <w:r w:rsidR="00DE6E77">
        <w:rPr>
          <w:noProof/>
        </w:rPr>
        <w:t>2</w:t>
      </w:r>
      <w:r w:rsidR="004252C0" w:rsidRPr="002C6752">
        <w:fldChar w:fldCharType="end"/>
      </w:r>
      <w:r w:rsidR="00BF6678">
        <w:t xml:space="preserve"> (including note)</w:t>
      </w:r>
    </w:p>
    <w:p w14:paraId="3C160BFD" w14:textId="07A4F11A" w:rsidR="00D158AE" w:rsidRPr="002C6752" w:rsidRDefault="000353FD" w:rsidP="005A308C">
      <w:pPr>
        <w:pStyle w:val="BodyText"/>
      </w:pPr>
      <w:bookmarkStart w:id="167" w:name="_ASICRef44"/>
      <w:bookmarkStart w:id="168" w:name="_ASICRef923"/>
      <w:bookmarkStart w:id="169" w:name="_ASICRef347"/>
      <w:bookmarkStart w:id="170" w:name="_ASICRef48"/>
      <w:bookmarkStart w:id="171" w:name="_ASICRef185"/>
      <w:bookmarkStart w:id="172" w:name="_ASICRef972"/>
      <w:bookmarkStart w:id="173" w:name="_ASICRef325"/>
      <w:bookmarkStart w:id="174" w:name="_ASICRef218"/>
      <w:bookmarkStart w:id="175" w:name="_ASICRef374"/>
      <w:bookmarkStart w:id="176" w:name="_ASICRef389"/>
      <w:r w:rsidRPr="002C6752">
        <w:t>A</w:t>
      </w:r>
      <w:r w:rsidR="00302B48" w:rsidRPr="002C6752">
        <w:t xml:space="preserve"> f</w:t>
      </w:r>
      <w:r w:rsidR="00443019" w:rsidRPr="002C6752">
        <w:t>inancial f</w:t>
      </w:r>
      <w:r w:rsidR="000F1CCC" w:rsidRPr="002C6752">
        <w:t xml:space="preserve">irm must provide an IDR </w:t>
      </w:r>
      <w:r w:rsidR="00443019" w:rsidRPr="002C6752">
        <w:t>r</w:t>
      </w:r>
      <w:r w:rsidR="00853237" w:rsidRPr="002C6752">
        <w:t xml:space="preserve">esponse to a complainant </w:t>
      </w:r>
      <w:r w:rsidR="00443019" w:rsidRPr="002C6752">
        <w:t>no later than</w:t>
      </w:r>
      <w:r w:rsidR="00853237" w:rsidRPr="002C6752">
        <w:t xml:space="preserve"> 30</w:t>
      </w:r>
      <w:r w:rsidR="00952A86" w:rsidRPr="002C6752">
        <w:t> </w:t>
      </w:r>
      <w:r w:rsidR="00302B48" w:rsidRPr="002C6752">
        <w:t xml:space="preserve">calendar </w:t>
      </w:r>
      <w:r w:rsidR="00853237" w:rsidRPr="002C6752">
        <w:t xml:space="preserve">days </w:t>
      </w:r>
      <w:r w:rsidR="00443019" w:rsidRPr="002C6752">
        <w:t>after receiving the complaint</w:t>
      </w:r>
      <w:r w:rsidRPr="002C6752">
        <w:t>.</w:t>
      </w:r>
      <w:r w:rsidR="00DB541B" w:rsidRPr="002C6752">
        <w:t xml:space="preserve"> </w:t>
      </w:r>
      <w:r w:rsidRPr="002C6752">
        <w:t xml:space="preserve">However, </w:t>
      </w:r>
      <w:r w:rsidR="00C767FE" w:rsidRPr="002C6752">
        <w:t>in some cases a</w:t>
      </w:r>
      <w:r w:rsidR="00DB541B" w:rsidRPr="002C6752">
        <w:t xml:space="preserve"> different timeframe applies</w:t>
      </w:r>
      <w:r w:rsidR="00EF7B06" w:rsidRPr="002C6752">
        <w:t xml:space="preserve">: see </w:t>
      </w:r>
      <w:r w:rsidR="00EF7B06" w:rsidRPr="002C6752">
        <w:fldChar w:fldCharType="begin"/>
      </w:r>
      <w:r w:rsidR="00EF7B06" w:rsidRPr="002C6752">
        <w:instrText xml:space="preserve"> REF _ASICRef81 \w \h </w:instrText>
      </w:r>
      <w:r w:rsidR="00DA34F6" w:rsidRPr="002C6752">
        <w:instrText xml:space="preserve"> \* MERGEFORMAT </w:instrText>
      </w:r>
      <w:r w:rsidR="00EF7B06" w:rsidRPr="002C6752">
        <w:fldChar w:fldCharType="separate"/>
      </w:r>
      <w:r w:rsidR="00DE6E77">
        <w:t>RG 271.58</w:t>
      </w:r>
      <w:r w:rsidR="00EF7B06" w:rsidRPr="002C6752">
        <w:fldChar w:fldCharType="end"/>
      </w:r>
      <w:r w:rsidR="00EF7B06" w:rsidRPr="002C6752">
        <w:t xml:space="preserve">. There are also exceptions: see </w:t>
      </w:r>
      <w:r w:rsidR="004113EC" w:rsidRPr="002C6752">
        <w:fldChar w:fldCharType="begin"/>
      </w:r>
      <w:r w:rsidR="004113EC" w:rsidRPr="002C6752">
        <w:instrText xml:space="preserve"> REF _ASICRef585 \w \h </w:instrText>
      </w:r>
      <w:r w:rsidR="004113EC" w:rsidRPr="002C6752">
        <w:fldChar w:fldCharType="separate"/>
      </w:r>
      <w:r w:rsidR="00DE6E77">
        <w:t>RG 271.64</w:t>
      </w:r>
      <w:r w:rsidR="004113EC" w:rsidRPr="002C6752">
        <w:fldChar w:fldCharType="end"/>
      </w:r>
      <w:r w:rsidR="00183429" w:rsidRPr="002C6752">
        <w:t>–</w:t>
      </w:r>
      <w:r w:rsidR="00183429" w:rsidRPr="002C6752">
        <w:fldChar w:fldCharType="begin"/>
      </w:r>
      <w:r w:rsidR="00183429" w:rsidRPr="002C6752">
        <w:instrText xml:space="preserve"> REF _ASICRef114 \w \h </w:instrText>
      </w:r>
      <w:r w:rsidR="00183429" w:rsidRPr="002C6752">
        <w:fldChar w:fldCharType="separate"/>
      </w:r>
      <w:r w:rsidR="00DE6E77">
        <w:t>RG 271.66</w:t>
      </w:r>
      <w:r w:rsidR="00183429" w:rsidRPr="002C6752">
        <w:fldChar w:fldCharType="end"/>
      </w:r>
      <w:r w:rsidR="0072052E" w:rsidRPr="002C6752">
        <w:t>.</w:t>
      </w:r>
      <w:bookmarkEnd w:id="167"/>
      <w:bookmarkEnd w:id="168"/>
      <w:bookmarkEnd w:id="169"/>
      <w:bookmarkEnd w:id="170"/>
      <w:bookmarkEnd w:id="171"/>
      <w:bookmarkEnd w:id="172"/>
      <w:bookmarkEnd w:id="173"/>
      <w:bookmarkEnd w:id="174"/>
      <w:bookmarkEnd w:id="175"/>
      <w:bookmarkEnd w:id="176"/>
    </w:p>
    <w:p w14:paraId="4A7A38F9" w14:textId="5CEE4014" w:rsidR="00EF7B06" w:rsidRPr="002C6752" w:rsidRDefault="00EF7B06" w:rsidP="00234BC1">
      <w:pPr>
        <w:pStyle w:val="BodyText"/>
      </w:pPr>
      <w:bookmarkStart w:id="177" w:name="_Ref24551437"/>
      <w:bookmarkEnd w:id="162"/>
      <w:bookmarkEnd w:id="163"/>
      <w:bookmarkEnd w:id="164"/>
      <w:bookmarkEnd w:id="165"/>
      <w:bookmarkEnd w:id="166"/>
      <w:r w:rsidRPr="002C6752">
        <w:t>Superannuation trustees</w:t>
      </w:r>
      <w:r w:rsidR="00204926">
        <w:t xml:space="preserve"> and RSA providers</w:t>
      </w:r>
      <w:r w:rsidRPr="002C6752">
        <w:t xml:space="preserve"> satisfy the requirement to provide written reasons for a decision (see s101(1)(d) of the SIS Act and s47(1)(d) of the RSA Act) when they provide an IDR response.</w:t>
      </w:r>
      <w:bookmarkEnd w:id="177"/>
    </w:p>
    <w:bookmarkStart w:id="178" w:name="_ASICRef81"/>
    <w:p w14:paraId="23ECB36B" w14:textId="7945090E" w:rsidR="00492E54" w:rsidRPr="00492E54" w:rsidRDefault="00492E54" w:rsidP="00234BC1">
      <w:pPr>
        <w:pStyle w:val="BodyText"/>
      </w:pPr>
      <w:r w:rsidRPr="00492E54">
        <w:fldChar w:fldCharType="begin"/>
      </w:r>
      <w:r w:rsidRPr="007766FF">
        <w:rPr>
          <w:highlight w:val="yellow"/>
        </w:rPr>
        <w:instrText xml:space="preserve"> REF _Ref32313295 \h </w:instrText>
      </w:r>
      <w:r>
        <w:rPr>
          <w:highlight w:val="yellow"/>
        </w:rPr>
        <w:instrText xml:space="preserve"> \* MERGEFORMAT </w:instrText>
      </w:r>
      <w:r w:rsidRPr="00492E54">
        <w:fldChar w:fldCharType="separate"/>
      </w:r>
      <w:r w:rsidR="00DE6E77" w:rsidRPr="002C6752">
        <w:t xml:space="preserve">Table </w:t>
      </w:r>
      <w:r w:rsidR="00DE6E77">
        <w:rPr>
          <w:noProof/>
        </w:rPr>
        <w:t>2</w:t>
      </w:r>
      <w:r w:rsidRPr="00492E54">
        <w:fldChar w:fldCharType="end"/>
      </w:r>
      <w:r w:rsidRPr="00492E54">
        <w:t xml:space="preserve"> summarises the maximum IDR timeframes for all complaints.</w:t>
      </w:r>
    </w:p>
    <w:p w14:paraId="08105DBB" w14:textId="50A389E2" w:rsidR="00853237" w:rsidRPr="002C6752" w:rsidRDefault="00DB541B" w:rsidP="00234BC1">
      <w:pPr>
        <w:pStyle w:val="BodyText"/>
      </w:pPr>
      <w:r w:rsidRPr="009A3DA9">
        <w:t>D</w:t>
      </w:r>
      <w:r w:rsidR="00853237" w:rsidRPr="002C6752">
        <w:t>ifferent timeframe</w:t>
      </w:r>
      <w:r w:rsidRPr="002C6752">
        <w:t>s</w:t>
      </w:r>
      <w:r w:rsidR="00443019" w:rsidRPr="002C6752">
        <w:t xml:space="preserve"> </w:t>
      </w:r>
      <w:r w:rsidR="00853237" w:rsidRPr="002C6752">
        <w:t>appl</w:t>
      </w:r>
      <w:r w:rsidR="00443019" w:rsidRPr="002C6752">
        <w:t>y to</w:t>
      </w:r>
      <w:r w:rsidR="00853237" w:rsidRPr="002C6752">
        <w:t>:</w:t>
      </w:r>
      <w:bookmarkEnd w:id="129"/>
      <w:bookmarkEnd w:id="178"/>
    </w:p>
    <w:p w14:paraId="76E876CB" w14:textId="0D68D405" w:rsidR="00263977" w:rsidRPr="002C6752" w:rsidRDefault="008201A5" w:rsidP="00E36819">
      <w:pPr>
        <w:pStyle w:val="subparaa"/>
      </w:pPr>
      <w:r w:rsidRPr="002C6752">
        <w:t>c</w:t>
      </w:r>
      <w:r w:rsidR="00263977" w:rsidRPr="002C6752">
        <w:t xml:space="preserve">omplaints about a </w:t>
      </w:r>
      <w:r w:rsidR="00961E5C" w:rsidRPr="002C6752">
        <w:t xml:space="preserve">traditional </w:t>
      </w:r>
      <w:r w:rsidR="00263977" w:rsidRPr="002C6752">
        <w:t>trustee</w:t>
      </w:r>
      <w:r w:rsidR="009C1C41" w:rsidRPr="002C6752">
        <w:t xml:space="preserve"> </w:t>
      </w:r>
      <w:r w:rsidR="00DB541B" w:rsidRPr="002C6752">
        <w:t>(</w:t>
      </w:r>
      <w:r w:rsidR="006C701C" w:rsidRPr="002C6752">
        <w:t xml:space="preserve">see </w:t>
      </w:r>
      <w:r w:rsidR="003429E3" w:rsidRPr="002C6752">
        <w:fldChar w:fldCharType="begin"/>
      </w:r>
      <w:r w:rsidR="003429E3" w:rsidRPr="002C6752">
        <w:instrText xml:space="preserve"> REF _ASICRef164 \w \h </w:instrText>
      </w:r>
      <w:r w:rsidR="003429E3" w:rsidRPr="002C6752">
        <w:fldChar w:fldCharType="separate"/>
      </w:r>
      <w:r w:rsidR="00DE6E77">
        <w:t>RG 271.76</w:t>
      </w:r>
      <w:r w:rsidR="003429E3" w:rsidRPr="002C6752">
        <w:fldChar w:fldCharType="end"/>
      </w:r>
      <w:r w:rsidR="003429E3" w:rsidRPr="002C6752">
        <w:t>–</w:t>
      </w:r>
      <w:r w:rsidR="003429E3" w:rsidRPr="002C6752">
        <w:fldChar w:fldCharType="begin"/>
      </w:r>
      <w:r w:rsidR="003429E3" w:rsidRPr="002C6752">
        <w:instrText xml:space="preserve"> REF _ASICRef276 \w \h </w:instrText>
      </w:r>
      <w:r w:rsidR="003429E3" w:rsidRPr="002C6752">
        <w:fldChar w:fldCharType="separate"/>
      </w:r>
      <w:r w:rsidR="00DE6E77">
        <w:t>RG 271.78</w:t>
      </w:r>
      <w:r w:rsidR="003429E3" w:rsidRPr="002C6752">
        <w:fldChar w:fldCharType="end"/>
      </w:r>
      <w:r w:rsidR="00DB541B" w:rsidRPr="002C6752">
        <w:t>)</w:t>
      </w:r>
      <w:r w:rsidR="00263977" w:rsidRPr="002C6752">
        <w:t>;</w:t>
      </w:r>
    </w:p>
    <w:p w14:paraId="22F9AC35" w14:textId="072F9ACA" w:rsidR="00AB6384" w:rsidRDefault="008201A5" w:rsidP="00E36819">
      <w:pPr>
        <w:pStyle w:val="subparaa"/>
      </w:pPr>
      <w:r w:rsidRPr="00C31FD2">
        <w:t>c</w:t>
      </w:r>
      <w:r w:rsidR="00853237" w:rsidRPr="00C31FD2">
        <w:t xml:space="preserve">omplaints about </w:t>
      </w:r>
      <w:r w:rsidR="00DB541B" w:rsidRPr="00C31FD2">
        <w:t xml:space="preserve">superannuation </w:t>
      </w:r>
      <w:r w:rsidR="00853237" w:rsidRPr="00C31FD2">
        <w:t>trustees</w:t>
      </w:r>
      <w:r w:rsidR="009C1C41" w:rsidRPr="00C31FD2">
        <w:t xml:space="preserve"> </w:t>
      </w:r>
      <w:r w:rsidR="00DB541B" w:rsidRPr="00C31FD2">
        <w:t>(</w:t>
      </w:r>
      <w:r w:rsidR="009C1C41" w:rsidRPr="00C31FD2">
        <w:t xml:space="preserve">see </w:t>
      </w:r>
      <w:bookmarkStart w:id="179" w:name="_Hlk24469845"/>
      <w:r w:rsidR="008F0AFE">
        <w:fldChar w:fldCharType="begin"/>
      </w:r>
      <w:r w:rsidR="008F0AFE">
        <w:instrText xml:space="preserve"> REF _ASICRef557 \w \h </w:instrText>
      </w:r>
      <w:r w:rsidR="008F0AFE">
        <w:fldChar w:fldCharType="separate"/>
      </w:r>
      <w:r w:rsidR="00DE6E77">
        <w:t>RG 271.79</w:t>
      </w:r>
      <w:r w:rsidR="008F0AFE">
        <w:fldChar w:fldCharType="end"/>
      </w:r>
      <w:bookmarkEnd w:id="179"/>
      <w:r w:rsidR="00DB541B" w:rsidRPr="00C31FD2">
        <w:t>)</w:t>
      </w:r>
      <w:r w:rsidR="00853237" w:rsidRPr="00C31FD2">
        <w:t>;</w:t>
      </w:r>
      <w:r w:rsidR="00263977" w:rsidRPr="00C31FD2">
        <w:t xml:space="preserve"> </w:t>
      </w:r>
    </w:p>
    <w:p w14:paraId="4F223BDC" w14:textId="67AE0D7D" w:rsidR="00853237" w:rsidRPr="00C31FD2" w:rsidRDefault="00AB6384" w:rsidP="00E36819">
      <w:pPr>
        <w:pStyle w:val="subparaa"/>
      </w:pPr>
      <w:r>
        <w:t xml:space="preserve">complaints about </w:t>
      </w:r>
      <w:r w:rsidR="00F0258D">
        <w:t xml:space="preserve">superannuation </w:t>
      </w:r>
      <w:r>
        <w:t xml:space="preserve">death benefit distributions (see </w:t>
      </w:r>
      <w:r w:rsidR="00D143B5" w:rsidRPr="00E36819">
        <w:fldChar w:fldCharType="begin"/>
      </w:r>
      <w:r w:rsidR="00D143B5" w:rsidRPr="00914F38">
        <w:instrText xml:space="preserve"> REF _Ref45181760 \r \h </w:instrText>
      </w:r>
      <w:r w:rsidR="00D143B5">
        <w:instrText xml:space="preserve"> \* MERGEFORMAT </w:instrText>
      </w:r>
      <w:r w:rsidR="00D143B5" w:rsidRPr="00E36819">
        <w:fldChar w:fldCharType="separate"/>
      </w:r>
      <w:r w:rsidR="00DE6E77">
        <w:t>RG 271.80</w:t>
      </w:r>
      <w:r w:rsidR="00D143B5" w:rsidRPr="00E36819">
        <w:fldChar w:fldCharType="end"/>
      </w:r>
      <w:r w:rsidR="00D143B5" w:rsidRPr="00E36819">
        <w:t>–</w:t>
      </w:r>
      <w:r w:rsidR="00D143B5" w:rsidRPr="00E36819">
        <w:fldChar w:fldCharType="begin"/>
      </w:r>
      <w:r w:rsidR="00D143B5" w:rsidRPr="00E36819">
        <w:instrText xml:space="preserve"> REF _Ref45181764 \r \h </w:instrText>
      </w:r>
      <w:r w:rsidR="00D143B5">
        <w:instrText xml:space="preserve"> \* MERGEFORMAT </w:instrText>
      </w:r>
      <w:r w:rsidR="00D143B5" w:rsidRPr="00E36819">
        <w:fldChar w:fldCharType="separate"/>
      </w:r>
      <w:r w:rsidR="00DE6E77">
        <w:t>RG 271.85</w:t>
      </w:r>
      <w:r w:rsidR="00D143B5" w:rsidRPr="00E36819">
        <w:fldChar w:fldCharType="end"/>
      </w:r>
      <w:r w:rsidR="00D143B5">
        <w:t>)</w:t>
      </w:r>
      <w:r w:rsidRPr="00E36819">
        <w:t>;</w:t>
      </w:r>
      <w:r>
        <w:t xml:space="preserve"> </w:t>
      </w:r>
      <w:r w:rsidR="00263977" w:rsidRPr="00C31FD2">
        <w:t>and</w:t>
      </w:r>
    </w:p>
    <w:p w14:paraId="7CA767B5" w14:textId="5F6BB4A3" w:rsidR="00853237" w:rsidRPr="002C6752" w:rsidRDefault="008201A5" w:rsidP="00E36819">
      <w:pPr>
        <w:pStyle w:val="subparaa"/>
      </w:pPr>
      <w:r w:rsidRPr="002C6752">
        <w:t>c</w:t>
      </w:r>
      <w:r w:rsidR="00263977" w:rsidRPr="002C6752">
        <w:t>er</w:t>
      </w:r>
      <w:r w:rsidR="009C1C41" w:rsidRPr="002C6752">
        <w:t xml:space="preserve">tain types of credit complaints </w:t>
      </w:r>
      <w:r w:rsidR="00DB541B" w:rsidRPr="002C6752">
        <w:t>(</w:t>
      </w:r>
      <w:r w:rsidR="009C1C41" w:rsidRPr="002C6752">
        <w:t xml:space="preserve">see </w:t>
      </w:r>
      <w:r w:rsidR="003429E3" w:rsidRPr="002C6752">
        <w:fldChar w:fldCharType="begin"/>
      </w:r>
      <w:r w:rsidR="003429E3" w:rsidRPr="002C6752">
        <w:instrText xml:space="preserve"> REF _ASICRef896 \w \h </w:instrText>
      </w:r>
      <w:r w:rsidR="003429E3" w:rsidRPr="002C6752">
        <w:fldChar w:fldCharType="separate"/>
      </w:r>
      <w:r w:rsidR="00DE6E77">
        <w:t>RG 271.86</w:t>
      </w:r>
      <w:r w:rsidR="003429E3" w:rsidRPr="002C6752">
        <w:fldChar w:fldCharType="end"/>
      </w:r>
      <w:r w:rsidR="003429E3" w:rsidRPr="002C6752">
        <w:t>–</w:t>
      </w:r>
      <w:r w:rsidR="003429E3" w:rsidRPr="002C6752">
        <w:fldChar w:fldCharType="begin"/>
      </w:r>
      <w:r w:rsidR="003429E3" w:rsidRPr="002C6752">
        <w:instrText xml:space="preserve"> REF _ASICRef372 \w \h </w:instrText>
      </w:r>
      <w:r w:rsidR="003429E3" w:rsidRPr="002C6752">
        <w:fldChar w:fldCharType="separate"/>
      </w:r>
      <w:r w:rsidR="00DE6E77">
        <w:t>RG 271.101</w:t>
      </w:r>
      <w:r w:rsidR="003429E3" w:rsidRPr="002C6752">
        <w:fldChar w:fldCharType="end"/>
      </w:r>
      <w:r w:rsidR="00DB541B" w:rsidRPr="002C6752">
        <w:t>)</w:t>
      </w:r>
      <w:r w:rsidR="00263977" w:rsidRPr="002C6752">
        <w:t>.</w:t>
      </w:r>
      <w:bookmarkStart w:id="180" w:name="_Hlk528143143"/>
    </w:p>
    <w:p w14:paraId="4292A5EF" w14:textId="1F712A70" w:rsidR="00E851AF" w:rsidRPr="002C6752" w:rsidRDefault="00E851AF" w:rsidP="005A308C">
      <w:pPr>
        <w:pStyle w:val="BodyText"/>
      </w:pPr>
      <w:bookmarkStart w:id="181" w:name="_ASICRef931"/>
      <w:r w:rsidRPr="002C6752">
        <w:t xml:space="preserve">There are also different requirements for complaints </w:t>
      </w:r>
      <w:r w:rsidR="00C767FE" w:rsidRPr="002C6752">
        <w:t xml:space="preserve">closed </w:t>
      </w:r>
      <w:r w:rsidRPr="002C6752">
        <w:t>with</w:t>
      </w:r>
      <w:r w:rsidR="00E1383E">
        <w:t>in</w:t>
      </w:r>
      <w:r w:rsidRPr="002C6752">
        <w:t xml:space="preserve"> five business days of receipt: see </w:t>
      </w:r>
      <w:r w:rsidR="005E10C4">
        <w:fldChar w:fldCharType="begin"/>
      </w:r>
      <w:r w:rsidR="005E10C4">
        <w:instrText xml:space="preserve"> REF _ASICRef702 \w \h </w:instrText>
      </w:r>
      <w:r w:rsidR="005E10C4">
        <w:fldChar w:fldCharType="separate"/>
      </w:r>
      <w:r w:rsidR="00DE6E77">
        <w:t>RG 271.71</w:t>
      </w:r>
      <w:r w:rsidR="005E10C4">
        <w:fldChar w:fldCharType="end"/>
      </w:r>
      <w:r w:rsidR="001F307C" w:rsidRPr="002C6752">
        <w:t>–</w:t>
      </w:r>
      <w:r w:rsidR="001F307C" w:rsidRPr="002C6752">
        <w:fldChar w:fldCharType="begin"/>
      </w:r>
      <w:r w:rsidR="001F307C" w:rsidRPr="002C6752">
        <w:instrText xml:space="preserve"> REF _ASICRef64 \w \h </w:instrText>
      </w:r>
      <w:r w:rsidR="001F307C" w:rsidRPr="002C6752">
        <w:fldChar w:fldCharType="separate"/>
      </w:r>
      <w:r w:rsidR="00DE6E77">
        <w:t>RG 271.75</w:t>
      </w:r>
      <w:r w:rsidR="001F307C" w:rsidRPr="002C6752">
        <w:fldChar w:fldCharType="end"/>
      </w:r>
      <w:r w:rsidRPr="002C6752">
        <w:t>.</w:t>
      </w:r>
      <w:bookmarkEnd w:id="181"/>
    </w:p>
    <w:p w14:paraId="000C057E" w14:textId="7D0CB81C" w:rsidR="009F65AE" w:rsidRPr="002C6752" w:rsidRDefault="009F65AE" w:rsidP="009A6619">
      <w:pPr>
        <w:pStyle w:val="figuretitlefullwidth"/>
      </w:pPr>
      <w:bookmarkStart w:id="182" w:name="_Ref5097928"/>
      <w:bookmarkStart w:id="183" w:name="_Ref32313295"/>
      <w:bookmarkStart w:id="184" w:name="_Ref33604405"/>
      <w:r w:rsidRPr="002C6752">
        <w:t xml:space="preserve">Table </w:t>
      </w:r>
      <w:r w:rsidR="00DD52BD">
        <w:fldChar w:fldCharType="begin"/>
      </w:r>
      <w:r w:rsidR="00DD52BD">
        <w:instrText xml:space="preserve"> SEQ Table \* ARABIC </w:instrText>
      </w:r>
      <w:r w:rsidR="00DD52BD">
        <w:fldChar w:fldCharType="separate"/>
      </w:r>
      <w:r w:rsidR="00DE6E77">
        <w:rPr>
          <w:noProof/>
        </w:rPr>
        <w:t>2</w:t>
      </w:r>
      <w:r w:rsidR="00DD52BD">
        <w:rPr>
          <w:noProof/>
        </w:rPr>
        <w:fldChar w:fldCharType="end"/>
      </w:r>
      <w:bookmarkEnd w:id="182"/>
      <w:bookmarkEnd w:id="183"/>
      <w:r w:rsidRPr="002C6752">
        <w:t>:</w:t>
      </w:r>
      <w:r w:rsidRPr="002C6752">
        <w:tab/>
        <w:t>Maximum IDR timeframes for financial firms to provide an IDR response</w:t>
      </w:r>
      <w:bookmarkEnd w:id="184"/>
      <w:r w:rsidRPr="002C6752">
        <w:t xml:space="preserve"> </w:t>
      </w:r>
    </w:p>
    <w:tbl>
      <w:tblPr>
        <w:tblW w:w="9072" w:type="dxa"/>
        <w:tblBorders>
          <w:top w:val="single" w:sz="4" w:space="0" w:color="999999"/>
          <w:bottom w:val="single" w:sz="4" w:space="0" w:color="999999"/>
          <w:insideH w:val="single" w:sz="4" w:space="0" w:color="999999"/>
        </w:tblBorders>
        <w:tblLayout w:type="fixed"/>
        <w:tblCellMar>
          <w:bottom w:w="113" w:type="dxa"/>
        </w:tblCellMar>
        <w:tblLook w:val="0020" w:firstRow="1" w:lastRow="0" w:firstColumn="0" w:lastColumn="0" w:noHBand="0" w:noVBand="0"/>
      </w:tblPr>
      <w:tblGrid>
        <w:gridCol w:w="2268"/>
        <w:gridCol w:w="5103"/>
        <w:gridCol w:w="1701"/>
      </w:tblGrid>
      <w:tr w:rsidR="009F65AE" w:rsidRPr="002C6752" w14:paraId="61D70079" w14:textId="77777777" w:rsidTr="00914F38">
        <w:trPr>
          <w:cantSplit/>
          <w:tblHeader/>
        </w:trPr>
        <w:tc>
          <w:tcPr>
            <w:tcW w:w="2268" w:type="dxa"/>
            <w:shd w:val="clear" w:color="auto" w:fill="C2E3FA"/>
          </w:tcPr>
          <w:p w14:paraId="683B6533" w14:textId="77777777" w:rsidR="009F65AE" w:rsidRPr="002C6752" w:rsidRDefault="009F65AE" w:rsidP="00430EAA">
            <w:pPr>
              <w:pStyle w:val="tablehead"/>
            </w:pPr>
            <w:r w:rsidRPr="002C6752">
              <w:t>Complaint type</w:t>
            </w:r>
          </w:p>
        </w:tc>
        <w:tc>
          <w:tcPr>
            <w:tcW w:w="5103" w:type="dxa"/>
            <w:shd w:val="clear" w:color="auto" w:fill="C2E3FA"/>
          </w:tcPr>
          <w:p w14:paraId="49A638BC" w14:textId="50ACB52E" w:rsidR="009F65AE" w:rsidRPr="002C6752" w:rsidRDefault="009F65AE" w:rsidP="00430EAA">
            <w:pPr>
              <w:pStyle w:val="tablehead"/>
              <w:rPr>
                <w:spacing w:val="-2"/>
              </w:rPr>
            </w:pPr>
            <w:r w:rsidRPr="002C6752">
              <w:rPr>
                <w:spacing w:val="-2"/>
              </w:rPr>
              <w:t xml:space="preserve">Maximum timeframes for IDR response </w:t>
            </w:r>
          </w:p>
        </w:tc>
        <w:tc>
          <w:tcPr>
            <w:tcW w:w="1701" w:type="dxa"/>
            <w:shd w:val="clear" w:color="auto" w:fill="C2E3FA"/>
          </w:tcPr>
          <w:p w14:paraId="08DB584C" w14:textId="77777777" w:rsidR="009F65AE" w:rsidRPr="002C6752" w:rsidRDefault="009F65AE" w:rsidP="00430EAA">
            <w:pPr>
              <w:pStyle w:val="tablehead"/>
            </w:pPr>
            <w:r w:rsidRPr="002C6752">
              <w:t>More information</w:t>
            </w:r>
          </w:p>
        </w:tc>
      </w:tr>
      <w:tr w:rsidR="009F65AE" w:rsidRPr="002C6752" w14:paraId="11981D9E" w14:textId="77777777" w:rsidTr="00914F38">
        <w:trPr>
          <w:cantSplit/>
        </w:trPr>
        <w:tc>
          <w:tcPr>
            <w:tcW w:w="2268" w:type="dxa"/>
          </w:tcPr>
          <w:p w14:paraId="103A09E3" w14:textId="77777777" w:rsidR="009F65AE" w:rsidRPr="002C6752" w:rsidRDefault="009F65AE" w:rsidP="00430EAA">
            <w:pPr>
              <w:pStyle w:val="tbltext"/>
            </w:pPr>
            <w:r w:rsidRPr="002C6752">
              <w:t>Standard complaints</w:t>
            </w:r>
          </w:p>
        </w:tc>
        <w:tc>
          <w:tcPr>
            <w:tcW w:w="5103" w:type="dxa"/>
          </w:tcPr>
          <w:p w14:paraId="372A9F7E" w14:textId="2A5F6572" w:rsidR="009F65AE" w:rsidRPr="002C6752" w:rsidRDefault="009F65AE" w:rsidP="00B9535C">
            <w:pPr>
              <w:pStyle w:val="tbltext"/>
            </w:pPr>
            <w:r w:rsidRPr="002C6752">
              <w:t>No later than 30 calendar days after receiving the complaint</w:t>
            </w:r>
            <w:r w:rsidR="00201592" w:rsidRPr="002C6752">
              <w:t>.</w:t>
            </w:r>
          </w:p>
        </w:tc>
        <w:tc>
          <w:tcPr>
            <w:tcW w:w="1701" w:type="dxa"/>
          </w:tcPr>
          <w:p w14:paraId="79356CB4" w14:textId="3D66D4F0" w:rsidR="009F65AE" w:rsidRPr="002C6752" w:rsidRDefault="00EA4111" w:rsidP="00430EAA">
            <w:pPr>
              <w:pStyle w:val="tbltext"/>
            </w:pPr>
            <w:r w:rsidRPr="002C6752">
              <w:fldChar w:fldCharType="begin"/>
            </w:r>
            <w:r w:rsidRPr="002C6752">
              <w:instrText xml:space="preserve"> REF _ASICRef923 \w \h </w:instrText>
            </w:r>
            <w:r w:rsidR="004252C0" w:rsidRPr="002C6752">
              <w:instrText xml:space="preserve"> \* MERGEFORMAT </w:instrText>
            </w:r>
            <w:r w:rsidRPr="002C6752">
              <w:fldChar w:fldCharType="separate"/>
            </w:r>
            <w:r w:rsidR="00DE6E77">
              <w:t>RG 271.56</w:t>
            </w:r>
            <w:r w:rsidRPr="002C6752">
              <w:fldChar w:fldCharType="end"/>
            </w:r>
          </w:p>
        </w:tc>
      </w:tr>
      <w:tr w:rsidR="009F65AE" w:rsidRPr="002C6752" w14:paraId="346751EB" w14:textId="77777777" w:rsidTr="00914F38">
        <w:trPr>
          <w:cantSplit/>
        </w:trPr>
        <w:tc>
          <w:tcPr>
            <w:tcW w:w="2268" w:type="dxa"/>
          </w:tcPr>
          <w:p w14:paraId="13B5035A" w14:textId="77777777" w:rsidR="009F65AE" w:rsidRPr="002C6752" w:rsidRDefault="009F65AE" w:rsidP="00430EAA">
            <w:pPr>
              <w:pStyle w:val="tbltext"/>
            </w:pPr>
            <w:r w:rsidRPr="002C6752">
              <w:t>Traditional trustee complaints</w:t>
            </w:r>
          </w:p>
        </w:tc>
        <w:tc>
          <w:tcPr>
            <w:tcW w:w="5103" w:type="dxa"/>
          </w:tcPr>
          <w:p w14:paraId="224E5C14" w14:textId="3C74CAC9" w:rsidR="009F65AE" w:rsidRPr="002C6752" w:rsidRDefault="009F65AE" w:rsidP="00430EAA">
            <w:pPr>
              <w:pStyle w:val="tbltext"/>
            </w:pPr>
            <w:r w:rsidRPr="002C6752">
              <w:t>No later than 45 calendar day</w:t>
            </w:r>
            <w:r w:rsidR="00341709" w:rsidRPr="002C6752">
              <w:t>s after receiving the complaint</w:t>
            </w:r>
            <w:r w:rsidR="00132028" w:rsidRPr="002C6752">
              <w:t>.</w:t>
            </w:r>
          </w:p>
        </w:tc>
        <w:tc>
          <w:tcPr>
            <w:tcW w:w="1701" w:type="dxa"/>
          </w:tcPr>
          <w:p w14:paraId="332F3093" w14:textId="18A5ACE8" w:rsidR="009F65AE" w:rsidRPr="002C6752" w:rsidRDefault="001F307C" w:rsidP="00430EAA">
            <w:pPr>
              <w:pStyle w:val="tbltext"/>
            </w:pPr>
            <w:r w:rsidRPr="002C6752">
              <w:fldChar w:fldCharType="begin"/>
            </w:r>
            <w:r w:rsidRPr="002C6752">
              <w:instrText xml:space="preserve"> REF _ASICRef756 \w \h </w:instrText>
            </w:r>
            <w:r w:rsidRPr="002C6752">
              <w:fldChar w:fldCharType="separate"/>
            </w:r>
            <w:r w:rsidR="00DE6E77">
              <w:t>RG 271.76</w:t>
            </w:r>
            <w:r w:rsidRPr="002C6752">
              <w:fldChar w:fldCharType="end"/>
            </w:r>
            <w:r w:rsidR="009F65AE" w:rsidRPr="002C6752">
              <w:t>–</w:t>
            </w:r>
            <w:r w:rsidR="009F65AE" w:rsidRPr="002C6752">
              <w:fldChar w:fldCharType="begin"/>
            </w:r>
            <w:r w:rsidR="009F65AE" w:rsidRPr="002C6752">
              <w:instrText xml:space="preserve"> REF _ASICRef620 \w \h </w:instrText>
            </w:r>
            <w:r w:rsidR="002F1325" w:rsidRPr="002C6752">
              <w:instrText xml:space="preserve"> \* MERGEFORMAT </w:instrText>
            </w:r>
            <w:r w:rsidR="009F65AE" w:rsidRPr="002C6752">
              <w:fldChar w:fldCharType="separate"/>
            </w:r>
            <w:r w:rsidR="00DE6E77">
              <w:t>RG 271.78</w:t>
            </w:r>
            <w:r w:rsidR="009F65AE" w:rsidRPr="002C6752">
              <w:fldChar w:fldCharType="end"/>
            </w:r>
          </w:p>
        </w:tc>
      </w:tr>
      <w:tr w:rsidR="009F65AE" w:rsidRPr="002C6752" w14:paraId="4CCAE674" w14:textId="77777777" w:rsidTr="00914F38">
        <w:trPr>
          <w:cantSplit/>
          <w:trHeight w:val="50"/>
        </w:trPr>
        <w:tc>
          <w:tcPr>
            <w:tcW w:w="2268" w:type="dxa"/>
          </w:tcPr>
          <w:p w14:paraId="7ABE6807" w14:textId="26A1EBEE" w:rsidR="009F65AE" w:rsidRPr="002C6752" w:rsidRDefault="009F65AE" w:rsidP="00430EAA">
            <w:pPr>
              <w:pStyle w:val="tbltext"/>
            </w:pPr>
            <w:r w:rsidRPr="002C6752">
              <w:t>Superannuation trustee complaints</w:t>
            </w:r>
            <w:r w:rsidR="00191694">
              <w:t>,</w:t>
            </w:r>
            <w:r w:rsidR="00AB6384">
              <w:t xml:space="preserve"> except for complaints about death benefit distributions</w:t>
            </w:r>
          </w:p>
        </w:tc>
        <w:tc>
          <w:tcPr>
            <w:tcW w:w="5103" w:type="dxa"/>
          </w:tcPr>
          <w:p w14:paraId="75A9D591" w14:textId="67945324" w:rsidR="009F65AE" w:rsidRPr="002C6752" w:rsidRDefault="009F65AE" w:rsidP="00430EAA">
            <w:pPr>
              <w:pStyle w:val="tbltext"/>
            </w:pPr>
            <w:r w:rsidRPr="002C6752">
              <w:t>No later than 45 calendar day</w:t>
            </w:r>
            <w:r w:rsidR="00341709" w:rsidRPr="002C6752">
              <w:t>s after receiving the complaint</w:t>
            </w:r>
            <w:r w:rsidR="00132028" w:rsidRPr="002C6752">
              <w:t>.</w:t>
            </w:r>
          </w:p>
        </w:tc>
        <w:tc>
          <w:tcPr>
            <w:tcW w:w="1701" w:type="dxa"/>
          </w:tcPr>
          <w:p w14:paraId="0F7313CA" w14:textId="0567280C" w:rsidR="009F65AE" w:rsidRPr="002C6752" w:rsidRDefault="004D1EF7" w:rsidP="00430EAA">
            <w:pPr>
              <w:pStyle w:val="tbltext"/>
            </w:pPr>
            <w:r>
              <w:fldChar w:fldCharType="begin"/>
            </w:r>
            <w:r>
              <w:instrText xml:space="preserve"> REF _ASICRef557 \w \h </w:instrText>
            </w:r>
            <w:r>
              <w:fldChar w:fldCharType="separate"/>
            </w:r>
            <w:r w:rsidR="00DE6E77">
              <w:t>RG 271.79</w:t>
            </w:r>
            <w:r>
              <w:fldChar w:fldCharType="end"/>
            </w:r>
          </w:p>
        </w:tc>
      </w:tr>
      <w:tr w:rsidR="00AB6384" w:rsidRPr="002C6752" w14:paraId="0A60AE82" w14:textId="77777777" w:rsidTr="00914F38">
        <w:trPr>
          <w:cantSplit/>
          <w:trHeight w:val="50"/>
        </w:trPr>
        <w:tc>
          <w:tcPr>
            <w:tcW w:w="2268" w:type="dxa"/>
            <w:shd w:val="clear" w:color="auto" w:fill="FFFFFF" w:themeFill="background1"/>
          </w:tcPr>
          <w:p w14:paraId="2100C80F" w14:textId="7EDB704F" w:rsidR="00AB6384" w:rsidRPr="002C6752" w:rsidRDefault="00AB6384" w:rsidP="00430EAA">
            <w:pPr>
              <w:pStyle w:val="tbltext"/>
            </w:pPr>
            <w:r>
              <w:t xml:space="preserve">Complaints about </w:t>
            </w:r>
            <w:r w:rsidR="00F0258D">
              <w:t xml:space="preserve">superannuation </w:t>
            </w:r>
            <w:r>
              <w:t>death benefit distributions</w:t>
            </w:r>
          </w:p>
        </w:tc>
        <w:tc>
          <w:tcPr>
            <w:tcW w:w="5103" w:type="dxa"/>
          </w:tcPr>
          <w:p w14:paraId="3607BB72" w14:textId="3846C093" w:rsidR="00AB6384" w:rsidRPr="002C6752" w:rsidRDefault="00AB6384" w:rsidP="00430EAA">
            <w:pPr>
              <w:pStyle w:val="tbltext"/>
            </w:pPr>
            <w:r>
              <w:t>No later than 90</w:t>
            </w:r>
            <w:r w:rsidR="00A16AF9">
              <w:t xml:space="preserve"> calendar</w:t>
            </w:r>
            <w:r w:rsidR="00853859">
              <w:t xml:space="preserve"> </w:t>
            </w:r>
            <w:r>
              <w:t>days after the expiry of the 28</w:t>
            </w:r>
            <w:r w:rsidR="00853859">
              <w:t xml:space="preserve"> calendar </w:t>
            </w:r>
            <w:r>
              <w:t>day period for objecting to a proposed death benefit distribution referred to in s1056(2)(a) of the Corporations Act</w:t>
            </w:r>
            <w:r w:rsidR="0045344C">
              <w:t>.</w:t>
            </w:r>
          </w:p>
        </w:tc>
        <w:tc>
          <w:tcPr>
            <w:tcW w:w="1701" w:type="dxa"/>
          </w:tcPr>
          <w:p w14:paraId="61AECFA4" w14:textId="35A05D5D" w:rsidR="00AB6384" w:rsidRPr="002C6752" w:rsidRDefault="00D143B5" w:rsidP="00430EAA">
            <w:pPr>
              <w:pStyle w:val="tbltext"/>
            </w:pPr>
            <w:r w:rsidRPr="0046303A">
              <w:rPr>
                <w:spacing w:val="-4"/>
              </w:rPr>
              <w:fldChar w:fldCharType="begin"/>
            </w:r>
            <w:r w:rsidRPr="0046303A">
              <w:rPr>
                <w:spacing w:val="-4"/>
              </w:rPr>
              <w:instrText xml:space="preserve"> REF _Ref45181760 \r \h </w:instrText>
            </w:r>
            <w:r>
              <w:rPr>
                <w:spacing w:val="-4"/>
              </w:rPr>
              <w:instrText xml:space="preserve"> \* MERGEFORMAT </w:instrText>
            </w:r>
            <w:r w:rsidRPr="0046303A">
              <w:rPr>
                <w:spacing w:val="-4"/>
              </w:rPr>
            </w:r>
            <w:r w:rsidRPr="0046303A">
              <w:rPr>
                <w:spacing w:val="-4"/>
              </w:rPr>
              <w:fldChar w:fldCharType="separate"/>
            </w:r>
            <w:r w:rsidR="00DE6E77">
              <w:rPr>
                <w:spacing w:val="-4"/>
              </w:rPr>
              <w:t>RG 271.80</w:t>
            </w:r>
            <w:r w:rsidRPr="0046303A">
              <w:rPr>
                <w:spacing w:val="-4"/>
              </w:rPr>
              <w:fldChar w:fldCharType="end"/>
            </w:r>
            <w:r w:rsidRPr="0046303A">
              <w:rPr>
                <w:spacing w:val="-4"/>
              </w:rPr>
              <w:t>–</w:t>
            </w:r>
            <w:r w:rsidRPr="0046303A">
              <w:rPr>
                <w:spacing w:val="-4"/>
              </w:rPr>
              <w:fldChar w:fldCharType="begin"/>
            </w:r>
            <w:r w:rsidRPr="0046303A">
              <w:rPr>
                <w:spacing w:val="-4"/>
              </w:rPr>
              <w:instrText xml:space="preserve"> REF _Ref45181764 \r \h </w:instrText>
            </w:r>
            <w:r>
              <w:rPr>
                <w:spacing w:val="-4"/>
              </w:rPr>
              <w:instrText xml:space="preserve"> \* MERGEFORMAT </w:instrText>
            </w:r>
            <w:r w:rsidRPr="0046303A">
              <w:rPr>
                <w:spacing w:val="-4"/>
              </w:rPr>
            </w:r>
            <w:r w:rsidRPr="0046303A">
              <w:rPr>
                <w:spacing w:val="-4"/>
              </w:rPr>
              <w:fldChar w:fldCharType="separate"/>
            </w:r>
            <w:r w:rsidR="00DE6E77">
              <w:rPr>
                <w:spacing w:val="-4"/>
              </w:rPr>
              <w:t>RG 271.85</w:t>
            </w:r>
            <w:r w:rsidRPr="0046303A">
              <w:rPr>
                <w:spacing w:val="-4"/>
              </w:rPr>
              <w:fldChar w:fldCharType="end"/>
            </w:r>
          </w:p>
        </w:tc>
      </w:tr>
      <w:bookmarkEnd w:id="161"/>
      <w:tr w:rsidR="009F65AE" w:rsidRPr="002C6752" w14:paraId="42D09DC7" w14:textId="77777777" w:rsidTr="00914F38">
        <w:trPr>
          <w:cantSplit/>
        </w:trPr>
        <w:tc>
          <w:tcPr>
            <w:tcW w:w="2268" w:type="dxa"/>
          </w:tcPr>
          <w:p w14:paraId="1EF7C137" w14:textId="77777777" w:rsidR="009F65AE" w:rsidRPr="002C6752" w:rsidRDefault="009F65AE" w:rsidP="00430EAA">
            <w:pPr>
              <w:pStyle w:val="tbltext"/>
            </w:pPr>
            <w:r w:rsidRPr="002C6752">
              <w:t>Credit-related complaints involving default notices</w:t>
            </w:r>
          </w:p>
        </w:tc>
        <w:tc>
          <w:tcPr>
            <w:tcW w:w="5103" w:type="dxa"/>
          </w:tcPr>
          <w:p w14:paraId="21BC22FD" w14:textId="404668EA" w:rsidR="009F65AE" w:rsidRPr="002C6752" w:rsidRDefault="009F65AE" w:rsidP="00430EAA">
            <w:pPr>
              <w:pStyle w:val="tbltext"/>
            </w:pPr>
            <w:r w:rsidRPr="002C6752">
              <w:t>No later than 21 calendar days after receiving the complaint</w:t>
            </w:r>
            <w:r w:rsidR="00132028" w:rsidRPr="002C6752">
              <w:t>.</w:t>
            </w:r>
          </w:p>
        </w:tc>
        <w:tc>
          <w:tcPr>
            <w:tcW w:w="1701" w:type="dxa"/>
          </w:tcPr>
          <w:p w14:paraId="49970CBD" w14:textId="2DA85638" w:rsidR="009F65AE" w:rsidRPr="002C6752" w:rsidRDefault="001F307C" w:rsidP="00430EAA">
            <w:pPr>
              <w:pStyle w:val="tbltext"/>
            </w:pPr>
            <w:r w:rsidRPr="002C6752">
              <w:fldChar w:fldCharType="begin"/>
            </w:r>
            <w:r w:rsidRPr="002C6752">
              <w:instrText xml:space="preserve"> REF _ASICRef700 \w \h </w:instrText>
            </w:r>
            <w:r w:rsidRPr="002C6752">
              <w:fldChar w:fldCharType="separate"/>
            </w:r>
            <w:r w:rsidR="00DE6E77">
              <w:t>RG 271.86</w:t>
            </w:r>
            <w:r w:rsidRPr="002C6752">
              <w:fldChar w:fldCharType="end"/>
            </w:r>
            <w:r w:rsidR="009F65AE" w:rsidRPr="002C6752">
              <w:t>–</w:t>
            </w:r>
            <w:r w:rsidR="009F65AE" w:rsidRPr="002C6752">
              <w:fldChar w:fldCharType="begin"/>
            </w:r>
            <w:r w:rsidR="009F65AE" w:rsidRPr="002C6752">
              <w:instrText xml:space="preserve"> REF _ASICRef219 \w \h </w:instrText>
            </w:r>
            <w:r w:rsidR="002F1325" w:rsidRPr="002C6752">
              <w:instrText xml:space="preserve"> \* MERGEFORMAT </w:instrText>
            </w:r>
            <w:r w:rsidR="009F65AE" w:rsidRPr="002C6752">
              <w:fldChar w:fldCharType="separate"/>
            </w:r>
            <w:r w:rsidR="00DE6E77">
              <w:t>RG 271.91</w:t>
            </w:r>
            <w:r w:rsidR="009F65AE" w:rsidRPr="002C6752">
              <w:fldChar w:fldCharType="end"/>
            </w:r>
          </w:p>
        </w:tc>
      </w:tr>
      <w:tr w:rsidR="009F65AE" w:rsidRPr="002C6752" w14:paraId="41FFD549" w14:textId="77777777" w:rsidTr="00914F38">
        <w:trPr>
          <w:cantSplit/>
        </w:trPr>
        <w:tc>
          <w:tcPr>
            <w:tcW w:w="2268" w:type="dxa"/>
          </w:tcPr>
          <w:p w14:paraId="5841C371" w14:textId="77777777" w:rsidR="009F65AE" w:rsidRPr="002C6752" w:rsidRDefault="009F65AE" w:rsidP="00430EAA">
            <w:pPr>
              <w:pStyle w:val="tbltext"/>
            </w:pPr>
            <w:r w:rsidRPr="002C6752">
              <w:lastRenderedPageBreak/>
              <w:t>Credit-related complaints involving hardship notices or requests to postpone enforcement proceedings</w:t>
            </w:r>
          </w:p>
        </w:tc>
        <w:tc>
          <w:tcPr>
            <w:tcW w:w="5103" w:type="dxa"/>
          </w:tcPr>
          <w:p w14:paraId="6DF3B252" w14:textId="1062920D" w:rsidR="009F65AE" w:rsidRPr="002C6752" w:rsidRDefault="009F65AE" w:rsidP="00430EAA">
            <w:pPr>
              <w:pStyle w:val="tbltext"/>
            </w:pPr>
            <w:r w:rsidRPr="002C6752">
              <w:t>No later than 21 calendar days</w:t>
            </w:r>
            <w:r w:rsidR="00341709" w:rsidRPr="002C6752">
              <w:t xml:space="preserve"> after receiving the complaint</w:t>
            </w:r>
            <w:r w:rsidR="00132028" w:rsidRPr="002C6752">
              <w:t>.</w:t>
            </w:r>
            <w:r w:rsidR="008F0AFE">
              <w:t xml:space="preserve"> Exceptions apply if the credit provider or lessor does not have sufficient information</w:t>
            </w:r>
            <w:r w:rsidR="00342A9F">
              <w:t xml:space="preserve"> to make a decision</w:t>
            </w:r>
            <w:r w:rsidR="008F0AFE">
              <w:t xml:space="preserve">, or if they reach an agreement with the complainant. </w:t>
            </w:r>
          </w:p>
          <w:p w14:paraId="390CDFB0" w14:textId="77777777" w:rsidR="009F65AE" w:rsidRPr="002C6752" w:rsidRDefault="009F65AE" w:rsidP="00430EAA">
            <w:pPr>
              <w:pStyle w:val="tbltext"/>
              <w:rPr>
                <w:b/>
              </w:rPr>
            </w:pPr>
            <w:r w:rsidRPr="002C6752">
              <w:rPr>
                <w:b/>
              </w:rPr>
              <w:t>Insufficient information</w:t>
            </w:r>
          </w:p>
          <w:p w14:paraId="3DEE2BFE" w14:textId="157B1329" w:rsidR="009F65AE" w:rsidRPr="002C6752" w:rsidRDefault="009F65AE" w:rsidP="00430EAA">
            <w:pPr>
              <w:pStyle w:val="tbltext"/>
            </w:pPr>
            <w:r w:rsidRPr="002C6752">
              <w:t>If the credit provider or lessor does not have sufficient information</w:t>
            </w:r>
            <w:r w:rsidR="00582267" w:rsidRPr="002C6752">
              <w:t xml:space="preserve"> </w:t>
            </w:r>
            <w:r w:rsidRPr="002C6752">
              <w:t>about a hardship notice to make a decision, they must request the information no later than 21 calendar days after receiving the complaint. The complainant must provide the information within 21 </w:t>
            </w:r>
            <w:r w:rsidR="00B121F9">
              <w:t xml:space="preserve">calendar </w:t>
            </w:r>
            <w:r w:rsidRPr="002C6752">
              <w:t>days of receiving the request.</w:t>
            </w:r>
          </w:p>
          <w:p w14:paraId="751A8CEE" w14:textId="77777777" w:rsidR="009F65AE" w:rsidRPr="002C6752" w:rsidRDefault="009F65AE" w:rsidP="00430EAA">
            <w:pPr>
              <w:pStyle w:val="tbltext"/>
            </w:pPr>
            <w:r w:rsidRPr="002C6752">
              <w:t>Once the credit provider or lessor has received the requested information, the credit provider has a further 21 calendar days to provide an IDR response.</w:t>
            </w:r>
          </w:p>
          <w:p w14:paraId="169D889D" w14:textId="24F23509" w:rsidR="009F65AE" w:rsidRPr="002C6752" w:rsidRDefault="009F65AE" w:rsidP="00430EAA">
            <w:pPr>
              <w:pStyle w:val="tbltext"/>
            </w:pPr>
            <w:r w:rsidRPr="002C6752">
              <w:t>If the credit provider or lessor does not receive the requested information within 21</w:t>
            </w:r>
            <w:r w:rsidR="00B121F9">
              <w:t xml:space="preserve"> calendar</w:t>
            </w:r>
            <w:r w:rsidRPr="002C6752">
              <w:t xml:space="preserve"> days of requesting the information, the credit provider or lessor has 7</w:t>
            </w:r>
            <w:r w:rsidR="00B121F9">
              <w:t xml:space="preserve"> calendar</w:t>
            </w:r>
            <w:r w:rsidRPr="002C6752">
              <w:t xml:space="preserve"> days to provide an IDR response.</w:t>
            </w:r>
          </w:p>
          <w:p w14:paraId="348EB625" w14:textId="77777777" w:rsidR="009F65AE" w:rsidRPr="002C6752" w:rsidRDefault="009F65AE" w:rsidP="00430EAA">
            <w:pPr>
              <w:pStyle w:val="tbltext"/>
              <w:rPr>
                <w:b/>
              </w:rPr>
            </w:pPr>
            <w:r w:rsidRPr="002C6752">
              <w:rPr>
                <w:b/>
              </w:rPr>
              <w:t>Agreement reached</w:t>
            </w:r>
          </w:p>
          <w:p w14:paraId="61EE6B60" w14:textId="77777777" w:rsidR="009F65AE" w:rsidRPr="002C6752" w:rsidRDefault="009F65AE" w:rsidP="00430EAA">
            <w:pPr>
              <w:pStyle w:val="tbltext"/>
            </w:pPr>
            <w:r w:rsidRPr="002C6752">
              <w:t xml:space="preserve">If agreement is reached about a hardship notice or request to postpone enforcement proceedings, the credit provider or lessor has 30 calendar days to confirm the terms or conditions in writing. </w:t>
            </w:r>
          </w:p>
        </w:tc>
        <w:tc>
          <w:tcPr>
            <w:tcW w:w="1701" w:type="dxa"/>
          </w:tcPr>
          <w:p w14:paraId="129A3C16" w14:textId="789805C0" w:rsidR="009F65AE" w:rsidRPr="002C6752" w:rsidRDefault="00B26062" w:rsidP="00430EAA">
            <w:pPr>
              <w:pStyle w:val="tbltext"/>
            </w:pPr>
            <w:r w:rsidRPr="002C6752">
              <w:fldChar w:fldCharType="begin"/>
            </w:r>
            <w:r w:rsidRPr="002C6752">
              <w:instrText xml:space="preserve"> REF _ASICRef497 \w \h </w:instrText>
            </w:r>
            <w:r w:rsidRPr="002C6752">
              <w:fldChar w:fldCharType="separate"/>
            </w:r>
            <w:r w:rsidR="00DE6E77">
              <w:t>RG 271.92</w:t>
            </w:r>
            <w:r w:rsidRPr="002C6752">
              <w:fldChar w:fldCharType="end"/>
            </w:r>
            <w:r w:rsidR="009F65AE" w:rsidRPr="002C6752">
              <w:t>–</w:t>
            </w:r>
            <w:r w:rsidR="009F65AE" w:rsidRPr="002C6752">
              <w:fldChar w:fldCharType="begin"/>
            </w:r>
            <w:r w:rsidR="009F65AE" w:rsidRPr="002C6752">
              <w:instrText xml:space="preserve"> REF _ASICRef130 \w \h  \* MERGEFORMAT </w:instrText>
            </w:r>
            <w:r w:rsidR="009F65AE" w:rsidRPr="002C6752">
              <w:fldChar w:fldCharType="separate"/>
            </w:r>
            <w:r w:rsidR="00DE6E77">
              <w:t>RG 271.101</w:t>
            </w:r>
            <w:r w:rsidR="009F65AE" w:rsidRPr="002C6752">
              <w:fldChar w:fldCharType="end"/>
            </w:r>
          </w:p>
        </w:tc>
      </w:tr>
    </w:tbl>
    <w:bookmarkStart w:id="185" w:name="_Hlk24362198"/>
    <w:p w14:paraId="6DA7ABE0" w14:textId="1F00FE2D" w:rsidR="004252C0" w:rsidRPr="005F073C" w:rsidRDefault="00191694" w:rsidP="008F0AFE">
      <w:pPr>
        <w:pStyle w:val="BodyText"/>
      </w:pPr>
      <w:r>
        <w:rPr>
          <w:rFonts w:ascii="Arial" w:hAnsi="Arial"/>
          <w:noProof/>
          <w:sz w:val="16"/>
        </w:rPr>
        <mc:AlternateContent>
          <mc:Choice Requires="wps">
            <w:drawing>
              <wp:anchor distT="0" distB="0" distL="114300" distR="114300" simplePos="0" relativeHeight="251660288" behindDoc="0" locked="0" layoutInCell="1" allowOverlap="1" wp14:anchorId="04EF1B9C" wp14:editId="50D80DFD">
                <wp:simplePos x="0" y="0"/>
                <wp:positionH relativeFrom="column">
                  <wp:posOffset>5834380</wp:posOffset>
                </wp:positionH>
                <wp:positionV relativeFrom="paragraph">
                  <wp:posOffset>-4427122</wp:posOffset>
                </wp:positionV>
                <wp:extent cx="0" cy="4431323"/>
                <wp:effectExtent l="0" t="0" r="38100" b="26670"/>
                <wp:wrapNone/>
                <wp:docPr id="3" name="Straight Connector 3"/>
                <wp:cNvGraphicFramePr/>
                <a:graphic xmlns:a="http://schemas.openxmlformats.org/drawingml/2006/main">
                  <a:graphicData uri="http://schemas.microsoft.com/office/word/2010/wordprocessingShape">
                    <wps:wsp>
                      <wps:cNvCnPr/>
                      <wps:spPr>
                        <a:xfrm>
                          <a:off x="0" y="0"/>
                          <a:ext cx="0" cy="4431323"/>
                        </a:xfrm>
                        <a:prstGeom prst="line">
                          <a:avLst/>
                        </a:prstGeom>
                        <a:ln w="6350">
                          <a:solidFill>
                            <a:srgbClr val="253746"/>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F7EF803" id="Straight Connector 3"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9.4pt,-348.6pt" to="459.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zts3QEAAA0EAAAOAAAAZHJzL2Uyb0RvYy54bWysU02P0zAUvCPxHyzfaZqmW1DUdA9dLRcE&#10;Fbv8ANexE0v+0rNp0n/Ps5NmV4CQQFyc+PnNeGZs7+9Ho8lFQFDONrRcrSkRlrtW2a6h354f332g&#10;JERmW6adFQ29ikDvD2/f7Adfi43rnW4FECSxoR58Q/sYfV0UgffCsLByXlhclA4MiziFrmiBDchu&#10;dLFZr3fF4KD14LgIAasP0yI9ZH4pBY9fpAwiEt1Q1BbzCHk8p7E47FndAfO94rMM9g8qDFMWN12o&#10;Hlhk5DuoX6iM4uCCk3HFnSmclIqL7AHdlOuf3Dz1zIvsBcMJfokp/D9a/vlyAqLahlaUWGbwiJ4i&#10;MNX1kRydtRigA1KlnAYfamw/2hPMs+BPkEyPEkz6oh0y5myvS7ZijIRPRY7V7bYqq03mK16AHkL8&#10;KJwh6aehWtlkm9Xs8ilE3Axbby2prC0ZGrqr7ta5Kzit2keldVoL0J2PGsiF4Ylv7qr3210Sjwyv&#10;2nCmLRaTpclE/otXLSb+r0JiKCi7nHZI11EstIxzYWM582qL3QkmUcICnKX9CTj3J6jIV/VvwAsi&#10;7+xsXMBGWQe/kx3Hm2Q59d8SmHynCM6uvebjzdHgncvJze8jXerX8wx/ecWHHwAAAP//AwBQSwME&#10;FAAGAAgAAAAhANErMUbcAAAACQEAAA8AAABkcnMvZG93bnJldi54bWxMj8FuwjAQRO+V+g/WIvUG&#10;TjikELJBqBKnHipohTiaeInTxusoNiT5+7rqoT3u7GjmTbEdbSvu1PvGMUK6SEAQV043XCN8vO/n&#10;KxA+KNaqdUwIE3nYlo8Phcq1G/hA92OoRQxhnysEE0KXS+krQ1b5heuI4+/qeqtCPPta6l4NMdy2&#10;cpkkmbSq4dhgVEcvhqqv480ivL1eP4fDKaXGhGSaNDvN+zPi02zcbUAEGsOfGX7wIzqUkenibqy9&#10;aBHW6SqiB4R5tn5egoiWX+mCkIEsC/l/QfkNAAD//wMAUEsBAi0AFAAGAAgAAAAhALaDOJL+AAAA&#10;4QEAABMAAAAAAAAAAAAAAAAAAAAAAFtDb250ZW50X1R5cGVzXS54bWxQSwECLQAUAAYACAAAACEA&#10;OP0h/9YAAACUAQAACwAAAAAAAAAAAAAAAAAvAQAAX3JlbHMvLnJlbHNQSwECLQAUAAYACAAAACEA&#10;Yg87bN0BAAANBAAADgAAAAAAAAAAAAAAAAAuAgAAZHJzL2Uyb0RvYy54bWxQSwECLQAUAAYACAAA&#10;ACEA0SsxRtwAAAAJAQAADwAAAAAAAAAAAAAAAAA3BAAAZHJzL2Rvd25yZXYueG1sUEsFBgAAAAAE&#10;AAQA8wAAAEAFAAAAAA==&#10;" strokecolor="#253746" strokeweight=".5pt"/>
            </w:pict>
          </mc:Fallback>
        </mc:AlternateContent>
      </w:r>
      <w:r w:rsidR="003A71ED" w:rsidRPr="005F073C">
        <w:t>We consider that</w:t>
      </w:r>
      <w:r w:rsidR="004252C0" w:rsidRPr="005F073C">
        <w:t xml:space="preserve"> an objection to a proposed decision about how and to whom to pay a </w:t>
      </w:r>
      <w:r w:rsidR="001238D6">
        <w:t xml:space="preserve">superannuation </w:t>
      </w:r>
      <w:r w:rsidR="004252C0" w:rsidRPr="005F073C">
        <w:t>death benefit distribution</w:t>
      </w:r>
      <w:r w:rsidR="00D83F9B" w:rsidRPr="005F073C">
        <w:t xml:space="preserve"> </w:t>
      </w:r>
      <w:r w:rsidR="003A71ED" w:rsidRPr="005F073C">
        <w:t>is a complaint.</w:t>
      </w:r>
      <w:r w:rsidR="00AB6384">
        <w:t xml:space="preserve"> </w:t>
      </w:r>
      <w:r>
        <w:t>F</w:t>
      </w:r>
      <w:r w:rsidR="00AB6384">
        <w:t>or details o</w:t>
      </w:r>
      <w:r>
        <w:t>n</w:t>
      </w:r>
      <w:r w:rsidR="00AB6384">
        <w:t xml:space="preserve"> how the maximum IDR timeframe applies to death benefit distribution complaints</w:t>
      </w:r>
      <w:r>
        <w:t xml:space="preserve">, see </w:t>
      </w:r>
      <w:r w:rsidRPr="0046303A">
        <w:rPr>
          <w:spacing w:val="-4"/>
        </w:rPr>
        <w:fldChar w:fldCharType="begin"/>
      </w:r>
      <w:r w:rsidRPr="0046303A">
        <w:rPr>
          <w:spacing w:val="-4"/>
        </w:rPr>
        <w:instrText xml:space="preserve"> REF _Ref45181760 \r \h </w:instrText>
      </w:r>
      <w:r>
        <w:rPr>
          <w:spacing w:val="-4"/>
        </w:rPr>
        <w:instrText xml:space="preserve"> \* MERGEFORMAT </w:instrText>
      </w:r>
      <w:r w:rsidRPr="0046303A">
        <w:rPr>
          <w:spacing w:val="-4"/>
        </w:rPr>
      </w:r>
      <w:r w:rsidRPr="0046303A">
        <w:rPr>
          <w:spacing w:val="-4"/>
        </w:rPr>
        <w:fldChar w:fldCharType="separate"/>
      </w:r>
      <w:r w:rsidR="00DE6E77">
        <w:rPr>
          <w:spacing w:val="-4"/>
        </w:rPr>
        <w:t>RG 271.80</w:t>
      </w:r>
      <w:r w:rsidRPr="0046303A">
        <w:rPr>
          <w:spacing w:val="-4"/>
        </w:rPr>
        <w:fldChar w:fldCharType="end"/>
      </w:r>
      <w:r w:rsidRPr="0046303A">
        <w:rPr>
          <w:spacing w:val="-4"/>
        </w:rPr>
        <w:t>–</w:t>
      </w:r>
      <w:r w:rsidRPr="0046303A">
        <w:rPr>
          <w:spacing w:val="-4"/>
        </w:rPr>
        <w:fldChar w:fldCharType="begin"/>
      </w:r>
      <w:r w:rsidRPr="0046303A">
        <w:rPr>
          <w:spacing w:val="-4"/>
        </w:rPr>
        <w:instrText xml:space="preserve"> REF _Ref45181764 \r \h </w:instrText>
      </w:r>
      <w:r>
        <w:rPr>
          <w:spacing w:val="-4"/>
        </w:rPr>
        <w:instrText xml:space="preserve"> \* MERGEFORMAT </w:instrText>
      </w:r>
      <w:r w:rsidRPr="0046303A">
        <w:rPr>
          <w:spacing w:val="-4"/>
        </w:rPr>
      </w:r>
      <w:r w:rsidRPr="0046303A">
        <w:rPr>
          <w:spacing w:val="-4"/>
        </w:rPr>
        <w:fldChar w:fldCharType="separate"/>
      </w:r>
      <w:r w:rsidR="00DE6E77">
        <w:rPr>
          <w:spacing w:val="-4"/>
        </w:rPr>
        <w:t>RG 271.85</w:t>
      </w:r>
      <w:r w:rsidRPr="0046303A">
        <w:rPr>
          <w:spacing w:val="-4"/>
        </w:rPr>
        <w:fldChar w:fldCharType="end"/>
      </w:r>
      <w:r w:rsidR="003A71ED" w:rsidRPr="005F073C">
        <w:t>.</w:t>
      </w:r>
    </w:p>
    <w:p w14:paraId="41533AEA" w14:textId="33AF57E4" w:rsidR="004252C0" w:rsidRPr="002C6752" w:rsidRDefault="004252C0" w:rsidP="004252C0">
      <w:pPr>
        <w:pStyle w:val="BodyText"/>
      </w:pPr>
      <w:bookmarkStart w:id="186" w:name="_ASICRef115"/>
      <w:r w:rsidRPr="002C6752">
        <w:t>Where a complaint about unauthorised transactions is covered by card scheme rules, the timeframes for providing a response set out in the scheme rules will apply.</w:t>
      </w:r>
      <w:bookmarkEnd w:id="186"/>
    </w:p>
    <w:p w14:paraId="5A9800DC" w14:textId="6C148D08" w:rsidR="00302B48" w:rsidRPr="002C6752" w:rsidRDefault="00302B48" w:rsidP="009A6619">
      <w:pPr>
        <w:pStyle w:val="Heading3"/>
      </w:pPr>
      <w:r w:rsidRPr="002C6752">
        <w:t>Complaint management</w:t>
      </w:r>
      <w:r w:rsidR="00DA34F6" w:rsidRPr="002C6752">
        <w:t xml:space="preserve"> </w:t>
      </w:r>
      <w:r w:rsidRPr="002C6752">
        <w:t>delays</w:t>
      </w:r>
    </w:p>
    <w:p w14:paraId="03B34408" w14:textId="361437AC" w:rsidR="009F65AE" w:rsidRPr="002C6752" w:rsidRDefault="009F65AE" w:rsidP="00B9535C">
      <w:pPr>
        <w:pStyle w:val="BodyText"/>
      </w:pPr>
      <w:bookmarkStart w:id="187" w:name="_ASICRef281"/>
      <w:r w:rsidRPr="002C6752">
        <w:t>There are many variables that can affect complaint response times. This includes the complexity of the issues raised</w:t>
      </w:r>
      <w:r w:rsidR="006C3539" w:rsidRPr="002C6752">
        <w:t xml:space="preserve"> and</w:t>
      </w:r>
      <w:r w:rsidRPr="002C6752">
        <w:t xml:space="preserve"> the availability of information</w:t>
      </w:r>
      <w:r w:rsidR="0008379E" w:rsidRPr="002C6752">
        <w:t>, including from third parties</w:t>
      </w:r>
      <w:r w:rsidRPr="002C6752">
        <w:t>. However, we consider that the pursuit of best practice should result in firms regularly meeting or outperforming the maximum IDR timeframes.</w:t>
      </w:r>
      <w:bookmarkEnd w:id="187"/>
    </w:p>
    <w:p w14:paraId="4764C916" w14:textId="1AEB6867" w:rsidR="009F7C00" w:rsidRPr="002C6752" w:rsidRDefault="009F7C00" w:rsidP="009A6619">
      <w:pPr>
        <w:pStyle w:val="Enfparashead"/>
        <w:ind w:left="2268"/>
      </w:pPr>
      <w:bookmarkStart w:id="188" w:name="_ASICRef206"/>
      <w:r w:rsidRPr="002C6752">
        <w:t xml:space="preserve">Enforceable paragraphs: </w:t>
      </w:r>
      <w:bookmarkStart w:id="189" w:name="_Hlk32314373"/>
      <w:r w:rsidRPr="002C6752">
        <w:fldChar w:fldCharType="begin"/>
      </w:r>
      <w:r w:rsidRPr="002C6752">
        <w:instrText xml:space="preserve"> REF _ASICRef509 \w \h </w:instrText>
      </w:r>
      <w:r w:rsidRPr="002C6752">
        <w:fldChar w:fldCharType="separate"/>
      </w:r>
      <w:r w:rsidR="00DE6E77">
        <w:t>RG 271.64</w:t>
      </w:r>
      <w:r w:rsidRPr="002C6752">
        <w:fldChar w:fldCharType="end"/>
      </w:r>
      <w:r w:rsidRPr="002C6752">
        <w:t>–</w:t>
      </w:r>
      <w:r w:rsidRPr="002C6752">
        <w:fldChar w:fldCharType="begin"/>
      </w:r>
      <w:r w:rsidRPr="002C6752">
        <w:instrText xml:space="preserve"> REF _ASICRef227 \w \h </w:instrText>
      </w:r>
      <w:r w:rsidRPr="002C6752">
        <w:fldChar w:fldCharType="separate"/>
      </w:r>
      <w:r w:rsidR="00DE6E77">
        <w:t>RG 271.66</w:t>
      </w:r>
      <w:r w:rsidRPr="002C6752">
        <w:fldChar w:fldCharType="end"/>
      </w:r>
      <w:bookmarkEnd w:id="189"/>
      <w:r w:rsidR="00E91759" w:rsidRPr="002C6752">
        <w:t xml:space="preserve"> (inc</w:t>
      </w:r>
      <w:r w:rsidR="00E91759" w:rsidRPr="0010362C">
        <w:t>luding</w:t>
      </w:r>
      <w:r w:rsidR="00E91759" w:rsidRPr="002C6752">
        <w:t xml:space="preserve"> notes)</w:t>
      </w:r>
    </w:p>
    <w:p w14:paraId="5DD686E6" w14:textId="7E25FDC2" w:rsidR="00302B48" w:rsidRPr="002C6752" w:rsidRDefault="00302B48" w:rsidP="009A6619">
      <w:pPr>
        <w:pStyle w:val="Enfparastext"/>
      </w:pPr>
      <w:bookmarkStart w:id="190" w:name="_ASICRef509"/>
      <w:bookmarkStart w:id="191" w:name="_ASICRef585"/>
      <w:r w:rsidRPr="002C6752">
        <w:t>A financial firm is not required to provide a complainant with an IDR response within the relevant maximum IDR timeframe if</w:t>
      </w:r>
      <w:r w:rsidR="00776A7A" w:rsidRPr="002C6752">
        <w:t xml:space="preserve"> </w:t>
      </w:r>
      <w:r w:rsidR="00E277E0" w:rsidRPr="002C6752">
        <w:t xml:space="preserve">certain </w:t>
      </w:r>
      <w:r w:rsidR="00776A7A" w:rsidRPr="002C6752">
        <w:t>circumstances exist</w:t>
      </w:r>
      <w:r w:rsidRPr="002C6752">
        <w:t>:</w:t>
      </w:r>
      <w:r w:rsidR="00646597" w:rsidRPr="002C6752">
        <w:t xml:space="preserve"> see </w:t>
      </w:r>
      <w:r w:rsidR="00646597" w:rsidRPr="002C6752">
        <w:fldChar w:fldCharType="begin"/>
      </w:r>
      <w:r w:rsidR="00646597" w:rsidRPr="002C6752">
        <w:instrText xml:space="preserve"> REF _ASICRef704 \w \h </w:instrText>
      </w:r>
      <w:r w:rsidR="00DA34F6" w:rsidRPr="002C6752">
        <w:instrText xml:space="preserve"> \* MERGEFORMAT </w:instrText>
      </w:r>
      <w:r w:rsidR="00646597" w:rsidRPr="002C6752">
        <w:fldChar w:fldCharType="separate"/>
      </w:r>
      <w:r w:rsidR="00DE6E77">
        <w:t>RG 271.65</w:t>
      </w:r>
      <w:r w:rsidR="00646597" w:rsidRPr="002C6752">
        <w:fldChar w:fldCharType="end"/>
      </w:r>
      <w:r w:rsidR="00646597" w:rsidRPr="002C6752">
        <w:t>–</w:t>
      </w:r>
      <w:r w:rsidR="00646597" w:rsidRPr="002C6752">
        <w:fldChar w:fldCharType="begin"/>
      </w:r>
      <w:r w:rsidR="00646597" w:rsidRPr="002C6752">
        <w:instrText xml:space="preserve"> REF _ASICRef530 \w \h </w:instrText>
      </w:r>
      <w:r w:rsidR="00DA34F6" w:rsidRPr="002C6752">
        <w:instrText xml:space="preserve"> \* MERGEFORMAT </w:instrText>
      </w:r>
      <w:r w:rsidR="00646597" w:rsidRPr="002C6752">
        <w:fldChar w:fldCharType="separate"/>
      </w:r>
      <w:r w:rsidR="00DE6E77">
        <w:t>RG 271.66</w:t>
      </w:r>
      <w:r w:rsidR="00646597" w:rsidRPr="002C6752">
        <w:fldChar w:fldCharType="end"/>
      </w:r>
      <w:r w:rsidR="00646597" w:rsidRPr="002C6752">
        <w:t>.</w:t>
      </w:r>
      <w:bookmarkEnd w:id="188"/>
      <w:bookmarkEnd w:id="190"/>
      <w:bookmarkEnd w:id="191"/>
    </w:p>
    <w:p w14:paraId="74878987" w14:textId="745293C6" w:rsidR="00302B48" w:rsidRPr="002C6752" w:rsidRDefault="00646597" w:rsidP="009A6619">
      <w:pPr>
        <w:pStyle w:val="Enfparastext"/>
      </w:pPr>
      <w:bookmarkStart w:id="192" w:name="_ASICRef704"/>
      <w:r w:rsidRPr="00F37840">
        <w:rPr>
          <w:spacing w:val="-2"/>
        </w:rPr>
        <w:lastRenderedPageBreak/>
        <w:t xml:space="preserve">First, </w:t>
      </w:r>
      <w:r w:rsidR="00302B48" w:rsidRPr="00F37840">
        <w:rPr>
          <w:spacing w:val="-2"/>
        </w:rPr>
        <w:t xml:space="preserve">there </w:t>
      </w:r>
      <w:r w:rsidR="00E277E0" w:rsidRPr="00F37840">
        <w:rPr>
          <w:spacing w:val="-2"/>
        </w:rPr>
        <w:t>must be</w:t>
      </w:r>
      <w:r w:rsidR="00302B48" w:rsidRPr="00F37840">
        <w:rPr>
          <w:spacing w:val="-2"/>
        </w:rPr>
        <w:t xml:space="preserve"> no reasonable opportunity </w:t>
      </w:r>
      <w:r w:rsidR="00E277E0" w:rsidRPr="00F37840">
        <w:rPr>
          <w:spacing w:val="-2"/>
        </w:rPr>
        <w:t xml:space="preserve">for the financial firm </w:t>
      </w:r>
      <w:r w:rsidR="00302B48" w:rsidRPr="00F37840">
        <w:rPr>
          <w:spacing w:val="-2"/>
        </w:rPr>
        <w:t>to provide</w:t>
      </w:r>
      <w:r w:rsidR="00302B48" w:rsidRPr="002C6752">
        <w:t xml:space="preserve"> the IDR response within the relevant maximum IDR timeframe because:</w:t>
      </w:r>
      <w:bookmarkEnd w:id="192"/>
    </w:p>
    <w:p w14:paraId="011122B5" w14:textId="2A6EA994" w:rsidR="00302B48" w:rsidRPr="002C6752" w:rsidRDefault="005A371D" w:rsidP="009A6619">
      <w:pPr>
        <w:pStyle w:val="Enfparassubparaa"/>
      </w:pPr>
      <w:r w:rsidRPr="002C6752">
        <w:t>resolution of the individual complaint is particularly complex</w:t>
      </w:r>
      <w:r w:rsidR="00776A7A" w:rsidRPr="002C6752">
        <w:t xml:space="preserve"> (see </w:t>
      </w:r>
      <w:r w:rsidR="00776A7A" w:rsidRPr="002C6752">
        <w:fldChar w:fldCharType="begin"/>
      </w:r>
      <w:r w:rsidR="00776A7A" w:rsidRPr="002C6752">
        <w:instrText xml:space="preserve"> REF _ASICRef916 \w \h </w:instrText>
      </w:r>
      <w:r w:rsidR="00DA34F6" w:rsidRPr="002C6752">
        <w:instrText xml:space="preserve"> \* MERGEFORMAT </w:instrText>
      </w:r>
      <w:r w:rsidR="00776A7A" w:rsidRPr="002C6752">
        <w:fldChar w:fldCharType="separate"/>
      </w:r>
      <w:r w:rsidR="00DE6E77">
        <w:t>RG 271.67</w:t>
      </w:r>
      <w:r w:rsidR="00776A7A" w:rsidRPr="002C6752">
        <w:fldChar w:fldCharType="end"/>
      </w:r>
      <w:r w:rsidR="00776A7A" w:rsidRPr="002C6752">
        <w:t xml:space="preserve"> for</w:t>
      </w:r>
      <w:r w:rsidR="005B177F" w:rsidRPr="002C6752">
        <w:t xml:space="preserve"> </w:t>
      </w:r>
      <w:r w:rsidR="00776A7A" w:rsidRPr="002C6752">
        <w:t>example</w:t>
      </w:r>
      <w:r w:rsidR="008D41AE">
        <w:t>s</w:t>
      </w:r>
      <w:r w:rsidR="00776A7A" w:rsidRPr="002C6752">
        <w:t xml:space="preserve"> of </w:t>
      </w:r>
      <w:r w:rsidR="00E12C7C">
        <w:t>‘</w:t>
      </w:r>
      <w:r w:rsidR="00776A7A" w:rsidRPr="002C6752">
        <w:t>complexity</w:t>
      </w:r>
      <w:r w:rsidR="00E12C7C">
        <w:t>’</w:t>
      </w:r>
      <w:r w:rsidR="00776A7A" w:rsidRPr="002C6752">
        <w:t>)</w:t>
      </w:r>
      <w:r w:rsidRPr="002C6752">
        <w:t>; and/or</w:t>
      </w:r>
    </w:p>
    <w:p w14:paraId="62364D92" w14:textId="40A9D4DB" w:rsidR="005A371D" w:rsidRPr="002C6752" w:rsidRDefault="005A371D" w:rsidP="009A6619">
      <w:pPr>
        <w:pStyle w:val="Enfparassubparaa"/>
      </w:pPr>
      <w:r w:rsidRPr="002C6752">
        <w:t>circumstances beyond the financial firm</w:t>
      </w:r>
      <w:r w:rsidR="00E12C7C">
        <w:t>’</w:t>
      </w:r>
      <w:r w:rsidRPr="002C6752">
        <w:t>s control are causing complaint management delays</w:t>
      </w:r>
      <w:r w:rsidR="00B26AAB" w:rsidRPr="002C6752">
        <w:t xml:space="preserve"> (see </w:t>
      </w:r>
      <w:r w:rsidR="00B26AAB" w:rsidRPr="002C6752">
        <w:fldChar w:fldCharType="begin"/>
      </w:r>
      <w:r w:rsidR="00B26AAB" w:rsidRPr="002C6752">
        <w:instrText xml:space="preserve"> REF _ASICRef513 \w \h </w:instrText>
      </w:r>
      <w:r w:rsidR="00DA34F6" w:rsidRPr="002C6752">
        <w:instrText xml:space="preserve"> \* MERGEFORMAT </w:instrText>
      </w:r>
      <w:r w:rsidR="00B26AAB" w:rsidRPr="002C6752">
        <w:fldChar w:fldCharType="separate"/>
      </w:r>
      <w:r w:rsidR="00DE6E77">
        <w:t>RG 271.68</w:t>
      </w:r>
      <w:r w:rsidR="00B26AAB" w:rsidRPr="002C6752">
        <w:fldChar w:fldCharType="end"/>
      </w:r>
      <w:r w:rsidR="00B26AAB" w:rsidRPr="002C6752">
        <w:t xml:space="preserve"> for examples of such circumstances)</w:t>
      </w:r>
      <w:r w:rsidR="009F7C00" w:rsidRPr="002C6752">
        <w:t>.</w:t>
      </w:r>
    </w:p>
    <w:p w14:paraId="320ADC42" w14:textId="1FBEA5E7" w:rsidR="005A371D" w:rsidRPr="002C6752" w:rsidRDefault="00646597" w:rsidP="009A6619">
      <w:pPr>
        <w:pStyle w:val="Enfparastext"/>
      </w:pPr>
      <w:bookmarkStart w:id="193" w:name="_ASICRef530"/>
      <w:bookmarkStart w:id="194" w:name="_ASICRef114"/>
      <w:bookmarkStart w:id="195" w:name="_ASICRef227"/>
      <w:bookmarkStart w:id="196" w:name="_ASICRef259"/>
      <w:r w:rsidRPr="002C6752">
        <w:t>Second, b</w:t>
      </w:r>
      <w:r w:rsidR="00776A7A" w:rsidRPr="002C6752">
        <w:t xml:space="preserve">efore </w:t>
      </w:r>
      <w:r w:rsidR="005A371D" w:rsidRPr="002C6752">
        <w:t>the relevant maximum IDR timeframe</w:t>
      </w:r>
      <w:r w:rsidR="00776A7A" w:rsidRPr="002C6752">
        <w:t xml:space="preserve"> expires</w:t>
      </w:r>
      <w:r w:rsidR="005A371D" w:rsidRPr="002C6752">
        <w:t>, the financial firm</w:t>
      </w:r>
      <w:r w:rsidR="00E277E0" w:rsidRPr="002C6752">
        <w:t xml:space="preserve"> must</w:t>
      </w:r>
      <w:r w:rsidR="005A371D" w:rsidRPr="002C6752">
        <w:t xml:space="preserve"> give the complainant a</w:t>
      </w:r>
      <w:r w:rsidR="000970F1" w:rsidRPr="002C6752">
        <w:t>n</w:t>
      </w:r>
      <w:r w:rsidR="005A371D" w:rsidRPr="002C6752">
        <w:t xml:space="preserve"> </w:t>
      </w:r>
      <w:r w:rsidR="00E12C7C">
        <w:t>‘</w:t>
      </w:r>
      <w:r w:rsidR="000970F1" w:rsidRPr="002C6752">
        <w:t xml:space="preserve">IDR </w:t>
      </w:r>
      <w:r w:rsidR="005A371D" w:rsidRPr="002C6752">
        <w:t>delay notification</w:t>
      </w:r>
      <w:r w:rsidR="00E12C7C">
        <w:t>’</w:t>
      </w:r>
      <w:r w:rsidR="005A371D" w:rsidRPr="002C6752">
        <w:t xml:space="preserve"> that info</w:t>
      </w:r>
      <w:r w:rsidR="00A83930" w:rsidRPr="002C6752">
        <w:t>r</w:t>
      </w:r>
      <w:r w:rsidR="005A371D" w:rsidRPr="002C6752">
        <w:t>ms the complainant about:</w:t>
      </w:r>
      <w:bookmarkEnd w:id="193"/>
      <w:bookmarkEnd w:id="194"/>
      <w:bookmarkEnd w:id="195"/>
      <w:bookmarkEnd w:id="196"/>
    </w:p>
    <w:p w14:paraId="731B6E23" w14:textId="68B4F757" w:rsidR="005A371D" w:rsidRPr="002C6752" w:rsidRDefault="005A371D" w:rsidP="009A6619">
      <w:pPr>
        <w:pStyle w:val="Enfparassubparaa"/>
      </w:pPr>
      <w:r w:rsidRPr="002C6752">
        <w:t>the reasons for the delay;</w:t>
      </w:r>
    </w:p>
    <w:p w14:paraId="0181B261" w14:textId="5DEB3CCF" w:rsidR="005A371D" w:rsidRPr="002C6752" w:rsidRDefault="005A371D" w:rsidP="009A6619">
      <w:pPr>
        <w:pStyle w:val="Enfparassubparaa"/>
      </w:pPr>
      <w:r w:rsidRPr="002C6752">
        <w:t>their right to complain to AFCA if they are dissatisfied; and</w:t>
      </w:r>
    </w:p>
    <w:p w14:paraId="2488C9B0" w14:textId="74B15E4F" w:rsidR="005A371D" w:rsidRPr="002C6752" w:rsidRDefault="005A371D" w:rsidP="009A6619">
      <w:pPr>
        <w:pStyle w:val="Enfparassubparaa"/>
      </w:pPr>
      <w:r w:rsidRPr="002C6752">
        <w:t>the contact details for AFCA.</w:t>
      </w:r>
    </w:p>
    <w:p w14:paraId="35F711D7" w14:textId="4B45922B" w:rsidR="001D5001" w:rsidRPr="002C6752" w:rsidRDefault="001963D3" w:rsidP="009A6619">
      <w:pPr>
        <w:pStyle w:val="Enfparasnote"/>
      </w:pPr>
      <w:r w:rsidRPr="002C6752">
        <w:t>Note</w:t>
      </w:r>
      <w:r w:rsidR="001D5001" w:rsidRPr="002C6752">
        <w:t xml:space="preserve"> 1</w:t>
      </w:r>
      <w:r w:rsidRPr="002C6752">
        <w:t xml:space="preserve">: </w:t>
      </w:r>
      <w:r w:rsidR="009F7C00" w:rsidRPr="002C6752">
        <w:t>We consider that</w:t>
      </w:r>
      <w:r w:rsidR="00C760E6" w:rsidRPr="002C6752">
        <w:t xml:space="preserve"> objections to proposed decisions about how and to whom to pay a</w:t>
      </w:r>
      <w:r w:rsidR="001238D6">
        <w:t xml:space="preserve"> superannuation</w:t>
      </w:r>
      <w:r w:rsidR="00C760E6" w:rsidRPr="002C6752">
        <w:t xml:space="preserve"> death benefit distribution</w:t>
      </w:r>
      <w:r w:rsidR="009F7C00" w:rsidRPr="002C6752">
        <w:t xml:space="preserve"> are complaints.</w:t>
      </w:r>
      <w:r w:rsidR="008D41AE">
        <w:t xml:space="preserve"> AFCA cannot consider a complaint about a death benefit distribution unless the complainant has first lodged a complaint about that decision with the death benefit decision-maker and received a response to the complaint. </w:t>
      </w:r>
      <w:r w:rsidR="000E5B46">
        <w:t>If the</w:t>
      </w:r>
      <w:r w:rsidR="008D41AE">
        <w:t xml:space="preserve"> death benefit decision-maker delays providing a complainant with an IDR response and the complainant escalates the matter to AFCA, AFCA</w:t>
      </w:r>
      <w:r w:rsidR="00785F67">
        <w:t xml:space="preserve"> cannot consider the complaint as it relates to the distribution of the death benefit but</w:t>
      </w:r>
      <w:r w:rsidR="008D41AE">
        <w:t xml:space="preserve"> can</w:t>
      </w:r>
      <w:r w:rsidR="000E5B46">
        <w:t xml:space="preserve"> </w:t>
      </w:r>
      <w:r w:rsidR="008D41AE">
        <w:t>consider the delay. This restriction to AFCA</w:t>
      </w:r>
      <w:r w:rsidR="00E12C7C">
        <w:t>’</w:t>
      </w:r>
      <w:r w:rsidR="008D41AE">
        <w:t xml:space="preserve">s jurisdiction should be reflected in any IDR delay notification a death benefit decision-maker provides in </w:t>
      </w:r>
      <w:r w:rsidR="000E5B46">
        <w:t xml:space="preserve">response </w:t>
      </w:r>
      <w:r w:rsidR="008D41AE">
        <w:t xml:space="preserve">to a death benefit distribution complaint. </w:t>
      </w:r>
    </w:p>
    <w:p w14:paraId="577743CF" w14:textId="7887F42A" w:rsidR="001D5001" w:rsidRPr="002C6752" w:rsidRDefault="001D5001" w:rsidP="005F073C">
      <w:pPr>
        <w:pStyle w:val="Enfparasnote"/>
        <w:spacing w:before="120"/>
      </w:pPr>
      <w:r w:rsidRPr="002C6752">
        <w:t>Note 2: The exception</w:t>
      </w:r>
      <w:r w:rsidR="00884AC8">
        <w:t>s</w:t>
      </w:r>
      <w:r w:rsidRPr="002C6752">
        <w:t xml:space="preserve"> set out at</w:t>
      </w:r>
      <w:r w:rsidR="009F7C00" w:rsidRPr="002C6752">
        <w:t xml:space="preserve"> </w:t>
      </w:r>
      <w:r w:rsidR="009F7C00" w:rsidRPr="002C6752">
        <w:fldChar w:fldCharType="begin"/>
      </w:r>
      <w:r w:rsidR="009F7C00" w:rsidRPr="002C6752">
        <w:instrText xml:space="preserve"> REF _ASICRef509 \w \h </w:instrText>
      </w:r>
      <w:r w:rsidR="009F7C00" w:rsidRPr="002C6752">
        <w:fldChar w:fldCharType="separate"/>
      </w:r>
      <w:r w:rsidR="00DE6E77">
        <w:t>RG 271.64</w:t>
      </w:r>
      <w:r w:rsidR="009F7C00" w:rsidRPr="002C6752">
        <w:fldChar w:fldCharType="end"/>
      </w:r>
      <w:r w:rsidR="009F7C00" w:rsidRPr="002C6752">
        <w:t>–</w:t>
      </w:r>
      <w:r w:rsidR="009F7C00" w:rsidRPr="002C6752">
        <w:fldChar w:fldCharType="begin"/>
      </w:r>
      <w:r w:rsidR="009F7C00" w:rsidRPr="002C6752">
        <w:instrText xml:space="preserve"> REF _ASICRef227 \w \h </w:instrText>
      </w:r>
      <w:r w:rsidR="009F7C00" w:rsidRPr="002C6752">
        <w:fldChar w:fldCharType="separate"/>
      </w:r>
      <w:r w:rsidR="00DE6E77">
        <w:t>RG 271.66</w:t>
      </w:r>
      <w:r w:rsidR="009F7C00" w:rsidRPr="002C6752">
        <w:fldChar w:fldCharType="end"/>
      </w:r>
      <w:r w:rsidRPr="002C6752">
        <w:t xml:space="preserve"> do not prevent a complainant from exercising their right to escalate a complaint to AFCA and do not </w:t>
      </w:r>
      <w:r w:rsidR="009F7C00" w:rsidRPr="002C6752">
        <w:t>affect</w:t>
      </w:r>
      <w:r w:rsidRPr="002C6752">
        <w:t xml:space="preserve"> AFCA</w:t>
      </w:r>
      <w:r w:rsidR="00E12C7C">
        <w:t>’</w:t>
      </w:r>
      <w:r w:rsidRPr="002C6752">
        <w:t>s ability to register a complaint.</w:t>
      </w:r>
    </w:p>
    <w:p w14:paraId="537BE752" w14:textId="7F510EF1" w:rsidR="001963D3" w:rsidRPr="002C6752" w:rsidRDefault="001D5001" w:rsidP="005F073C">
      <w:pPr>
        <w:pStyle w:val="Enfparasnote"/>
        <w:spacing w:before="120"/>
      </w:pPr>
      <w:r w:rsidRPr="002C6752">
        <w:t>Note 3: The exception</w:t>
      </w:r>
      <w:r w:rsidR="00884AC8">
        <w:t>s</w:t>
      </w:r>
      <w:r w:rsidRPr="002C6752">
        <w:t xml:space="preserve"> do not apply to the refer back timeframes applied by AFCA when a complaint is escalated to AFCA.</w:t>
      </w:r>
      <w:r w:rsidR="001963D3" w:rsidRPr="002C6752">
        <w:t xml:space="preserve"> </w:t>
      </w:r>
    </w:p>
    <w:p w14:paraId="30C05D28" w14:textId="28E70BEE" w:rsidR="008D41AE" w:rsidRDefault="008D41AE" w:rsidP="009A6619">
      <w:pPr>
        <w:pStyle w:val="BodyText"/>
      </w:pPr>
      <w:bookmarkStart w:id="197" w:name="_ASICRef916"/>
      <w:r>
        <w:t>E</w:t>
      </w:r>
      <w:r w:rsidR="005A371D" w:rsidRPr="002C6752">
        <w:t>xample</w:t>
      </w:r>
      <w:r>
        <w:t>s</w:t>
      </w:r>
      <w:r w:rsidR="005A371D" w:rsidRPr="002C6752">
        <w:t xml:space="preserve"> of </w:t>
      </w:r>
      <w:r w:rsidR="00E12C7C">
        <w:t>‘</w:t>
      </w:r>
      <w:r w:rsidR="005A371D" w:rsidRPr="002C6752">
        <w:t>complexity</w:t>
      </w:r>
      <w:r w:rsidR="00E12C7C">
        <w:t>’</w:t>
      </w:r>
      <w:r w:rsidR="005A371D" w:rsidRPr="002C6752">
        <w:t xml:space="preserve"> </w:t>
      </w:r>
      <w:bookmarkEnd w:id="197"/>
      <w:r w:rsidR="000E5B46">
        <w:t>include when</w:t>
      </w:r>
      <w:r>
        <w:t>:</w:t>
      </w:r>
    </w:p>
    <w:p w14:paraId="4C374A8B" w14:textId="52D7E4E8" w:rsidR="008D41AE" w:rsidRDefault="005A371D" w:rsidP="008D41AE">
      <w:pPr>
        <w:pStyle w:val="subparaa"/>
      </w:pPr>
      <w:r w:rsidRPr="002C6752">
        <w:t xml:space="preserve">an individual complaint </w:t>
      </w:r>
      <w:r w:rsidR="00C10CBD" w:rsidRPr="002C6752">
        <w:t>is about</w:t>
      </w:r>
      <w:r w:rsidRPr="002C6752">
        <w:t xml:space="preserve"> a transaction or event that occurred more than </w:t>
      </w:r>
      <w:r w:rsidR="00C10CBD" w:rsidRPr="002C6752">
        <w:t>six</w:t>
      </w:r>
      <w:r w:rsidRPr="002C6752">
        <w:t xml:space="preserve"> years ago and requires reconstruction of account information</w:t>
      </w:r>
      <w:r w:rsidR="008D41AE">
        <w:t xml:space="preserve">; </w:t>
      </w:r>
      <w:r w:rsidR="000E5B46">
        <w:t>and</w:t>
      </w:r>
    </w:p>
    <w:p w14:paraId="5DEF912F" w14:textId="73854CBB" w:rsidR="005A371D" w:rsidRPr="002C6752" w:rsidRDefault="008D41AE" w:rsidP="00D143B5">
      <w:pPr>
        <w:pStyle w:val="subparaa"/>
      </w:pPr>
      <w:r>
        <w:t>a complaint about a</w:t>
      </w:r>
      <w:r w:rsidR="001238D6">
        <w:t xml:space="preserve"> superannuation</w:t>
      </w:r>
      <w:r>
        <w:t xml:space="preserve"> death benefit distribution involves multiple submissions from potential beneficiaries with competing information about the status of relationships or levels of financial dependence.</w:t>
      </w:r>
    </w:p>
    <w:p w14:paraId="66EAEEC7" w14:textId="11A0D7A3" w:rsidR="005A371D" w:rsidRPr="002C6752" w:rsidRDefault="005A371D" w:rsidP="005A371D">
      <w:pPr>
        <w:pStyle w:val="BodyText"/>
      </w:pPr>
      <w:bookmarkStart w:id="198" w:name="_ASICRef589"/>
      <w:bookmarkStart w:id="199" w:name="_ASICRef513"/>
      <w:r w:rsidRPr="002C6752">
        <w:t>Examples of circumstances that may be beyond a financial firm</w:t>
      </w:r>
      <w:r w:rsidR="00E12C7C">
        <w:t>’</w:t>
      </w:r>
      <w:r w:rsidRPr="002C6752">
        <w:t>s control include whe</w:t>
      </w:r>
      <w:r w:rsidR="00FA7B5A" w:rsidRPr="002C6752">
        <w:t>n</w:t>
      </w:r>
      <w:r w:rsidRPr="002C6752">
        <w:t>:</w:t>
      </w:r>
      <w:bookmarkEnd w:id="198"/>
      <w:bookmarkEnd w:id="199"/>
    </w:p>
    <w:p w14:paraId="0EA6E4BC" w14:textId="16457B1A" w:rsidR="005A371D" w:rsidRPr="002C6752" w:rsidRDefault="005A371D" w:rsidP="005A371D">
      <w:pPr>
        <w:pStyle w:val="subparaa"/>
      </w:pPr>
      <w:r w:rsidRPr="002C6752">
        <w:t>the complainant is waiting on a medical appointment that the firm reasonably requires the complainant to attend;</w:t>
      </w:r>
    </w:p>
    <w:p w14:paraId="0290508B" w14:textId="24A14A7F" w:rsidR="005A371D" w:rsidRPr="002C6752" w:rsidRDefault="005A371D" w:rsidP="005A371D">
      <w:pPr>
        <w:pStyle w:val="subparaa"/>
      </w:pPr>
      <w:r w:rsidRPr="002C6752">
        <w:t xml:space="preserve">the complainant is unable to respond to the financial firm due to illness or absence; </w:t>
      </w:r>
    </w:p>
    <w:p w14:paraId="2770A3C2" w14:textId="77777777" w:rsidR="007D64E8" w:rsidRDefault="005A371D" w:rsidP="005A371D">
      <w:pPr>
        <w:pStyle w:val="subparaa"/>
      </w:pPr>
      <w:r w:rsidRPr="002C6752">
        <w:lastRenderedPageBreak/>
        <w:t xml:space="preserve">information </w:t>
      </w:r>
      <w:r w:rsidR="0072052E" w:rsidRPr="002C6752">
        <w:t xml:space="preserve">must be obtained </w:t>
      </w:r>
      <w:r w:rsidRPr="002C6752">
        <w:t>from third parties to a complaint (excluding an authorised representative who is a party to the complaint)</w:t>
      </w:r>
      <w:r w:rsidR="007D64E8">
        <w:t>; and</w:t>
      </w:r>
    </w:p>
    <w:p w14:paraId="01EA2293" w14:textId="4DE52059" w:rsidR="005A371D" w:rsidRPr="002C6752" w:rsidRDefault="007D64E8" w:rsidP="005A371D">
      <w:pPr>
        <w:pStyle w:val="subparaa"/>
      </w:pPr>
      <w:r>
        <w:t xml:space="preserve">a death benefit decision-maker is waiting on information requested from potential beneficiaries to a death benefit to substantiate their claim. </w:t>
      </w:r>
    </w:p>
    <w:p w14:paraId="05D3735F" w14:textId="5CFFC9C9" w:rsidR="00E30BEE" w:rsidRPr="00E96FC9" w:rsidRDefault="00E30BEE" w:rsidP="00E96FC9">
      <w:pPr>
        <w:pStyle w:val="Enfparashead"/>
      </w:pPr>
      <w:r w:rsidRPr="00E96FC9">
        <w:t xml:space="preserve">Enforceable paragraph: </w:t>
      </w:r>
      <w:r w:rsidRPr="00E96FC9">
        <w:fldChar w:fldCharType="begin"/>
      </w:r>
      <w:r w:rsidRPr="00E96FC9">
        <w:instrText xml:space="preserve"> REF _Ref34809548 \r \h </w:instrText>
      </w:r>
      <w:r>
        <w:instrText xml:space="preserve"> \* MERGEFORMAT </w:instrText>
      </w:r>
      <w:r w:rsidRPr="00E96FC9">
        <w:fldChar w:fldCharType="separate"/>
      </w:r>
      <w:r w:rsidR="00DE6E77">
        <w:t>RG 271.69</w:t>
      </w:r>
      <w:r w:rsidRPr="00E96FC9">
        <w:fldChar w:fldCharType="end"/>
      </w:r>
    </w:p>
    <w:p w14:paraId="3643CA07" w14:textId="248B0F37" w:rsidR="0008379E" w:rsidRPr="00E96FC9" w:rsidRDefault="0008379E" w:rsidP="00E96FC9">
      <w:pPr>
        <w:pStyle w:val="Enfparastext"/>
      </w:pPr>
      <w:bookmarkStart w:id="200" w:name="_Ref34809548"/>
      <w:r w:rsidRPr="00E96FC9">
        <w:t xml:space="preserve">Superannuation trustees </w:t>
      </w:r>
      <w:r w:rsidR="003F778C" w:rsidRPr="00E96FC9">
        <w:t xml:space="preserve">and RSA providers </w:t>
      </w:r>
      <w:r w:rsidRPr="00E96FC9">
        <w:t>satisfy the requirement to provide written reasons for the failure by a trustee to make a decision on a complaint (see s101(1)(d) of the SIS Act and s47(1)(d) of the RSA Act) when they provide an IDR delay notification.</w:t>
      </w:r>
      <w:bookmarkEnd w:id="200"/>
    </w:p>
    <w:bookmarkEnd w:id="185"/>
    <w:p w14:paraId="61AA2F0E" w14:textId="2FA05CAE" w:rsidR="0008379E" w:rsidRPr="002C6752" w:rsidRDefault="0008379E" w:rsidP="0008379E">
      <w:pPr>
        <w:pStyle w:val="BodyText"/>
      </w:pPr>
      <w:r w:rsidRPr="002C6752">
        <w:t>Unlicensed COI lenders who have not joined AFCA</w:t>
      </w:r>
      <w:r w:rsidR="00D4484B">
        <w:t xml:space="preserve"> need to</w:t>
      </w:r>
      <w:r w:rsidRPr="002C6752">
        <w:t xml:space="preserve"> inform the complainant of the reasons for the delay</w:t>
      </w:r>
      <w:r w:rsidR="00D4484B">
        <w:t xml:space="preserve"> before the end of the 30</w:t>
      </w:r>
      <w:r w:rsidR="00853859">
        <w:t xml:space="preserve"> </w:t>
      </w:r>
      <w:r w:rsidR="00853859" w:rsidRPr="00730E71">
        <w:t>calendar</w:t>
      </w:r>
      <w:r w:rsidR="00853859">
        <w:t xml:space="preserve"> </w:t>
      </w:r>
      <w:r w:rsidR="00D4484B">
        <w:t>day period</w:t>
      </w:r>
      <w:r w:rsidRPr="002C6752">
        <w:t>.</w:t>
      </w:r>
    </w:p>
    <w:p w14:paraId="06083F37" w14:textId="46ED9F99" w:rsidR="00B55A49" w:rsidRPr="002C6752" w:rsidRDefault="00B55A49" w:rsidP="009A6619">
      <w:pPr>
        <w:pStyle w:val="Heading3"/>
      </w:pPr>
      <w:r w:rsidRPr="002C6752">
        <w:t xml:space="preserve">Complaints </w:t>
      </w:r>
      <w:r w:rsidR="0008379E" w:rsidRPr="002C6752">
        <w:t>closed</w:t>
      </w:r>
      <w:r w:rsidRPr="002C6752">
        <w:t xml:space="preserve"> within five business days of receipt</w:t>
      </w:r>
    </w:p>
    <w:p w14:paraId="7ED337C1" w14:textId="2DDC5235" w:rsidR="006A6678" w:rsidRPr="00D54825" w:rsidRDefault="006A6678" w:rsidP="00D54825">
      <w:pPr>
        <w:pStyle w:val="Enfparashead"/>
      </w:pPr>
      <w:bookmarkStart w:id="201" w:name="_ASICRef619"/>
      <w:bookmarkStart w:id="202" w:name="_ASICRef441"/>
      <w:bookmarkStart w:id="203" w:name="_ASICRef798"/>
      <w:bookmarkStart w:id="204" w:name="_ASICRef960"/>
      <w:bookmarkStart w:id="205" w:name="_ASICRef345"/>
      <w:r w:rsidRPr="00D54825">
        <w:t xml:space="preserve">Enforceable paragraph: </w:t>
      </w:r>
      <w:r w:rsidRPr="00D54825">
        <w:fldChar w:fldCharType="begin"/>
      </w:r>
      <w:r w:rsidRPr="00D54825">
        <w:instrText xml:space="preserve"> REF _ASICRef547 \w \h </w:instrText>
      </w:r>
      <w:r>
        <w:instrText xml:space="preserve"> \* MERGEFORMAT </w:instrText>
      </w:r>
      <w:r w:rsidRPr="00D54825">
        <w:fldChar w:fldCharType="separate"/>
      </w:r>
      <w:r w:rsidR="00DE6E77">
        <w:t>RG 271.71</w:t>
      </w:r>
      <w:r w:rsidRPr="00D54825">
        <w:fldChar w:fldCharType="end"/>
      </w:r>
    </w:p>
    <w:p w14:paraId="6349E38B" w14:textId="4591A0D0" w:rsidR="0008379E" w:rsidRPr="006A6678" w:rsidRDefault="00C10CBD" w:rsidP="00D54825">
      <w:pPr>
        <w:pStyle w:val="Enfparastext"/>
      </w:pPr>
      <w:bookmarkStart w:id="206" w:name="_ASICRef547"/>
      <w:bookmarkStart w:id="207" w:name="_ASICRef702"/>
      <w:r w:rsidRPr="006A6678">
        <w:t>A financial firm does not need to provide an IDR response to a complainant i</w:t>
      </w:r>
      <w:r w:rsidR="00B55A49" w:rsidRPr="006A6678">
        <w:t xml:space="preserve">f </w:t>
      </w:r>
      <w:r w:rsidRPr="006A6678">
        <w:t>the</w:t>
      </w:r>
      <w:r w:rsidR="00B55A49" w:rsidRPr="006A6678">
        <w:t xml:space="preserve"> firm </w:t>
      </w:r>
      <w:r w:rsidR="0008379E" w:rsidRPr="006A6678">
        <w:t>closes</w:t>
      </w:r>
      <w:r w:rsidR="00B55A49" w:rsidRPr="006A6678">
        <w:t xml:space="preserve"> </w:t>
      </w:r>
      <w:r w:rsidRPr="006A6678">
        <w:t>the</w:t>
      </w:r>
      <w:r w:rsidR="00B55A49" w:rsidRPr="006A6678">
        <w:t xml:space="preserve"> complaint by the end of the fifth business day after receip</w:t>
      </w:r>
      <w:r w:rsidR="0008379E" w:rsidRPr="006A6678">
        <w:t>t because</w:t>
      </w:r>
      <w:r w:rsidR="00FA7B5A" w:rsidRPr="006A6678">
        <w:t xml:space="preserve"> the firm has</w:t>
      </w:r>
      <w:r w:rsidR="0008379E" w:rsidRPr="006A6678">
        <w:t>:</w:t>
      </w:r>
      <w:bookmarkEnd w:id="201"/>
      <w:bookmarkEnd w:id="202"/>
      <w:bookmarkEnd w:id="206"/>
      <w:bookmarkEnd w:id="207"/>
    </w:p>
    <w:p w14:paraId="260C17A6" w14:textId="5E5B0181" w:rsidR="0008379E" w:rsidRPr="00F37840" w:rsidRDefault="0008379E" w:rsidP="00D54825">
      <w:pPr>
        <w:pStyle w:val="Enfparassubparaa"/>
        <w:rPr>
          <w:spacing w:val="-2"/>
        </w:rPr>
      </w:pPr>
      <w:r w:rsidRPr="00F37840">
        <w:rPr>
          <w:spacing w:val="-2"/>
        </w:rPr>
        <w:t xml:space="preserve">resolved </w:t>
      </w:r>
      <w:r w:rsidR="00FA7B5A" w:rsidRPr="00F37840">
        <w:rPr>
          <w:spacing w:val="-2"/>
        </w:rPr>
        <w:t xml:space="preserve">the complaint </w:t>
      </w:r>
      <w:r w:rsidRPr="00F37840">
        <w:rPr>
          <w:spacing w:val="-2"/>
        </w:rPr>
        <w:t>to the complainant</w:t>
      </w:r>
      <w:r w:rsidR="00E12C7C" w:rsidRPr="00F37840">
        <w:rPr>
          <w:spacing w:val="-2"/>
        </w:rPr>
        <w:t>’</w:t>
      </w:r>
      <w:r w:rsidRPr="00F37840">
        <w:rPr>
          <w:spacing w:val="-2"/>
        </w:rPr>
        <w:t>s satisfaction</w:t>
      </w:r>
      <w:r w:rsidR="00C10CBD" w:rsidRPr="00F37840">
        <w:rPr>
          <w:spacing w:val="-2"/>
        </w:rPr>
        <w:t xml:space="preserve"> (see </w:t>
      </w:r>
      <w:r w:rsidR="00C10CBD" w:rsidRPr="00F37840">
        <w:rPr>
          <w:spacing w:val="-2"/>
        </w:rPr>
        <w:fldChar w:fldCharType="begin"/>
      </w:r>
      <w:r w:rsidR="00C10CBD" w:rsidRPr="00F37840">
        <w:rPr>
          <w:spacing w:val="-2"/>
        </w:rPr>
        <w:instrText xml:space="preserve"> REF _ASICRef353 \w \h </w:instrText>
      </w:r>
      <w:r w:rsidR="00C41701" w:rsidRPr="00F37840">
        <w:rPr>
          <w:spacing w:val="-2"/>
        </w:rPr>
        <w:instrText xml:space="preserve"> \* MERGEFORMAT </w:instrText>
      </w:r>
      <w:r w:rsidR="00C10CBD" w:rsidRPr="00F37840">
        <w:rPr>
          <w:spacing w:val="-2"/>
        </w:rPr>
      </w:r>
      <w:r w:rsidR="00C10CBD" w:rsidRPr="00F37840">
        <w:rPr>
          <w:spacing w:val="-2"/>
        </w:rPr>
        <w:fldChar w:fldCharType="separate"/>
      </w:r>
      <w:r w:rsidR="00DE6E77">
        <w:rPr>
          <w:spacing w:val="-2"/>
        </w:rPr>
        <w:t>RG 271.73</w:t>
      </w:r>
      <w:r w:rsidR="00C10CBD" w:rsidRPr="00F37840">
        <w:rPr>
          <w:spacing w:val="-2"/>
        </w:rPr>
        <w:fldChar w:fldCharType="end"/>
      </w:r>
      <w:r w:rsidR="00C10CBD" w:rsidRPr="00F37840">
        <w:rPr>
          <w:spacing w:val="-2"/>
        </w:rPr>
        <w:t>)</w:t>
      </w:r>
      <w:r w:rsidRPr="00F37840">
        <w:rPr>
          <w:spacing w:val="-2"/>
        </w:rPr>
        <w:t>; or</w:t>
      </w:r>
    </w:p>
    <w:p w14:paraId="4EA2D4B6" w14:textId="42EE3244" w:rsidR="0008379E" w:rsidRPr="00F37840" w:rsidRDefault="00FA7B5A" w:rsidP="00D54825">
      <w:pPr>
        <w:pStyle w:val="Enfparassubparaa"/>
        <w:rPr>
          <w:spacing w:val="-4"/>
        </w:rPr>
      </w:pPr>
      <w:r w:rsidRPr="00F37840">
        <w:rPr>
          <w:spacing w:val="-4"/>
        </w:rPr>
        <w:t xml:space="preserve">given the complainant </w:t>
      </w:r>
      <w:r w:rsidR="0008379E" w:rsidRPr="00F37840">
        <w:rPr>
          <w:spacing w:val="-4"/>
        </w:rPr>
        <w:t xml:space="preserve">an explanation and/or apology </w:t>
      </w:r>
      <w:r w:rsidRPr="00F37840">
        <w:rPr>
          <w:spacing w:val="-4"/>
        </w:rPr>
        <w:t>when the firm can take</w:t>
      </w:r>
      <w:r w:rsidR="0008379E" w:rsidRPr="00F37840">
        <w:rPr>
          <w:spacing w:val="-4"/>
        </w:rPr>
        <w:t xml:space="preserve"> no further action to reasonably address the complaint</w:t>
      </w:r>
      <w:r w:rsidR="00C10CBD" w:rsidRPr="00F37840">
        <w:rPr>
          <w:spacing w:val="-4"/>
        </w:rPr>
        <w:t xml:space="preserve"> (see </w:t>
      </w:r>
      <w:r w:rsidR="00396C59" w:rsidRPr="00F37840">
        <w:rPr>
          <w:spacing w:val="-4"/>
        </w:rPr>
        <w:fldChar w:fldCharType="begin"/>
      </w:r>
      <w:r w:rsidR="00396C59" w:rsidRPr="00F37840">
        <w:rPr>
          <w:spacing w:val="-4"/>
        </w:rPr>
        <w:instrText xml:space="preserve"> REF _ASICRef742 \w \h </w:instrText>
      </w:r>
      <w:r w:rsidR="00F37840">
        <w:rPr>
          <w:spacing w:val="-4"/>
        </w:rPr>
        <w:instrText xml:space="preserve"> \* MERGEFORMAT </w:instrText>
      </w:r>
      <w:r w:rsidR="00396C59" w:rsidRPr="00F37840">
        <w:rPr>
          <w:spacing w:val="-4"/>
        </w:rPr>
      </w:r>
      <w:r w:rsidR="00396C59" w:rsidRPr="00F37840">
        <w:rPr>
          <w:spacing w:val="-4"/>
        </w:rPr>
        <w:fldChar w:fldCharType="separate"/>
      </w:r>
      <w:r w:rsidR="00DE6E77">
        <w:rPr>
          <w:spacing w:val="-4"/>
        </w:rPr>
        <w:t>RG 271.74</w:t>
      </w:r>
      <w:r w:rsidR="00396C59" w:rsidRPr="00F37840">
        <w:rPr>
          <w:spacing w:val="-4"/>
        </w:rPr>
        <w:fldChar w:fldCharType="end"/>
      </w:r>
      <w:r w:rsidR="00C10CBD" w:rsidRPr="00F37840">
        <w:rPr>
          <w:spacing w:val="-4"/>
        </w:rPr>
        <w:t>).</w:t>
      </w:r>
    </w:p>
    <w:p w14:paraId="056DD536" w14:textId="15333B6D" w:rsidR="00B55A49" w:rsidRPr="002C6752" w:rsidRDefault="00C10CBD" w:rsidP="009A6619">
      <w:pPr>
        <w:pStyle w:val="BodyText"/>
      </w:pPr>
      <w:r w:rsidRPr="002C6752">
        <w:t xml:space="preserve">However, </w:t>
      </w:r>
      <w:r w:rsidR="0056115C" w:rsidRPr="002C6752">
        <w:t xml:space="preserve">an exception </w:t>
      </w:r>
      <w:r w:rsidRPr="002C6752">
        <w:t xml:space="preserve">may </w:t>
      </w:r>
      <w:r w:rsidR="0056115C" w:rsidRPr="002C6752">
        <w:t>appl</w:t>
      </w:r>
      <w:r w:rsidRPr="002C6752">
        <w:t>y</w:t>
      </w:r>
      <w:r w:rsidR="005A2624" w:rsidRPr="002C6752">
        <w:t>: see</w:t>
      </w:r>
      <w:r w:rsidRPr="002C6752">
        <w:t xml:space="preserve"> </w:t>
      </w:r>
      <w:r w:rsidR="00B26062" w:rsidRPr="002C6752">
        <w:rPr>
          <w:highlight w:val="yellow"/>
        </w:rPr>
        <w:fldChar w:fldCharType="begin"/>
      </w:r>
      <w:r w:rsidR="00B26062" w:rsidRPr="002C6752">
        <w:instrText xml:space="preserve"> REF _ASICRef784 \w \h </w:instrText>
      </w:r>
      <w:r w:rsidR="00B26062" w:rsidRPr="002C6752">
        <w:rPr>
          <w:highlight w:val="yellow"/>
        </w:rPr>
      </w:r>
      <w:r w:rsidR="00B26062" w:rsidRPr="002C6752">
        <w:rPr>
          <w:highlight w:val="yellow"/>
        </w:rPr>
        <w:fldChar w:fldCharType="separate"/>
      </w:r>
      <w:r w:rsidR="00DE6E77">
        <w:t>RG 271.75</w:t>
      </w:r>
      <w:r w:rsidR="00B26062" w:rsidRPr="002C6752">
        <w:rPr>
          <w:highlight w:val="yellow"/>
        </w:rPr>
        <w:fldChar w:fldCharType="end"/>
      </w:r>
      <w:r w:rsidR="005A2624" w:rsidRPr="002C6752">
        <w:t>.</w:t>
      </w:r>
      <w:bookmarkEnd w:id="203"/>
      <w:bookmarkEnd w:id="204"/>
      <w:bookmarkEnd w:id="205"/>
    </w:p>
    <w:p w14:paraId="00EA844A" w14:textId="30065020" w:rsidR="00D83286" w:rsidRPr="002C6752" w:rsidRDefault="00D83286" w:rsidP="00D83286">
      <w:pPr>
        <w:pStyle w:val="BodyText"/>
      </w:pPr>
      <w:bookmarkStart w:id="208" w:name="_ASICRef353"/>
      <w:bookmarkStart w:id="209" w:name="_ASICRef495"/>
      <w:r w:rsidRPr="002C6752">
        <w:t>When determining whether a complaint has been resolved to a complainant</w:t>
      </w:r>
      <w:r w:rsidR="00E12C7C">
        <w:t>’</w:t>
      </w:r>
      <w:r w:rsidRPr="002C6752">
        <w:t>s satisfaction, we expect firms to consider whether:</w:t>
      </w:r>
      <w:bookmarkEnd w:id="208"/>
    </w:p>
    <w:p w14:paraId="3FE1CA1F" w14:textId="77777777" w:rsidR="00D83286" w:rsidRPr="002C6752" w:rsidRDefault="00D83286" w:rsidP="00D83286">
      <w:pPr>
        <w:pStyle w:val="subparaa"/>
      </w:pPr>
      <w:r w:rsidRPr="002C6752">
        <w:t xml:space="preserve">the complainant has confirmed (verbally or in writing) that they are satisfied with the action(s) taken by the financial firm in response to the complaint and do not wish to take the matter further; or </w:t>
      </w:r>
    </w:p>
    <w:p w14:paraId="270EE16B" w14:textId="1997EF9C" w:rsidR="00D83286" w:rsidRPr="002C6752" w:rsidRDefault="00D83286" w:rsidP="00B9535C">
      <w:pPr>
        <w:pStyle w:val="subparaa"/>
      </w:pPr>
      <w:r w:rsidRPr="002C6752">
        <w:t>other circumstances exist that make it reasonable for the firm to form the view that the complaint has been resolved to the complainant</w:t>
      </w:r>
      <w:r w:rsidR="00E12C7C">
        <w:t>’</w:t>
      </w:r>
      <w:r w:rsidRPr="002C6752">
        <w:t>s satisfaction.</w:t>
      </w:r>
    </w:p>
    <w:p w14:paraId="49A1B390" w14:textId="5E50B630" w:rsidR="00D83286" w:rsidRPr="002C6752" w:rsidRDefault="009C53D1" w:rsidP="00B55A49">
      <w:pPr>
        <w:pStyle w:val="BodyText"/>
      </w:pPr>
      <w:bookmarkStart w:id="210" w:name="_ASICRef986"/>
      <w:bookmarkStart w:id="211" w:name="_ASICRef404"/>
      <w:bookmarkStart w:id="212" w:name="_ASICRef692"/>
      <w:bookmarkStart w:id="213" w:name="_ASICRef742"/>
      <w:r w:rsidRPr="002C6752">
        <w:t>In some circumstances,</w:t>
      </w:r>
      <w:r w:rsidR="00D83286" w:rsidRPr="002C6752">
        <w:t xml:space="preserve"> it may be reasonable for a financial firm to form the view that an explanation and/or apology is the only action </w:t>
      </w:r>
      <w:r w:rsidR="00FA7B5A" w:rsidRPr="002C6752">
        <w:t xml:space="preserve">they </w:t>
      </w:r>
      <w:r w:rsidR="00D83286" w:rsidRPr="002C6752">
        <w:t>can take to address the complaint</w:t>
      </w:r>
      <w:r w:rsidRPr="002C6752">
        <w:t>.</w:t>
      </w:r>
      <w:r w:rsidR="00D83286" w:rsidRPr="002C6752">
        <w:t xml:space="preserve"> </w:t>
      </w:r>
      <w:r w:rsidRPr="002C6752">
        <w:t>For example, if</w:t>
      </w:r>
      <w:r w:rsidR="00D83286" w:rsidRPr="002C6752">
        <w:t xml:space="preserve"> the complaint relates </w:t>
      </w:r>
      <w:r w:rsidR="00403365" w:rsidRPr="002C6752">
        <w:t xml:space="preserve">only </w:t>
      </w:r>
      <w:r w:rsidR="00D83286" w:rsidRPr="002C6752">
        <w:t>to:</w:t>
      </w:r>
      <w:bookmarkEnd w:id="210"/>
      <w:bookmarkEnd w:id="211"/>
      <w:bookmarkEnd w:id="212"/>
      <w:bookmarkEnd w:id="213"/>
    </w:p>
    <w:p w14:paraId="731C7AF5" w14:textId="66B5708B" w:rsidR="00D83286" w:rsidRPr="002C6752" w:rsidRDefault="00D83286" w:rsidP="00B26AAB">
      <w:pPr>
        <w:pStyle w:val="subparaa"/>
      </w:pPr>
      <w:r w:rsidRPr="002C6752">
        <w:t>a financial firm</w:t>
      </w:r>
      <w:r w:rsidR="00E12C7C">
        <w:t>’</w:t>
      </w:r>
      <w:r w:rsidRPr="002C6752">
        <w:t>s commercial decision</w:t>
      </w:r>
      <w:r w:rsidR="00C560EC" w:rsidRPr="002C6752">
        <w:t>,</w:t>
      </w:r>
      <w:r w:rsidRPr="002C6752">
        <w:t xml:space="preserve"> such as a refusal to grant credit or </w:t>
      </w:r>
      <w:r w:rsidR="00C560EC" w:rsidRPr="002C6752">
        <w:t>provide</w:t>
      </w:r>
      <w:r w:rsidRPr="002C6752">
        <w:t xml:space="preserve"> insurance cover on certain terms; or</w:t>
      </w:r>
    </w:p>
    <w:p w14:paraId="121F2F46" w14:textId="67C845B8" w:rsidR="00D83286" w:rsidRPr="002C6752" w:rsidRDefault="00D83286" w:rsidP="00553058">
      <w:pPr>
        <w:pStyle w:val="subparaa"/>
      </w:pPr>
      <w:r w:rsidRPr="002C6752">
        <w:t>reasonable initial contact by a financial firm about debt collection.</w:t>
      </w:r>
    </w:p>
    <w:p w14:paraId="0EA370B6" w14:textId="44FE916E" w:rsidR="005B177F" w:rsidRPr="002C6752" w:rsidRDefault="005B177F" w:rsidP="005B177F">
      <w:pPr>
        <w:pStyle w:val="Enfparashead"/>
      </w:pPr>
      <w:bookmarkStart w:id="214" w:name="_ASICRef284"/>
      <w:r w:rsidRPr="002C6752">
        <w:lastRenderedPageBreak/>
        <w:t xml:space="preserve">Enforceable paragraph: </w:t>
      </w:r>
      <w:r w:rsidRPr="002C6752">
        <w:fldChar w:fldCharType="begin"/>
      </w:r>
      <w:r w:rsidRPr="002C6752">
        <w:instrText xml:space="preserve"> REF _ASICRef680 \w \h  \* MERGEFORMAT </w:instrText>
      </w:r>
      <w:r w:rsidRPr="002C6752">
        <w:fldChar w:fldCharType="separate"/>
      </w:r>
      <w:r w:rsidR="00DE6E77">
        <w:t>RG 271.75</w:t>
      </w:r>
      <w:r w:rsidRPr="002C6752">
        <w:fldChar w:fldCharType="end"/>
      </w:r>
    </w:p>
    <w:p w14:paraId="710425A1" w14:textId="258C3394" w:rsidR="00201592" w:rsidRPr="002C6752" w:rsidRDefault="000970F1" w:rsidP="009A6619">
      <w:pPr>
        <w:pStyle w:val="Enfparastext"/>
      </w:pPr>
      <w:bookmarkStart w:id="215" w:name="_ASICRef680"/>
      <w:bookmarkStart w:id="216" w:name="_ASICRef503"/>
      <w:bookmarkStart w:id="217" w:name="_ASICRef64"/>
      <w:bookmarkStart w:id="218" w:name="_ASICRef784"/>
      <w:r w:rsidRPr="002C6752">
        <w:t>A f</w:t>
      </w:r>
      <w:r w:rsidR="00B55A49" w:rsidRPr="002C6752">
        <w:t>inancial firm must provide a written IDR response</w:t>
      </w:r>
      <w:r w:rsidR="0056115C" w:rsidRPr="002C6752">
        <w:t>,</w:t>
      </w:r>
      <w:r w:rsidR="005A2624" w:rsidRPr="002C6752">
        <w:t xml:space="preserve"> </w:t>
      </w:r>
      <w:r w:rsidR="0056115C" w:rsidRPr="002C6752">
        <w:t xml:space="preserve">even where the complaint is </w:t>
      </w:r>
      <w:r w:rsidR="00D83286" w:rsidRPr="002C6752">
        <w:t xml:space="preserve">closed </w:t>
      </w:r>
      <w:r w:rsidR="0056115C" w:rsidRPr="002C6752">
        <w:t>by the end of the fifth business day, if</w:t>
      </w:r>
      <w:r w:rsidR="00201592" w:rsidRPr="002C6752">
        <w:t>:</w:t>
      </w:r>
      <w:bookmarkEnd w:id="214"/>
      <w:bookmarkEnd w:id="215"/>
      <w:bookmarkEnd w:id="216"/>
      <w:bookmarkEnd w:id="217"/>
      <w:bookmarkEnd w:id="218"/>
    </w:p>
    <w:p w14:paraId="14A97DC6" w14:textId="7CB3263A" w:rsidR="00201592" w:rsidRPr="002C6752" w:rsidRDefault="0056115C" w:rsidP="009A6619">
      <w:pPr>
        <w:pStyle w:val="Enfparassubparaa"/>
      </w:pPr>
      <w:r w:rsidRPr="002C6752">
        <w:t>the complainant requests a written response</w:t>
      </w:r>
      <w:r w:rsidR="00201592" w:rsidRPr="002C6752">
        <w:t>; or</w:t>
      </w:r>
    </w:p>
    <w:p w14:paraId="49F5E0A5" w14:textId="2C88B9B3" w:rsidR="00B55A49" w:rsidRPr="002C6752" w:rsidRDefault="005A2624" w:rsidP="009A6619">
      <w:pPr>
        <w:pStyle w:val="Enfparassubparaa"/>
      </w:pPr>
      <w:r w:rsidRPr="002C6752">
        <w:t xml:space="preserve">the </w:t>
      </w:r>
      <w:r w:rsidR="00B55A49" w:rsidRPr="002C6752">
        <w:t>complaint</w:t>
      </w:r>
      <w:r w:rsidR="0056115C" w:rsidRPr="002C6752">
        <w:t xml:space="preserve"> is</w:t>
      </w:r>
      <w:r w:rsidR="00B55A49" w:rsidRPr="002C6752">
        <w:t xml:space="preserve"> about:</w:t>
      </w:r>
      <w:bookmarkEnd w:id="209"/>
    </w:p>
    <w:p w14:paraId="78B7EBE9" w14:textId="77777777" w:rsidR="00B55A49" w:rsidRPr="002C6752" w:rsidRDefault="00B55A49" w:rsidP="009A6619">
      <w:pPr>
        <w:pStyle w:val="Enfparassubparai"/>
      </w:pPr>
      <w:r w:rsidRPr="002C6752">
        <w:t xml:space="preserve">hardship; </w:t>
      </w:r>
    </w:p>
    <w:p w14:paraId="42E23EE8" w14:textId="77777777" w:rsidR="00B55A49" w:rsidRPr="002C6752" w:rsidRDefault="00B55A49" w:rsidP="009A6619">
      <w:pPr>
        <w:pStyle w:val="Enfparassubparai"/>
      </w:pPr>
      <w:r w:rsidRPr="002C6752">
        <w:t xml:space="preserve">a declined insurance claim; </w:t>
      </w:r>
    </w:p>
    <w:p w14:paraId="7C942E75" w14:textId="1448C000" w:rsidR="00B55A49" w:rsidRPr="002C6752" w:rsidRDefault="00B55A49" w:rsidP="009A6619">
      <w:pPr>
        <w:pStyle w:val="Enfparassubparai"/>
      </w:pPr>
      <w:r w:rsidRPr="002C6752">
        <w:t xml:space="preserve">the value of an insurance claim; </w:t>
      </w:r>
      <w:r w:rsidR="003020F3" w:rsidRPr="002C6752">
        <w:t>or</w:t>
      </w:r>
      <w:r w:rsidRPr="002C6752">
        <w:t xml:space="preserve"> </w:t>
      </w:r>
    </w:p>
    <w:p w14:paraId="5BC73916" w14:textId="46ED3E4A" w:rsidR="00B55A49" w:rsidRPr="002C6752" w:rsidRDefault="00B55A49" w:rsidP="009A6619">
      <w:pPr>
        <w:pStyle w:val="Enfparassubparai"/>
      </w:pPr>
      <w:r w:rsidRPr="002C6752">
        <w:t>a decision of a superannuation trustee</w:t>
      </w:r>
      <w:r w:rsidR="00C57B9D" w:rsidRPr="002C6752">
        <w:t>.</w:t>
      </w:r>
      <w:r w:rsidR="0056115C" w:rsidRPr="002C6752">
        <w:t xml:space="preserve"> </w:t>
      </w:r>
    </w:p>
    <w:bookmarkEnd w:id="180"/>
    <w:p w14:paraId="05349589" w14:textId="0CBAA8FC" w:rsidR="00853237" w:rsidRPr="002C6752" w:rsidRDefault="00D83286" w:rsidP="009A6619">
      <w:pPr>
        <w:pStyle w:val="Heading3"/>
      </w:pPr>
      <w:r w:rsidRPr="002C6752">
        <w:t>More information</w:t>
      </w:r>
      <w:r w:rsidR="0002560B" w:rsidRPr="002C6752">
        <w:t xml:space="preserve"> on maximum timeframes for t</w:t>
      </w:r>
      <w:r w:rsidR="00853237" w:rsidRPr="002C6752">
        <w:t xml:space="preserve">raditional </w:t>
      </w:r>
      <w:r w:rsidR="00961E5C" w:rsidRPr="002C6752">
        <w:t xml:space="preserve">trustee </w:t>
      </w:r>
      <w:r w:rsidR="00853237" w:rsidRPr="002C6752">
        <w:t>complaints</w:t>
      </w:r>
    </w:p>
    <w:p w14:paraId="3D9C6F31" w14:textId="188D630B" w:rsidR="00D771F0" w:rsidRPr="002C6752" w:rsidRDefault="00D771F0" w:rsidP="00D771F0">
      <w:pPr>
        <w:pStyle w:val="Enfparashead"/>
      </w:pPr>
      <w:bookmarkStart w:id="219" w:name="_ASICRef695"/>
      <w:bookmarkStart w:id="220" w:name="_ASICRef401"/>
      <w:r w:rsidRPr="002C6752">
        <w:t xml:space="preserve">Enforceable paragraph: </w:t>
      </w:r>
      <w:r w:rsidRPr="002C6752">
        <w:fldChar w:fldCharType="begin"/>
      </w:r>
      <w:r w:rsidRPr="002C6752">
        <w:instrText xml:space="preserve"> REF _ASICRef886 \w \h  \* MERGEFORMAT </w:instrText>
      </w:r>
      <w:r w:rsidRPr="002C6752">
        <w:fldChar w:fldCharType="separate"/>
      </w:r>
      <w:r w:rsidR="00DE6E77">
        <w:t>RG 271.76</w:t>
      </w:r>
      <w:r w:rsidRPr="002C6752">
        <w:fldChar w:fldCharType="end"/>
      </w:r>
      <w:r w:rsidR="00E30BEE">
        <w:t>–</w:t>
      </w:r>
      <w:r w:rsidR="00E30BEE">
        <w:fldChar w:fldCharType="begin"/>
      </w:r>
      <w:r w:rsidR="00E30BEE">
        <w:instrText xml:space="preserve"> REF _ASICRef56 \r \h </w:instrText>
      </w:r>
      <w:r w:rsidR="00E30BEE">
        <w:fldChar w:fldCharType="separate"/>
      </w:r>
      <w:r w:rsidR="00DE6E77">
        <w:t>RG 271.78</w:t>
      </w:r>
      <w:r w:rsidR="00E30BEE">
        <w:fldChar w:fldCharType="end"/>
      </w:r>
    </w:p>
    <w:p w14:paraId="79C43C94" w14:textId="361048B7" w:rsidR="00853237" w:rsidRPr="002C6752" w:rsidRDefault="00A36925" w:rsidP="009A6619">
      <w:pPr>
        <w:pStyle w:val="Enfparastext"/>
      </w:pPr>
      <w:bookmarkStart w:id="221" w:name="_ASICRef886"/>
      <w:bookmarkStart w:id="222" w:name="_ASICRef756"/>
      <w:bookmarkStart w:id="223" w:name="_ASICRef164"/>
      <w:r w:rsidRPr="002C6752">
        <w:t>During the 45</w:t>
      </w:r>
      <w:r w:rsidR="00853859">
        <w:t xml:space="preserve"> calendar </w:t>
      </w:r>
      <w:r w:rsidR="00853237" w:rsidRPr="002C6752">
        <w:t>day</w:t>
      </w:r>
      <w:r w:rsidRPr="002C6752">
        <w:t xml:space="preserve"> maximum IDR timeframe, a</w:t>
      </w:r>
      <w:r w:rsidR="00961E5C" w:rsidRPr="002C6752">
        <w:t xml:space="preserve"> traditional</w:t>
      </w:r>
      <w:r w:rsidRPr="002C6752">
        <w:t xml:space="preserve"> trustee must:</w:t>
      </w:r>
      <w:bookmarkEnd w:id="219"/>
      <w:bookmarkEnd w:id="220"/>
      <w:bookmarkEnd w:id="221"/>
      <w:bookmarkEnd w:id="222"/>
      <w:bookmarkEnd w:id="223"/>
    </w:p>
    <w:p w14:paraId="7854FC23" w14:textId="7161B21C" w:rsidR="00853237" w:rsidRPr="002C6752" w:rsidRDefault="00853237" w:rsidP="009A6619">
      <w:pPr>
        <w:pStyle w:val="Enfparassubparaa"/>
      </w:pPr>
      <w:bookmarkStart w:id="224" w:name="_ASICRef468"/>
      <w:r w:rsidRPr="002C6752">
        <w:t>on recei</w:t>
      </w:r>
      <w:r w:rsidR="00961E5C" w:rsidRPr="002C6752">
        <w:t>ving</w:t>
      </w:r>
      <w:r w:rsidRPr="002C6752">
        <w:t xml:space="preserve"> </w:t>
      </w:r>
      <w:r w:rsidR="00961E5C" w:rsidRPr="002C6752">
        <w:t>the</w:t>
      </w:r>
      <w:r w:rsidRPr="002C6752">
        <w:t xml:space="preserve"> </w:t>
      </w:r>
      <w:r w:rsidR="00A36925" w:rsidRPr="002C6752">
        <w:t>complaint, use their</w:t>
      </w:r>
      <w:r w:rsidRPr="002C6752">
        <w:t xml:space="preserve"> best endeavours to identify and notify other pe</w:t>
      </w:r>
      <w:r w:rsidR="00961E5C" w:rsidRPr="002C6752">
        <w:t>ople</w:t>
      </w:r>
      <w:r w:rsidRPr="002C6752">
        <w:t xml:space="preserve"> who may request an information return (i.e. other beneficiaries) and who may reasonably have </w:t>
      </w:r>
      <w:r w:rsidR="00961E5C" w:rsidRPr="002C6752">
        <w:t>a</w:t>
      </w:r>
      <w:r w:rsidRPr="002C6752">
        <w:t xml:space="preserve">n interest in the outcome of </w:t>
      </w:r>
      <w:r w:rsidR="00A36925" w:rsidRPr="002C6752">
        <w:t>the complaint.</w:t>
      </w:r>
      <w:r w:rsidR="003229E3" w:rsidRPr="002C6752">
        <w:t xml:space="preserve"> </w:t>
      </w:r>
      <w:r w:rsidR="00A36925" w:rsidRPr="002C6752">
        <w:t>We encourage traditional trustees</w:t>
      </w:r>
      <w:r w:rsidRPr="002C6752">
        <w:t xml:space="preserve"> to do this as quickly as possible;</w:t>
      </w:r>
      <w:bookmarkEnd w:id="224"/>
    </w:p>
    <w:p w14:paraId="6F59CD03" w14:textId="1AE392BF" w:rsidR="00853237" w:rsidRPr="002C6752" w:rsidRDefault="00853237" w:rsidP="009A6619">
      <w:pPr>
        <w:pStyle w:val="Enfparassubparaa"/>
      </w:pPr>
      <w:r w:rsidRPr="002C6752">
        <w:t>where relevant to the efficient and fair handling of the complaint at IDR, consider the views o</w:t>
      </w:r>
      <w:r w:rsidR="00263977" w:rsidRPr="002C6752">
        <w:t xml:space="preserve">f those identified at </w:t>
      </w:r>
      <w:r w:rsidR="00961E5C" w:rsidRPr="002C6752">
        <w:fldChar w:fldCharType="begin"/>
      </w:r>
      <w:r w:rsidR="00961E5C" w:rsidRPr="002C6752">
        <w:instrText xml:space="preserve"> REF _ASICRef468 \w \h </w:instrText>
      </w:r>
      <w:r w:rsidR="002F1325" w:rsidRPr="002C6752">
        <w:instrText xml:space="preserve"> \* MERGEFORMAT </w:instrText>
      </w:r>
      <w:r w:rsidR="00961E5C" w:rsidRPr="002C6752">
        <w:fldChar w:fldCharType="separate"/>
      </w:r>
      <w:r w:rsidR="00DE6E77">
        <w:t>RG 271.76(a)</w:t>
      </w:r>
      <w:r w:rsidR="00961E5C" w:rsidRPr="002C6752">
        <w:fldChar w:fldCharType="end"/>
      </w:r>
      <w:r w:rsidRPr="002C6752">
        <w:t>; and</w:t>
      </w:r>
    </w:p>
    <w:p w14:paraId="631AE77F" w14:textId="2B07D99D" w:rsidR="00853237" w:rsidRPr="002C6752" w:rsidRDefault="00853237" w:rsidP="009A6619">
      <w:pPr>
        <w:pStyle w:val="Enfparassubparaa"/>
      </w:pPr>
      <w:r w:rsidRPr="002C6752">
        <w:t>ke</w:t>
      </w:r>
      <w:r w:rsidR="00C74919" w:rsidRPr="002C6752">
        <w:t xml:space="preserve">ep those identified at </w:t>
      </w:r>
      <w:r w:rsidR="007B49C7" w:rsidRPr="002C6752">
        <w:fldChar w:fldCharType="begin"/>
      </w:r>
      <w:r w:rsidR="007B49C7" w:rsidRPr="002C6752">
        <w:instrText xml:space="preserve"> REF _ASICRef468 \w \h </w:instrText>
      </w:r>
      <w:r w:rsidR="002C667E" w:rsidRPr="002C6752">
        <w:instrText xml:space="preserve"> \* MERGEFORMAT </w:instrText>
      </w:r>
      <w:r w:rsidR="007B49C7" w:rsidRPr="002C6752">
        <w:fldChar w:fldCharType="separate"/>
      </w:r>
      <w:r w:rsidR="00DE6E77">
        <w:t>RG 271.76(a)</w:t>
      </w:r>
      <w:r w:rsidR="007B49C7" w:rsidRPr="002C6752">
        <w:fldChar w:fldCharType="end"/>
      </w:r>
      <w:r w:rsidRPr="002C6752">
        <w:t xml:space="preserve"> informed of the progress of the complaint at key stages of the IDR </w:t>
      </w:r>
      <w:r w:rsidR="00345A00" w:rsidRPr="002C6752">
        <w:t>process</w:t>
      </w:r>
      <w:r w:rsidR="007B49C7" w:rsidRPr="002C6752">
        <w:t>,</w:t>
      </w:r>
      <w:r w:rsidR="00345A00" w:rsidRPr="002C6752">
        <w:t xml:space="preserve"> including when </w:t>
      </w:r>
      <w:r w:rsidR="007B49C7" w:rsidRPr="002C6752">
        <w:t>the trustee gives an</w:t>
      </w:r>
      <w:r w:rsidR="00345A00" w:rsidRPr="002C6752">
        <w:t xml:space="preserve"> IDR </w:t>
      </w:r>
      <w:r w:rsidR="007B49C7" w:rsidRPr="002C6752">
        <w:t>r</w:t>
      </w:r>
      <w:r w:rsidRPr="002C6752">
        <w:t xml:space="preserve">esponse or </w:t>
      </w:r>
      <w:r w:rsidR="007B49C7" w:rsidRPr="002C6752">
        <w:t xml:space="preserve">IDR delay </w:t>
      </w:r>
      <w:r w:rsidRPr="002C6752">
        <w:t>notification.</w:t>
      </w:r>
    </w:p>
    <w:p w14:paraId="1A2FD346" w14:textId="29C27597" w:rsidR="00853237" w:rsidRPr="00E96FC9" w:rsidRDefault="00B54C57" w:rsidP="00E96FC9">
      <w:pPr>
        <w:pStyle w:val="Enfparastext"/>
      </w:pPr>
      <w:bookmarkStart w:id="225" w:name="_ASICRef138"/>
      <w:r w:rsidRPr="00E96FC9">
        <w:t>Under the 45</w:t>
      </w:r>
      <w:r w:rsidR="00853859">
        <w:t xml:space="preserve"> calendar </w:t>
      </w:r>
      <w:r w:rsidR="00853237" w:rsidRPr="00E96FC9">
        <w:t>day maximum IDR timeframe, time stops running when:</w:t>
      </w:r>
      <w:bookmarkEnd w:id="225"/>
    </w:p>
    <w:p w14:paraId="37C8D9A1" w14:textId="1ABDE1C7" w:rsidR="00853237" w:rsidRPr="00E96FC9" w:rsidRDefault="00853237" w:rsidP="00E96FC9">
      <w:pPr>
        <w:pStyle w:val="Enfparassubparaa"/>
      </w:pPr>
      <w:r w:rsidRPr="00E96FC9">
        <w:t>another person commences legal proceedings to be included as a beneficiary and the outcome would affect the handling of the complaint at IDR; or</w:t>
      </w:r>
    </w:p>
    <w:p w14:paraId="2F51CDFB" w14:textId="35DFB68B" w:rsidR="00853237" w:rsidRPr="00E96FC9" w:rsidRDefault="00853237" w:rsidP="00E96FC9">
      <w:pPr>
        <w:pStyle w:val="Enfparassubparaa"/>
      </w:pPr>
      <w:r w:rsidRPr="00E96FC9">
        <w:t xml:space="preserve">the </w:t>
      </w:r>
      <w:r w:rsidR="007B49C7" w:rsidRPr="00E96FC9">
        <w:t xml:space="preserve">traditional </w:t>
      </w:r>
      <w:r w:rsidRPr="00E96FC9">
        <w:t>trustee applies for an opinion, advice or direction from a court to reasonably handle the complaint at IDR (e.g. where the trustee company is acting as a manager or administrator of the trust property).</w:t>
      </w:r>
    </w:p>
    <w:p w14:paraId="7057DD83" w14:textId="3659DE7D" w:rsidR="00853237" w:rsidRPr="00F752D1" w:rsidRDefault="00853237" w:rsidP="00E96FC9">
      <w:pPr>
        <w:pStyle w:val="Enfparastext"/>
      </w:pPr>
      <w:bookmarkStart w:id="226" w:name="_ASICRef56"/>
      <w:bookmarkStart w:id="227" w:name="_ASICRef620"/>
      <w:bookmarkStart w:id="228" w:name="_ASICRef517"/>
      <w:bookmarkStart w:id="229" w:name="_ASICRef276"/>
      <w:r w:rsidRPr="00E96FC9">
        <w:t>Time st</w:t>
      </w:r>
      <w:r w:rsidR="00B54C57" w:rsidRPr="00E96FC9">
        <w:t>arts to run again</w:t>
      </w:r>
      <w:r w:rsidRPr="00E96FC9">
        <w:t xml:space="preserve"> once the court determines whether the other person </w:t>
      </w:r>
      <w:r w:rsidRPr="00E96FC9">
        <w:rPr>
          <w:spacing w:val="-4"/>
        </w:rPr>
        <w:t xml:space="preserve">should be included as a beneficiary, or provides an opinion, advice or otherwise </w:t>
      </w:r>
      <w:r w:rsidRPr="00E96FC9">
        <w:t>gives a direction, and the time to lodge an appeal (if relevant) has passed</w:t>
      </w:r>
      <w:r w:rsidRPr="00F752D1">
        <w:t>.</w:t>
      </w:r>
      <w:bookmarkEnd w:id="226"/>
      <w:bookmarkEnd w:id="227"/>
      <w:bookmarkEnd w:id="228"/>
      <w:bookmarkEnd w:id="229"/>
    </w:p>
    <w:p w14:paraId="75D9E7CB" w14:textId="2FB82C35" w:rsidR="00853237" w:rsidRPr="002C6752" w:rsidRDefault="00D83286" w:rsidP="009A6619">
      <w:pPr>
        <w:pStyle w:val="Heading3"/>
      </w:pPr>
      <w:r w:rsidRPr="002C6752">
        <w:lastRenderedPageBreak/>
        <w:t>More</w:t>
      </w:r>
      <w:r w:rsidR="00B003F5" w:rsidRPr="002C6752">
        <w:t xml:space="preserve"> informati</w:t>
      </w:r>
      <w:r w:rsidR="00C57B9D" w:rsidRPr="002C6752">
        <w:t>o</w:t>
      </w:r>
      <w:r w:rsidR="00B003F5" w:rsidRPr="002C6752">
        <w:t>n</w:t>
      </w:r>
      <w:r w:rsidR="0002560B" w:rsidRPr="002C6752">
        <w:t xml:space="preserve"> on maximum timeframes for s</w:t>
      </w:r>
      <w:r w:rsidR="00B249DE" w:rsidRPr="002C6752">
        <w:t xml:space="preserve">uperannuation </w:t>
      </w:r>
      <w:r w:rsidR="002F1831" w:rsidRPr="002C6752">
        <w:t>trustee</w:t>
      </w:r>
      <w:r w:rsidR="003E154E" w:rsidRPr="002C6752">
        <w:t xml:space="preserve"> complaint</w:t>
      </w:r>
      <w:r w:rsidR="002F1831" w:rsidRPr="002C6752">
        <w:t>s</w:t>
      </w:r>
    </w:p>
    <w:p w14:paraId="39467537" w14:textId="086D2D30" w:rsidR="00293E49" w:rsidRPr="002C6752" w:rsidRDefault="00293E49" w:rsidP="00914F38">
      <w:pPr>
        <w:pStyle w:val="Heading4"/>
      </w:pPr>
      <w:r w:rsidRPr="002C6752">
        <w:t>Insurance in superannuation complaints</w:t>
      </w:r>
    </w:p>
    <w:p w14:paraId="5E7DFD28" w14:textId="57461817" w:rsidR="000E5B46" w:rsidRPr="002C6752" w:rsidRDefault="000E5B46" w:rsidP="00914F38">
      <w:pPr>
        <w:pStyle w:val="Enfparashead"/>
      </w:pPr>
      <w:bookmarkStart w:id="230" w:name="_ASICRef980"/>
      <w:bookmarkStart w:id="231" w:name="_ASICRef370"/>
      <w:bookmarkStart w:id="232" w:name="_ASICRef643"/>
      <w:r w:rsidRPr="002C6752">
        <w:t xml:space="preserve">Enforceable paragraph: </w:t>
      </w:r>
      <w:r w:rsidR="006711C5">
        <w:fldChar w:fldCharType="begin"/>
      </w:r>
      <w:r w:rsidR="006711C5">
        <w:instrText xml:space="preserve"> REF _ASICRef187 \w \h </w:instrText>
      </w:r>
      <w:r w:rsidR="006711C5">
        <w:fldChar w:fldCharType="separate"/>
      </w:r>
      <w:r w:rsidR="00DE6E77">
        <w:t>RG 271.79</w:t>
      </w:r>
      <w:r w:rsidR="006711C5">
        <w:fldChar w:fldCharType="end"/>
      </w:r>
    </w:p>
    <w:p w14:paraId="538FB363" w14:textId="72846EEA" w:rsidR="008304A0" w:rsidRPr="002C6752" w:rsidRDefault="00C560EC" w:rsidP="009A6619">
      <w:pPr>
        <w:pStyle w:val="Enfparastext"/>
      </w:pPr>
      <w:bookmarkStart w:id="233" w:name="_ASICRef557"/>
      <w:bookmarkStart w:id="234" w:name="_ASICRef187"/>
      <w:r w:rsidRPr="002C6752">
        <w:t>A complainant may lodge a</w:t>
      </w:r>
      <w:r w:rsidR="008304A0" w:rsidRPr="002C6752">
        <w:t xml:space="preserve"> complaint about insurance in superannuation</w:t>
      </w:r>
      <w:r w:rsidRPr="002C6752">
        <w:t xml:space="preserve"> with the insurer or the trustee.</w:t>
      </w:r>
      <w:r w:rsidR="008304A0" w:rsidRPr="002C6752">
        <w:t xml:space="preserve"> </w:t>
      </w:r>
      <w:r w:rsidRPr="002C6752">
        <w:t>T</w:t>
      </w:r>
      <w:r w:rsidR="008304A0" w:rsidRPr="002C6752">
        <w:t>rustees, insurers and administrators must have arrang</w:t>
      </w:r>
      <w:r w:rsidR="008432B5" w:rsidRPr="002C6752">
        <w:t>e</w:t>
      </w:r>
      <w:r w:rsidR="008304A0" w:rsidRPr="002C6752">
        <w:t xml:space="preserve">ments in place to ensure the maximum IDR timeframe is complied with regardless of </w:t>
      </w:r>
      <w:r w:rsidRPr="002C6752">
        <w:t xml:space="preserve">the </w:t>
      </w:r>
      <w:r w:rsidR="00EC574A" w:rsidRPr="002C6752">
        <w:t xml:space="preserve">initial </w:t>
      </w:r>
      <w:r w:rsidRPr="002C6752">
        <w:t>lodgement</w:t>
      </w:r>
      <w:r w:rsidR="00403365" w:rsidRPr="002C6752">
        <w:t xml:space="preserve"> point.</w:t>
      </w:r>
      <w:r w:rsidR="006A3055" w:rsidRPr="002C6752">
        <w:t xml:space="preserve"> </w:t>
      </w:r>
      <w:r w:rsidR="00C41701" w:rsidRPr="002C6752">
        <w:t>Time starts to run from the date the complaint is first lodged with either one of the parties.</w:t>
      </w:r>
      <w:r w:rsidRPr="002C6752">
        <w:t xml:space="preserve"> </w:t>
      </w:r>
      <w:bookmarkEnd w:id="230"/>
      <w:bookmarkEnd w:id="231"/>
      <w:bookmarkEnd w:id="232"/>
      <w:bookmarkEnd w:id="233"/>
      <w:bookmarkEnd w:id="234"/>
    </w:p>
    <w:p w14:paraId="50739342" w14:textId="3A8B5719" w:rsidR="00293E49" w:rsidRPr="00914F38" w:rsidRDefault="00C760E6" w:rsidP="00914F38">
      <w:pPr>
        <w:pStyle w:val="Heading4"/>
      </w:pPr>
      <w:r w:rsidRPr="00914F38">
        <w:t>Objections</w:t>
      </w:r>
      <w:r w:rsidR="00FD04C1" w:rsidRPr="00914F38">
        <w:t xml:space="preserve"> to </w:t>
      </w:r>
      <w:r w:rsidR="001F483B">
        <w:t xml:space="preserve">superannuation </w:t>
      </w:r>
      <w:r w:rsidR="00293E49" w:rsidRPr="00914F38">
        <w:t>death benefit distributions</w:t>
      </w:r>
      <w:r w:rsidRPr="00914F38">
        <w:t xml:space="preserve"> </w:t>
      </w:r>
    </w:p>
    <w:p w14:paraId="26311693" w14:textId="072FAB66" w:rsidR="003F44B0" w:rsidRDefault="002243B4" w:rsidP="00914F38">
      <w:pPr>
        <w:pStyle w:val="BodyText"/>
      </w:pPr>
      <w:bookmarkStart w:id="235" w:name="_Ref45181760"/>
      <w:bookmarkStart w:id="236" w:name="_ASICRef646"/>
      <w:bookmarkStart w:id="237" w:name="_ASICRef996"/>
      <w:bookmarkStart w:id="238" w:name="_ASICRef944"/>
      <w:bookmarkStart w:id="239" w:name="_ASICRef674"/>
      <w:r w:rsidRPr="003F44B0">
        <w:t xml:space="preserve">A </w:t>
      </w:r>
      <w:r w:rsidR="003F44B0">
        <w:t xml:space="preserve">death benefit decision-maker </w:t>
      </w:r>
      <w:r w:rsidR="00C760E6" w:rsidRPr="003F44B0">
        <w:t>may, w</w:t>
      </w:r>
      <w:r w:rsidR="005A33BC" w:rsidRPr="003F44B0">
        <w:t>hen distributing</w:t>
      </w:r>
      <w:r w:rsidR="00FA7B5A" w:rsidRPr="003F44B0">
        <w:t xml:space="preserve"> a</w:t>
      </w:r>
      <w:r w:rsidR="00293E49" w:rsidRPr="003F44B0">
        <w:t xml:space="preserve"> death benefit, </w:t>
      </w:r>
      <w:r w:rsidR="005A33BC" w:rsidRPr="003F44B0">
        <w:t>go through an</w:t>
      </w:r>
      <w:r w:rsidR="00293E49" w:rsidRPr="003F44B0">
        <w:t xml:space="preserve"> initial information</w:t>
      </w:r>
      <w:r w:rsidR="005A33BC" w:rsidRPr="003F44B0">
        <w:t>-</w:t>
      </w:r>
      <w:r w:rsidR="00293E49" w:rsidRPr="003F44B0">
        <w:t>gather</w:t>
      </w:r>
      <w:r w:rsidR="006B04D5" w:rsidRPr="003F44B0">
        <w:t>ing</w:t>
      </w:r>
      <w:r w:rsidR="00293E49" w:rsidRPr="003F44B0">
        <w:t xml:space="preserve"> process</w:t>
      </w:r>
      <w:r w:rsidR="005A33BC" w:rsidRPr="003F44B0">
        <w:t xml:space="preserve"> and then</w:t>
      </w:r>
      <w:r w:rsidR="00293E49" w:rsidRPr="003F44B0">
        <w:t xml:space="preserve"> propose</w:t>
      </w:r>
      <w:r w:rsidR="00FA7B5A" w:rsidRPr="003F44B0">
        <w:t xml:space="preserve"> a</w:t>
      </w:r>
      <w:r w:rsidR="00293E49" w:rsidRPr="003F44B0">
        <w:t xml:space="preserve"> decision </w:t>
      </w:r>
      <w:r w:rsidR="00FA7B5A" w:rsidRPr="003F44B0">
        <w:t>on</w:t>
      </w:r>
      <w:r w:rsidR="00293E49" w:rsidRPr="003F44B0">
        <w:t xml:space="preserve"> how and to whom to pay </w:t>
      </w:r>
      <w:r w:rsidR="005A33BC" w:rsidRPr="003F44B0">
        <w:t>the</w:t>
      </w:r>
      <w:r w:rsidR="00293E49" w:rsidRPr="003F44B0">
        <w:t xml:space="preserve"> benefit</w:t>
      </w:r>
      <w:r w:rsidRPr="003F44B0">
        <w:t>: see s1056 of the Corporations Act</w:t>
      </w:r>
      <w:r w:rsidR="00293E49" w:rsidRPr="003F44B0">
        <w:t>.</w:t>
      </w:r>
      <w:r w:rsidR="004B6BEF" w:rsidRPr="003F44B0">
        <w:t xml:space="preserve"> </w:t>
      </w:r>
      <w:r w:rsidR="003F44B0">
        <w:t>Notice of the</w:t>
      </w:r>
      <w:r w:rsidR="00293E49" w:rsidRPr="003F44B0">
        <w:t xml:space="preserve"> proposal is sent to all potential beneficiaries</w:t>
      </w:r>
      <w:r w:rsidR="005A33BC" w:rsidRPr="003F44B0">
        <w:t>,</w:t>
      </w:r>
      <w:r w:rsidR="00293E49" w:rsidRPr="003F44B0">
        <w:t xml:space="preserve"> explaining that they may object to the proposal within 28 </w:t>
      </w:r>
      <w:r w:rsidR="00B121F9">
        <w:t xml:space="preserve">calendar </w:t>
      </w:r>
      <w:r w:rsidR="00293E49" w:rsidRPr="003F44B0">
        <w:t>days of recei</w:t>
      </w:r>
      <w:r w:rsidR="005A33BC" w:rsidRPr="003F44B0">
        <w:t>ving it</w:t>
      </w:r>
      <w:r w:rsidR="00884AC8">
        <w:t>: see s1056</w:t>
      </w:r>
      <w:r w:rsidR="001F483B">
        <w:t>(2)</w:t>
      </w:r>
      <w:r w:rsidR="00884AC8">
        <w:t>(a)</w:t>
      </w:r>
      <w:r w:rsidR="00293E49" w:rsidRPr="003F44B0">
        <w:t>.</w:t>
      </w:r>
      <w:bookmarkEnd w:id="235"/>
    </w:p>
    <w:p w14:paraId="79E17832" w14:textId="6897D2E1" w:rsidR="000E5B46" w:rsidRPr="0045344C" w:rsidRDefault="000E5B46" w:rsidP="00914F38">
      <w:pPr>
        <w:pStyle w:val="Enfparashead"/>
      </w:pPr>
      <w:r w:rsidRPr="0045344C">
        <w:t>Enforceable paragraphs</w:t>
      </w:r>
      <w:r w:rsidRPr="005A308C">
        <w:t>:</w:t>
      </w:r>
      <w:r w:rsidR="00E12C7C">
        <w:t xml:space="preserve"> </w:t>
      </w:r>
      <w:r>
        <w:fldChar w:fldCharType="begin"/>
      </w:r>
      <w:r w:rsidRPr="00914F38">
        <w:instrText xml:space="preserve"> REF _ASICRef949 \w \h </w:instrText>
      </w:r>
      <w:r>
        <w:fldChar w:fldCharType="separate"/>
      </w:r>
      <w:r w:rsidR="00DE6E77">
        <w:t>RG 271.81</w:t>
      </w:r>
      <w:r>
        <w:fldChar w:fldCharType="end"/>
      </w:r>
      <w:r w:rsidRPr="0045344C">
        <w:t>–</w:t>
      </w:r>
      <w:r>
        <w:fldChar w:fldCharType="begin"/>
      </w:r>
      <w:r w:rsidRPr="00914F38">
        <w:instrText xml:space="preserve"> REF _ASICRef767 \w \h </w:instrText>
      </w:r>
      <w:r>
        <w:fldChar w:fldCharType="separate"/>
      </w:r>
      <w:r w:rsidR="00DE6E77">
        <w:t>RG 271.85</w:t>
      </w:r>
      <w:r>
        <w:fldChar w:fldCharType="end"/>
      </w:r>
      <w:r w:rsidR="009F44AB" w:rsidRPr="0045344C">
        <w:t xml:space="preserve"> (inc</w:t>
      </w:r>
      <w:r w:rsidR="009F44AB" w:rsidRPr="00914F38">
        <w:t>luding</w:t>
      </w:r>
      <w:r w:rsidR="009F44AB">
        <w:t xml:space="preserve"> notes)</w:t>
      </w:r>
    </w:p>
    <w:p w14:paraId="5D671CE9" w14:textId="42AB4B5C" w:rsidR="00293E49" w:rsidRPr="003F44B0" w:rsidRDefault="00293E49" w:rsidP="004911D3">
      <w:pPr>
        <w:pStyle w:val="Enfparastext"/>
      </w:pPr>
      <w:bookmarkStart w:id="240" w:name="_ASICRef949"/>
      <w:r w:rsidRPr="003F44B0">
        <w:t>An</w:t>
      </w:r>
      <w:r w:rsidR="005A33BC" w:rsidRPr="003F44B0">
        <w:t>y</w:t>
      </w:r>
      <w:r w:rsidRPr="003F44B0">
        <w:t xml:space="preserve"> objection to a proposed death benefit distribution</w:t>
      </w:r>
      <w:r w:rsidR="00852DF5" w:rsidRPr="003F44B0">
        <w:t xml:space="preserve"> is a complaint and</w:t>
      </w:r>
      <w:r w:rsidRPr="003F44B0">
        <w:t xml:space="preserve"> will trigger the start of </w:t>
      </w:r>
      <w:r w:rsidR="0077535C">
        <w:t xml:space="preserve">the </w:t>
      </w:r>
      <w:r w:rsidRPr="003F44B0">
        <w:t>IDR process</w:t>
      </w:r>
      <w:r w:rsidR="00FD04C1" w:rsidRPr="003F44B0">
        <w:t>.</w:t>
      </w:r>
      <w:bookmarkEnd w:id="236"/>
      <w:bookmarkEnd w:id="237"/>
      <w:bookmarkEnd w:id="238"/>
      <w:bookmarkEnd w:id="239"/>
      <w:bookmarkEnd w:id="240"/>
    </w:p>
    <w:p w14:paraId="75568124" w14:textId="12A9D6E0" w:rsidR="003F44B0" w:rsidRDefault="003F44B0" w:rsidP="009A6619">
      <w:pPr>
        <w:pStyle w:val="Enfparastext"/>
      </w:pPr>
      <w:bookmarkStart w:id="241" w:name="_ASICRef292"/>
      <w:bookmarkStart w:id="242" w:name="_ASICRef965"/>
      <w:bookmarkStart w:id="243" w:name="_ASICRef849"/>
      <w:r>
        <w:t>Whe</w:t>
      </w:r>
      <w:r w:rsidR="009F44AB">
        <w:t>n a</w:t>
      </w:r>
      <w:r w:rsidR="001F483B">
        <w:t>n objection is made</w:t>
      </w:r>
      <w:r>
        <w:t>, the 90</w:t>
      </w:r>
      <w:r w:rsidR="00853859">
        <w:t xml:space="preserve"> calendar </w:t>
      </w:r>
      <w:r>
        <w:t xml:space="preserve">day maximum IDR timeframe </w:t>
      </w:r>
      <w:r w:rsidR="009F44AB">
        <w:t>begins</w:t>
      </w:r>
      <w:r>
        <w:t xml:space="preserve"> from the </w:t>
      </w:r>
      <w:r w:rsidR="009F44AB">
        <w:t xml:space="preserve">end </w:t>
      </w:r>
      <w:r>
        <w:t>of the 28</w:t>
      </w:r>
      <w:r w:rsidR="00853859">
        <w:t xml:space="preserve"> calendar </w:t>
      </w:r>
      <w:r>
        <w:t>day objection period.</w:t>
      </w:r>
    </w:p>
    <w:p w14:paraId="173BF705" w14:textId="4C953148" w:rsidR="003F44B0" w:rsidRDefault="003F44B0" w:rsidP="009A6619">
      <w:pPr>
        <w:pStyle w:val="Enfparastext"/>
      </w:pPr>
      <w:r>
        <w:t xml:space="preserve">After reviewing </w:t>
      </w:r>
      <w:r w:rsidR="009F44AB">
        <w:t>any</w:t>
      </w:r>
      <w:r>
        <w:t xml:space="preserve"> objections, the death benefit decision-maker may either:</w:t>
      </w:r>
    </w:p>
    <w:p w14:paraId="7F9FFFF1" w14:textId="21A4A1F9" w:rsidR="003F44B0" w:rsidRDefault="003F44B0" w:rsidP="00914F38">
      <w:pPr>
        <w:pStyle w:val="Enfparassubparaa"/>
      </w:pPr>
      <w:bookmarkStart w:id="244" w:name="_ASICRef2"/>
      <w:r>
        <w:t>amend the previous proposed decision and give all potential beneficiaries additional notice that the</w:t>
      </w:r>
      <w:r w:rsidR="009F44AB">
        <w:t xml:space="preserve"> decision-maker</w:t>
      </w:r>
      <w:r>
        <w:t xml:space="preserve"> </w:t>
      </w:r>
      <w:r w:rsidRPr="00EB23B2">
        <w:t>propose</w:t>
      </w:r>
      <w:r w:rsidR="009F44AB" w:rsidRPr="00EB23B2">
        <w:t>s</w:t>
      </w:r>
      <w:r w:rsidRPr="00EB23B2">
        <w:t xml:space="preserve"> to</w:t>
      </w:r>
      <w:r w:rsidR="00EB23B2" w:rsidRPr="00EB23B2">
        <w:t xml:space="preserve"> </w:t>
      </w:r>
      <w:r w:rsidRPr="00EB23B2">
        <w:t>m</w:t>
      </w:r>
      <w:r>
        <w:t>ake a new</w:t>
      </w:r>
      <w:r w:rsidR="009F44AB">
        <w:t xml:space="preserve"> </w:t>
      </w:r>
      <w:r>
        <w:t xml:space="preserve">decision (and further objections must be notified to the </w:t>
      </w:r>
      <w:r w:rsidR="001F483B">
        <w:t>death benefit decision-maker</w:t>
      </w:r>
      <w:r>
        <w:t xml:space="preserve"> within 28 </w:t>
      </w:r>
      <w:r w:rsidR="00B121F9">
        <w:t xml:space="preserve">calendar </w:t>
      </w:r>
      <w:r>
        <w:t>days); or</w:t>
      </w:r>
      <w:bookmarkEnd w:id="244"/>
    </w:p>
    <w:p w14:paraId="4463ECE1" w14:textId="4169CE90" w:rsidR="00E845E8" w:rsidRDefault="003F44B0" w:rsidP="00914F38">
      <w:pPr>
        <w:pStyle w:val="Enfparassubparaa"/>
      </w:pPr>
      <w:r>
        <w:t xml:space="preserve">amend or maintain the previous proposed decision and give all potential beneficiaries notice that they have made the decision (and eligible complainants </w:t>
      </w:r>
      <w:r w:rsidR="00E845E8">
        <w:t xml:space="preserve">can make a complaint to AFCA within 28 </w:t>
      </w:r>
      <w:r w:rsidR="00B121F9">
        <w:t xml:space="preserve">calendar </w:t>
      </w:r>
      <w:r w:rsidR="00E845E8">
        <w:t>days).</w:t>
      </w:r>
    </w:p>
    <w:p w14:paraId="34C626B2" w14:textId="4B5B05B3" w:rsidR="00E845E8" w:rsidRDefault="00E845E8" w:rsidP="00914F38">
      <w:pPr>
        <w:pStyle w:val="Enfparastext"/>
      </w:pPr>
      <w:r>
        <w:t>When the death benefit decision-maker gives notice of a</w:t>
      </w:r>
      <w:r w:rsidR="00EB5790">
        <w:t xml:space="preserve"> new</w:t>
      </w:r>
      <w:r>
        <w:t xml:space="preserve"> proposed decision in response to an objection</w:t>
      </w:r>
      <w:r w:rsidR="006711C5">
        <w:t xml:space="preserve"> (as set out in </w:t>
      </w:r>
      <w:r w:rsidR="006711C5">
        <w:fldChar w:fldCharType="begin"/>
      </w:r>
      <w:r w:rsidR="006711C5">
        <w:instrText xml:space="preserve"> REF _ASICRef2 \w \h </w:instrText>
      </w:r>
      <w:r w:rsidR="006711C5">
        <w:fldChar w:fldCharType="separate"/>
      </w:r>
      <w:r w:rsidR="00DE6E77">
        <w:t>RG 271.83(a)</w:t>
      </w:r>
      <w:r w:rsidR="006711C5">
        <w:fldChar w:fldCharType="end"/>
      </w:r>
      <w:r>
        <w:t>, they must:</w:t>
      </w:r>
    </w:p>
    <w:p w14:paraId="585330F8" w14:textId="435D8474" w:rsidR="00E845E8" w:rsidRDefault="00E845E8" w:rsidP="00914F38">
      <w:pPr>
        <w:pStyle w:val="Enfparassubparaa"/>
      </w:pPr>
      <w:bookmarkStart w:id="245" w:name="_ASICRef790"/>
      <w:bookmarkStart w:id="246" w:name="_ASICRef961"/>
      <w:bookmarkStart w:id="247" w:name="_ASICRef300"/>
      <w:bookmarkStart w:id="248" w:name="_ASICRef540"/>
      <w:bookmarkStart w:id="249" w:name="_ASICRef302"/>
      <w:r>
        <w:t xml:space="preserve">provide each complainant with a response that meets the minimum IDR response requirements set out in </w:t>
      </w:r>
      <w:r w:rsidR="00EB5790">
        <w:fldChar w:fldCharType="begin"/>
      </w:r>
      <w:r w:rsidR="00EB5790">
        <w:instrText xml:space="preserve"> REF _ASICRef824 \w \h </w:instrText>
      </w:r>
      <w:r w:rsidR="00EB5790">
        <w:fldChar w:fldCharType="separate"/>
      </w:r>
      <w:r w:rsidR="00DE6E77">
        <w:t>RG 271.53</w:t>
      </w:r>
      <w:r w:rsidR="00EB5790">
        <w:fldChar w:fldCharType="end"/>
      </w:r>
      <w:r w:rsidR="00EB5790">
        <w:t>–</w:t>
      </w:r>
      <w:r w:rsidR="00EB5790">
        <w:fldChar w:fldCharType="begin"/>
      </w:r>
      <w:r w:rsidR="00EB5790">
        <w:instrText xml:space="preserve"> REF _ASICRef243 \w \h </w:instrText>
      </w:r>
      <w:r w:rsidR="00EB5790">
        <w:fldChar w:fldCharType="separate"/>
      </w:r>
      <w:r w:rsidR="00DE6E77">
        <w:t>RG 271.54</w:t>
      </w:r>
      <w:r w:rsidR="00EB5790">
        <w:fldChar w:fldCharType="end"/>
      </w:r>
      <w:r w:rsidR="00EB5790">
        <w:t>,</w:t>
      </w:r>
      <w:r>
        <w:t xml:space="preserve"> except for the AFCA</w:t>
      </w:r>
      <w:r w:rsidR="0080168C">
        <w:t>-</w:t>
      </w:r>
      <w:r>
        <w:t xml:space="preserve">related requirements at </w:t>
      </w:r>
      <w:r w:rsidR="00EB5790">
        <w:fldChar w:fldCharType="begin"/>
      </w:r>
      <w:r w:rsidR="00EB5790">
        <w:instrText xml:space="preserve"> REF _ASICRef295 \w \h </w:instrText>
      </w:r>
      <w:r w:rsidR="00EB5790">
        <w:fldChar w:fldCharType="separate"/>
      </w:r>
      <w:r w:rsidR="00DE6E77">
        <w:t>RG 271.53(b)</w:t>
      </w:r>
      <w:r w:rsidR="00EB5790">
        <w:fldChar w:fldCharType="end"/>
      </w:r>
      <w:r w:rsidR="00EB5790">
        <w:t>–</w:t>
      </w:r>
      <w:r w:rsidR="00EB5790">
        <w:fldChar w:fldCharType="begin"/>
      </w:r>
      <w:r w:rsidR="00EB5790">
        <w:instrText xml:space="preserve"> REF _ASICRef382 \w \h </w:instrText>
      </w:r>
      <w:r w:rsidR="00EB5790">
        <w:fldChar w:fldCharType="separate"/>
      </w:r>
      <w:r w:rsidR="00DE6E77">
        <w:t>RG 271.53(c)</w:t>
      </w:r>
      <w:r w:rsidR="00EB5790">
        <w:fldChar w:fldCharType="end"/>
      </w:r>
      <w:r>
        <w:t xml:space="preserve">. This is because any objection must be made to the </w:t>
      </w:r>
      <w:r w:rsidR="00D10BCF">
        <w:t>death benefit decision-maker</w:t>
      </w:r>
      <w:r>
        <w:t>, rather than to AFCA; and</w:t>
      </w:r>
      <w:bookmarkEnd w:id="245"/>
      <w:bookmarkEnd w:id="246"/>
      <w:bookmarkEnd w:id="247"/>
      <w:bookmarkEnd w:id="248"/>
      <w:bookmarkEnd w:id="249"/>
    </w:p>
    <w:p w14:paraId="2F0E697E" w14:textId="35E11281" w:rsidR="00E845E8" w:rsidRDefault="00E845E8" w:rsidP="00914F38">
      <w:pPr>
        <w:pStyle w:val="Enfparassubparaa"/>
      </w:pPr>
      <w:r>
        <w:lastRenderedPageBreak/>
        <w:t xml:space="preserve">provide </w:t>
      </w:r>
      <w:r w:rsidRPr="00D10942">
        <w:t>any non-complaining</w:t>
      </w:r>
      <w:r w:rsidR="006711C5" w:rsidRPr="006711C5">
        <w:t xml:space="preserve"> </w:t>
      </w:r>
      <w:r w:rsidRPr="006711C5">
        <w:t>be</w:t>
      </w:r>
      <w:r>
        <w:t>neficiaries with the same information as the complainant</w:t>
      </w:r>
      <w:r w:rsidR="00CC0E40">
        <w:t>,</w:t>
      </w:r>
      <w:r>
        <w:t xml:space="preserve"> whil</w:t>
      </w:r>
      <w:r w:rsidR="00CC0E40">
        <w:t>e</w:t>
      </w:r>
      <w:r>
        <w:t xml:space="preserve"> complying with any obligations under privacy laws;</w:t>
      </w:r>
    </w:p>
    <w:p w14:paraId="7DD4C43E" w14:textId="04E93D3D" w:rsidR="00E845E8" w:rsidRDefault="00E845E8" w:rsidP="00914F38">
      <w:pPr>
        <w:pStyle w:val="Enfparasnote"/>
      </w:pPr>
      <w:r>
        <w:t xml:space="preserve">Note: </w:t>
      </w:r>
      <w:r w:rsidR="00CC0E40">
        <w:t>When the death benefit decision-maker provides further proposed decisions, t</w:t>
      </w:r>
      <w:r>
        <w:t>he maximum 90</w:t>
      </w:r>
      <w:r w:rsidR="00853859">
        <w:t xml:space="preserve"> calendar </w:t>
      </w:r>
      <w:r>
        <w:t xml:space="preserve">day timeframe will apply from the </w:t>
      </w:r>
      <w:r w:rsidR="00CC0E40">
        <w:t xml:space="preserve">end </w:t>
      </w:r>
      <w:r>
        <w:t>of each 28</w:t>
      </w:r>
      <w:r w:rsidR="00853859">
        <w:t xml:space="preserve"> calendar </w:t>
      </w:r>
      <w:r>
        <w:t>day objection period</w:t>
      </w:r>
      <w:r w:rsidR="00CC0E40">
        <w:t>.</w:t>
      </w:r>
      <w:r>
        <w:t xml:space="preserve"> </w:t>
      </w:r>
      <w:r w:rsidR="00CC0E40">
        <w:t xml:space="preserve">This will continue with each new proposed decision </w:t>
      </w:r>
      <w:r>
        <w:t>until the death benefit decision-maker ma</w:t>
      </w:r>
      <w:r w:rsidR="00CC0E40">
        <w:t>k</w:t>
      </w:r>
      <w:r>
        <w:t>e</w:t>
      </w:r>
      <w:r w:rsidR="00CC0E40">
        <w:t>s</w:t>
      </w:r>
      <w:r>
        <w:t xml:space="preserve"> the decision.</w:t>
      </w:r>
    </w:p>
    <w:p w14:paraId="37735B04" w14:textId="733047E9" w:rsidR="00E845E8" w:rsidRDefault="00E845E8" w:rsidP="00914F38">
      <w:pPr>
        <w:pStyle w:val="Enfparastext"/>
      </w:pPr>
      <w:bookmarkStart w:id="250" w:name="_Ref45181764"/>
      <w:bookmarkStart w:id="251" w:name="_ASICRef767"/>
      <w:r>
        <w:t>When the death benefit decision-maker gives notice that they have made the decision, they must:</w:t>
      </w:r>
      <w:bookmarkEnd w:id="250"/>
      <w:bookmarkEnd w:id="251"/>
    </w:p>
    <w:p w14:paraId="7FA914E6" w14:textId="02442080" w:rsidR="00E845E8" w:rsidRDefault="00E845E8" w:rsidP="00914F38">
      <w:pPr>
        <w:pStyle w:val="Enfparassubparaa"/>
      </w:pPr>
      <w:bookmarkStart w:id="252" w:name="_Ref45201082"/>
      <w:r>
        <w:t xml:space="preserve">provide each complainant with a response that meets the minimum IDR response requirements set out in </w:t>
      </w:r>
      <w:r w:rsidR="00CC0E40">
        <w:fldChar w:fldCharType="begin"/>
      </w:r>
      <w:r w:rsidR="00CC0E40">
        <w:instrText xml:space="preserve"> REF _ASICRef824 \w \h </w:instrText>
      </w:r>
      <w:r w:rsidR="00CC0E40">
        <w:fldChar w:fldCharType="separate"/>
      </w:r>
      <w:r w:rsidR="00DE6E77">
        <w:t>RG 271.53</w:t>
      </w:r>
      <w:r w:rsidR="00CC0E40">
        <w:fldChar w:fldCharType="end"/>
      </w:r>
      <w:r w:rsidR="00CC0E40">
        <w:t>–</w:t>
      </w:r>
      <w:r w:rsidR="00CC0E40">
        <w:fldChar w:fldCharType="begin"/>
      </w:r>
      <w:r w:rsidR="00CC0E40">
        <w:instrText xml:space="preserve"> REF _ASICRef243 \w \h </w:instrText>
      </w:r>
      <w:r w:rsidR="00CC0E40">
        <w:fldChar w:fldCharType="separate"/>
      </w:r>
      <w:r w:rsidR="00DE6E77">
        <w:t>RG 271.54</w:t>
      </w:r>
      <w:r w:rsidR="00CC0E40">
        <w:fldChar w:fldCharType="end"/>
      </w:r>
      <w:r w:rsidR="00CC0E40">
        <w:t>,</w:t>
      </w:r>
      <w:r>
        <w:t xml:space="preserve"> </w:t>
      </w:r>
      <w:r w:rsidR="00CC0E40">
        <w:t>including</w:t>
      </w:r>
      <w:r>
        <w:t xml:space="preserve"> information about the complainant</w:t>
      </w:r>
      <w:r w:rsidR="00E12C7C">
        <w:t>’</w:t>
      </w:r>
      <w:r>
        <w:t xml:space="preserve">s right to refer the matter to AFCA </w:t>
      </w:r>
      <w:r w:rsidRPr="00DE6E77">
        <w:rPr>
          <w:spacing w:val="-2"/>
        </w:rPr>
        <w:t xml:space="preserve">within 28 </w:t>
      </w:r>
      <w:r w:rsidR="00B121F9" w:rsidRPr="00DE6E77">
        <w:rPr>
          <w:spacing w:val="-2"/>
        </w:rPr>
        <w:t xml:space="preserve">calendar </w:t>
      </w:r>
      <w:r w:rsidRPr="00DE6E77">
        <w:rPr>
          <w:spacing w:val="-2"/>
        </w:rPr>
        <w:t>days of being given notice if they are not satisfied; and</w:t>
      </w:r>
      <w:bookmarkEnd w:id="252"/>
    </w:p>
    <w:p w14:paraId="095681C8" w14:textId="2CE0BC37" w:rsidR="00837598" w:rsidRDefault="00E845E8" w:rsidP="00914F38">
      <w:pPr>
        <w:pStyle w:val="Enfparassubparaa"/>
      </w:pPr>
      <w:r>
        <w:t xml:space="preserve">provide </w:t>
      </w:r>
      <w:r w:rsidRPr="00D10942">
        <w:t>any non-complaining</w:t>
      </w:r>
      <w:r w:rsidRPr="006711C5">
        <w:t xml:space="preserve"> b</w:t>
      </w:r>
      <w:r>
        <w:t>eneficiaries with the same information as the complainant, whil</w:t>
      </w:r>
      <w:r w:rsidR="00CC0E40">
        <w:t>e</w:t>
      </w:r>
      <w:r>
        <w:t xml:space="preserve"> complying with </w:t>
      </w:r>
      <w:r w:rsidR="00837598">
        <w:t>any obligations under privacy laws.</w:t>
      </w:r>
    </w:p>
    <w:p w14:paraId="3C0CF71C" w14:textId="23303C4C" w:rsidR="00837598" w:rsidRDefault="00837598" w:rsidP="00914F38">
      <w:pPr>
        <w:pStyle w:val="Enfparasnote"/>
      </w:pPr>
      <w:r>
        <w:t xml:space="preserve">Note 1: Notice under </w:t>
      </w:r>
      <w:r w:rsidR="00000336">
        <w:fldChar w:fldCharType="begin"/>
      </w:r>
      <w:r w:rsidR="00000336">
        <w:instrText xml:space="preserve"> REF _Ref45181764 \r \h </w:instrText>
      </w:r>
      <w:r w:rsidR="00000336">
        <w:fldChar w:fldCharType="separate"/>
      </w:r>
      <w:r w:rsidR="00DE6E77">
        <w:t>RG 271.85</w:t>
      </w:r>
      <w:r w:rsidR="00000336">
        <w:fldChar w:fldCharType="end"/>
      </w:r>
      <w:r w:rsidR="00000336">
        <w:fldChar w:fldCharType="begin"/>
      </w:r>
      <w:r w:rsidR="00000336">
        <w:instrText xml:space="preserve"> REF _Ref45201082 \r \h </w:instrText>
      </w:r>
      <w:r w:rsidR="00000336">
        <w:fldChar w:fldCharType="separate"/>
      </w:r>
      <w:r w:rsidR="00DE6E77">
        <w:t>(a)</w:t>
      </w:r>
      <w:r w:rsidR="00000336">
        <w:fldChar w:fldCharType="end"/>
      </w:r>
      <w:r>
        <w:t xml:space="preserve"> is </w:t>
      </w:r>
      <w:r w:rsidR="00E12C7C">
        <w:t>‘</w:t>
      </w:r>
      <w:r>
        <w:t>given</w:t>
      </w:r>
      <w:r w:rsidR="00E12C7C">
        <w:t>’</w:t>
      </w:r>
      <w:r>
        <w:t xml:space="preserve"> when it is received by the intended recipient. The 28</w:t>
      </w:r>
      <w:r w:rsidR="00853859">
        <w:t xml:space="preserve"> calendar </w:t>
      </w:r>
      <w:r>
        <w:t>day period will</w:t>
      </w:r>
      <w:r w:rsidR="00A92CAD">
        <w:t xml:space="preserve"> begin</w:t>
      </w:r>
      <w:r>
        <w:t xml:space="preserve"> from that date. The day a notice is </w:t>
      </w:r>
      <w:r w:rsidR="00E12C7C">
        <w:t>‘</w:t>
      </w:r>
      <w:r>
        <w:t>given</w:t>
      </w:r>
      <w:r w:rsidR="00E12C7C">
        <w:t>’</w:t>
      </w:r>
      <w:r>
        <w:t xml:space="preserve"> may, therefore</w:t>
      </w:r>
      <w:r w:rsidR="00A92CAD">
        <w:t>,</w:t>
      </w:r>
      <w:r>
        <w:t xml:space="preserve"> be later than the actual date of the notice.</w:t>
      </w:r>
    </w:p>
    <w:p w14:paraId="27F60139" w14:textId="0051E970" w:rsidR="00293E49" w:rsidRPr="003F44B0" w:rsidRDefault="00837598" w:rsidP="00914F38">
      <w:pPr>
        <w:pStyle w:val="Enfparasnote"/>
      </w:pPr>
      <w:r>
        <w:t xml:space="preserve">Note 2: Generally, AFCA cannot consider a complaint about a death benefit distribution </w:t>
      </w:r>
      <w:r w:rsidRPr="00E36819">
        <w:t>unless</w:t>
      </w:r>
      <w:r>
        <w:t xml:space="preserve"> the complainant has lodged an objection with the death benefit decision-maker and received a response to the complaint.</w:t>
      </w:r>
      <w:r w:rsidR="00E845E8">
        <w:t xml:space="preserve"> </w:t>
      </w:r>
      <w:r w:rsidR="00A92CAD">
        <w:t xml:space="preserve">The complainant must lodge their objection within 28 </w:t>
      </w:r>
      <w:r w:rsidR="00B121F9">
        <w:t xml:space="preserve">calendar </w:t>
      </w:r>
      <w:r w:rsidR="00A92CAD">
        <w:t>days of being given notice of the proposed decision.</w:t>
      </w:r>
      <w:r w:rsidR="00E845E8">
        <w:t xml:space="preserve"> </w:t>
      </w:r>
      <w:bookmarkEnd w:id="241"/>
      <w:bookmarkEnd w:id="242"/>
      <w:bookmarkEnd w:id="243"/>
    </w:p>
    <w:bookmarkEnd w:id="111"/>
    <w:p w14:paraId="35CD1332" w14:textId="25B25495" w:rsidR="00853237" w:rsidRPr="002C6752" w:rsidRDefault="00293E49" w:rsidP="009A6619">
      <w:pPr>
        <w:pStyle w:val="Heading3"/>
      </w:pPr>
      <w:r w:rsidRPr="002C6752">
        <w:t>More information</w:t>
      </w:r>
      <w:r w:rsidR="0002560B" w:rsidRPr="002C6752">
        <w:t xml:space="preserve"> on maximum timeframes for c</w:t>
      </w:r>
      <w:r w:rsidR="00853237" w:rsidRPr="002C6752">
        <w:t>ertain credit complaints</w:t>
      </w:r>
    </w:p>
    <w:p w14:paraId="35128C48" w14:textId="1E99F647" w:rsidR="00B857E3" w:rsidRPr="002C6752" w:rsidRDefault="00B857E3" w:rsidP="009A6619">
      <w:pPr>
        <w:pStyle w:val="Heading4"/>
      </w:pPr>
      <w:r w:rsidRPr="002C6752">
        <w:t>Complaints involving default notices</w:t>
      </w:r>
    </w:p>
    <w:p w14:paraId="442D9B9C" w14:textId="453794FA" w:rsidR="00A10671" w:rsidRPr="002C6752" w:rsidRDefault="00A10671" w:rsidP="009A6619">
      <w:pPr>
        <w:pStyle w:val="Enfparashead"/>
      </w:pPr>
      <w:bookmarkStart w:id="253" w:name="_ASICRef479"/>
      <w:bookmarkStart w:id="254" w:name="_ASICRef627"/>
      <w:bookmarkStart w:id="255" w:name="_ASICRef364"/>
      <w:r w:rsidRPr="002C6752">
        <w:t xml:space="preserve">Enforceable paragraphs: </w:t>
      </w:r>
      <w:r w:rsidRPr="002C6752">
        <w:fldChar w:fldCharType="begin"/>
      </w:r>
      <w:r w:rsidRPr="002C6752">
        <w:instrText xml:space="preserve"> REF _ASICRef875 \w \h  \* MERGEFORMAT </w:instrText>
      </w:r>
      <w:r w:rsidRPr="002C6752">
        <w:fldChar w:fldCharType="separate"/>
      </w:r>
      <w:r w:rsidR="00DE6E77">
        <w:t>RG 271.86</w:t>
      </w:r>
      <w:r w:rsidRPr="002C6752">
        <w:fldChar w:fldCharType="end"/>
      </w:r>
      <w:r w:rsidRPr="002C6752">
        <w:t>–</w:t>
      </w:r>
      <w:r w:rsidRPr="002C6752">
        <w:fldChar w:fldCharType="begin"/>
      </w:r>
      <w:r w:rsidRPr="002C6752">
        <w:instrText xml:space="preserve"> REF _ASICRef478 \w \h  \* MERGEFORMAT </w:instrText>
      </w:r>
      <w:r w:rsidRPr="002C6752">
        <w:fldChar w:fldCharType="separate"/>
      </w:r>
      <w:r w:rsidR="00DE6E77">
        <w:t>RG 271.87</w:t>
      </w:r>
      <w:r w:rsidRPr="002C6752">
        <w:fldChar w:fldCharType="end"/>
      </w:r>
      <w:r w:rsidR="00C307FA" w:rsidRPr="002C6752">
        <w:t xml:space="preserve"> (in</w:t>
      </w:r>
      <w:r w:rsidR="00C307FA" w:rsidRPr="0010362C">
        <w:t>cluding</w:t>
      </w:r>
      <w:r w:rsidR="00C307FA" w:rsidRPr="002C6752">
        <w:t xml:space="preserve"> note</w:t>
      </w:r>
      <w:r w:rsidR="00F10F71">
        <w:t>s</w:t>
      </w:r>
      <w:r w:rsidR="00C307FA" w:rsidRPr="002C6752">
        <w:t>)</w:t>
      </w:r>
    </w:p>
    <w:p w14:paraId="25646895" w14:textId="348EFA8F" w:rsidR="00C7612F" w:rsidRPr="002C6752" w:rsidRDefault="00C7612F" w:rsidP="009A6619">
      <w:pPr>
        <w:pStyle w:val="Enfparastext"/>
      </w:pPr>
      <w:bookmarkStart w:id="256" w:name="_ASICRef875"/>
      <w:bookmarkStart w:id="257" w:name="_ASICRef700"/>
      <w:bookmarkStart w:id="258" w:name="_ASICRef896"/>
      <w:r w:rsidRPr="002C6752">
        <w:t>If a complaint involves a default notice, the credit provider or lessor must provide an IDR response to the complainant within</w:t>
      </w:r>
      <w:r w:rsidR="00C600F4" w:rsidRPr="002C6752">
        <w:t xml:space="preserve"> </w:t>
      </w:r>
      <w:r w:rsidRPr="002C6752">
        <w:t xml:space="preserve">21 </w:t>
      </w:r>
      <w:r w:rsidR="00B121F9">
        <w:t xml:space="preserve">calendar </w:t>
      </w:r>
      <w:r w:rsidRPr="002C6752">
        <w:t xml:space="preserve">days. </w:t>
      </w:r>
      <w:bookmarkEnd w:id="253"/>
      <w:bookmarkEnd w:id="254"/>
      <w:bookmarkEnd w:id="256"/>
      <w:bookmarkEnd w:id="257"/>
      <w:bookmarkEnd w:id="258"/>
    </w:p>
    <w:p w14:paraId="5ACA93D7" w14:textId="3ADD6699" w:rsidR="00C7612F" w:rsidRPr="002C6752" w:rsidRDefault="00C7612F" w:rsidP="009A6619">
      <w:pPr>
        <w:pStyle w:val="Enfparasnote"/>
      </w:pPr>
      <w:r w:rsidRPr="002C6752">
        <w:t xml:space="preserve">Note: </w:t>
      </w:r>
      <w:r w:rsidR="00164224" w:rsidRPr="002C6752">
        <w:t>A</w:t>
      </w:r>
      <w:r w:rsidRPr="002C6752">
        <w:t xml:space="preserve">n exemption applies for complaints about hardship notices or requests to postpone enforcement proceedings that the complainant has previously sought and the provider or lessor has rejected or not considered. Given the urgency of these cases, the complainant may take their complaint directly to AFCA once the timeframes in the National Credit Code have passed—for more information, see </w:t>
      </w:r>
      <w:r w:rsidR="00E91759" w:rsidRPr="002C6752">
        <w:fldChar w:fldCharType="begin"/>
      </w:r>
      <w:r w:rsidR="00E91759" w:rsidRPr="002C6752">
        <w:instrText xml:space="preserve"> REF _ASICRef323 \w \h </w:instrText>
      </w:r>
      <w:r w:rsidR="00E91759" w:rsidRPr="002C6752">
        <w:fldChar w:fldCharType="separate"/>
      </w:r>
      <w:r w:rsidR="00DE6E77">
        <w:t>RG 271.92</w:t>
      </w:r>
      <w:r w:rsidR="00E91759" w:rsidRPr="002C6752">
        <w:fldChar w:fldCharType="end"/>
      </w:r>
      <w:r w:rsidR="008F4FBF" w:rsidRPr="002C6752">
        <w:t>–</w:t>
      </w:r>
      <w:r w:rsidR="008F4FBF" w:rsidRPr="002C6752">
        <w:fldChar w:fldCharType="begin"/>
      </w:r>
      <w:r w:rsidR="008F4FBF" w:rsidRPr="002C6752">
        <w:instrText xml:space="preserve"> REF _ASICRef518 \w \h </w:instrText>
      </w:r>
      <w:r w:rsidR="008F4FBF" w:rsidRPr="002C6752">
        <w:fldChar w:fldCharType="separate"/>
      </w:r>
      <w:r w:rsidR="00DE6E77">
        <w:t>RG 271.101</w:t>
      </w:r>
      <w:r w:rsidR="008F4FBF" w:rsidRPr="002C6752">
        <w:fldChar w:fldCharType="end"/>
      </w:r>
      <w:r w:rsidRPr="002C6752">
        <w:t>.</w:t>
      </w:r>
    </w:p>
    <w:p w14:paraId="11EC370D" w14:textId="1478A275" w:rsidR="007B49C7" w:rsidRPr="002C6752" w:rsidRDefault="007B49C7" w:rsidP="009A6619">
      <w:pPr>
        <w:pStyle w:val="Enfparastext"/>
      </w:pPr>
      <w:bookmarkStart w:id="259" w:name="_ASICRef478"/>
      <w:r w:rsidRPr="002C6752">
        <w:t>A</w:t>
      </w:r>
      <w:r w:rsidR="00853237" w:rsidRPr="002C6752">
        <w:t xml:space="preserve"> credit provider or lessor must give a borrower a </w:t>
      </w:r>
      <w:r w:rsidR="00E12C7C">
        <w:t>‘</w:t>
      </w:r>
      <w:r w:rsidR="00853237" w:rsidRPr="002C6752">
        <w:t>default notice</w:t>
      </w:r>
      <w:r w:rsidR="00E12C7C">
        <w:t>’</w:t>
      </w:r>
      <w:r w:rsidR="00853237" w:rsidRPr="002C6752">
        <w:t xml:space="preserve"> before commencing enforcement proceedings to recover money</w:t>
      </w:r>
      <w:r w:rsidRPr="002C6752">
        <w:t>,</w:t>
      </w:r>
      <w:r w:rsidR="00853237" w:rsidRPr="002C6752">
        <w:t xml:space="preserve"> take possession of </w:t>
      </w:r>
      <w:r w:rsidRPr="002C6752">
        <w:t xml:space="preserve">property </w:t>
      </w:r>
      <w:r w:rsidR="00853237" w:rsidRPr="002C6752">
        <w:t>or sell property</w:t>
      </w:r>
      <w:r w:rsidRPr="002C6752">
        <w:t>: see s88 of the National Credit Code</w:t>
      </w:r>
      <w:r w:rsidR="00853237" w:rsidRPr="002C6752">
        <w:t>.</w:t>
      </w:r>
      <w:r w:rsidR="003229E3" w:rsidRPr="002C6752">
        <w:t xml:space="preserve"> </w:t>
      </w:r>
      <w:r w:rsidR="00853237" w:rsidRPr="002C6752">
        <w:t>The default notice must</w:t>
      </w:r>
      <w:r w:rsidRPr="002C6752">
        <w:t>:</w:t>
      </w:r>
      <w:r w:rsidR="00853237" w:rsidRPr="002C6752">
        <w:t xml:space="preserve"> </w:t>
      </w:r>
      <w:bookmarkEnd w:id="259"/>
    </w:p>
    <w:p w14:paraId="657E0618" w14:textId="33933D6F" w:rsidR="007B49C7" w:rsidRPr="002C6752" w:rsidRDefault="00853237" w:rsidP="009A6619">
      <w:pPr>
        <w:pStyle w:val="Enfparassubparaa"/>
      </w:pPr>
      <w:r w:rsidRPr="002C6752">
        <w:t>inform the borrower or less</w:t>
      </w:r>
      <w:r w:rsidR="007B49C7" w:rsidRPr="002C6752">
        <w:t>ee</w:t>
      </w:r>
      <w:r w:rsidRPr="002C6752">
        <w:t xml:space="preserve"> that they must remedy the default within 30 </w:t>
      </w:r>
      <w:r w:rsidR="00B121F9">
        <w:t xml:space="preserve">calendar </w:t>
      </w:r>
      <w:r w:rsidRPr="002C6752">
        <w:t>days</w:t>
      </w:r>
      <w:r w:rsidR="007B49C7" w:rsidRPr="002C6752">
        <w:t>;</w:t>
      </w:r>
      <w:r w:rsidRPr="002C6752">
        <w:t xml:space="preserve"> and </w:t>
      </w:r>
    </w:p>
    <w:p w14:paraId="17663B42" w14:textId="38490CD4" w:rsidR="00853237" w:rsidRPr="002C6752" w:rsidRDefault="00853237" w:rsidP="009A6619">
      <w:pPr>
        <w:pStyle w:val="Enfparassubparaa"/>
      </w:pPr>
      <w:r w:rsidRPr="002C6752">
        <w:lastRenderedPageBreak/>
        <w:t>substantially meet the pro forma notice requirements in Form 12A and Form 18A of the National Credit Regulations.</w:t>
      </w:r>
      <w:bookmarkEnd w:id="255"/>
    </w:p>
    <w:p w14:paraId="1173B4E6" w14:textId="6EE39AFA" w:rsidR="000A31D1" w:rsidRPr="002C6752" w:rsidRDefault="000A31D1" w:rsidP="009A6619">
      <w:pPr>
        <w:pStyle w:val="Enfparasnote"/>
      </w:pPr>
      <w:r w:rsidRPr="002C6752">
        <w:t>Note: See s208</w:t>
      </w:r>
      <w:r w:rsidR="007B49C7" w:rsidRPr="002C6752">
        <w:t xml:space="preserve"> of</w:t>
      </w:r>
      <w:r w:rsidRPr="002C6752">
        <w:t xml:space="preserve"> National Credit Code </w:t>
      </w:r>
      <w:r w:rsidR="007B49C7" w:rsidRPr="002C6752">
        <w:t xml:space="preserve">and </w:t>
      </w:r>
      <w:r w:rsidRPr="002C6752">
        <w:t>reg</w:t>
      </w:r>
      <w:r w:rsidR="007B49C7" w:rsidRPr="002C6752">
        <w:t xml:space="preserve">s </w:t>
      </w:r>
      <w:r w:rsidRPr="002C6752">
        <w:t>6, 86, 105K and Form</w:t>
      </w:r>
      <w:r w:rsidR="007B49C7" w:rsidRPr="002C6752">
        <w:t>s</w:t>
      </w:r>
      <w:r w:rsidRPr="002C6752">
        <w:t xml:space="preserve"> 12, 12A and 18A </w:t>
      </w:r>
      <w:r w:rsidR="007B49C7" w:rsidRPr="002C6752">
        <w:t xml:space="preserve">of the </w:t>
      </w:r>
      <w:r w:rsidRPr="002C6752">
        <w:t xml:space="preserve">National Credit Regulations, as amended by the National Consumer Credit Protection Amendment Regulation 2013 </w:t>
      </w:r>
      <w:r w:rsidR="00E116F2" w:rsidRPr="002C6752">
        <w:t>(</w:t>
      </w:r>
      <w:r w:rsidRPr="002C6752">
        <w:t>No</w:t>
      </w:r>
      <w:r w:rsidR="00E116F2" w:rsidRPr="002C6752">
        <w:t>.</w:t>
      </w:r>
      <w:r w:rsidRPr="002C6752">
        <w:t xml:space="preserve"> 1</w:t>
      </w:r>
      <w:r w:rsidR="00E116F2" w:rsidRPr="002C6752">
        <w:t>)</w:t>
      </w:r>
      <w:r w:rsidRPr="002C6752">
        <w:t>.</w:t>
      </w:r>
    </w:p>
    <w:p w14:paraId="47FC2180" w14:textId="39EE93C2" w:rsidR="00853237" w:rsidRPr="002C6752" w:rsidRDefault="00853237" w:rsidP="00853237">
      <w:pPr>
        <w:pStyle w:val="BodyText"/>
      </w:pPr>
      <w:r w:rsidRPr="002C6752">
        <w:t xml:space="preserve">A complaint may involve a default notice </w:t>
      </w:r>
      <w:r w:rsidR="007B49C7" w:rsidRPr="002C6752">
        <w:t>if</w:t>
      </w:r>
      <w:r w:rsidRPr="002C6752">
        <w:t>, for example</w:t>
      </w:r>
      <w:r w:rsidR="007B49C7" w:rsidRPr="002C6752">
        <w:t>, the complainant</w:t>
      </w:r>
      <w:r w:rsidRPr="002C6752">
        <w:t>:</w:t>
      </w:r>
    </w:p>
    <w:p w14:paraId="2E9E1321" w14:textId="7DC6E102" w:rsidR="00853237" w:rsidRPr="002C6752" w:rsidRDefault="00853237" w:rsidP="00853237">
      <w:pPr>
        <w:pStyle w:val="subparaa"/>
      </w:pPr>
      <w:r w:rsidRPr="002C6752">
        <w:t>alleg</w:t>
      </w:r>
      <w:r w:rsidR="007B49C7" w:rsidRPr="002C6752">
        <w:t>es</w:t>
      </w:r>
      <w:r w:rsidRPr="002C6752">
        <w:t xml:space="preserve"> that the default notice was not served;</w:t>
      </w:r>
    </w:p>
    <w:p w14:paraId="0150947C" w14:textId="51B30CA0" w:rsidR="00853237" w:rsidRPr="002C6752" w:rsidRDefault="00853237" w:rsidP="00853237">
      <w:pPr>
        <w:pStyle w:val="subparaa"/>
      </w:pPr>
      <w:r w:rsidRPr="002C6752">
        <w:t>disputes the amount specified in the default notice or whether the default notice was rectified; or</w:t>
      </w:r>
    </w:p>
    <w:p w14:paraId="0B5D1511" w14:textId="08390899" w:rsidR="00853237" w:rsidRPr="002C6752" w:rsidRDefault="007B49C7" w:rsidP="00853237">
      <w:pPr>
        <w:pStyle w:val="subparaa"/>
      </w:pPr>
      <w:r w:rsidRPr="002C6752">
        <w:t>has</w:t>
      </w:r>
      <w:r w:rsidR="00853237" w:rsidRPr="002C6752">
        <w:t xml:space="preserve"> a dispute about the lender</w:t>
      </w:r>
      <w:r w:rsidR="00E12C7C">
        <w:t>’</w:t>
      </w:r>
      <w:r w:rsidR="00853237" w:rsidRPr="002C6752">
        <w:t>s communications leading up to the issue of the default notice.</w:t>
      </w:r>
    </w:p>
    <w:p w14:paraId="6EB143EA" w14:textId="09AA45DD" w:rsidR="00A10671" w:rsidRPr="002C6752" w:rsidRDefault="00A10671" w:rsidP="009A6619">
      <w:pPr>
        <w:pStyle w:val="Enfparashead"/>
      </w:pPr>
      <w:bookmarkStart w:id="260" w:name="_ASICRef422"/>
      <w:bookmarkStart w:id="261" w:name="_ASICRef461"/>
      <w:r w:rsidRPr="002C6752">
        <w:t xml:space="preserve">Enforceable paragraph: </w:t>
      </w:r>
      <w:r w:rsidRPr="002C6752">
        <w:fldChar w:fldCharType="begin"/>
      </w:r>
      <w:r w:rsidRPr="002C6752">
        <w:instrText xml:space="preserve"> REF _ASICRef190 \w \h  \* MERGEFORMAT </w:instrText>
      </w:r>
      <w:r w:rsidRPr="002C6752">
        <w:fldChar w:fldCharType="separate"/>
      </w:r>
      <w:r w:rsidR="00DE6E77">
        <w:t>RG 271.89</w:t>
      </w:r>
      <w:r w:rsidRPr="002C6752">
        <w:fldChar w:fldCharType="end"/>
      </w:r>
    </w:p>
    <w:p w14:paraId="0B8ED71E" w14:textId="78BFBC8C" w:rsidR="00B8489F" w:rsidRPr="002C6752" w:rsidRDefault="00B8489F" w:rsidP="009A6619">
      <w:pPr>
        <w:pStyle w:val="Enfparastext"/>
      </w:pPr>
      <w:bookmarkStart w:id="262" w:name="_ASICRef190"/>
      <w:bookmarkStart w:id="263" w:name="_ASICRef840"/>
      <w:bookmarkStart w:id="264" w:name="_ASICRef150"/>
      <w:r w:rsidRPr="002C6752">
        <w:t>C</w:t>
      </w:r>
      <w:r w:rsidR="009D0CF0" w:rsidRPr="002C6752">
        <w:t xml:space="preserve">redit providers (including debt collectors), credit service providers, their credit representatives and unlicensed COI lenders </w:t>
      </w:r>
      <w:r w:rsidR="00853237" w:rsidRPr="002C6752">
        <w:t>must refrain from commencing or continuing with legal proceedings or any other enforcement action (i.e. debt collection activity)</w:t>
      </w:r>
      <w:r w:rsidRPr="002C6752">
        <w:t xml:space="preserve"> against the complainant.</w:t>
      </w:r>
      <w:r w:rsidR="00853237" w:rsidRPr="002C6752">
        <w:t xml:space="preserve"> </w:t>
      </w:r>
      <w:r w:rsidRPr="002C6752">
        <w:t>U</w:t>
      </w:r>
      <w:r w:rsidR="00853237" w:rsidRPr="002C6752">
        <w:t>nless the statute of limitations is about to expire</w:t>
      </w:r>
      <w:r w:rsidRPr="002C6752">
        <w:t>, this applies:</w:t>
      </w:r>
      <w:bookmarkEnd w:id="262"/>
      <w:bookmarkEnd w:id="263"/>
      <w:bookmarkEnd w:id="264"/>
    </w:p>
    <w:p w14:paraId="7113D8F5" w14:textId="6D7FC897" w:rsidR="00B8489F" w:rsidRPr="002C6752" w:rsidRDefault="00B8489F" w:rsidP="009A6619">
      <w:pPr>
        <w:pStyle w:val="Enfparassubparaa"/>
      </w:pPr>
      <w:r w:rsidRPr="002C6752">
        <w:t xml:space="preserve">while the complaint is being handled at IDR (during the 21 </w:t>
      </w:r>
      <w:r w:rsidR="00B121F9">
        <w:t xml:space="preserve">calendar </w:t>
      </w:r>
      <w:r w:rsidRPr="002C6752">
        <w:t xml:space="preserve">days); and </w:t>
      </w:r>
    </w:p>
    <w:p w14:paraId="54EE1D7B" w14:textId="03AA445F" w:rsidR="00853237" w:rsidRPr="002C6752" w:rsidRDefault="00B8489F" w:rsidP="009A6619">
      <w:pPr>
        <w:pStyle w:val="Enfparassubparaa"/>
      </w:pPr>
      <w:r w:rsidRPr="002C6752">
        <w:t>for a reasonable time thereafter</w:t>
      </w:r>
      <w:r w:rsidR="00853237" w:rsidRPr="002C6752">
        <w:t>.</w:t>
      </w:r>
      <w:bookmarkEnd w:id="260"/>
      <w:bookmarkEnd w:id="261"/>
    </w:p>
    <w:p w14:paraId="4DEDD861" w14:textId="0D9BAE58" w:rsidR="00853237" w:rsidRPr="002C6752" w:rsidRDefault="00853237" w:rsidP="00853237">
      <w:pPr>
        <w:pStyle w:val="Note"/>
      </w:pPr>
      <w:r w:rsidRPr="002C6752">
        <w:t xml:space="preserve">Note: </w:t>
      </w:r>
      <w:r w:rsidR="00D523F2" w:rsidRPr="002C6752">
        <w:t>W</w:t>
      </w:r>
      <w:r w:rsidRPr="002C6752">
        <w:t>e al</w:t>
      </w:r>
      <w:r w:rsidR="00AC04CE" w:rsidRPr="002C6752">
        <w:t xml:space="preserve">so expect financial firms </w:t>
      </w:r>
      <w:r w:rsidRPr="002C6752">
        <w:t xml:space="preserve">to </w:t>
      </w:r>
      <w:r w:rsidR="00B8489F" w:rsidRPr="002C6752">
        <w:t xml:space="preserve">comply with </w:t>
      </w:r>
      <w:r w:rsidR="006748DE">
        <w:fldChar w:fldCharType="begin"/>
      </w:r>
      <w:r w:rsidR="006748DE">
        <w:instrText xml:space="preserve"> REF _ASICRef840 \w \h </w:instrText>
      </w:r>
      <w:r w:rsidR="006748DE">
        <w:fldChar w:fldCharType="separate"/>
      </w:r>
      <w:r w:rsidR="00DE6E77">
        <w:t>RG 271.89</w:t>
      </w:r>
      <w:r w:rsidR="006748DE">
        <w:fldChar w:fldCharType="end"/>
      </w:r>
      <w:r w:rsidRPr="002C6752">
        <w:t xml:space="preserve"> while </w:t>
      </w:r>
      <w:r w:rsidR="00C7612F" w:rsidRPr="002C6752">
        <w:t xml:space="preserve">they are considering </w:t>
      </w:r>
      <w:r w:rsidRPr="002C6752">
        <w:t>a hardship</w:t>
      </w:r>
      <w:r w:rsidR="00C7612F" w:rsidRPr="002C6752">
        <w:t xml:space="preserve"> notice</w:t>
      </w:r>
      <w:r w:rsidRPr="002C6752">
        <w:t xml:space="preserve"> or request </w:t>
      </w:r>
      <w:r w:rsidR="00C7612F" w:rsidRPr="002C6752">
        <w:t>to</w:t>
      </w:r>
      <w:r w:rsidRPr="002C6752">
        <w:t xml:space="preserve"> postpone enforcement proceeding</w:t>
      </w:r>
      <w:r w:rsidR="00AC04CE" w:rsidRPr="002C6752">
        <w:t>s.</w:t>
      </w:r>
    </w:p>
    <w:p w14:paraId="3892D78E" w14:textId="18DB849A" w:rsidR="00853237" w:rsidRPr="002C6752" w:rsidRDefault="00853237" w:rsidP="00853237">
      <w:pPr>
        <w:pStyle w:val="BodyText"/>
      </w:pPr>
      <w:bookmarkStart w:id="265" w:name="_ASICRef179"/>
      <w:r w:rsidRPr="002C6752">
        <w:t>This will enable the complaint to be genuinely dealt with at IDR</w:t>
      </w:r>
      <w:r w:rsidR="00CE2048" w:rsidRPr="002C6752">
        <w:t>.</w:t>
      </w:r>
      <w:r w:rsidRPr="002C6752">
        <w:t xml:space="preserve"> </w:t>
      </w:r>
      <w:r w:rsidR="00CE2048" w:rsidRPr="002C6752">
        <w:t xml:space="preserve">The </w:t>
      </w:r>
      <w:r w:rsidR="00E12C7C">
        <w:t>‘</w:t>
      </w:r>
      <w:r w:rsidR="00CE2048" w:rsidRPr="002C6752">
        <w:t>reasonable time thereafter</w:t>
      </w:r>
      <w:r w:rsidR="00E12C7C">
        <w:t>’</w:t>
      </w:r>
      <w:r w:rsidR="00CE2048" w:rsidRPr="002C6752">
        <w:t xml:space="preserve"> will</w:t>
      </w:r>
      <w:r w:rsidRPr="002C6752">
        <w:t xml:space="preserve"> also allow the complainant </w:t>
      </w:r>
      <w:r w:rsidR="00CE2048" w:rsidRPr="002C6752">
        <w:t xml:space="preserve">the </w:t>
      </w:r>
      <w:r w:rsidRPr="002C6752">
        <w:t>opportunity to lodge their complaint with AFCA if the complaint cannot be resolved at IDR.</w:t>
      </w:r>
      <w:bookmarkEnd w:id="265"/>
    </w:p>
    <w:p w14:paraId="74644603" w14:textId="0912A7A4" w:rsidR="00853237" w:rsidRPr="002C6752" w:rsidRDefault="00853237" w:rsidP="00853237">
      <w:pPr>
        <w:pStyle w:val="BodyText"/>
      </w:pPr>
      <w:bookmarkStart w:id="266" w:name="_ASICRef219"/>
      <w:bookmarkStart w:id="267" w:name="_ASICRef50"/>
      <w:r w:rsidRPr="002C6752">
        <w:t xml:space="preserve">We expect that a sufficient timeframe for a complainant to lodge a complaint with AFCA will be at least 14 </w:t>
      </w:r>
      <w:r w:rsidR="00B121F9">
        <w:t xml:space="preserve">calendar </w:t>
      </w:r>
      <w:r w:rsidRPr="002C6752">
        <w:t>days</w:t>
      </w:r>
      <w:r w:rsidR="00AC04CE" w:rsidRPr="002C6752">
        <w:t xml:space="preserve"> </w:t>
      </w:r>
      <w:r w:rsidR="00CE2048" w:rsidRPr="002C6752">
        <w:t>after receiving</w:t>
      </w:r>
      <w:r w:rsidR="00AC04CE" w:rsidRPr="002C6752">
        <w:t xml:space="preserve"> </w:t>
      </w:r>
      <w:r w:rsidR="00CE2048" w:rsidRPr="002C6752">
        <w:t>the</w:t>
      </w:r>
      <w:r w:rsidR="00AC04CE" w:rsidRPr="002C6752">
        <w:t xml:space="preserve"> IDR </w:t>
      </w:r>
      <w:r w:rsidR="00CE2048" w:rsidRPr="002C6752">
        <w:t>r</w:t>
      </w:r>
      <w:r w:rsidR="00AC04CE" w:rsidRPr="002C6752">
        <w:t>esponse</w:t>
      </w:r>
      <w:r w:rsidR="00CE2048" w:rsidRPr="002C6752">
        <w:t>.</w:t>
      </w:r>
      <w:r w:rsidRPr="002C6752">
        <w:rPr>
          <w:color w:val="FF0000"/>
        </w:rPr>
        <w:t xml:space="preserve"> </w:t>
      </w:r>
      <w:r w:rsidR="00CE2048" w:rsidRPr="002C6752">
        <w:t>This</w:t>
      </w:r>
      <w:r w:rsidRPr="002C6752">
        <w:t xml:space="preserve"> may be longer, depending on the particula</w:t>
      </w:r>
      <w:r w:rsidR="00AC04CE" w:rsidRPr="002C6752">
        <w:t xml:space="preserve">r circumstances of the complaint </w:t>
      </w:r>
      <w:r w:rsidRPr="002C6752">
        <w:t>(e.g. if the complainant needs more time to lodge a dispute with AFCA because of accessibility issues).</w:t>
      </w:r>
      <w:r w:rsidR="00AC04CE" w:rsidRPr="002C6752">
        <w:t xml:space="preserve"> </w:t>
      </w:r>
      <w:bookmarkEnd w:id="266"/>
      <w:bookmarkEnd w:id="267"/>
    </w:p>
    <w:p w14:paraId="45DEE2B7" w14:textId="051F2A11" w:rsidR="00853237" w:rsidRPr="002C6752" w:rsidRDefault="00C7612F" w:rsidP="009A6619">
      <w:pPr>
        <w:pStyle w:val="Heading4"/>
      </w:pPr>
      <w:r w:rsidRPr="002C6752">
        <w:t>C</w:t>
      </w:r>
      <w:r w:rsidR="00853237" w:rsidRPr="002C6752">
        <w:t xml:space="preserve">redit complaints involving hardship notices or requests </w:t>
      </w:r>
      <w:r w:rsidRPr="002C6752">
        <w:t>to</w:t>
      </w:r>
      <w:r w:rsidR="00853237" w:rsidRPr="002C6752">
        <w:t xml:space="preserve"> postpone enforcement proceedings</w:t>
      </w:r>
    </w:p>
    <w:p w14:paraId="2025600F" w14:textId="66B13AA4" w:rsidR="00140FB8" w:rsidRPr="002C6752" w:rsidRDefault="00140FB8" w:rsidP="009A6619">
      <w:pPr>
        <w:pStyle w:val="Enfparashead"/>
      </w:pPr>
      <w:bookmarkStart w:id="268" w:name="_ASICRef647"/>
      <w:bookmarkStart w:id="269" w:name="_ASICRef712"/>
      <w:bookmarkStart w:id="270" w:name="_ASICRef993"/>
      <w:r w:rsidRPr="002C6752">
        <w:t xml:space="preserve">Enforceable paragraphs: </w:t>
      </w:r>
      <w:r w:rsidRPr="002C6752">
        <w:fldChar w:fldCharType="begin"/>
      </w:r>
      <w:r w:rsidRPr="002C6752">
        <w:instrText xml:space="preserve"> REF _ASICRef684 \w \h  \* MERGEFORMAT </w:instrText>
      </w:r>
      <w:r w:rsidRPr="002C6752">
        <w:fldChar w:fldCharType="separate"/>
      </w:r>
      <w:r w:rsidR="00DE6E77">
        <w:t>RG 271.92</w:t>
      </w:r>
      <w:r w:rsidRPr="002C6752">
        <w:fldChar w:fldCharType="end"/>
      </w:r>
      <w:r w:rsidRPr="002C6752">
        <w:t>–</w:t>
      </w:r>
      <w:r w:rsidRPr="002C6752">
        <w:fldChar w:fldCharType="begin"/>
      </w:r>
      <w:r w:rsidRPr="002C6752">
        <w:instrText xml:space="preserve"> REF _ASICRef747 \w \h  \* MERGEFORMAT </w:instrText>
      </w:r>
      <w:r w:rsidRPr="002C6752">
        <w:fldChar w:fldCharType="separate"/>
      </w:r>
      <w:r w:rsidR="00DE6E77">
        <w:t>RG 271.93</w:t>
      </w:r>
      <w:r w:rsidRPr="002C6752">
        <w:fldChar w:fldCharType="end"/>
      </w:r>
    </w:p>
    <w:p w14:paraId="56135400" w14:textId="302BECBA" w:rsidR="00757ACD" w:rsidRPr="002C6752" w:rsidRDefault="00757ACD" w:rsidP="009A6619">
      <w:pPr>
        <w:pStyle w:val="Enfparastext"/>
      </w:pPr>
      <w:bookmarkStart w:id="271" w:name="_ASICRef684"/>
      <w:bookmarkStart w:id="272" w:name="_ASICRef497"/>
      <w:bookmarkStart w:id="273" w:name="_ASICRef323"/>
      <w:bookmarkStart w:id="274" w:name="_ASICRef860"/>
      <w:r w:rsidRPr="002C6752">
        <w:t>Credit providers, credit service providers, lessors and unlicensed COI lenders must treat complaints involving hardship notices or</w:t>
      </w:r>
      <w:r w:rsidR="00AF1BA2" w:rsidRPr="002C6752">
        <w:t xml:space="preserve"> requests to</w:t>
      </w:r>
      <w:r w:rsidRPr="002C6752">
        <w:t xml:space="preserve"> postpone enforcement proceedings as urgent matters.</w:t>
      </w:r>
      <w:bookmarkEnd w:id="268"/>
      <w:bookmarkEnd w:id="269"/>
      <w:bookmarkEnd w:id="270"/>
      <w:bookmarkEnd w:id="271"/>
      <w:bookmarkEnd w:id="272"/>
      <w:bookmarkEnd w:id="273"/>
      <w:bookmarkEnd w:id="274"/>
    </w:p>
    <w:p w14:paraId="3E8A6A0E" w14:textId="6B792A64" w:rsidR="00757ACD" w:rsidRPr="002C6752" w:rsidRDefault="00757ACD" w:rsidP="009A6619">
      <w:pPr>
        <w:pStyle w:val="Enfparastext"/>
      </w:pPr>
      <w:bookmarkStart w:id="275" w:name="_ASICRef298"/>
      <w:bookmarkStart w:id="276" w:name="_ASICRef747"/>
      <w:r w:rsidRPr="002C6752">
        <w:lastRenderedPageBreak/>
        <w:t>Where a complaint is about a hardship notice or request to postpone enforcement proceedings, the following maximum IDR timeframes apply:</w:t>
      </w:r>
      <w:bookmarkEnd w:id="275"/>
      <w:bookmarkEnd w:id="276"/>
    </w:p>
    <w:p w14:paraId="1A89B301" w14:textId="168FBDA7" w:rsidR="00757ACD" w:rsidRPr="002C6752" w:rsidRDefault="00757ACD" w:rsidP="009A6619">
      <w:pPr>
        <w:pStyle w:val="Enfparassubparaa"/>
      </w:pPr>
      <w:r w:rsidRPr="002C6752">
        <w:t>the credit provider or lessor has 21</w:t>
      </w:r>
      <w:r w:rsidR="006711C5">
        <w:t xml:space="preserve"> </w:t>
      </w:r>
      <w:r w:rsidR="00B121F9">
        <w:t>calendar</w:t>
      </w:r>
      <w:r w:rsidRPr="002C6752">
        <w:t xml:space="preserve"> days to consider and </w:t>
      </w:r>
      <w:r w:rsidR="00D61163">
        <w:t xml:space="preserve">determine whether to </w:t>
      </w:r>
      <w:r w:rsidRPr="002C6752">
        <w:t xml:space="preserve">agree to: </w:t>
      </w:r>
    </w:p>
    <w:p w14:paraId="03B11400" w14:textId="459E92C2" w:rsidR="00757ACD" w:rsidRPr="002C6752" w:rsidRDefault="00757ACD" w:rsidP="009A6619">
      <w:pPr>
        <w:pStyle w:val="Enfparassubparai"/>
      </w:pPr>
      <w:r w:rsidRPr="002C6752">
        <w:t xml:space="preserve">a change in the terms of the credit contract or lease for hardship (under s72 and 177B of the National Credit Code); or </w:t>
      </w:r>
    </w:p>
    <w:p w14:paraId="5F135DB2" w14:textId="5BE75E77" w:rsidR="00757ACD" w:rsidRPr="002C6752" w:rsidRDefault="00757ACD" w:rsidP="009A6619">
      <w:pPr>
        <w:pStyle w:val="Enfparassubparai"/>
      </w:pPr>
      <w:r w:rsidRPr="002C6752">
        <w:t>the request to postpone enforcement proceedings (under s94 and 179H of the National Credit Code); or</w:t>
      </w:r>
    </w:p>
    <w:p w14:paraId="6CE7F8C1" w14:textId="3A20E79D" w:rsidR="005B2121" w:rsidRPr="002C6752" w:rsidRDefault="00757ACD" w:rsidP="005325B3">
      <w:pPr>
        <w:pStyle w:val="Enfparassubparaa"/>
      </w:pPr>
      <w:r w:rsidRPr="002C6752">
        <w:t>if</w:t>
      </w:r>
      <w:r w:rsidR="005B2121" w:rsidRPr="002C6752">
        <w:t xml:space="preserve"> the credit provider or lessor requires</w:t>
      </w:r>
      <w:r w:rsidRPr="002C6752">
        <w:t xml:space="preserve"> further information</w:t>
      </w:r>
      <w:r w:rsidR="00397D70" w:rsidRPr="002C6752">
        <w:t xml:space="preserve"> about a hardship notice</w:t>
      </w:r>
      <w:r w:rsidRPr="002C6752">
        <w:t>, the</w:t>
      </w:r>
      <w:r w:rsidR="005B2121" w:rsidRPr="002C6752">
        <w:t>y</w:t>
      </w:r>
      <w:r w:rsidRPr="002C6752">
        <w:t xml:space="preserve"> ha</w:t>
      </w:r>
      <w:r w:rsidR="005B2121" w:rsidRPr="002C6752">
        <w:t>ve</w:t>
      </w:r>
      <w:r w:rsidRPr="002C6752">
        <w:t xml:space="preserve"> </w:t>
      </w:r>
      <w:r w:rsidR="005325B3" w:rsidRPr="005325B3">
        <w:t>the additional time allowed for credit contracts or leases entered into on or after 1 March 2013</w:t>
      </w:r>
      <w:r w:rsidR="005325B3">
        <w:t xml:space="preserve"> (</w:t>
      </w:r>
      <w:r w:rsidR="005325B3" w:rsidRPr="005325B3">
        <w:t>under s72 and 177B of the National Credit Cod</w:t>
      </w:r>
      <w:r w:rsidR="005325B3">
        <w:t>e)</w:t>
      </w:r>
      <w:r w:rsidR="006711C5">
        <w:t>. This is</w:t>
      </w:r>
      <w:r w:rsidR="00853859">
        <w:t xml:space="preserve"> </w:t>
      </w:r>
      <w:r w:rsidR="005B2121" w:rsidRPr="002C6752">
        <w:t xml:space="preserve">up to: </w:t>
      </w:r>
    </w:p>
    <w:p w14:paraId="6478478A" w14:textId="78CE8287" w:rsidR="005B2121" w:rsidRPr="002C6752" w:rsidRDefault="005B2121" w:rsidP="009A6619">
      <w:pPr>
        <w:pStyle w:val="Enfparassubparai"/>
      </w:pPr>
      <w:r w:rsidRPr="002C6752">
        <w:t xml:space="preserve">28 </w:t>
      </w:r>
      <w:r w:rsidR="00B121F9">
        <w:t xml:space="preserve">calendar </w:t>
      </w:r>
      <w:r w:rsidRPr="002C6752">
        <w:t xml:space="preserve">days from the date the information is requested, but not received; or </w:t>
      </w:r>
    </w:p>
    <w:p w14:paraId="04FE61DD" w14:textId="2724B5EA" w:rsidR="00757ACD" w:rsidRPr="002C6752" w:rsidRDefault="005B2121" w:rsidP="009A6619">
      <w:pPr>
        <w:pStyle w:val="Enfparassubparai"/>
      </w:pPr>
      <w:r w:rsidRPr="002C6752">
        <w:t xml:space="preserve">21 </w:t>
      </w:r>
      <w:r w:rsidR="00B121F9">
        <w:t xml:space="preserve">calendar </w:t>
      </w:r>
      <w:r w:rsidRPr="002C6752">
        <w:t>days from when they consider they have received the information requested</w:t>
      </w:r>
      <w:r w:rsidR="00757ACD" w:rsidRPr="002C6752">
        <w:t>.</w:t>
      </w:r>
    </w:p>
    <w:p w14:paraId="0C13AA09" w14:textId="414E05B3" w:rsidR="005B2121" w:rsidRPr="002C6752" w:rsidRDefault="005B2121" w:rsidP="00642749">
      <w:pPr>
        <w:pStyle w:val="Note"/>
      </w:pPr>
      <w:r w:rsidRPr="002C6752">
        <w:t xml:space="preserve">Note: See </w:t>
      </w:r>
      <w:hyperlink r:id="rId37" w:history="1">
        <w:r w:rsidRPr="002C6752">
          <w:rPr>
            <w:rStyle w:val="Hyperlink"/>
          </w:rPr>
          <w:t>Information Sheet 105</w:t>
        </w:r>
      </w:hyperlink>
      <w:r w:rsidRPr="002C6752">
        <w:rPr>
          <w:i/>
        </w:rPr>
        <w:t xml:space="preserve"> FAQs—Dealing with consumers and credit</w:t>
      </w:r>
      <w:r w:rsidRPr="002C6752">
        <w:t xml:space="preserve"> (INFO 105) for more information on timeframes for responding to a hardship notice when further information is required.</w:t>
      </w:r>
      <w:r w:rsidR="001C20D3">
        <w:t xml:space="preserve"> </w:t>
      </w:r>
    </w:p>
    <w:p w14:paraId="2DFD19DA" w14:textId="47939E3F" w:rsidR="00757ACD" w:rsidRPr="002C6752" w:rsidRDefault="005B2121" w:rsidP="00642749">
      <w:pPr>
        <w:pStyle w:val="BodyText"/>
      </w:pPr>
      <w:r w:rsidRPr="002C6752">
        <w:t>If the complaint is not resolved within these timeframes, t</w:t>
      </w:r>
      <w:r w:rsidR="00757ACD" w:rsidRPr="002C6752">
        <w:t xml:space="preserve">here will be no further time at IDR to deal with the complaint (unless </w:t>
      </w:r>
      <w:r w:rsidR="004F055C" w:rsidRPr="002C6752">
        <w:fldChar w:fldCharType="begin"/>
      </w:r>
      <w:r w:rsidR="004F055C" w:rsidRPr="002C6752">
        <w:instrText xml:space="preserve"> REF _ASICRef210 \w \h </w:instrText>
      </w:r>
      <w:r w:rsidR="002F1325" w:rsidRPr="002C6752">
        <w:instrText xml:space="preserve"> \* MERGEFORMAT </w:instrText>
      </w:r>
      <w:r w:rsidR="004F055C" w:rsidRPr="002C6752">
        <w:fldChar w:fldCharType="separate"/>
      </w:r>
      <w:r w:rsidR="00DE6E77">
        <w:t>RG 271.98</w:t>
      </w:r>
      <w:r w:rsidR="004F055C" w:rsidRPr="002C6752">
        <w:fldChar w:fldCharType="end"/>
      </w:r>
      <w:r w:rsidR="00757ACD" w:rsidRPr="002C6752">
        <w:t xml:space="preserve"> applies) and the complainant should be referred to AFCA.</w:t>
      </w:r>
    </w:p>
    <w:p w14:paraId="12AC699D" w14:textId="5D604EB3" w:rsidR="00853237" w:rsidRPr="002C6752" w:rsidRDefault="00CE2048" w:rsidP="00853237">
      <w:pPr>
        <w:pStyle w:val="BodyText"/>
      </w:pPr>
      <w:r w:rsidRPr="002C6752">
        <w:t>A</w:t>
      </w:r>
      <w:r w:rsidR="00853237" w:rsidRPr="002C6752">
        <w:t xml:space="preserve"> borrower or guarantor may give </w:t>
      </w:r>
      <w:r w:rsidR="00397D70" w:rsidRPr="002C6752">
        <w:t xml:space="preserve">a credit provider </w:t>
      </w:r>
      <w:r w:rsidR="00853237" w:rsidRPr="002C6752">
        <w:t xml:space="preserve">a hardship notice or request </w:t>
      </w:r>
      <w:r w:rsidRPr="002C6752">
        <w:t>the</w:t>
      </w:r>
      <w:r w:rsidR="00853237" w:rsidRPr="002C6752">
        <w:t xml:space="preserve"> postponement of enforcement proceedings.</w:t>
      </w:r>
      <w:r w:rsidR="003229E3" w:rsidRPr="002C6752">
        <w:t xml:space="preserve"> </w:t>
      </w:r>
      <w:r w:rsidR="00853237" w:rsidRPr="002C6752">
        <w:t xml:space="preserve">A lessee may also give a hardship notice or request </w:t>
      </w:r>
      <w:r w:rsidR="00757ACD" w:rsidRPr="002C6752">
        <w:t>the</w:t>
      </w:r>
      <w:r w:rsidR="00853237" w:rsidRPr="002C6752">
        <w:t xml:space="preserve"> postponement of enforcement proceedings </w:t>
      </w:r>
      <w:r w:rsidR="00757ACD" w:rsidRPr="002C6752">
        <w:t>for</w:t>
      </w:r>
      <w:r w:rsidR="00853237" w:rsidRPr="002C6752">
        <w:t xml:space="preserve"> leases entered into on or after 1</w:t>
      </w:r>
      <w:r w:rsidRPr="002C6752">
        <w:t> </w:t>
      </w:r>
      <w:r w:rsidR="00853237" w:rsidRPr="002C6752">
        <w:t>March 2013.</w:t>
      </w:r>
    </w:p>
    <w:p w14:paraId="7B5C6B6C" w14:textId="6F459C0F" w:rsidR="00853237" w:rsidRPr="002C6752" w:rsidRDefault="00853237" w:rsidP="00853237">
      <w:pPr>
        <w:pStyle w:val="BodyText"/>
      </w:pPr>
      <w:r w:rsidRPr="002C6752">
        <w:t xml:space="preserve">Credit providers and lessors </w:t>
      </w:r>
      <w:r w:rsidR="000622CD">
        <w:t xml:space="preserve">should </w:t>
      </w:r>
      <w:r w:rsidRPr="002C6752">
        <w:t>have a dedicated telephone number and, where possible, a fax number, postal address and email address to accept and deal with hardship notices.</w:t>
      </w:r>
    </w:p>
    <w:p w14:paraId="239201B3" w14:textId="6E40B9DD" w:rsidR="00853237" w:rsidRPr="00CC2DD6" w:rsidRDefault="00584AB8" w:rsidP="00853237">
      <w:pPr>
        <w:pStyle w:val="BodyText"/>
        <w:rPr>
          <w:spacing w:val="-2"/>
        </w:rPr>
      </w:pPr>
      <w:r w:rsidRPr="00CC2DD6">
        <w:rPr>
          <w:spacing w:val="-4"/>
        </w:rPr>
        <w:t>We expect that c</w:t>
      </w:r>
      <w:r w:rsidR="00853237" w:rsidRPr="00CC2DD6">
        <w:rPr>
          <w:spacing w:val="-4"/>
        </w:rPr>
        <w:t xml:space="preserve">redit providers, credit service providers, lessors and unlicensed </w:t>
      </w:r>
      <w:r w:rsidR="00853237" w:rsidRPr="00CC2DD6">
        <w:rPr>
          <w:spacing w:val="-2"/>
        </w:rPr>
        <w:t xml:space="preserve">COI lenders </w:t>
      </w:r>
      <w:r w:rsidR="00757ACD" w:rsidRPr="00CC2DD6">
        <w:rPr>
          <w:spacing w:val="-2"/>
        </w:rPr>
        <w:t xml:space="preserve">will </w:t>
      </w:r>
      <w:r w:rsidR="00853237" w:rsidRPr="00CC2DD6">
        <w:rPr>
          <w:spacing w:val="-2"/>
        </w:rPr>
        <w:t xml:space="preserve">have systems in place to easily identify a complaint involving </w:t>
      </w:r>
      <w:r w:rsidR="00757ACD" w:rsidRPr="00CC2DD6">
        <w:rPr>
          <w:spacing w:val="-2"/>
        </w:rPr>
        <w:t xml:space="preserve">a </w:t>
      </w:r>
      <w:r w:rsidR="00853237" w:rsidRPr="00CC2DD6">
        <w:rPr>
          <w:spacing w:val="-2"/>
        </w:rPr>
        <w:t xml:space="preserve">hardship </w:t>
      </w:r>
      <w:r w:rsidR="00757ACD" w:rsidRPr="00CC2DD6">
        <w:rPr>
          <w:spacing w:val="-2"/>
        </w:rPr>
        <w:t xml:space="preserve">notice </w:t>
      </w:r>
      <w:r w:rsidR="00853237" w:rsidRPr="00CC2DD6">
        <w:rPr>
          <w:spacing w:val="-2"/>
        </w:rPr>
        <w:t>or</w:t>
      </w:r>
      <w:r w:rsidR="00757ACD" w:rsidRPr="00CC2DD6">
        <w:rPr>
          <w:spacing w:val="-2"/>
        </w:rPr>
        <w:t xml:space="preserve"> a request to</w:t>
      </w:r>
      <w:r w:rsidR="00853237" w:rsidRPr="00CC2DD6">
        <w:rPr>
          <w:spacing w:val="-2"/>
        </w:rPr>
        <w:t xml:space="preserve"> postpone enforcement proceedings.</w:t>
      </w:r>
    </w:p>
    <w:p w14:paraId="38A8C652" w14:textId="693D88CE" w:rsidR="00C02961" w:rsidRPr="002C6752" w:rsidRDefault="00C02961" w:rsidP="00853237">
      <w:pPr>
        <w:pStyle w:val="BodyText"/>
        <w:rPr>
          <w:i/>
        </w:rPr>
      </w:pPr>
      <w:bookmarkStart w:id="277" w:name="_ASICRef210"/>
      <w:bookmarkStart w:id="278" w:name="_ASICRef73"/>
      <w:r w:rsidRPr="002C6752">
        <w:t xml:space="preserve">We confirm in </w:t>
      </w:r>
      <w:hyperlink r:id="rId38" w:history="1">
        <w:r w:rsidRPr="002C6752">
          <w:rPr>
            <w:rStyle w:val="Hyperlink"/>
          </w:rPr>
          <w:t>RG 267</w:t>
        </w:r>
      </w:hyperlink>
      <w:r w:rsidRPr="002C6752">
        <w:t xml:space="preserve"> that the AFCA Rules may allow AFCA a discretion to </w:t>
      </w:r>
      <w:r w:rsidR="006B0225" w:rsidRPr="002C6752">
        <w:t xml:space="preserve">vary timeframes that apply to </w:t>
      </w:r>
      <w:r w:rsidR="00622C35" w:rsidRPr="002C6752">
        <w:t>complaints</w:t>
      </w:r>
      <w:r w:rsidR="006B0225" w:rsidRPr="002C6752">
        <w:t xml:space="preserve"> that are referred</w:t>
      </w:r>
      <w:r w:rsidR="00622C35" w:rsidRPr="002C6752">
        <w:t xml:space="preserve"> back to financial firms for consideration.</w:t>
      </w:r>
      <w:r w:rsidR="003229E3" w:rsidRPr="002C6752">
        <w:t xml:space="preserve"> </w:t>
      </w:r>
      <w:r w:rsidR="00622C35" w:rsidRPr="002C6752">
        <w:t xml:space="preserve">This may include complaints </w:t>
      </w:r>
      <w:r w:rsidRPr="002C6752">
        <w:t xml:space="preserve">when no agreement is reached within the </w:t>
      </w:r>
      <w:r w:rsidR="005B2121" w:rsidRPr="002C6752">
        <w:t>maximum IDR timeframes for complaints about hardship notices or requests to postpone enforcement proceedings</w:t>
      </w:r>
      <w:r w:rsidRPr="002C6752">
        <w:t>.</w:t>
      </w:r>
      <w:r w:rsidR="00A138E3" w:rsidRPr="002C6752">
        <w:t xml:space="preserve"> </w:t>
      </w:r>
      <w:bookmarkEnd w:id="277"/>
      <w:bookmarkEnd w:id="278"/>
    </w:p>
    <w:p w14:paraId="27C822C8" w14:textId="67B4D315" w:rsidR="007A0DAA" w:rsidRPr="002C6752" w:rsidRDefault="007A0DAA" w:rsidP="007A0DAA">
      <w:pPr>
        <w:pStyle w:val="Note"/>
      </w:pPr>
      <w:r w:rsidRPr="002C6752">
        <w:t xml:space="preserve">Note: See RG 267.187–RG 267.197 for more information about </w:t>
      </w:r>
      <w:r w:rsidR="00E12C7C">
        <w:t>‘</w:t>
      </w:r>
      <w:r w:rsidRPr="002C6752">
        <w:t>refer back</w:t>
      </w:r>
      <w:r w:rsidR="005B2121" w:rsidRPr="002C6752">
        <w:t xml:space="preserve"> arrangement</w:t>
      </w:r>
      <w:r w:rsidRPr="002C6752">
        <w:t>s</w:t>
      </w:r>
      <w:r w:rsidR="00E12C7C">
        <w:t>’</w:t>
      </w:r>
      <w:r w:rsidRPr="002C6752">
        <w:t>.</w:t>
      </w:r>
    </w:p>
    <w:p w14:paraId="667853B8" w14:textId="1E30BE6D" w:rsidR="00140FB8" w:rsidRPr="002C6752" w:rsidRDefault="00140FB8" w:rsidP="009A6619">
      <w:pPr>
        <w:pStyle w:val="Enfparashead"/>
      </w:pPr>
      <w:r w:rsidRPr="002C6752">
        <w:lastRenderedPageBreak/>
        <w:t xml:space="preserve">Enforceable paragraphs: </w:t>
      </w:r>
      <w:r w:rsidRPr="002C6752">
        <w:fldChar w:fldCharType="begin"/>
      </w:r>
      <w:r w:rsidRPr="002C6752">
        <w:instrText xml:space="preserve"> REF _ASICRef613 \w \h </w:instrText>
      </w:r>
      <w:r w:rsidRPr="002C6752">
        <w:fldChar w:fldCharType="separate"/>
      </w:r>
      <w:r w:rsidR="00DE6E77">
        <w:t>RG 271.99</w:t>
      </w:r>
      <w:r w:rsidRPr="002C6752">
        <w:fldChar w:fldCharType="end"/>
      </w:r>
      <w:r w:rsidRPr="002C6752">
        <w:t>–</w:t>
      </w:r>
      <w:r w:rsidRPr="002C6752">
        <w:fldChar w:fldCharType="begin"/>
      </w:r>
      <w:r w:rsidRPr="002C6752">
        <w:instrText xml:space="preserve"> REF _ASICRef782 \w \h </w:instrText>
      </w:r>
      <w:r w:rsidRPr="002C6752">
        <w:fldChar w:fldCharType="separate"/>
      </w:r>
      <w:r w:rsidR="00DE6E77">
        <w:t>RG 271.100</w:t>
      </w:r>
      <w:r w:rsidRPr="002C6752">
        <w:fldChar w:fldCharType="end"/>
      </w:r>
      <w:r w:rsidR="00C307FA" w:rsidRPr="002C6752">
        <w:t xml:space="preserve"> (inc</w:t>
      </w:r>
      <w:r w:rsidR="00C307FA" w:rsidRPr="0010362C">
        <w:t>luding</w:t>
      </w:r>
      <w:r w:rsidR="00C307FA" w:rsidRPr="002C6752">
        <w:t xml:space="preserve"> note</w:t>
      </w:r>
      <w:r w:rsidR="00F10F71">
        <w:t>s</w:t>
      </w:r>
      <w:r w:rsidR="00C307FA" w:rsidRPr="002C6752">
        <w:t>)</w:t>
      </w:r>
    </w:p>
    <w:p w14:paraId="3562A220" w14:textId="208378C3" w:rsidR="00601A8E" w:rsidRPr="002C6752" w:rsidRDefault="005B2121" w:rsidP="009A6619">
      <w:pPr>
        <w:pStyle w:val="Enfparastext"/>
        <w:rPr>
          <w:i/>
        </w:rPr>
      </w:pPr>
      <w:bookmarkStart w:id="279" w:name="_ASICRef613"/>
      <w:bookmarkStart w:id="280" w:name="_ASICRef770"/>
      <w:r w:rsidRPr="002C6752">
        <w:t>If a borrower</w:t>
      </w:r>
      <w:r w:rsidR="00601A8E" w:rsidRPr="002C6752">
        <w:t xml:space="preserve"> and the credit provider or lessor</w:t>
      </w:r>
      <w:r w:rsidRPr="002C6752">
        <w:t xml:space="preserve"> ha</w:t>
      </w:r>
      <w:r w:rsidR="00601A8E" w:rsidRPr="002C6752">
        <w:t>ve reached an agreement about</w:t>
      </w:r>
      <w:r w:rsidRPr="002C6752">
        <w:t xml:space="preserve"> </w:t>
      </w:r>
      <w:r w:rsidR="00853237" w:rsidRPr="002C6752">
        <w:t xml:space="preserve">a hardship notice or postponement of enforcement proceedings, the credit provider or lessor has a further 30 </w:t>
      </w:r>
      <w:r w:rsidR="00B121F9">
        <w:t xml:space="preserve">calendar </w:t>
      </w:r>
      <w:r w:rsidR="00853237" w:rsidRPr="002C6752">
        <w:t>days to confirm in</w:t>
      </w:r>
      <w:r w:rsidR="003229E3" w:rsidRPr="002C6752">
        <w:t xml:space="preserve"> </w:t>
      </w:r>
      <w:r w:rsidR="00853237" w:rsidRPr="002C6752">
        <w:t>writing</w:t>
      </w:r>
      <w:r w:rsidR="00601A8E" w:rsidRPr="002C6752">
        <w:t>:</w:t>
      </w:r>
      <w:r w:rsidR="00853237" w:rsidRPr="002C6752">
        <w:t xml:space="preserve"> </w:t>
      </w:r>
      <w:bookmarkEnd w:id="279"/>
      <w:bookmarkEnd w:id="280"/>
    </w:p>
    <w:p w14:paraId="4F455063" w14:textId="59EF6CB6" w:rsidR="00601A8E" w:rsidRPr="002C6752" w:rsidRDefault="00853237" w:rsidP="009A6619">
      <w:pPr>
        <w:pStyle w:val="Enfparassubparaa"/>
        <w:rPr>
          <w:i/>
        </w:rPr>
      </w:pPr>
      <w:bookmarkStart w:id="281" w:name="_ASICRef741"/>
      <w:r w:rsidRPr="002C6752">
        <w:t>the terms of change to the credit contract or lease</w:t>
      </w:r>
      <w:r w:rsidR="00601A8E" w:rsidRPr="002C6752">
        <w:t xml:space="preserve"> (see s73 or 177C of the National Credit Code);</w:t>
      </w:r>
      <w:r w:rsidRPr="002C6752">
        <w:t xml:space="preserve"> or </w:t>
      </w:r>
      <w:bookmarkEnd w:id="281"/>
    </w:p>
    <w:p w14:paraId="220BD7D3" w14:textId="26392C5F" w:rsidR="00853237" w:rsidRPr="00853859" w:rsidRDefault="00853237" w:rsidP="009A6619">
      <w:pPr>
        <w:pStyle w:val="Enfparassubparaa"/>
        <w:rPr>
          <w:i/>
        </w:rPr>
      </w:pPr>
      <w:r w:rsidRPr="002C6752">
        <w:t>the conditions of postponement of enforcement proceedings</w:t>
      </w:r>
      <w:r w:rsidR="00601A8E" w:rsidRPr="002C6752">
        <w:t xml:space="preserve"> (see s95 or 179J of the</w:t>
      </w:r>
      <w:r w:rsidR="00B07156" w:rsidRPr="002C6752">
        <w:t xml:space="preserve"> National Credit</w:t>
      </w:r>
      <w:r w:rsidR="00601A8E" w:rsidRPr="002C6752">
        <w:t xml:space="preserve"> Code)</w:t>
      </w:r>
      <w:r w:rsidRPr="002C6752">
        <w:t>.</w:t>
      </w:r>
      <w:r w:rsidR="003229E3" w:rsidRPr="002C6752">
        <w:t xml:space="preserve"> </w:t>
      </w:r>
    </w:p>
    <w:p w14:paraId="7A67EF6E" w14:textId="36DCB0DB" w:rsidR="002C1D86" w:rsidRPr="002C6752" w:rsidRDefault="002C1D86" w:rsidP="00D10942">
      <w:pPr>
        <w:pStyle w:val="Enfparasnote"/>
      </w:pPr>
      <w:r>
        <w:t xml:space="preserve">Note: Transitional arrangements apply to </w:t>
      </w:r>
      <w:r w:rsidR="006711C5">
        <w:fldChar w:fldCharType="begin"/>
      </w:r>
      <w:r w:rsidR="006711C5">
        <w:instrText xml:space="preserve"> REF _ASICRef741 \w \h </w:instrText>
      </w:r>
      <w:r w:rsidR="006711C5">
        <w:fldChar w:fldCharType="separate"/>
      </w:r>
      <w:r w:rsidR="00DE6E77">
        <w:t>RG 271.99(a)</w:t>
      </w:r>
      <w:r w:rsidR="006711C5">
        <w:fldChar w:fldCharType="end"/>
      </w:r>
      <w:r>
        <w:t>.</w:t>
      </w:r>
      <w:r w:rsidR="00853859">
        <w:t xml:space="preserve"> </w:t>
      </w:r>
      <w:r w:rsidR="00DB68B4">
        <w:t xml:space="preserve">When an agreement is a </w:t>
      </w:r>
      <w:r w:rsidR="00E12C7C">
        <w:t>‘</w:t>
      </w:r>
      <w:r w:rsidR="00DB68B4">
        <w:t>simple arrangement</w:t>
      </w:r>
      <w:r w:rsidR="00E12C7C">
        <w:t>’</w:t>
      </w:r>
      <w:r w:rsidR="00DB68B4">
        <w:t xml:space="preserve">, </w:t>
      </w:r>
      <w:r>
        <w:t xml:space="preserve">credit providers and lessors are exempt from having to confirm in writing the particulars of </w:t>
      </w:r>
      <w:r w:rsidR="00DB68B4">
        <w:t>a</w:t>
      </w:r>
      <w:r>
        <w:t xml:space="preserve"> change to the terms of the credit contract or lease</w:t>
      </w:r>
      <w:r w:rsidR="00DB68B4">
        <w:t xml:space="preserve">: see </w:t>
      </w:r>
      <w:hyperlink r:id="rId39" w:history="1">
        <w:r w:rsidR="008F4908">
          <w:rPr>
            <w:rStyle w:val="Hyperlink"/>
          </w:rPr>
          <w:t>Class Order [CO 14/41]</w:t>
        </w:r>
      </w:hyperlink>
      <w:r w:rsidR="00DB68B4">
        <w:t xml:space="preserve"> </w:t>
      </w:r>
      <w:r w:rsidR="00DB68B4">
        <w:rPr>
          <w:i/>
          <w:iCs/>
        </w:rPr>
        <w:t>Extension of transitional credit hardship provisions</w:t>
      </w:r>
      <w:r>
        <w:t>.</w:t>
      </w:r>
      <w:r w:rsidR="00853859">
        <w:t xml:space="preserve"> </w:t>
      </w:r>
      <w:r>
        <w:t xml:space="preserve">A simple arrangement is an agreement that defers or reduces the obligations of a debtor or lessee for no more than 90 </w:t>
      </w:r>
      <w:r w:rsidR="00853859">
        <w:t xml:space="preserve">calendar </w:t>
      </w:r>
      <w:r>
        <w:t>days.</w:t>
      </w:r>
      <w:r w:rsidR="00853859">
        <w:t xml:space="preserve"> </w:t>
      </w:r>
      <w:r>
        <w:t>This exemption applies until 1 March 2022.</w:t>
      </w:r>
      <w:r w:rsidR="00853859">
        <w:t xml:space="preserve"> </w:t>
      </w:r>
      <w:r>
        <w:t xml:space="preserve">Despite the exemption from giving written notice, the maximum timeframes summarised in </w:t>
      </w:r>
      <w:r w:rsidR="00DB68B4">
        <w:fldChar w:fldCharType="begin"/>
      </w:r>
      <w:r w:rsidR="00DB68B4">
        <w:instrText xml:space="preserve"> REF _Ref5097928 \h </w:instrText>
      </w:r>
      <w:r w:rsidR="00DB68B4">
        <w:fldChar w:fldCharType="separate"/>
      </w:r>
      <w:r w:rsidR="00DE6E77" w:rsidRPr="002C6752">
        <w:t xml:space="preserve">Table </w:t>
      </w:r>
      <w:r w:rsidR="00DE6E77">
        <w:rPr>
          <w:noProof/>
        </w:rPr>
        <w:t>2</w:t>
      </w:r>
      <w:r w:rsidR="00DB68B4">
        <w:fldChar w:fldCharType="end"/>
      </w:r>
      <w:r>
        <w:t xml:space="preserve"> will apply</w:t>
      </w:r>
      <w:r w:rsidR="00DB68B4">
        <w:t>.</w:t>
      </w:r>
      <w:r>
        <w:t xml:space="preserve"> </w:t>
      </w:r>
      <w:r w:rsidR="00DB68B4">
        <w:t>C</w:t>
      </w:r>
      <w:r>
        <w:t xml:space="preserve">redit providers and lessors </w:t>
      </w:r>
      <w:r w:rsidR="00DB68B4" w:rsidRPr="004D1EF7">
        <w:t>must</w:t>
      </w:r>
      <w:r w:rsidRPr="004D1EF7">
        <w:t xml:space="preserve"> ad</w:t>
      </w:r>
      <w:r>
        <w:t xml:space="preserve">vise the debtor or lessee of the changes made </w:t>
      </w:r>
      <w:r w:rsidR="00DB68B4">
        <w:t>to</w:t>
      </w:r>
      <w:r>
        <w:t xml:space="preserve"> the terms within 30 calendar days of the agreement.</w:t>
      </w:r>
    </w:p>
    <w:p w14:paraId="3B636C28" w14:textId="2B6CD4D6" w:rsidR="00853237" w:rsidRPr="002C6752" w:rsidRDefault="00853237" w:rsidP="009A6619">
      <w:pPr>
        <w:pStyle w:val="Enfparastext"/>
      </w:pPr>
      <w:bookmarkStart w:id="282" w:name="_ASICRef105"/>
      <w:bookmarkStart w:id="283" w:name="_ASICRef782"/>
      <w:bookmarkStart w:id="284" w:name="_ASICRef909"/>
      <w:r w:rsidRPr="002C6752">
        <w:t xml:space="preserve">The </w:t>
      </w:r>
      <w:r w:rsidR="00601A8E" w:rsidRPr="002C6752">
        <w:t xml:space="preserve">credit provider must inform the </w:t>
      </w:r>
      <w:r w:rsidRPr="002C6752">
        <w:t>complainant of the</w:t>
      </w:r>
      <w:r w:rsidR="00601A8E" w:rsidRPr="002C6752">
        <w:t>ir</w:t>
      </w:r>
      <w:r w:rsidRPr="002C6752">
        <w:t xml:space="preserve"> right to comp</w:t>
      </w:r>
      <w:r w:rsidR="00822788" w:rsidRPr="002C6752">
        <w:t>lain to AFCA and provide AFCA</w:t>
      </w:r>
      <w:r w:rsidR="00E12C7C">
        <w:t>’</w:t>
      </w:r>
      <w:r w:rsidR="00822788" w:rsidRPr="002C6752">
        <w:t>s contact details</w:t>
      </w:r>
      <w:r w:rsidR="00B07156" w:rsidRPr="002C6752">
        <w:t xml:space="preserve"> at certain points during the process of dealing with a hardship notice and/or request to postpone enforcement proceedings. This information must be provided</w:t>
      </w:r>
      <w:r w:rsidRPr="002C6752">
        <w:t xml:space="preserve"> when</w:t>
      </w:r>
      <w:r w:rsidR="00B07156" w:rsidRPr="002C6752">
        <w:t xml:space="preserve"> the credit provider</w:t>
      </w:r>
      <w:r w:rsidR="00807847">
        <w:t xml:space="preserve"> or lessor</w:t>
      </w:r>
      <w:r w:rsidRPr="002C6752">
        <w:t>:</w:t>
      </w:r>
      <w:bookmarkEnd w:id="282"/>
      <w:bookmarkEnd w:id="283"/>
      <w:bookmarkEnd w:id="284"/>
    </w:p>
    <w:p w14:paraId="23296B00" w14:textId="3FD07ACD" w:rsidR="00B07156" w:rsidRPr="002C6752" w:rsidRDefault="00601A8E" w:rsidP="009A6619">
      <w:pPr>
        <w:pStyle w:val="Enfparassubparaa"/>
      </w:pPr>
      <w:r w:rsidRPr="002C6752">
        <w:t>advise</w:t>
      </w:r>
      <w:r w:rsidR="00B07156" w:rsidRPr="002C6752">
        <w:t>s</w:t>
      </w:r>
      <w:r w:rsidRPr="002C6752">
        <w:t xml:space="preserve"> </w:t>
      </w:r>
      <w:r w:rsidR="00853237" w:rsidRPr="002C6752">
        <w:t xml:space="preserve">the complainant in writing </w:t>
      </w:r>
      <w:r w:rsidR="001745E0" w:rsidRPr="00EB23B2">
        <w:t>that</w:t>
      </w:r>
      <w:r w:rsidR="00853237" w:rsidRPr="00EB23B2">
        <w:t xml:space="preserve"> t</w:t>
      </w:r>
      <w:r w:rsidR="00853237" w:rsidRPr="002C6752">
        <w:t>he</w:t>
      </w:r>
      <w:r w:rsidR="001D4C5D" w:rsidRPr="002C6752">
        <w:t xml:space="preserve"> </w:t>
      </w:r>
      <w:r w:rsidR="00D61163">
        <w:t xml:space="preserve">credit </w:t>
      </w:r>
      <w:r w:rsidR="001D4C5D" w:rsidRPr="002C6752">
        <w:t>provider</w:t>
      </w:r>
      <w:r w:rsidR="00D61163">
        <w:t xml:space="preserve"> or lessor</w:t>
      </w:r>
      <w:r w:rsidR="001D4C5D" w:rsidRPr="002C6752">
        <w:t xml:space="preserve"> has</w:t>
      </w:r>
      <w:r w:rsidR="00853237" w:rsidRPr="002C6752">
        <w:t xml:space="preserve"> </w:t>
      </w:r>
      <w:r w:rsidR="00D61163">
        <w:t>not agreed to change the terms of</w:t>
      </w:r>
      <w:r w:rsidR="00853859">
        <w:t xml:space="preserve"> </w:t>
      </w:r>
      <w:r w:rsidR="00853237" w:rsidRPr="002C6752">
        <w:t>their credit contract or lease</w:t>
      </w:r>
      <w:r w:rsidR="001745E0">
        <w:t>,</w:t>
      </w:r>
      <w:r w:rsidR="00853237" w:rsidRPr="002C6752">
        <w:t xml:space="preserve"> </w:t>
      </w:r>
      <w:r w:rsidR="00D61163">
        <w:t xml:space="preserve">or that the provider </w:t>
      </w:r>
      <w:r w:rsidR="001745E0" w:rsidRPr="004D1EF7">
        <w:t xml:space="preserve">or lessor </w:t>
      </w:r>
      <w:r w:rsidR="00D61163" w:rsidRPr="004D1EF7">
        <w:t>d</w:t>
      </w:r>
      <w:r w:rsidR="00D61163">
        <w:t>oes not agree to negotiate a postponement of</w:t>
      </w:r>
      <w:r w:rsidR="00853859">
        <w:t xml:space="preserve"> </w:t>
      </w:r>
      <w:r w:rsidR="00853237" w:rsidRPr="002C6752">
        <w:t>enforcement proceedings</w:t>
      </w:r>
      <w:r w:rsidR="00B07156" w:rsidRPr="002C6752">
        <w:t>;</w:t>
      </w:r>
      <w:r w:rsidR="00853237" w:rsidRPr="002C6752">
        <w:t xml:space="preserve"> </w:t>
      </w:r>
      <w:r w:rsidR="00C433C2">
        <w:t>and</w:t>
      </w:r>
    </w:p>
    <w:p w14:paraId="55823834" w14:textId="4F758619" w:rsidR="00853237" w:rsidRPr="002C6752" w:rsidRDefault="00807847" w:rsidP="009A6619">
      <w:pPr>
        <w:pStyle w:val="Enfparassubparaa"/>
      </w:pPr>
      <w:r>
        <w:t xml:space="preserve">if </w:t>
      </w:r>
      <w:r w:rsidR="00A12A84" w:rsidRPr="002C6752">
        <w:t>a</w:t>
      </w:r>
      <w:r w:rsidR="00853237" w:rsidRPr="002C6752">
        <w:t xml:space="preserve"> change </w:t>
      </w:r>
      <w:r w:rsidR="001D4C5D" w:rsidRPr="002C6752">
        <w:t xml:space="preserve">to </w:t>
      </w:r>
      <w:r>
        <w:t xml:space="preserve">the </w:t>
      </w:r>
      <w:r w:rsidR="001D4C5D" w:rsidRPr="002C6752">
        <w:t xml:space="preserve">contract or lease terms </w:t>
      </w:r>
      <w:r w:rsidR="00853237" w:rsidRPr="002C6752">
        <w:t>or</w:t>
      </w:r>
      <w:r w:rsidR="00B07156" w:rsidRPr="002C6752">
        <w:t xml:space="preserve"> postponement</w:t>
      </w:r>
      <w:r w:rsidR="00853237" w:rsidRPr="002C6752">
        <w:t xml:space="preserve"> </w:t>
      </w:r>
      <w:r>
        <w:t>has been agreed to</w:t>
      </w:r>
      <w:r w:rsidR="001745E0">
        <w:t>,</w:t>
      </w:r>
      <w:r>
        <w:t xml:space="preserve"> </w:t>
      </w:r>
      <w:r w:rsidR="00853237" w:rsidRPr="002C6752">
        <w:t>notifie</w:t>
      </w:r>
      <w:r w:rsidR="00B07156" w:rsidRPr="002C6752">
        <w:t>s the complainant</w:t>
      </w:r>
      <w:r w:rsidR="00853237" w:rsidRPr="002C6752">
        <w:t xml:space="preserve"> in writing of the terms of the </w:t>
      </w:r>
      <w:r w:rsidR="00B07156" w:rsidRPr="002C6752">
        <w:t xml:space="preserve">variation </w:t>
      </w:r>
      <w:r w:rsidR="00853237" w:rsidRPr="002C6752">
        <w:t xml:space="preserve">or conditions of </w:t>
      </w:r>
      <w:r w:rsidR="00B07156" w:rsidRPr="002C6752">
        <w:t xml:space="preserve">the </w:t>
      </w:r>
      <w:r w:rsidR="00853237" w:rsidRPr="002C6752">
        <w:t>postponement</w:t>
      </w:r>
      <w:r w:rsidR="005014F8" w:rsidRPr="002C6752">
        <w:t xml:space="preserve">. The credit provider </w:t>
      </w:r>
      <w:r w:rsidR="00D61163">
        <w:t xml:space="preserve">or lessor </w:t>
      </w:r>
      <w:r w:rsidR="005014F8" w:rsidRPr="002C6752">
        <w:t>must send this written notice</w:t>
      </w:r>
      <w:r w:rsidR="00853237" w:rsidRPr="002C6752">
        <w:t xml:space="preserve"> within 30</w:t>
      </w:r>
      <w:r w:rsidR="005014F8" w:rsidRPr="002C6752">
        <w:t> </w:t>
      </w:r>
      <w:r w:rsidR="00B121F9">
        <w:t xml:space="preserve">calendar </w:t>
      </w:r>
      <w:r w:rsidR="00853237" w:rsidRPr="002C6752">
        <w:t xml:space="preserve">days </w:t>
      </w:r>
      <w:r w:rsidR="005014F8" w:rsidRPr="002C6752">
        <w:t>of</w:t>
      </w:r>
      <w:r w:rsidR="00853237" w:rsidRPr="002C6752">
        <w:t xml:space="preserve"> the agreement </w:t>
      </w:r>
      <w:r w:rsidR="005014F8" w:rsidRPr="002C6752">
        <w:t>being</w:t>
      </w:r>
      <w:r w:rsidR="00853237" w:rsidRPr="002C6752">
        <w:t xml:space="preserve"> reached.</w:t>
      </w:r>
    </w:p>
    <w:p w14:paraId="7FB3129B" w14:textId="77777777" w:rsidR="00853237" w:rsidRPr="002C6752" w:rsidRDefault="00853237" w:rsidP="009A6619">
      <w:pPr>
        <w:pStyle w:val="Enfparasnote"/>
      </w:pPr>
      <w:r w:rsidRPr="002C6752">
        <w:t>Note: This requirement does not apply to an unlicensed COI lender who has not joined AFCA.</w:t>
      </w:r>
    </w:p>
    <w:p w14:paraId="13DDBDD8" w14:textId="77A03C2E" w:rsidR="00853237" w:rsidRPr="002C6752" w:rsidRDefault="00825270" w:rsidP="00CC2DD6">
      <w:pPr>
        <w:pStyle w:val="BodyText"/>
        <w:ind w:right="-142"/>
      </w:pPr>
      <w:bookmarkStart w:id="285" w:name="_ASICRef524"/>
      <w:bookmarkStart w:id="286" w:name="_ASICRef263"/>
      <w:bookmarkStart w:id="287" w:name="_ASICRef326"/>
      <w:bookmarkStart w:id="288" w:name="_ASICRef536"/>
      <w:bookmarkStart w:id="289" w:name="_ASICRef130"/>
      <w:bookmarkStart w:id="290" w:name="_ASICRef518"/>
      <w:bookmarkStart w:id="291" w:name="_ASICRef804"/>
      <w:bookmarkStart w:id="292" w:name="_ASICRef372"/>
      <w:r w:rsidRPr="002C6752">
        <w:t>We recognise that complaints</w:t>
      </w:r>
      <w:r w:rsidR="00853237" w:rsidRPr="002C6752">
        <w:t xml:space="preserve"> involving hardship notices or postponement of enforcement proceedings may also involve issues relating to default notices.</w:t>
      </w:r>
      <w:r w:rsidR="003229E3" w:rsidRPr="002C6752">
        <w:t xml:space="preserve"> </w:t>
      </w:r>
      <w:r w:rsidR="00601A8E" w:rsidRPr="002C6752">
        <w:t>A</w:t>
      </w:r>
      <w:r w:rsidR="00853237" w:rsidRPr="002C6752">
        <w:t xml:space="preserve"> co</w:t>
      </w:r>
      <w:r w:rsidR="00822788" w:rsidRPr="002C6752">
        <w:t xml:space="preserve">mplainant may lodge their complaint </w:t>
      </w:r>
      <w:r w:rsidR="00853237" w:rsidRPr="002C6752">
        <w:t xml:space="preserve">directly with AFCA </w:t>
      </w:r>
      <w:r w:rsidR="00601A8E" w:rsidRPr="002C6752">
        <w:t xml:space="preserve">if </w:t>
      </w:r>
      <w:r w:rsidR="00853237" w:rsidRPr="002C6752">
        <w:t>the complaint involves a default notice, issued after a credit provider</w:t>
      </w:r>
      <w:r w:rsidR="00561EF4">
        <w:t>,</w:t>
      </w:r>
      <w:r w:rsidR="00853237" w:rsidRPr="002C6752">
        <w:t xml:space="preserve"> credit service provider </w:t>
      </w:r>
      <w:r w:rsidR="00561EF4">
        <w:t xml:space="preserve">or lessor </w:t>
      </w:r>
      <w:r w:rsidR="00853237" w:rsidRPr="002C6752">
        <w:t xml:space="preserve">has considered and/or decided not to grant a change to the </w:t>
      </w:r>
      <w:r w:rsidR="00853237" w:rsidRPr="00CC2DD6">
        <w:rPr>
          <w:spacing w:val="-4"/>
        </w:rPr>
        <w:t>terms of the credit contract or lease for hardship or postponement of enforcement proceedings.</w:t>
      </w:r>
      <w:r w:rsidR="003229E3" w:rsidRPr="00CC2DD6">
        <w:rPr>
          <w:spacing w:val="-4"/>
        </w:rPr>
        <w:t xml:space="preserve"> </w:t>
      </w:r>
      <w:r w:rsidR="00853237" w:rsidRPr="00CC2DD6">
        <w:rPr>
          <w:spacing w:val="-4"/>
        </w:rPr>
        <w:t xml:space="preserve">Where this is the case, </w:t>
      </w:r>
      <w:r w:rsidR="00E91759" w:rsidRPr="00CC2DD6">
        <w:rPr>
          <w:spacing w:val="-4"/>
        </w:rPr>
        <w:fldChar w:fldCharType="begin"/>
      </w:r>
      <w:r w:rsidR="00E91759" w:rsidRPr="00CC2DD6">
        <w:rPr>
          <w:spacing w:val="-4"/>
        </w:rPr>
        <w:instrText xml:space="preserve"> REF _ASICRef770 \w \h  \* MERGEFORMAT </w:instrText>
      </w:r>
      <w:r w:rsidR="00E91759" w:rsidRPr="00CC2DD6">
        <w:rPr>
          <w:spacing w:val="-4"/>
        </w:rPr>
      </w:r>
      <w:r w:rsidR="00E91759" w:rsidRPr="00CC2DD6">
        <w:rPr>
          <w:spacing w:val="-4"/>
        </w:rPr>
        <w:fldChar w:fldCharType="separate"/>
      </w:r>
      <w:r w:rsidR="00DE6E77">
        <w:rPr>
          <w:spacing w:val="-4"/>
        </w:rPr>
        <w:t>RG 271.99</w:t>
      </w:r>
      <w:r w:rsidR="00E91759" w:rsidRPr="00CC2DD6">
        <w:rPr>
          <w:spacing w:val="-4"/>
        </w:rPr>
        <w:fldChar w:fldCharType="end"/>
      </w:r>
      <w:r w:rsidR="004F055C" w:rsidRPr="00CC2DD6">
        <w:rPr>
          <w:spacing w:val="-4"/>
        </w:rPr>
        <w:t>–</w:t>
      </w:r>
      <w:r w:rsidR="004F055C" w:rsidRPr="00CC2DD6">
        <w:rPr>
          <w:spacing w:val="-4"/>
        </w:rPr>
        <w:fldChar w:fldCharType="begin"/>
      </w:r>
      <w:r w:rsidR="004F055C" w:rsidRPr="00CC2DD6">
        <w:rPr>
          <w:spacing w:val="-4"/>
        </w:rPr>
        <w:instrText xml:space="preserve"> REF _ASICRef105 \w \h </w:instrText>
      </w:r>
      <w:r w:rsidR="002F1325" w:rsidRPr="00CC2DD6">
        <w:rPr>
          <w:spacing w:val="-4"/>
        </w:rPr>
        <w:instrText xml:space="preserve"> \* MERGEFORMAT </w:instrText>
      </w:r>
      <w:r w:rsidR="004F055C" w:rsidRPr="00CC2DD6">
        <w:rPr>
          <w:spacing w:val="-4"/>
        </w:rPr>
      </w:r>
      <w:r w:rsidR="004F055C" w:rsidRPr="00CC2DD6">
        <w:rPr>
          <w:spacing w:val="-4"/>
        </w:rPr>
        <w:fldChar w:fldCharType="separate"/>
      </w:r>
      <w:r w:rsidR="00DE6E77">
        <w:rPr>
          <w:spacing w:val="-4"/>
        </w:rPr>
        <w:t>RG 271.100</w:t>
      </w:r>
      <w:r w:rsidR="004F055C" w:rsidRPr="00CC2DD6">
        <w:rPr>
          <w:spacing w:val="-4"/>
        </w:rPr>
        <w:fldChar w:fldCharType="end"/>
      </w:r>
      <w:r w:rsidR="009D09F4" w:rsidRPr="00CC2DD6">
        <w:rPr>
          <w:spacing w:val="-4"/>
        </w:rPr>
        <w:t xml:space="preserve"> </w:t>
      </w:r>
      <w:r w:rsidR="008A3C3D" w:rsidRPr="00CC2DD6">
        <w:rPr>
          <w:spacing w:val="-4"/>
        </w:rPr>
        <w:t>will apply</w:t>
      </w:r>
      <w:bookmarkEnd w:id="285"/>
      <w:r w:rsidR="00601A8E" w:rsidRPr="00CC2DD6">
        <w:rPr>
          <w:spacing w:val="-4"/>
        </w:rPr>
        <w:t>.</w:t>
      </w:r>
      <w:bookmarkEnd w:id="286"/>
      <w:bookmarkEnd w:id="287"/>
      <w:bookmarkEnd w:id="288"/>
      <w:bookmarkEnd w:id="289"/>
      <w:bookmarkEnd w:id="290"/>
      <w:bookmarkEnd w:id="291"/>
      <w:bookmarkEnd w:id="292"/>
    </w:p>
    <w:p w14:paraId="3CC8D2EC" w14:textId="30694DB6" w:rsidR="00465894" w:rsidRPr="002C6752" w:rsidRDefault="0002560B" w:rsidP="00CC2DD6">
      <w:pPr>
        <w:pStyle w:val="Heading2"/>
      </w:pPr>
      <w:bookmarkStart w:id="293" w:name="_Toc46844239"/>
      <w:r w:rsidRPr="002C6752">
        <w:lastRenderedPageBreak/>
        <w:t>IDR response requirements for m</w:t>
      </w:r>
      <w:r w:rsidR="00465894" w:rsidRPr="002C6752">
        <w:t>ulti-tier IDR processes</w:t>
      </w:r>
      <w:bookmarkEnd w:id="293"/>
    </w:p>
    <w:p w14:paraId="3D70542E" w14:textId="05D2FA41" w:rsidR="00601A8E" w:rsidRPr="002C6752" w:rsidRDefault="00601A8E" w:rsidP="00601A8E">
      <w:pPr>
        <w:pStyle w:val="BodyText"/>
      </w:pPr>
      <w:r w:rsidRPr="002C6752">
        <w:t>The maximum IDR timeframes for providing an IDR response</w:t>
      </w:r>
      <w:r w:rsidR="00B775AA" w:rsidRPr="002C6752">
        <w:t xml:space="preserve"> </w:t>
      </w:r>
      <w:r w:rsidR="00DD05B5" w:rsidRPr="002C6752">
        <w:t xml:space="preserve">(see </w:t>
      </w:r>
      <w:r w:rsidR="00E91759" w:rsidRPr="002C6752">
        <w:fldChar w:fldCharType="begin"/>
      </w:r>
      <w:r w:rsidR="00E91759" w:rsidRPr="002C6752">
        <w:instrText xml:space="preserve"> REF _ASICRef218 \w \h </w:instrText>
      </w:r>
      <w:r w:rsidR="00E91759" w:rsidRPr="002C6752">
        <w:fldChar w:fldCharType="separate"/>
      </w:r>
      <w:r w:rsidR="00DE6E77">
        <w:t>RG 271.56</w:t>
      </w:r>
      <w:r w:rsidR="00E91759" w:rsidRPr="002C6752">
        <w:fldChar w:fldCharType="end"/>
      </w:r>
      <w:r w:rsidR="00DD05B5" w:rsidRPr="002C6752">
        <w:t>–</w:t>
      </w:r>
      <w:r w:rsidR="00DD05B5" w:rsidRPr="002C6752">
        <w:fldChar w:fldCharType="begin"/>
      </w:r>
      <w:r w:rsidR="00DD05B5" w:rsidRPr="002C6752">
        <w:instrText xml:space="preserve"> REF _ASICRef536 \w \h </w:instrText>
      </w:r>
      <w:r w:rsidR="002F1325" w:rsidRPr="002C6752">
        <w:instrText xml:space="preserve"> \* MERGEFORMAT </w:instrText>
      </w:r>
      <w:r w:rsidR="00DD05B5" w:rsidRPr="002C6752">
        <w:fldChar w:fldCharType="separate"/>
      </w:r>
      <w:r w:rsidR="00DE6E77">
        <w:t>RG 271.101</w:t>
      </w:r>
      <w:r w:rsidR="00DD05B5" w:rsidRPr="002C6752">
        <w:fldChar w:fldCharType="end"/>
      </w:r>
      <w:r w:rsidR="00DD05B5" w:rsidRPr="002C6752">
        <w:t xml:space="preserve">) </w:t>
      </w:r>
      <w:r w:rsidRPr="002C6752">
        <w:t xml:space="preserve">apply to all IDR processes, including those that </w:t>
      </w:r>
      <w:r w:rsidRPr="00CC2DD6">
        <w:rPr>
          <w:spacing w:val="-2"/>
        </w:rPr>
        <w:t>include internal appeals or escalation mechanisms (multi-tier IDR processes).</w:t>
      </w:r>
    </w:p>
    <w:p w14:paraId="4E065BE5" w14:textId="02058B69" w:rsidR="00465894" w:rsidRPr="002C6752" w:rsidRDefault="00465894" w:rsidP="00B9535C">
      <w:pPr>
        <w:pStyle w:val="BodyText"/>
      </w:pPr>
      <w:r w:rsidRPr="002C6752">
        <w:t>Many financial firm</w:t>
      </w:r>
      <w:r w:rsidR="0008327E" w:rsidRPr="002C6752">
        <w:t>s</w:t>
      </w:r>
      <w:r w:rsidRPr="002C6752">
        <w:t xml:space="preserve"> operat</w:t>
      </w:r>
      <w:r w:rsidR="00106910" w:rsidRPr="002C6752">
        <w:t xml:space="preserve">e </w:t>
      </w:r>
      <w:r w:rsidR="00B21242" w:rsidRPr="002C6752">
        <w:t>multi</w:t>
      </w:r>
      <w:r w:rsidR="00106910" w:rsidRPr="002C6752">
        <w:t>-tier IDR proce</w:t>
      </w:r>
      <w:r w:rsidR="00601A8E" w:rsidRPr="002C6752">
        <w:t>sses</w:t>
      </w:r>
      <w:r w:rsidR="007D5930" w:rsidRPr="002C6752">
        <w:t>.</w:t>
      </w:r>
      <w:r w:rsidR="00E8771C" w:rsidRPr="002C6752">
        <w:t xml:space="preserve"> </w:t>
      </w:r>
      <w:r w:rsidR="007D5930" w:rsidRPr="002C6752">
        <w:t>T</w:t>
      </w:r>
      <w:r w:rsidR="004F7AF3" w:rsidRPr="002C6752">
        <w:t>ypically</w:t>
      </w:r>
      <w:r w:rsidR="007D5930" w:rsidRPr="002C6752">
        <w:t xml:space="preserve">, this </w:t>
      </w:r>
      <w:r w:rsidR="006D0EEF" w:rsidRPr="002C6752">
        <w:t>might</w:t>
      </w:r>
      <w:r w:rsidR="007D5930" w:rsidRPr="002C6752">
        <w:t xml:space="preserve"> include </w:t>
      </w:r>
      <w:r w:rsidR="00E71041" w:rsidRPr="002C6752">
        <w:t xml:space="preserve">frontline staff </w:t>
      </w:r>
      <w:r w:rsidRPr="002C6752">
        <w:t>or</w:t>
      </w:r>
      <w:r w:rsidR="00E71041" w:rsidRPr="002C6752">
        <w:t xml:space="preserve"> an initial point of contact</w:t>
      </w:r>
      <w:r w:rsidR="007D5930" w:rsidRPr="002C6752">
        <w:t xml:space="preserve"> considering the complaint.</w:t>
      </w:r>
      <w:r w:rsidR="00E71041" w:rsidRPr="002C6752">
        <w:t xml:space="preserve"> </w:t>
      </w:r>
      <w:r w:rsidR="007D5930" w:rsidRPr="002C6752">
        <w:t>I</w:t>
      </w:r>
      <w:r w:rsidR="00E71041" w:rsidRPr="002C6752">
        <w:t xml:space="preserve">f </w:t>
      </w:r>
      <w:r w:rsidR="007D5930" w:rsidRPr="002C6752">
        <w:t xml:space="preserve">they are </w:t>
      </w:r>
      <w:r w:rsidR="00E71041" w:rsidRPr="002C6752">
        <w:t>not</w:t>
      </w:r>
      <w:r w:rsidR="007D5930" w:rsidRPr="002C6752">
        <w:t xml:space="preserve"> able to</w:t>
      </w:r>
      <w:r w:rsidR="00E71041" w:rsidRPr="002C6752">
        <w:t xml:space="preserve"> resolve</w:t>
      </w:r>
      <w:r w:rsidR="007D5930" w:rsidRPr="002C6752">
        <w:t xml:space="preserve"> it:</w:t>
      </w:r>
    </w:p>
    <w:p w14:paraId="65003349" w14:textId="11000F06" w:rsidR="00465894" w:rsidRPr="002C6752" w:rsidRDefault="00465894" w:rsidP="00465894">
      <w:pPr>
        <w:pStyle w:val="subparaa"/>
      </w:pPr>
      <w:r w:rsidRPr="002C6752">
        <w:t>an operational area (</w:t>
      </w:r>
      <w:r w:rsidR="00601A8E" w:rsidRPr="002C6752">
        <w:t>e.g.</w:t>
      </w:r>
      <w:r w:rsidR="00E71041" w:rsidRPr="002C6752">
        <w:t xml:space="preserve"> claims or underwriting)</w:t>
      </w:r>
      <w:r w:rsidR="007D5930" w:rsidRPr="002C6752">
        <w:t xml:space="preserve"> may review the complaint</w:t>
      </w:r>
      <w:r w:rsidR="00E71041" w:rsidRPr="002C6752">
        <w:t>; and</w:t>
      </w:r>
      <w:r w:rsidR="006B04D5" w:rsidRPr="002C6752">
        <w:t>/or</w:t>
      </w:r>
    </w:p>
    <w:p w14:paraId="53BC6237" w14:textId="27497C15" w:rsidR="00465894" w:rsidRPr="00CC2DD6" w:rsidRDefault="00106910" w:rsidP="00CC2DD6">
      <w:pPr>
        <w:pStyle w:val="subparaa"/>
        <w:ind w:right="-426"/>
        <w:rPr>
          <w:spacing w:val="-4"/>
        </w:rPr>
      </w:pPr>
      <w:r w:rsidRPr="00CC2DD6">
        <w:rPr>
          <w:spacing w:val="-4"/>
        </w:rPr>
        <w:t xml:space="preserve">a centralised </w:t>
      </w:r>
      <w:r w:rsidR="00E12C7C">
        <w:rPr>
          <w:spacing w:val="-4"/>
        </w:rPr>
        <w:t>‘</w:t>
      </w:r>
      <w:r w:rsidRPr="00CC2DD6">
        <w:rPr>
          <w:spacing w:val="-4"/>
        </w:rPr>
        <w:t>complaints team</w:t>
      </w:r>
      <w:r w:rsidR="00E12C7C">
        <w:rPr>
          <w:spacing w:val="-4"/>
        </w:rPr>
        <w:t>’</w:t>
      </w:r>
      <w:r w:rsidR="007D5930" w:rsidRPr="00CC2DD6">
        <w:rPr>
          <w:spacing w:val="-4"/>
        </w:rPr>
        <w:t xml:space="preserve"> may conduct a further review and investigation</w:t>
      </w:r>
      <w:r w:rsidR="00E71041" w:rsidRPr="00CC2DD6">
        <w:rPr>
          <w:spacing w:val="-4"/>
        </w:rPr>
        <w:t>.</w:t>
      </w:r>
    </w:p>
    <w:p w14:paraId="7D10CAFE" w14:textId="7CA2B845" w:rsidR="00465894" w:rsidRPr="002C6752" w:rsidRDefault="00AB4110" w:rsidP="00465894">
      <w:pPr>
        <w:pStyle w:val="BodyText"/>
      </w:pPr>
      <w:r w:rsidRPr="002C6752">
        <w:t>Fi</w:t>
      </w:r>
      <w:r w:rsidR="00E71041" w:rsidRPr="002C6752">
        <w:t>nancial firms</w:t>
      </w:r>
      <w:r w:rsidR="00B003F5" w:rsidRPr="002C6752">
        <w:t xml:space="preserve"> should</w:t>
      </w:r>
      <w:r w:rsidR="00E71041" w:rsidRPr="002C6752">
        <w:t xml:space="preserve"> </w:t>
      </w:r>
      <w:r w:rsidRPr="002C6752">
        <w:t xml:space="preserve">generally </w:t>
      </w:r>
      <w:r w:rsidR="00E71041" w:rsidRPr="002C6752">
        <w:t>aim</w:t>
      </w:r>
      <w:r w:rsidR="00465894" w:rsidRPr="002C6752">
        <w:t xml:space="preserve"> to resolve the majority of complaints at the</w:t>
      </w:r>
      <w:r w:rsidR="00E71041" w:rsidRPr="002C6752">
        <w:t xml:space="preserve"> first point of contact,</w:t>
      </w:r>
      <w:r w:rsidR="00465894" w:rsidRPr="002C6752">
        <w:t xml:space="preserve"> within a </w:t>
      </w:r>
      <w:r w:rsidR="00E71041" w:rsidRPr="002C6752">
        <w:t>short timeframe</w:t>
      </w:r>
      <w:r w:rsidR="00465894" w:rsidRPr="002C6752">
        <w:t>.</w:t>
      </w:r>
      <w:r w:rsidR="003229E3" w:rsidRPr="002C6752">
        <w:t xml:space="preserve"> </w:t>
      </w:r>
    </w:p>
    <w:p w14:paraId="4E8DBB4F" w14:textId="6B61B740" w:rsidR="00106910" w:rsidRPr="002C6752" w:rsidRDefault="00F66540" w:rsidP="00086639">
      <w:pPr>
        <w:pStyle w:val="BodyText"/>
      </w:pPr>
      <w:r w:rsidRPr="002C6752">
        <w:t>F</w:t>
      </w:r>
      <w:r w:rsidR="00465894" w:rsidRPr="002C6752">
        <w:t>irms may arrange their complaint management resources and processes to suit the nature, scale and complexity of their business</w:t>
      </w:r>
      <w:r w:rsidR="00601A8E" w:rsidRPr="002C6752">
        <w:t>;</w:t>
      </w:r>
      <w:r w:rsidRPr="002C6752">
        <w:t xml:space="preserve"> h</w:t>
      </w:r>
      <w:r w:rsidR="00AB4110" w:rsidRPr="002C6752">
        <w:t>owever,</w:t>
      </w:r>
      <w:r w:rsidR="00465894" w:rsidRPr="002C6752">
        <w:t xml:space="preserve"> </w:t>
      </w:r>
      <w:r w:rsidR="00AB4110" w:rsidRPr="002C6752">
        <w:t xml:space="preserve">complainants </w:t>
      </w:r>
      <w:r w:rsidR="004B18EB" w:rsidRPr="002C6752">
        <w:t>should not be disadvantaged by the use of</w:t>
      </w:r>
      <w:r w:rsidR="00AB4110" w:rsidRPr="002C6752">
        <w:t xml:space="preserve"> multi-tier </w:t>
      </w:r>
      <w:r w:rsidR="004B18EB" w:rsidRPr="002C6752">
        <w:t xml:space="preserve">IDR </w:t>
      </w:r>
      <w:r w:rsidR="00AB4110" w:rsidRPr="002C6752">
        <w:t>proce</w:t>
      </w:r>
      <w:r w:rsidR="003A770E" w:rsidRPr="002C6752">
        <w:t>sse</w:t>
      </w:r>
      <w:r w:rsidR="00AB4110" w:rsidRPr="002C6752">
        <w:t>s</w:t>
      </w:r>
      <w:r w:rsidR="0005018D" w:rsidRPr="002C6752">
        <w:t xml:space="preserve"> by financial firms</w:t>
      </w:r>
      <w:r w:rsidR="00AB4110" w:rsidRPr="002C6752">
        <w:t>.</w:t>
      </w:r>
    </w:p>
    <w:p w14:paraId="2687B628" w14:textId="21D2E5BD" w:rsidR="0070093C" w:rsidRPr="002C6752" w:rsidRDefault="003A770E" w:rsidP="0070093C">
      <w:pPr>
        <w:pStyle w:val="BodyText"/>
      </w:pPr>
      <w:bookmarkStart w:id="294" w:name="_ASICRef217"/>
      <w:r w:rsidRPr="002C6752">
        <w:t>R</w:t>
      </w:r>
      <w:r w:rsidR="0070093C" w:rsidRPr="002C6752">
        <w:t xml:space="preserve">egardless of </w:t>
      </w:r>
      <w:r w:rsidRPr="002C6752">
        <w:t xml:space="preserve">the structure of </w:t>
      </w:r>
      <w:r w:rsidR="0070093C" w:rsidRPr="002C6752">
        <w:t>a firm</w:t>
      </w:r>
      <w:r w:rsidR="00E12C7C">
        <w:t>’</w:t>
      </w:r>
      <w:r w:rsidR="0070093C" w:rsidRPr="002C6752">
        <w:t xml:space="preserve">s </w:t>
      </w:r>
      <w:r w:rsidRPr="002C6752">
        <w:t>IDR process</w:t>
      </w:r>
      <w:r w:rsidR="0070093C" w:rsidRPr="002C6752">
        <w:t xml:space="preserve">, </w:t>
      </w:r>
      <w:r w:rsidRPr="002C6752">
        <w:t>the firm</w:t>
      </w:r>
      <w:r w:rsidR="00E12C7C">
        <w:t>’</w:t>
      </w:r>
      <w:r w:rsidRPr="002C6752">
        <w:t>s obligation to deal with a matter according to our IDR requirements is triggered when</w:t>
      </w:r>
      <w:r w:rsidR="0070093C" w:rsidRPr="002C6752">
        <w:t xml:space="preserve"> the complainant</w:t>
      </w:r>
      <w:r w:rsidR="00E12C7C">
        <w:t>’</w:t>
      </w:r>
      <w:r w:rsidR="0070093C" w:rsidRPr="002C6752">
        <w:t>s expression of di</w:t>
      </w:r>
      <w:r w:rsidR="00E604F1" w:rsidRPr="002C6752">
        <w:t xml:space="preserve">ssatisfaction </w:t>
      </w:r>
      <w:r w:rsidR="0070093C" w:rsidRPr="002C6752">
        <w:t>meets the definitio</w:t>
      </w:r>
      <w:r w:rsidR="00E604F1" w:rsidRPr="002C6752">
        <w:t xml:space="preserve">n of </w:t>
      </w:r>
      <w:r w:rsidR="00E12C7C">
        <w:t>‘</w:t>
      </w:r>
      <w:r w:rsidR="00E604F1" w:rsidRPr="002C6752">
        <w:t>complaint</w:t>
      </w:r>
      <w:r w:rsidR="00E12C7C">
        <w:t>’</w:t>
      </w:r>
      <w:r w:rsidR="00E604F1" w:rsidRPr="002C6752">
        <w:t xml:space="preserve"> set out in </w:t>
      </w:r>
      <w:r w:rsidR="00E91759" w:rsidRPr="002C6752">
        <w:fldChar w:fldCharType="begin"/>
      </w:r>
      <w:r w:rsidR="00E91759" w:rsidRPr="002C6752">
        <w:instrText xml:space="preserve"> REF _ASICRef446 \w \h </w:instrText>
      </w:r>
      <w:r w:rsidR="00E91759" w:rsidRPr="002C6752">
        <w:fldChar w:fldCharType="separate"/>
      </w:r>
      <w:r w:rsidR="00DE6E77">
        <w:t>RG 271.27</w:t>
      </w:r>
      <w:r w:rsidR="00E91759" w:rsidRPr="002C6752">
        <w:fldChar w:fldCharType="end"/>
      </w:r>
      <w:r w:rsidRPr="002C6752">
        <w:t>.</w:t>
      </w:r>
      <w:r w:rsidR="0070093C" w:rsidRPr="002C6752">
        <w:t xml:space="preserve"> </w:t>
      </w:r>
      <w:r w:rsidRPr="002C6752">
        <w:t>It is</w:t>
      </w:r>
      <w:r w:rsidR="0070093C" w:rsidRPr="002C6752">
        <w:t xml:space="preserve"> not</w:t>
      </w:r>
      <w:r w:rsidRPr="002C6752">
        <w:t xml:space="preserve"> triggered by</w:t>
      </w:r>
      <w:r w:rsidR="0070093C" w:rsidRPr="002C6752">
        <w:t xml:space="preserve"> the referral of a complaint to a specialist complaints</w:t>
      </w:r>
      <w:r w:rsidRPr="002C6752">
        <w:t xml:space="preserve"> or </w:t>
      </w:r>
      <w:r w:rsidR="0070093C" w:rsidRPr="002C6752">
        <w:t xml:space="preserve">IDR team. </w:t>
      </w:r>
      <w:bookmarkEnd w:id="294"/>
    </w:p>
    <w:p w14:paraId="25FF0CE1" w14:textId="2D72E357" w:rsidR="0070093C" w:rsidRPr="002C6752" w:rsidRDefault="00E604F1" w:rsidP="007C350B">
      <w:pPr>
        <w:pStyle w:val="Note"/>
      </w:pPr>
      <w:r w:rsidRPr="002C6752">
        <w:t>Note: See</w:t>
      </w:r>
      <w:r w:rsidR="00C600F4" w:rsidRPr="002C6752">
        <w:t xml:space="preserve"> </w:t>
      </w:r>
      <w:r w:rsidR="00E91759" w:rsidRPr="002C6752">
        <w:fldChar w:fldCharType="begin"/>
      </w:r>
      <w:r w:rsidR="00E91759" w:rsidRPr="002C6752">
        <w:instrText xml:space="preserve"> REF _ASICRef236 \w \h </w:instrText>
      </w:r>
      <w:r w:rsidR="00E91759" w:rsidRPr="002C6752">
        <w:fldChar w:fldCharType="separate"/>
      </w:r>
      <w:r w:rsidR="00DE6E77">
        <w:t>RG 271.27</w:t>
      </w:r>
      <w:r w:rsidR="00E91759" w:rsidRPr="002C6752">
        <w:fldChar w:fldCharType="end"/>
      </w:r>
      <w:r w:rsidR="00DD041A" w:rsidRPr="002C6752">
        <w:t>–</w:t>
      </w:r>
      <w:r w:rsidR="00D86198">
        <w:fldChar w:fldCharType="begin"/>
      </w:r>
      <w:r w:rsidR="00D86198">
        <w:instrText xml:space="preserve"> REF _ASICRef330 \w \h </w:instrText>
      </w:r>
      <w:r w:rsidR="00D86198">
        <w:fldChar w:fldCharType="separate"/>
      </w:r>
      <w:r w:rsidR="00DE6E77">
        <w:t>RG 271.32</w:t>
      </w:r>
      <w:r w:rsidR="00D86198">
        <w:fldChar w:fldCharType="end"/>
      </w:r>
      <w:r w:rsidR="00B775AA" w:rsidRPr="002C6752">
        <w:t xml:space="preserve"> </w:t>
      </w:r>
      <w:r w:rsidR="0070093C" w:rsidRPr="002C6752">
        <w:t xml:space="preserve">for our guidance </w:t>
      </w:r>
      <w:r w:rsidR="000A03AA" w:rsidRPr="002C6752">
        <w:t>on</w:t>
      </w:r>
      <w:r w:rsidR="0070093C" w:rsidRPr="002C6752">
        <w:t xml:space="preserve"> the definition of </w:t>
      </w:r>
      <w:r w:rsidR="00E12C7C">
        <w:t>‘</w:t>
      </w:r>
      <w:r w:rsidR="0070093C" w:rsidRPr="002C6752">
        <w:t>complaint</w:t>
      </w:r>
      <w:r w:rsidR="00E12C7C">
        <w:t>’</w:t>
      </w:r>
      <w:r w:rsidR="0070093C" w:rsidRPr="002C6752">
        <w:t>.</w:t>
      </w:r>
    </w:p>
    <w:p w14:paraId="5BACE5DF" w14:textId="2046F023" w:rsidR="00846A0A" w:rsidRPr="002C6752" w:rsidRDefault="00FD04C1" w:rsidP="00B9535C">
      <w:pPr>
        <w:pStyle w:val="Heading2"/>
      </w:pPr>
      <w:bookmarkStart w:id="295" w:name="_Toc46844240"/>
      <w:r w:rsidRPr="002C6752">
        <w:t>The role of c</w:t>
      </w:r>
      <w:r w:rsidR="000D2A4C" w:rsidRPr="002C6752">
        <w:t>u</w:t>
      </w:r>
      <w:r w:rsidR="00846A0A" w:rsidRPr="002C6752">
        <w:t>stomer advocates</w:t>
      </w:r>
      <w:bookmarkEnd w:id="295"/>
      <w:r w:rsidR="0002560B" w:rsidRPr="002C6752">
        <w:t xml:space="preserve"> </w:t>
      </w:r>
    </w:p>
    <w:p w14:paraId="0CA40850" w14:textId="687DC3D2" w:rsidR="00465894" w:rsidRPr="002C6752" w:rsidRDefault="00465894" w:rsidP="00994B97">
      <w:pPr>
        <w:pStyle w:val="BodyText"/>
        <w:rPr>
          <w:i/>
        </w:rPr>
      </w:pPr>
      <w:bookmarkStart w:id="296" w:name="_ASICRef77"/>
      <w:r w:rsidRPr="002C6752">
        <w:t xml:space="preserve">Many </w:t>
      </w:r>
      <w:r w:rsidR="005A28A1" w:rsidRPr="002C6752">
        <w:t>financial firms</w:t>
      </w:r>
      <w:r w:rsidRPr="002C6752">
        <w:t xml:space="preserve"> have introduced</w:t>
      </w:r>
      <w:r w:rsidR="002F1702" w:rsidRPr="002C6752">
        <w:t xml:space="preserve"> th</w:t>
      </w:r>
      <w:r w:rsidR="00C15B60" w:rsidRPr="002C6752">
        <w:t xml:space="preserve">e role of </w:t>
      </w:r>
      <w:r w:rsidR="00E12C7C">
        <w:t>‘</w:t>
      </w:r>
      <w:r w:rsidR="00C15B60" w:rsidRPr="002C6752">
        <w:t>customer a</w:t>
      </w:r>
      <w:r w:rsidR="002F1702" w:rsidRPr="002C6752">
        <w:t>dvocate</w:t>
      </w:r>
      <w:r w:rsidR="00E12C7C">
        <w:t>’</w:t>
      </w:r>
      <w:r w:rsidR="002F1702" w:rsidRPr="002C6752">
        <w:t>.</w:t>
      </w:r>
      <w:r w:rsidR="003229E3" w:rsidRPr="002C6752">
        <w:t xml:space="preserve"> </w:t>
      </w:r>
      <w:bookmarkEnd w:id="296"/>
    </w:p>
    <w:p w14:paraId="3D3B7623" w14:textId="39BC83CA" w:rsidR="00C65619" w:rsidRPr="002C6752" w:rsidRDefault="00C65619" w:rsidP="00465894">
      <w:pPr>
        <w:pStyle w:val="BodyText"/>
      </w:pPr>
      <w:r w:rsidRPr="002C6752">
        <w:t>The Ramsay Revie</w:t>
      </w:r>
      <w:r w:rsidR="00C15B60" w:rsidRPr="002C6752">
        <w:t>w considered the impact of the customer a</w:t>
      </w:r>
      <w:r w:rsidRPr="002C6752">
        <w:t>dvocate r</w:t>
      </w:r>
      <w:r w:rsidR="00C15B60" w:rsidRPr="002C6752">
        <w:t>ole within banks</w:t>
      </w:r>
      <w:r w:rsidR="003A770E" w:rsidRPr="002C6752">
        <w:t>.</w:t>
      </w:r>
      <w:r w:rsidR="00C15B60" w:rsidRPr="002C6752">
        <w:t xml:space="preserve"> </w:t>
      </w:r>
      <w:r w:rsidR="003A770E" w:rsidRPr="002C6752">
        <w:t>The Ramsay Review final report</w:t>
      </w:r>
      <w:r w:rsidR="00C15B60" w:rsidRPr="002C6752">
        <w:t xml:space="preserve"> made the following finding</w:t>
      </w:r>
      <w:r w:rsidR="003A770E" w:rsidRPr="002C6752">
        <w:t xml:space="preserve"> (at p. 195)</w:t>
      </w:r>
      <w:r w:rsidRPr="002C6752">
        <w:t>:</w:t>
      </w:r>
    </w:p>
    <w:p w14:paraId="09B8AC18" w14:textId="2032ED73" w:rsidR="00C65619" w:rsidRPr="002C6752" w:rsidRDefault="00C65619" w:rsidP="00642749">
      <w:pPr>
        <w:pStyle w:val="Blockquote"/>
      </w:pPr>
      <w:r w:rsidRPr="002C6752">
        <w:t>The appointment of Customer Advocate</w:t>
      </w:r>
      <w:r w:rsidR="003A770E" w:rsidRPr="002C6752">
        <w:t>s</w:t>
      </w:r>
      <w:r w:rsidRPr="002C6752">
        <w:t xml:space="preserve"> could potentially assist with the resolution of disputes, but these positions have only recently been created and it is too soon to evaluate their role.</w:t>
      </w:r>
      <w:r w:rsidR="003229E3" w:rsidRPr="002C6752">
        <w:t xml:space="preserve"> </w:t>
      </w:r>
      <w:r w:rsidRPr="002C6752">
        <w:t>Improved IDR data should make it easier to assess the impact of Customer Advocates in the future.</w:t>
      </w:r>
    </w:p>
    <w:p w14:paraId="233DE7F1" w14:textId="4C39EE35" w:rsidR="00755787" w:rsidRPr="001745E0" w:rsidRDefault="00755787" w:rsidP="009A6619">
      <w:pPr>
        <w:pStyle w:val="Enfparashead"/>
      </w:pPr>
      <w:bookmarkStart w:id="297" w:name="_ASICRef829"/>
      <w:bookmarkStart w:id="298" w:name="_ASICRef412"/>
      <w:bookmarkStart w:id="299" w:name="_ASICRef506"/>
      <w:r w:rsidRPr="001745E0">
        <w:t xml:space="preserve">Enforceable paragraph: </w:t>
      </w:r>
      <w:r w:rsidR="00EF178D">
        <w:fldChar w:fldCharType="begin"/>
      </w:r>
      <w:r w:rsidR="00EF178D" w:rsidRPr="00D10942">
        <w:instrText xml:space="preserve"> REF _Ref45185920 \r \h </w:instrText>
      </w:r>
      <w:r w:rsidR="00EF178D">
        <w:fldChar w:fldCharType="separate"/>
      </w:r>
      <w:r w:rsidR="00DE6E77">
        <w:t>RG 271.109</w:t>
      </w:r>
      <w:r w:rsidR="00EF178D">
        <w:fldChar w:fldCharType="end"/>
      </w:r>
      <w:r w:rsidR="00EF178D" w:rsidRPr="001745E0">
        <w:t>–</w:t>
      </w:r>
      <w:r w:rsidR="00EF178D">
        <w:fldChar w:fldCharType="begin"/>
      </w:r>
      <w:r w:rsidR="00EF178D" w:rsidRPr="00D10942">
        <w:instrText xml:space="preserve"> REF _Ref45185923 \r \h </w:instrText>
      </w:r>
      <w:r w:rsidR="00EF178D">
        <w:fldChar w:fldCharType="separate"/>
      </w:r>
      <w:r w:rsidR="00DE6E77">
        <w:t>RG 271.110</w:t>
      </w:r>
      <w:r w:rsidR="00EF178D">
        <w:fldChar w:fldCharType="end"/>
      </w:r>
      <w:r w:rsidR="001745E0" w:rsidRPr="001745E0">
        <w:t xml:space="preserve"> (in</w:t>
      </w:r>
      <w:r w:rsidR="001745E0" w:rsidRPr="00D10942">
        <w:t>cluding</w:t>
      </w:r>
      <w:r w:rsidR="001745E0">
        <w:t xml:space="preserve"> Note 1)</w:t>
      </w:r>
    </w:p>
    <w:p w14:paraId="6BEE8C96" w14:textId="6AA65FB8" w:rsidR="00FA2291" w:rsidRDefault="00755787" w:rsidP="009A6619">
      <w:pPr>
        <w:pStyle w:val="Enfparastext"/>
      </w:pPr>
      <w:bookmarkStart w:id="300" w:name="_Ref45185920"/>
      <w:bookmarkStart w:id="301" w:name="_Hlk44496969"/>
      <w:r w:rsidRPr="00BF72E5">
        <w:t>A</w:t>
      </w:r>
      <w:r w:rsidR="00150FBF" w:rsidRPr="00BF72E5">
        <w:t xml:space="preserve"> financial firm </w:t>
      </w:r>
      <w:r w:rsidRPr="00BF72E5">
        <w:t xml:space="preserve">may </w:t>
      </w:r>
      <w:r w:rsidR="00150FBF" w:rsidRPr="00BF72E5">
        <w:t xml:space="preserve">offer </w:t>
      </w:r>
      <w:r w:rsidRPr="00BF72E5">
        <w:t xml:space="preserve">a </w:t>
      </w:r>
      <w:r w:rsidR="00150FBF" w:rsidRPr="00BF72E5">
        <w:t>complainant the option of escalating their complaint to the customer advocate</w:t>
      </w:r>
      <w:r w:rsidRPr="00BF72E5">
        <w:t>,</w:t>
      </w:r>
      <w:r w:rsidR="00150FBF" w:rsidRPr="00BF72E5">
        <w:t xml:space="preserve"> as an alternative to AFCA</w:t>
      </w:r>
      <w:r w:rsidRPr="00BF72E5">
        <w:t>,</w:t>
      </w:r>
      <w:r w:rsidR="00150FBF" w:rsidRPr="00BF72E5">
        <w:t xml:space="preserve"> after an IDR response is issued</w:t>
      </w:r>
      <w:r w:rsidRPr="00BF72E5">
        <w:t>.</w:t>
      </w:r>
      <w:r w:rsidR="00150FBF" w:rsidRPr="00BF72E5">
        <w:t xml:space="preserve"> </w:t>
      </w:r>
      <w:r w:rsidR="00FA2291">
        <w:t xml:space="preserve">When making such an offer, the firm must not prevent </w:t>
      </w:r>
      <w:r w:rsidR="00FA2291">
        <w:lastRenderedPageBreak/>
        <w:t>complainants from exercising their right to access AFCA</w:t>
      </w:r>
      <w:r w:rsidR="00EF178D">
        <w:t>—for example,</w:t>
      </w:r>
      <w:r w:rsidR="00FA2291">
        <w:t xml:space="preserve"> by presenting the customer advocate as a mandatory step in the IDR process</w:t>
      </w:r>
      <w:bookmarkEnd w:id="300"/>
      <w:r w:rsidR="004D1EF7">
        <w:t>.</w:t>
      </w:r>
    </w:p>
    <w:p w14:paraId="0BDFA3EE" w14:textId="4F9C7733" w:rsidR="00465894" w:rsidRPr="00BF72E5" w:rsidRDefault="00FA2291" w:rsidP="009A6619">
      <w:pPr>
        <w:pStyle w:val="Enfparastext"/>
      </w:pPr>
      <w:bookmarkStart w:id="302" w:name="_Ref45185923"/>
      <w:bookmarkStart w:id="303" w:name="_ASICRef948"/>
      <w:r>
        <w:t xml:space="preserve">If a complainant chooses to escalate their complaint to the customer advocate, the total time spent dealing with the complaint must not exceed the relevant maximum IDR timeframe set out at </w:t>
      </w:r>
      <w:r w:rsidR="00EF178D">
        <w:fldChar w:fldCharType="begin"/>
      </w:r>
      <w:r w:rsidR="00EF178D">
        <w:instrText xml:space="preserve"> REF _Ref5097928 \h </w:instrText>
      </w:r>
      <w:r w:rsidR="00EF178D">
        <w:fldChar w:fldCharType="separate"/>
      </w:r>
      <w:r w:rsidR="00DE6E77" w:rsidRPr="002C6752">
        <w:t xml:space="preserve">Table </w:t>
      </w:r>
      <w:r w:rsidR="00DE6E77">
        <w:rPr>
          <w:noProof/>
        </w:rPr>
        <w:t>2</w:t>
      </w:r>
      <w:r w:rsidR="00EF178D">
        <w:fldChar w:fldCharType="end"/>
      </w:r>
      <w:r>
        <w:t>.</w:t>
      </w:r>
      <w:bookmarkEnd w:id="297"/>
      <w:bookmarkEnd w:id="298"/>
      <w:bookmarkEnd w:id="299"/>
      <w:bookmarkEnd w:id="302"/>
      <w:bookmarkEnd w:id="303"/>
      <w:r w:rsidR="00481D86">
        <w:t xml:space="preserve"> The total time includes both the IDR process and the customer advocate review.</w:t>
      </w:r>
    </w:p>
    <w:p w14:paraId="21F328F9" w14:textId="3714B159" w:rsidR="00FA2291" w:rsidRDefault="00FA2291" w:rsidP="00D10942">
      <w:pPr>
        <w:pStyle w:val="Enfparasnote"/>
      </w:pPr>
      <w:r w:rsidRPr="00D10942">
        <w:t xml:space="preserve">Note 1: For the purposes of calculating the timeframe referred to in </w:t>
      </w:r>
      <w:r w:rsidR="00EF178D" w:rsidRPr="00D10942">
        <w:fldChar w:fldCharType="begin"/>
      </w:r>
      <w:r w:rsidR="00EF178D" w:rsidRPr="00D10942">
        <w:instrText xml:space="preserve"> REF _ASICRef948 \w \h </w:instrText>
      </w:r>
      <w:r w:rsidR="0086575E" w:rsidRPr="00D10942">
        <w:instrText xml:space="preserve"> \* MERGEFORMAT </w:instrText>
      </w:r>
      <w:r w:rsidR="00EF178D" w:rsidRPr="00D10942">
        <w:fldChar w:fldCharType="separate"/>
      </w:r>
      <w:r w:rsidR="00DE6E77">
        <w:t>RG 271.110</w:t>
      </w:r>
      <w:r w:rsidR="00EF178D" w:rsidRPr="00D10942">
        <w:fldChar w:fldCharType="end"/>
      </w:r>
      <w:r w:rsidRPr="00D10942">
        <w:t>, time stops running on the date that the IDR response is sent to the complainant. Time starts to run again from the date that the complainant notifies the financial firm that they wish to escalate the complaint to the customer advocate.</w:t>
      </w:r>
    </w:p>
    <w:p w14:paraId="0DD4025C" w14:textId="3957B894" w:rsidR="00E368C0" w:rsidRPr="002C6752" w:rsidRDefault="00F94336" w:rsidP="00E368C0">
      <w:pPr>
        <w:pStyle w:val="Note"/>
      </w:pPr>
      <w:r w:rsidRPr="00BF72E5">
        <w:t>Note</w:t>
      </w:r>
      <w:r w:rsidR="00FA2291">
        <w:t xml:space="preserve"> 2</w:t>
      </w:r>
      <w:r w:rsidRPr="00BF72E5">
        <w:t xml:space="preserve">: </w:t>
      </w:r>
      <w:r w:rsidR="003A770E" w:rsidRPr="00BF72E5">
        <w:t>We have set out f</w:t>
      </w:r>
      <w:r w:rsidR="00E368C0" w:rsidRPr="00BF72E5">
        <w:t>urther information</w:t>
      </w:r>
      <w:r w:rsidRPr="00BF72E5">
        <w:t xml:space="preserve"> </w:t>
      </w:r>
      <w:r w:rsidR="003A770E" w:rsidRPr="00BF72E5">
        <w:t>on</w:t>
      </w:r>
      <w:r w:rsidRPr="00BF72E5">
        <w:t xml:space="preserve"> the </w:t>
      </w:r>
      <w:r w:rsidR="003A770E" w:rsidRPr="00BF72E5">
        <w:t>c</w:t>
      </w:r>
      <w:r w:rsidR="00E368C0" w:rsidRPr="00BF72E5">
        <w:t xml:space="preserve">ustomer </w:t>
      </w:r>
      <w:r w:rsidR="003A770E" w:rsidRPr="00BF72E5">
        <w:t>a</w:t>
      </w:r>
      <w:r w:rsidR="00E368C0" w:rsidRPr="00BF72E5">
        <w:t>dvocate</w:t>
      </w:r>
      <w:r w:rsidR="00E12C7C">
        <w:t>’</w:t>
      </w:r>
      <w:r w:rsidRPr="00BF72E5">
        <w:t xml:space="preserve">s role in improving </w:t>
      </w:r>
      <w:r w:rsidR="00DD041A" w:rsidRPr="00BF72E5">
        <w:t>financial firms</w:t>
      </w:r>
      <w:r w:rsidR="00E12C7C">
        <w:t>’</w:t>
      </w:r>
      <w:r w:rsidR="00DD041A" w:rsidRPr="00BF72E5">
        <w:t xml:space="preserve"> </w:t>
      </w:r>
      <w:r w:rsidRPr="00BF72E5">
        <w:t>IDR processes</w:t>
      </w:r>
      <w:r w:rsidR="001B3C5E" w:rsidRPr="00BF72E5">
        <w:t>,</w:t>
      </w:r>
      <w:r w:rsidR="00B775AA" w:rsidRPr="00BF72E5">
        <w:t xml:space="preserve"> and our requirements for financial firms in relation to customer advoca</w:t>
      </w:r>
      <w:r w:rsidR="002F7B82" w:rsidRPr="00BF72E5">
        <w:t>te recommendations</w:t>
      </w:r>
      <w:r w:rsidR="001B3C5E" w:rsidRPr="00BF72E5">
        <w:t>,</w:t>
      </w:r>
      <w:r w:rsidR="002F7B82" w:rsidRPr="00BF72E5">
        <w:t xml:space="preserve"> at </w:t>
      </w:r>
      <w:r w:rsidR="00EF178D">
        <w:fldChar w:fldCharType="begin"/>
      </w:r>
      <w:r w:rsidR="00EF178D">
        <w:instrText xml:space="preserve"> REF _ASICRef462 \w \h </w:instrText>
      </w:r>
      <w:r w:rsidR="00EF178D">
        <w:fldChar w:fldCharType="separate"/>
      </w:r>
      <w:r w:rsidR="00DE6E77">
        <w:t>RG 271.191</w:t>
      </w:r>
      <w:r w:rsidR="00EF178D">
        <w:fldChar w:fldCharType="end"/>
      </w:r>
      <w:r w:rsidR="00EF178D">
        <w:t>–</w:t>
      </w:r>
      <w:r w:rsidR="00EF178D">
        <w:fldChar w:fldCharType="begin"/>
      </w:r>
      <w:r w:rsidR="00EF178D">
        <w:instrText xml:space="preserve"> REF _ASICRef235 \w \h </w:instrText>
      </w:r>
      <w:r w:rsidR="00EF178D">
        <w:fldChar w:fldCharType="separate"/>
      </w:r>
      <w:r w:rsidR="00DE6E77">
        <w:t>RG 271.192</w:t>
      </w:r>
      <w:r w:rsidR="00EF178D">
        <w:fldChar w:fldCharType="end"/>
      </w:r>
      <w:r w:rsidR="00B775AA" w:rsidRPr="00BF72E5">
        <w:t>.</w:t>
      </w:r>
      <w:r w:rsidR="00E368C0" w:rsidRPr="002C6752">
        <w:t xml:space="preserve"> </w:t>
      </w:r>
    </w:p>
    <w:p w14:paraId="23FC2B99" w14:textId="67CC25D2" w:rsidR="00B249DE" w:rsidRPr="002C6752" w:rsidRDefault="00B249DE" w:rsidP="00B249DE">
      <w:pPr>
        <w:pStyle w:val="Heading2"/>
      </w:pPr>
      <w:bookmarkStart w:id="304" w:name="_Toc46844241"/>
      <w:bookmarkEnd w:id="301"/>
      <w:r w:rsidRPr="002C6752">
        <w:t>Links between the IDR process and AFCA</w:t>
      </w:r>
      <w:bookmarkEnd w:id="304"/>
    </w:p>
    <w:p w14:paraId="7E62358B" w14:textId="1348654D" w:rsidR="00CE5BF8" w:rsidRPr="002C6752" w:rsidRDefault="00CE5BF8" w:rsidP="009A6619">
      <w:pPr>
        <w:pStyle w:val="Enfparashead"/>
      </w:pPr>
      <w:bookmarkStart w:id="305" w:name="_ASICRef999"/>
      <w:bookmarkStart w:id="306" w:name="_ASICRef628"/>
      <w:r w:rsidRPr="002C6752">
        <w:t xml:space="preserve">Enforceable paragraph: </w:t>
      </w:r>
      <w:r w:rsidRPr="002C6752">
        <w:fldChar w:fldCharType="begin"/>
      </w:r>
      <w:r w:rsidRPr="002C6752">
        <w:instrText xml:space="preserve"> REF _ASICRef161 \w \h  \* MERGEFORMAT </w:instrText>
      </w:r>
      <w:r w:rsidRPr="002C6752">
        <w:fldChar w:fldCharType="separate"/>
      </w:r>
      <w:r w:rsidR="00DE6E77">
        <w:t>RG 271.111</w:t>
      </w:r>
      <w:r w:rsidRPr="002C6752">
        <w:fldChar w:fldCharType="end"/>
      </w:r>
      <w:r w:rsidR="004B4A6F">
        <w:t>–</w:t>
      </w:r>
      <w:r w:rsidR="004B4A6F">
        <w:fldChar w:fldCharType="begin"/>
      </w:r>
      <w:r w:rsidR="004B4A6F">
        <w:instrText xml:space="preserve"> REF _ASICRef868 \w \h </w:instrText>
      </w:r>
      <w:r w:rsidR="004B4A6F">
        <w:fldChar w:fldCharType="separate"/>
      </w:r>
      <w:r w:rsidR="00DE6E77">
        <w:t>RG 271.113</w:t>
      </w:r>
      <w:r w:rsidR="004B4A6F">
        <w:fldChar w:fldCharType="end"/>
      </w:r>
    </w:p>
    <w:p w14:paraId="1C214DB2" w14:textId="69ABC99B" w:rsidR="00B249DE" w:rsidRPr="002C6752" w:rsidRDefault="00B249DE" w:rsidP="009A6619">
      <w:pPr>
        <w:pStyle w:val="Enfparastext"/>
      </w:pPr>
      <w:bookmarkStart w:id="307" w:name="_ASICRef161"/>
      <w:bookmarkStart w:id="308" w:name="_ASICRef16"/>
      <w:r w:rsidRPr="002C6752">
        <w:t xml:space="preserve">For </w:t>
      </w:r>
      <w:r w:rsidR="00B87168" w:rsidRPr="002C6752">
        <w:t>the</w:t>
      </w:r>
      <w:r w:rsidRPr="002C6752">
        <w:t xml:space="preserve"> </w:t>
      </w:r>
      <w:r w:rsidR="00B87168" w:rsidRPr="002C6752">
        <w:t xml:space="preserve">financial </w:t>
      </w:r>
      <w:r w:rsidRPr="002C6752">
        <w:t xml:space="preserve">dispute resolution system to be fully effective, financial firms need to establish appropriate links between their IDR process and AFCA. </w:t>
      </w:r>
      <w:r w:rsidR="004C5861" w:rsidRPr="002C6752">
        <w:t>A</w:t>
      </w:r>
      <w:r w:rsidRPr="002C6752">
        <w:t xml:space="preserve"> complaint </w:t>
      </w:r>
      <w:r w:rsidR="004C5861" w:rsidRPr="002C6752">
        <w:t>may go</w:t>
      </w:r>
      <w:r w:rsidRPr="002C6752">
        <w:t xml:space="preserve"> through the IDR process but remain unresolved, or </w:t>
      </w:r>
      <w:r w:rsidR="004C5861" w:rsidRPr="002C6752">
        <w:t>may</w:t>
      </w:r>
      <w:r w:rsidRPr="002C6752">
        <w:t xml:space="preserve"> not </w:t>
      </w:r>
      <w:r w:rsidR="00EC574A" w:rsidRPr="002C6752">
        <w:t xml:space="preserve">be </w:t>
      </w:r>
      <w:r w:rsidRPr="002C6752">
        <w:t>resolved within the relevant maximum IDR timeframe</w:t>
      </w:r>
      <w:r w:rsidR="004C5861" w:rsidRPr="002C6752">
        <w:t>. In this instance</w:t>
      </w:r>
      <w:r w:rsidRPr="002C6752">
        <w:t>,</w:t>
      </w:r>
      <w:r w:rsidR="004C5861" w:rsidRPr="002C6752">
        <w:t xml:space="preserve"> the IDR process must require the firm</w:t>
      </w:r>
      <w:r w:rsidRPr="002C6752">
        <w:t xml:space="preserve"> </w:t>
      </w:r>
      <w:r w:rsidR="00B87168" w:rsidRPr="002C6752">
        <w:t>to</w:t>
      </w:r>
      <w:r w:rsidRPr="002C6752">
        <w:t>:</w:t>
      </w:r>
      <w:bookmarkEnd w:id="305"/>
      <w:bookmarkEnd w:id="306"/>
      <w:bookmarkEnd w:id="307"/>
      <w:bookmarkEnd w:id="308"/>
    </w:p>
    <w:p w14:paraId="44AE7995" w14:textId="77777777" w:rsidR="00B249DE" w:rsidRPr="002C6752" w:rsidRDefault="00B249DE" w:rsidP="009A6619">
      <w:pPr>
        <w:pStyle w:val="Enfparassubparaa"/>
      </w:pPr>
      <w:r w:rsidRPr="002C6752">
        <w:t>inform the complainant that they have a right to pursue their complaint with AFCA; and</w:t>
      </w:r>
    </w:p>
    <w:p w14:paraId="747B33C0" w14:textId="77777777" w:rsidR="00B249DE" w:rsidRPr="002C6752" w:rsidRDefault="00B249DE" w:rsidP="009A6619">
      <w:pPr>
        <w:pStyle w:val="Enfparassubparaa"/>
      </w:pPr>
      <w:r w:rsidRPr="002C6752">
        <w:t>provide details about how to access AFCA.</w:t>
      </w:r>
    </w:p>
    <w:p w14:paraId="357D38CC" w14:textId="1204ED10" w:rsidR="00B249DE" w:rsidRPr="00D143B5" w:rsidRDefault="00B87168" w:rsidP="00C31FD2">
      <w:pPr>
        <w:pStyle w:val="Enfparastext"/>
      </w:pPr>
      <w:bookmarkStart w:id="309" w:name="_ASICRef257"/>
      <w:bookmarkStart w:id="310" w:name="_ASICRef432"/>
      <w:r w:rsidRPr="00D143B5">
        <w:t xml:space="preserve">The </w:t>
      </w:r>
      <w:r w:rsidR="00B249DE" w:rsidRPr="00D143B5">
        <w:t xml:space="preserve">IDR </w:t>
      </w:r>
      <w:r w:rsidRPr="00D143B5">
        <w:t>r</w:t>
      </w:r>
      <w:r w:rsidR="00B249DE" w:rsidRPr="00D143B5">
        <w:t xml:space="preserve">esponses and IDR </w:t>
      </w:r>
      <w:r w:rsidRPr="00D143B5">
        <w:t>d</w:t>
      </w:r>
      <w:r w:rsidR="00B249DE" w:rsidRPr="00D143B5">
        <w:t xml:space="preserve">elay </w:t>
      </w:r>
      <w:r w:rsidRPr="00D143B5">
        <w:t>n</w:t>
      </w:r>
      <w:r w:rsidR="00B249DE" w:rsidRPr="00D143B5">
        <w:t>otifications</w:t>
      </w:r>
      <w:r w:rsidRPr="00D143B5">
        <w:t xml:space="preserve"> financial firms provide to complainants must contain these details</w:t>
      </w:r>
      <w:r w:rsidR="00B47688" w:rsidRPr="00D143B5">
        <w:t xml:space="preserve">: see </w:t>
      </w:r>
      <w:r w:rsidR="007E7B60" w:rsidRPr="00D143B5">
        <w:fldChar w:fldCharType="begin"/>
      </w:r>
      <w:r w:rsidR="007E7B60" w:rsidRPr="00D143B5">
        <w:instrText xml:space="preserve"> REF _ASICRef433 \w \h </w:instrText>
      </w:r>
      <w:r w:rsidR="00E21F54" w:rsidRPr="00D143B5">
        <w:instrText xml:space="preserve"> \* MERGEFORMAT </w:instrText>
      </w:r>
      <w:r w:rsidR="007E7B60" w:rsidRPr="00D143B5">
        <w:fldChar w:fldCharType="separate"/>
      </w:r>
      <w:r w:rsidR="00DE6E77">
        <w:t>RG 271.53</w:t>
      </w:r>
      <w:r w:rsidR="007E7B60" w:rsidRPr="00D143B5">
        <w:fldChar w:fldCharType="end"/>
      </w:r>
      <w:r w:rsidR="000E2894" w:rsidRPr="00D143B5">
        <w:t>,</w:t>
      </w:r>
      <w:r w:rsidR="000622CD" w:rsidRPr="00D143B5">
        <w:t xml:space="preserve"> </w:t>
      </w:r>
      <w:r w:rsidR="004B4A6F" w:rsidRPr="00D143B5">
        <w:fldChar w:fldCharType="begin"/>
      </w:r>
      <w:r w:rsidR="004B4A6F" w:rsidRPr="00D143B5">
        <w:instrText xml:space="preserve"> REF _ASICRef259 \w \h </w:instrText>
      </w:r>
      <w:r w:rsidR="004F127D" w:rsidRPr="00D143B5">
        <w:instrText xml:space="preserve"> \* MERGEFORMAT </w:instrText>
      </w:r>
      <w:r w:rsidR="004B4A6F" w:rsidRPr="00D143B5">
        <w:fldChar w:fldCharType="separate"/>
      </w:r>
      <w:r w:rsidR="00DE6E77">
        <w:t>RG 271.66</w:t>
      </w:r>
      <w:r w:rsidR="004B4A6F" w:rsidRPr="00D143B5">
        <w:fldChar w:fldCharType="end"/>
      </w:r>
      <w:r w:rsidR="000E2894">
        <w:t xml:space="preserve"> and </w:t>
      </w:r>
      <w:r w:rsidR="00EF178D">
        <w:fldChar w:fldCharType="begin"/>
      </w:r>
      <w:r w:rsidR="00EF178D">
        <w:instrText xml:space="preserve"> REF _ASICRef540 \w \h </w:instrText>
      </w:r>
      <w:r w:rsidR="00EF178D">
        <w:fldChar w:fldCharType="separate"/>
      </w:r>
      <w:r w:rsidR="00DE6E77">
        <w:t>RG 271.84(a)</w:t>
      </w:r>
      <w:r w:rsidR="00EF178D">
        <w:fldChar w:fldCharType="end"/>
      </w:r>
      <w:r w:rsidRPr="00D143B5">
        <w:t>.</w:t>
      </w:r>
      <w:r w:rsidR="00B249DE" w:rsidRPr="00D143B5">
        <w:t xml:space="preserve"> </w:t>
      </w:r>
      <w:bookmarkEnd w:id="309"/>
      <w:bookmarkEnd w:id="310"/>
    </w:p>
    <w:p w14:paraId="0836E99B" w14:textId="5324D7ED" w:rsidR="00B249DE" w:rsidRPr="00C31FD2" w:rsidRDefault="00B249DE" w:rsidP="00C31FD2">
      <w:pPr>
        <w:pStyle w:val="Enfparastext"/>
      </w:pPr>
      <w:bookmarkStart w:id="311" w:name="_ASICRef868"/>
      <w:r w:rsidRPr="00C31FD2">
        <w:t xml:space="preserve">Firms </w:t>
      </w:r>
      <w:r w:rsidR="00B87168" w:rsidRPr="00C31FD2">
        <w:t>must also</w:t>
      </w:r>
      <w:r w:rsidRPr="00C31FD2">
        <w:t xml:space="preserve"> provide details about how a complainant can access AFCA in a range of disclosure documents, including:</w:t>
      </w:r>
      <w:bookmarkEnd w:id="311"/>
    </w:p>
    <w:p w14:paraId="3DACA00C" w14:textId="77777777" w:rsidR="00B249DE" w:rsidRPr="00C31FD2" w:rsidRDefault="00B249DE" w:rsidP="00C31FD2">
      <w:pPr>
        <w:pStyle w:val="Enfparassubparaa"/>
      </w:pPr>
      <w:r w:rsidRPr="00C31FD2">
        <w:t>Financial Services Guides;</w:t>
      </w:r>
    </w:p>
    <w:p w14:paraId="2284C3CE" w14:textId="1AEFD574" w:rsidR="00B249DE" w:rsidRPr="00C31FD2" w:rsidRDefault="00B249DE" w:rsidP="00C31FD2">
      <w:pPr>
        <w:pStyle w:val="Enfparassubparaa"/>
      </w:pPr>
      <w:r w:rsidRPr="00C31FD2">
        <w:t>Product Disclosure Statements</w:t>
      </w:r>
      <w:r w:rsidR="00B87168" w:rsidRPr="00C31FD2">
        <w:t xml:space="preserve"> (PDSs)</w:t>
      </w:r>
      <w:r w:rsidRPr="00C31FD2">
        <w:t xml:space="preserve">, including short-form PDSs; </w:t>
      </w:r>
    </w:p>
    <w:p w14:paraId="5A586856" w14:textId="77777777" w:rsidR="00B249DE" w:rsidRPr="00C31FD2" w:rsidRDefault="00B249DE" w:rsidP="00C31FD2">
      <w:pPr>
        <w:pStyle w:val="Enfparassubparaa"/>
      </w:pPr>
      <w:r w:rsidRPr="00C31FD2">
        <w:t>Credit Guides;</w:t>
      </w:r>
    </w:p>
    <w:p w14:paraId="0CA7956B" w14:textId="477C80BB" w:rsidR="00B249DE" w:rsidRPr="00C31FD2" w:rsidRDefault="00B87168" w:rsidP="00C31FD2">
      <w:pPr>
        <w:pStyle w:val="Enfparassubparaa"/>
      </w:pPr>
      <w:r w:rsidRPr="00C31FD2">
        <w:t>p</w:t>
      </w:r>
      <w:r w:rsidR="00B249DE" w:rsidRPr="00C31FD2">
        <w:t xml:space="preserve">eriodic statements (including exit statements); and </w:t>
      </w:r>
    </w:p>
    <w:p w14:paraId="141BEC1C" w14:textId="0E63536A" w:rsidR="00B249DE" w:rsidRPr="00C31FD2" w:rsidRDefault="00B87168" w:rsidP="00C31FD2">
      <w:pPr>
        <w:pStyle w:val="Enfparassubparaa"/>
      </w:pPr>
      <w:r w:rsidRPr="00C31FD2">
        <w:t>f</w:t>
      </w:r>
      <w:r w:rsidR="00B249DE" w:rsidRPr="00C31FD2">
        <w:t>orms and notices issued under the National Credit Code.</w:t>
      </w:r>
    </w:p>
    <w:p w14:paraId="0E3DB788" w14:textId="42D91242" w:rsidR="00B249DE" w:rsidRPr="002C6752" w:rsidRDefault="00B249DE" w:rsidP="00B249DE">
      <w:pPr>
        <w:pStyle w:val="BodyText"/>
      </w:pPr>
      <w:r w:rsidRPr="002C6752">
        <w:t>Firms</w:t>
      </w:r>
      <w:r w:rsidR="00E12C7C">
        <w:t>’</w:t>
      </w:r>
      <w:r w:rsidRPr="002C6752">
        <w:t xml:space="preserve"> broader communications to consumers about their arrangements for managing complaints</w:t>
      </w:r>
      <w:r w:rsidR="00B87168" w:rsidRPr="002C6752">
        <w:t>—</w:t>
      </w:r>
      <w:r w:rsidRPr="002C6752">
        <w:t>including the publicly available complaint management policy,</w:t>
      </w:r>
      <w:r w:rsidRPr="002C6752">
        <w:rPr>
          <w:color w:val="FF0000"/>
        </w:rPr>
        <w:t xml:space="preserve"> </w:t>
      </w:r>
      <w:r w:rsidRPr="002C6752">
        <w:t xml:space="preserve">brochures explaining how to complain, relevant website </w:t>
      </w:r>
      <w:r w:rsidR="004C5861" w:rsidRPr="002C6752">
        <w:lastRenderedPageBreak/>
        <w:t>frequently asked questions (</w:t>
      </w:r>
      <w:r w:rsidR="00024D62" w:rsidRPr="002C6752">
        <w:t>FAQs</w:t>
      </w:r>
      <w:r w:rsidR="004C5861" w:rsidRPr="002C6752">
        <w:t>)</w:t>
      </w:r>
      <w:r w:rsidR="00024D62" w:rsidRPr="002C6752">
        <w:t xml:space="preserve"> </w:t>
      </w:r>
      <w:r w:rsidRPr="002C6752">
        <w:t xml:space="preserve">and call centre scripting </w:t>
      </w:r>
      <w:r w:rsidR="006B04D5" w:rsidRPr="002C6752">
        <w:t xml:space="preserve">should </w:t>
      </w:r>
      <w:r w:rsidRPr="002C6752">
        <w:t>also effectively inform complainants of:</w:t>
      </w:r>
    </w:p>
    <w:p w14:paraId="70B68936" w14:textId="77777777" w:rsidR="00B249DE" w:rsidRPr="002C6752" w:rsidRDefault="00B249DE" w:rsidP="00B249DE">
      <w:pPr>
        <w:pStyle w:val="subparaa"/>
      </w:pPr>
      <w:r w:rsidRPr="002C6752">
        <w:t>their right to take their complaint to AFCA if they are dissatisfied; and</w:t>
      </w:r>
    </w:p>
    <w:p w14:paraId="25BACE49" w14:textId="77777777" w:rsidR="00B249DE" w:rsidRPr="002C6752" w:rsidRDefault="00B249DE" w:rsidP="00B249DE">
      <w:pPr>
        <w:pStyle w:val="subparaa"/>
      </w:pPr>
      <w:r w:rsidRPr="002C6752">
        <w:t>the contact details of AFCA.</w:t>
      </w:r>
    </w:p>
    <w:p w14:paraId="0A888F21" w14:textId="37682135" w:rsidR="00B249DE" w:rsidRPr="002C6752" w:rsidRDefault="00B249DE" w:rsidP="00B249DE">
      <w:pPr>
        <w:pStyle w:val="BodyText"/>
      </w:pPr>
      <w:r w:rsidRPr="002C6752">
        <w:t xml:space="preserve">A financial firm may wish to directly refer a complaint to AFCA for resolution. This may occur where a firm has given an IDR </w:t>
      </w:r>
      <w:r w:rsidR="00B87168" w:rsidRPr="002C6752">
        <w:t>r</w:t>
      </w:r>
      <w:r w:rsidRPr="002C6752">
        <w:t xml:space="preserve">esponse to the complainant, but the complaint remains unresolved and the complainant has not escalated it to AFCA. Firms wishing to make such a referral </w:t>
      </w:r>
      <w:r w:rsidR="000622CD">
        <w:t xml:space="preserve">need to </w:t>
      </w:r>
      <w:r w:rsidRPr="002C6752">
        <w:t>obtain the consent of the complainant</w:t>
      </w:r>
      <w:r w:rsidR="00B87168" w:rsidRPr="002C6752">
        <w:t>(</w:t>
      </w:r>
      <w:r w:rsidRPr="002C6752">
        <w:t>s</w:t>
      </w:r>
      <w:r w:rsidR="00B87168" w:rsidRPr="002C6752">
        <w:t>)</w:t>
      </w:r>
      <w:r w:rsidRPr="002C6752">
        <w:t xml:space="preserve"> to do so</w:t>
      </w:r>
      <w:r w:rsidR="00B47688" w:rsidRPr="002C6752">
        <w:t xml:space="preserve">: see </w:t>
      </w:r>
      <w:r w:rsidR="007E7B60" w:rsidRPr="002C6752">
        <w:t>RG 267.99</w:t>
      </w:r>
      <w:r w:rsidRPr="002C6752">
        <w:t>.</w:t>
      </w:r>
    </w:p>
    <w:p w14:paraId="33E798D7" w14:textId="01B9D1A2" w:rsidR="00B249DE" w:rsidRPr="002C6752" w:rsidRDefault="004C5861" w:rsidP="00B249DE">
      <w:pPr>
        <w:pStyle w:val="BodyText"/>
      </w:pPr>
      <w:bookmarkStart w:id="312" w:name="_ASICRef676"/>
      <w:bookmarkStart w:id="313" w:name="_ASICRef542"/>
      <w:bookmarkStart w:id="314" w:name="_ASICRef544"/>
      <w:bookmarkStart w:id="315" w:name="_ASICRef959"/>
      <w:r w:rsidRPr="002C6752">
        <w:t>When</w:t>
      </w:r>
      <w:r w:rsidR="00B249DE" w:rsidRPr="002C6752">
        <w:t xml:space="preserve"> complaints involv</w:t>
      </w:r>
      <w:r w:rsidRPr="002C6752">
        <w:t>e</w:t>
      </w:r>
      <w:r w:rsidR="00B249DE" w:rsidRPr="002C6752">
        <w:t xml:space="preserve"> hardship notices or requests for postponement of enforcement proceedings, interest and other default charges may continue to accrue. </w:t>
      </w:r>
      <w:r w:rsidRPr="002C6752">
        <w:t>This</w:t>
      </w:r>
      <w:r w:rsidR="00F43AF7" w:rsidRPr="002C6752">
        <w:t xml:space="preserve"> may</w:t>
      </w:r>
      <w:r w:rsidRPr="002C6752">
        <w:t xml:space="preserve"> increase the need for financial firms to directly refer complaints to AFCA. </w:t>
      </w:r>
      <w:r w:rsidR="00B249DE" w:rsidRPr="002C6752">
        <w:t>The complainant</w:t>
      </w:r>
      <w:r w:rsidR="00E12C7C">
        <w:t>’</w:t>
      </w:r>
      <w:r w:rsidR="00B249DE" w:rsidRPr="002C6752">
        <w:t>s consent to the referral also</w:t>
      </w:r>
      <w:r w:rsidR="000622CD">
        <w:t xml:space="preserve"> needs to</w:t>
      </w:r>
      <w:r w:rsidR="00B249DE" w:rsidRPr="002C6752">
        <w:t xml:space="preserve"> be obtained in these circumstances</w:t>
      </w:r>
      <w:r w:rsidR="00B47688" w:rsidRPr="002C6752">
        <w:t xml:space="preserve">: see </w:t>
      </w:r>
      <w:r w:rsidR="007E7B60" w:rsidRPr="002C6752">
        <w:t>RG 267.100</w:t>
      </w:r>
      <w:r w:rsidR="00B249DE" w:rsidRPr="002C6752">
        <w:t>.</w:t>
      </w:r>
      <w:bookmarkEnd w:id="312"/>
      <w:bookmarkEnd w:id="313"/>
      <w:bookmarkEnd w:id="314"/>
      <w:bookmarkEnd w:id="315"/>
    </w:p>
    <w:p w14:paraId="248FE9DC" w14:textId="50E2B0CC" w:rsidR="00426BE0" w:rsidRPr="002C6752" w:rsidRDefault="00426BE0" w:rsidP="00642749">
      <w:pPr>
        <w:pStyle w:val="Heading1"/>
      </w:pPr>
      <w:bookmarkStart w:id="316" w:name="_Toc252249"/>
      <w:bookmarkStart w:id="317" w:name="_Toc252292"/>
      <w:bookmarkStart w:id="318" w:name="_Toc252633"/>
      <w:bookmarkStart w:id="319" w:name="_Toc252250"/>
      <w:bookmarkStart w:id="320" w:name="_Toc252293"/>
      <w:bookmarkStart w:id="321" w:name="_Toc252634"/>
      <w:bookmarkStart w:id="322" w:name="_Toc252251"/>
      <w:bookmarkStart w:id="323" w:name="_Toc252294"/>
      <w:bookmarkStart w:id="324" w:name="_Toc252635"/>
      <w:bookmarkStart w:id="325" w:name="_Toc252252"/>
      <w:bookmarkStart w:id="326" w:name="_Toc252295"/>
      <w:bookmarkStart w:id="327" w:name="_Toc252636"/>
      <w:bookmarkStart w:id="328" w:name="_Ref5091942"/>
      <w:bookmarkStart w:id="329" w:name="_Ref5107167"/>
      <w:bookmarkStart w:id="330" w:name="_ASICRef128"/>
      <w:bookmarkStart w:id="331" w:name="_Toc46844242"/>
      <w:bookmarkStart w:id="332" w:name="_Hlk1727294"/>
      <w:bookmarkStart w:id="333" w:name="_Toc252638"/>
      <w:bookmarkEnd w:id="316"/>
      <w:bookmarkEnd w:id="317"/>
      <w:bookmarkEnd w:id="318"/>
      <w:bookmarkEnd w:id="319"/>
      <w:bookmarkEnd w:id="320"/>
      <w:bookmarkEnd w:id="321"/>
      <w:bookmarkEnd w:id="322"/>
      <w:bookmarkEnd w:id="323"/>
      <w:bookmarkEnd w:id="324"/>
      <w:bookmarkEnd w:id="325"/>
      <w:bookmarkEnd w:id="326"/>
      <w:bookmarkEnd w:id="327"/>
      <w:r w:rsidRPr="002C6752">
        <w:lastRenderedPageBreak/>
        <w:t>Systemic issues</w:t>
      </w:r>
      <w:bookmarkEnd w:id="328"/>
      <w:bookmarkEnd w:id="329"/>
      <w:bookmarkEnd w:id="330"/>
      <w:bookmarkEnd w:id="331"/>
    </w:p>
    <w:p w14:paraId="1AF8DD1D" w14:textId="77777777" w:rsidR="00426BE0" w:rsidRPr="002C6752" w:rsidRDefault="00426BE0">
      <w:pPr>
        <w:pStyle w:val="KPhead"/>
      </w:pPr>
      <w:r w:rsidRPr="002C6752">
        <w:t>Key points</w:t>
      </w:r>
    </w:p>
    <w:p w14:paraId="36743A63" w14:textId="577DD26A" w:rsidR="005523E1" w:rsidRPr="002C6752" w:rsidRDefault="005523E1" w:rsidP="00E5660C">
      <w:pPr>
        <w:pStyle w:val="KPtext"/>
      </w:pPr>
      <w:r w:rsidRPr="002C6752">
        <w:t>Consumer complaints are a key risk indicator for systemic issues within a financial firm. The early identification and resolution of systemic issues by financial firms should prevent these matters being escalated to AFCA.</w:t>
      </w:r>
    </w:p>
    <w:p w14:paraId="287DAD4C" w14:textId="10BECFB2" w:rsidR="00CD4F58" w:rsidRPr="002C6752" w:rsidRDefault="00CD4F58" w:rsidP="00E5660C">
      <w:pPr>
        <w:pStyle w:val="KPtext"/>
      </w:pPr>
      <w:r w:rsidRPr="002C6752">
        <w:t>Boards and owners</w:t>
      </w:r>
      <w:r w:rsidR="00B90445" w:rsidRPr="002C6752">
        <w:t xml:space="preserve"> of smaller financial firms</w:t>
      </w:r>
      <w:r w:rsidRPr="002C6752">
        <w:t xml:space="preserve"> must set clear accountabilities for complaints handling functions, including</w:t>
      </w:r>
      <w:r w:rsidR="00B90445" w:rsidRPr="002C6752">
        <w:t xml:space="preserve"> the</w:t>
      </w:r>
      <w:r w:rsidRPr="002C6752">
        <w:t xml:space="preserve"> </w:t>
      </w:r>
      <w:r w:rsidR="00B90445" w:rsidRPr="002C6752">
        <w:t>management of</w:t>
      </w:r>
      <w:r w:rsidR="00167891" w:rsidRPr="002C6752">
        <w:t xml:space="preserve"> </w:t>
      </w:r>
      <w:r w:rsidRPr="002C6752">
        <w:t xml:space="preserve">systemic issues </w:t>
      </w:r>
      <w:r w:rsidR="00167891" w:rsidRPr="002C6752">
        <w:t>identified through</w:t>
      </w:r>
      <w:r w:rsidRPr="002C6752">
        <w:t xml:space="preserve"> consumer complaints</w:t>
      </w:r>
      <w:r w:rsidR="005523E1" w:rsidRPr="002C6752">
        <w:t>.</w:t>
      </w:r>
    </w:p>
    <w:p w14:paraId="1CEF440C" w14:textId="63EDAFCE" w:rsidR="00AF76C5" w:rsidRPr="002C6752" w:rsidRDefault="00AF76C5" w:rsidP="00E5660C">
      <w:pPr>
        <w:pStyle w:val="KPtext"/>
      </w:pPr>
      <w:r w:rsidRPr="002C6752">
        <w:t>Financial firms must also have robust systems in place to ensure that possible systemic issues are</w:t>
      </w:r>
      <w:r w:rsidR="008928F5" w:rsidRPr="002C6752">
        <w:t xml:space="preserve"> </w:t>
      </w:r>
      <w:r w:rsidR="00B90445" w:rsidRPr="002C6752">
        <w:t>investigated</w:t>
      </w:r>
      <w:r w:rsidRPr="002C6752">
        <w:t>, followed up and reported on.</w:t>
      </w:r>
    </w:p>
    <w:p w14:paraId="2270F468" w14:textId="4B8ECFB0" w:rsidR="00CE5BF8" w:rsidRPr="002C6752" w:rsidRDefault="00CE5BF8" w:rsidP="009A6619">
      <w:pPr>
        <w:pStyle w:val="Heading2"/>
      </w:pPr>
      <w:bookmarkStart w:id="334" w:name="_Toc46844243"/>
      <w:r w:rsidRPr="002C6752">
        <w:t>Examples of systemic issues</w:t>
      </w:r>
      <w:bookmarkEnd w:id="334"/>
    </w:p>
    <w:p w14:paraId="3AF11042" w14:textId="37949DEC" w:rsidR="000301B3" w:rsidRPr="002C6752" w:rsidRDefault="001951B4" w:rsidP="009A6619">
      <w:pPr>
        <w:pStyle w:val="BodyText"/>
      </w:pPr>
      <w:r w:rsidRPr="002C6752">
        <w:t>C</w:t>
      </w:r>
      <w:r w:rsidR="001B3C5E" w:rsidRPr="002C6752">
        <w:t>on</w:t>
      </w:r>
      <w:r w:rsidRPr="002C6752">
        <w:t>s</w:t>
      </w:r>
      <w:r w:rsidR="001B3C5E" w:rsidRPr="002C6752">
        <w:t>u</w:t>
      </w:r>
      <w:r w:rsidRPr="002C6752">
        <w:t xml:space="preserve">mer complaints are a key risk indicator </w:t>
      </w:r>
      <w:r w:rsidR="001B3C5E" w:rsidRPr="002C6752">
        <w:t>for</w:t>
      </w:r>
      <w:r w:rsidRPr="002C6752">
        <w:t xml:space="preserve"> </w:t>
      </w:r>
      <w:r w:rsidR="001B3C5E" w:rsidRPr="002C6752">
        <w:t>systemic</w:t>
      </w:r>
      <w:r w:rsidRPr="002C6752">
        <w:t xml:space="preserve"> issues within a financial firm.</w:t>
      </w:r>
      <w:r w:rsidR="00C600F4" w:rsidRPr="002C6752">
        <w:t xml:space="preserve"> </w:t>
      </w:r>
      <w:r w:rsidR="00FC1DB9" w:rsidRPr="002C6752">
        <w:t>A systemic issue is a matter that affects, or has the potential to affect</w:t>
      </w:r>
      <w:r w:rsidR="00C34EBE" w:rsidRPr="002C6752">
        <w:t>,</w:t>
      </w:r>
      <w:r w:rsidR="00FC1DB9" w:rsidRPr="002C6752">
        <w:t xml:space="preserve"> more than one </w:t>
      </w:r>
      <w:r w:rsidR="00B90445" w:rsidRPr="002C6752">
        <w:t>consumer</w:t>
      </w:r>
      <w:r w:rsidR="000301B3" w:rsidRPr="002C6752">
        <w:t>.</w:t>
      </w:r>
      <w:r w:rsidR="006A3055" w:rsidRPr="002C6752">
        <w:t xml:space="preserve"> </w:t>
      </w:r>
      <w:r w:rsidR="000301B3" w:rsidRPr="002C6752">
        <w:t>Some examples include:</w:t>
      </w:r>
    </w:p>
    <w:p w14:paraId="3EADFE41" w14:textId="77777777" w:rsidR="000301B3" w:rsidRPr="002C6752" w:rsidRDefault="000301B3" w:rsidP="000301B3">
      <w:pPr>
        <w:pStyle w:val="subparaa"/>
      </w:pPr>
      <w:r w:rsidRPr="002C6752">
        <w:t>a disclosure document that is inadequate or misleading;</w:t>
      </w:r>
    </w:p>
    <w:p w14:paraId="0BDA63C4" w14:textId="297F261D" w:rsidR="000301B3" w:rsidRPr="002C6752" w:rsidRDefault="000301B3" w:rsidP="000301B3">
      <w:pPr>
        <w:pStyle w:val="subparaa"/>
      </w:pPr>
      <w:r w:rsidRPr="002C6752">
        <w:t>a systems issue that produces errors</w:t>
      </w:r>
      <w:r w:rsidR="00CE5BF8" w:rsidRPr="002C6752">
        <w:t>—</w:t>
      </w:r>
      <w:r w:rsidRPr="002C6752">
        <w:t>for example, benefit calculation errors or interest calculation errors;</w:t>
      </w:r>
    </w:p>
    <w:p w14:paraId="4E6727A9" w14:textId="77777777" w:rsidR="000301B3" w:rsidRPr="002C6752" w:rsidRDefault="000301B3" w:rsidP="000301B3">
      <w:pPr>
        <w:pStyle w:val="subparaa"/>
      </w:pPr>
      <w:r w:rsidRPr="002C6752">
        <w:t>a unit pricing error that incorrectly allocates investment earnings to members;</w:t>
      </w:r>
    </w:p>
    <w:p w14:paraId="517EFF07" w14:textId="0DE5E15B" w:rsidR="000301B3" w:rsidRPr="002C6752" w:rsidRDefault="000301B3" w:rsidP="000301B3">
      <w:pPr>
        <w:pStyle w:val="subparaa"/>
      </w:pPr>
      <w:r w:rsidRPr="002C6752">
        <w:t>a documented procedure that does not comply with legal requirements</w:t>
      </w:r>
      <w:r w:rsidR="00CE5BF8" w:rsidRPr="002C6752">
        <w:t>—</w:t>
      </w:r>
      <w:r w:rsidRPr="002C6752">
        <w:t>for example, it permits privacy requirements to be breached;</w:t>
      </w:r>
    </w:p>
    <w:p w14:paraId="3D2F86B7" w14:textId="77777777" w:rsidR="000301B3" w:rsidRPr="002C6752" w:rsidRDefault="000301B3" w:rsidP="000301B3">
      <w:pPr>
        <w:pStyle w:val="subparaa"/>
      </w:pPr>
      <w:r w:rsidRPr="002C6752">
        <w:t>a procedural weakness that is liable to recur;</w:t>
      </w:r>
    </w:p>
    <w:p w14:paraId="01D8283E" w14:textId="77777777" w:rsidR="008441A1" w:rsidRPr="002C6752" w:rsidRDefault="000301B3" w:rsidP="000301B3">
      <w:pPr>
        <w:pStyle w:val="subparaa"/>
      </w:pPr>
      <w:r w:rsidRPr="002C6752">
        <w:t>an erroneous interpretation of a superannu</w:t>
      </w:r>
      <w:r w:rsidR="008441A1" w:rsidRPr="002C6752">
        <w:t>ation trust deed provision; and</w:t>
      </w:r>
    </w:p>
    <w:p w14:paraId="6520ABAF" w14:textId="577CD19F" w:rsidR="00FC1DB9" w:rsidRPr="002C6752" w:rsidRDefault="008441A1" w:rsidP="00223687">
      <w:pPr>
        <w:pStyle w:val="subparaa"/>
      </w:pPr>
      <w:r w:rsidRPr="002C6752">
        <w:t>a group insurance administration error that does not record cover for eligible members.</w:t>
      </w:r>
      <w:r w:rsidR="00B90445" w:rsidRPr="002C6752">
        <w:t xml:space="preserve"> </w:t>
      </w:r>
    </w:p>
    <w:p w14:paraId="6EF33722" w14:textId="4D94B084" w:rsidR="00CE5BF8" w:rsidRPr="002C6752" w:rsidRDefault="00CE5BF8" w:rsidP="009A6619">
      <w:pPr>
        <w:pStyle w:val="Heading2"/>
      </w:pPr>
      <w:bookmarkStart w:id="335" w:name="_Toc46844244"/>
      <w:r w:rsidRPr="002C6752">
        <w:t>How to manage systemic issues</w:t>
      </w:r>
      <w:bookmarkEnd w:id="335"/>
    </w:p>
    <w:p w14:paraId="32157172" w14:textId="038472DE" w:rsidR="00D6478B" w:rsidRPr="002C6752" w:rsidRDefault="00D6478B" w:rsidP="008E4860">
      <w:pPr>
        <w:pStyle w:val="Enfparashead"/>
      </w:pPr>
      <w:bookmarkStart w:id="336" w:name="_ASICRef807"/>
      <w:r w:rsidRPr="002C6752">
        <w:t xml:space="preserve">Enforceable paragraphs: </w:t>
      </w:r>
      <w:r>
        <w:fldChar w:fldCharType="begin"/>
      </w:r>
      <w:r>
        <w:instrText xml:space="preserve"> REF _Ref34292900 \r \h </w:instrText>
      </w:r>
      <w:r>
        <w:fldChar w:fldCharType="separate"/>
      </w:r>
      <w:r w:rsidR="00DE6E77">
        <w:t>RG 271.118</w:t>
      </w:r>
      <w:r>
        <w:fldChar w:fldCharType="end"/>
      </w:r>
      <w:r w:rsidRPr="002C6752">
        <w:t>–</w:t>
      </w:r>
      <w:r w:rsidRPr="002C6752">
        <w:fldChar w:fldCharType="begin"/>
      </w:r>
      <w:r w:rsidRPr="002C6752">
        <w:instrText xml:space="preserve"> REF _ASICRef202 \w \h  \* MERGEFORMAT </w:instrText>
      </w:r>
      <w:r w:rsidRPr="002C6752">
        <w:fldChar w:fldCharType="separate"/>
      </w:r>
      <w:r w:rsidR="00DE6E77">
        <w:t>RG 271.120</w:t>
      </w:r>
      <w:r w:rsidRPr="002C6752">
        <w:fldChar w:fldCharType="end"/>
      </w:r>
      <w:r w:rsidRPr="002C6752">
        <w:t xml:space="preserve"> (in</w:t>
      </w:r>
      <w:r w:rsidRPr="0010362C">
        <w:t>cluding</w:t>
      </w:r>
      <w:r w:rsidRPr="002C6752">
        <w:t xml:space="preserve"> note)</w:t>
      </w:r>
    </w:p>
    <w:p w14:paraId="3EC57F62" w14:textId="25167F2F" w:rsidR="00CD4F58" w:rsidRPr="008E4860" w:rsidRDefault="00CD4F58" w:rsidP="008E4860">
      <w:pPr>
        <w:pStyle w:val="Enfparastext"/>
      </w:pPr>
      <w:bookmarkStart w:id="337" w:name="_Ref34292900"/>
      <w:r w:rsidRPr="008E4860">
        <w:t>Boards</w:t>
      </w:r>
      <w:r w:rsidR="00D6478B" w:rsidRPr="008E4860">
        <w:t xml:space="preserve"> </w:t>
      </w:r>
      <w:r w:rsidR="001B4399" w:rsidRPr="008E4860">
        <w:t>must</w:t>
      </w:r>
      <w:r w:rsidR="00304AEC" w:rsidRPr="008E4860">
        <w:t xml:space="preserve"> </w:t>
      </w:r>
      <w:r w:rsidRPr="008E4860">
        <w:t xml:space="preserve">set clear accountabilities for complaints handling functions, including </w:t>
      </w:r>
      <w:r w:rsidR="00B90445" w:rsidRPr="008E4860">
        <w:t>the management of</w:t>
      </w:r>
      <w:r w:rsidR="00345FF2" w:rsidRPr="008E4860">
        <w:t xml:space="preserve"> </w:t>
      </w:r>
      <w:r w:rsidRPr="008E4860">
        <w:t xml:space="preserve">systemic issues </w:t>
      </w:r>
      <w:r w:rsidR="00167891" w:rsidRPr="008E4860">
        <w:t>identified through</w:t>
      </w:r>
      <w:r w:rsidRPr="008E4860">
        <w:t xml:space="preserve"> consumer complaints</w:t>
      </w:r>
      <w:r w:rsidR="00C34EBE" w:rsidRPr="008E4860">
        <w:t>.</w:t>
      </w:r>
      <w:bookmarkEnd w:id="336"/>
      <w:bookmarkEnd w:id="337"/>
    </w:p>
    <w:p w14:paraId="39B4AA7E" w14:textId="76EE5BFD" w:rsidR="00CD4F58" w:rsidRPr="002C6752" w:rsidRDefault="00167891" w:rsidP="009A6619">
      <w:pPr>
        <w:pStyle w:val="Enfparastext"/>
      </w:pPr>
      <w:bookmarkStart w:id="338" w:name="_ASICRef346"/>
      <w:r w:rsidRPr="002C6752">
        <w:lastRenderedPageBreak/>
        <w:t xml:space="preserve">If </w:t>
      </w:r>
      <w:r w:rsidR="00B90445" w:rsidRPr="002C6752">
        <w:t>a financial firm provides r</w:t>
      </w:r>
      <w:r w:rsidR="00CD4F58" w:rsidRPr="002C6752">
        <w:t xml:space="preserve">eports to the </w:t>
      </w:r>
      <w:r w:rsidR="002B43B4" w:rsidRPr="002C6752">
        <w:t>b</w:t>
      </w:r>
      <w:r w:rsidR="00CD4F58" w:rsidRPr="002C6752">
        <w:t>oard and</w:t>
      </w:r>
      <w:r w:rsidR="00B90445" w:rsidRPr="002C6752">
        <w:t>/or</w:t>
      </w:r>
      <w:r w:rsidR="00CD4F58" w:rsidRPr="002C6752">
        <w:t xml:space="preserve"> executive committees</w:t>
      </w:r>
      <w:r w:rsidR="00B90445" w:rsidRPr="002C6752">
        <w:t>, the reports</w:t>
      </w:r>
      <w:r w:rsidR="00CD4F58" w:rsidRPr="002C6752">
        <w:t xml:space="preserve"> must include metrics and analysis of consumer complaints including about systemic issues </w:t>
      </w:r>
      <w:r w:rsidRPr="002C6752">
        <w:t>identified through</w:t>
      </w:r>
      <w:r w:rsidR="00345FF2" w:rsidRPr="002C6752">
        <w:t xml:space="preserve"> </w:t>
      </w:r>
      <w:r w:rsidR="00CD4F58" w:rsidRPr="002C6752">
        <w:t>those complaints</w:t>
      </w:r>
      <w:r w:rsidR="002B43B4" w:rsidRPr="002C6752">
        <w:t>.</w:t>
      </w:r>
      <w:bookmarkEnd w:id="338"/>
    </w:p>
    <w:p w14:paraId="3289A235" w14:textId="4938A6F5" w:rsidR="00FC1DB9" w:rsidRPr="002C6752" w:rsidRDefault="00FC1DB9" w:rsidP="009A6619">
      <w:pPr>
        <w:pStyle w:val="Enfparastext"/>
        <w:keepNext/>
      </w:pPr>
      <w:bookmarkStart w:id="339" w:name="_ASICRef202"/>
      <w:bookmarkStart w:id="340" w:name="_Hlk24132051"/>
      <w:r w:rsidRPr="002C6752">
        <w:t>Financial firms must:</w:t>
      </w:r>
      <w:bookmarkEnd w:id="339"/>
    </w:p>
    <w:p w14:paraId="7A6D231E" w14:textId="269021FB" w:rsidR="00FC1DB9" w:rsidRPr="002C6752" w:rsidRDefault="00B90445" w:rsidP="009A6619">
      <w:pPr>
        <w:pStyle w:val="Enfparassubparaa"/>
      </w:pPr>
      <w:r w:rsidRPr="002C6752">
        <w:t>encourage and enable staff to escalate possible systemic issues they identify from individual complaints;</w:t>
      </w:r>
    </w:p>
    <w:p w14:paraId="32E155E4" w14:textId="02746A5C" w:rsidR="00FC1DB9" w:rsidRPr="002C6752" w:rsidRDefault="00FC1DB9" w:rsidP="009A6619">
      <w:pPr>
        <w:pStyle w:val="Enfparassubparaa"/>
      </w:pPr>
      <w:r w:rsidRPr="002C6752">
        <w:t xml:space="preserve">regularly </w:t>
      </w:r>
      <w:r w:rsidR="001A5EC5" w:rsidRPr="002C6752">
        <w:t>analys</w:t>
      </w:r>
      <w:r w:rsidR="00B90445" w:rsidRPr="002C6752">
        <w:t>e</w:t>
      </w:r>
      <w:r w:rsidRPr="002C6752">
        <w:t xml:space="preserve"> complaint data sets</w:t>
      </w:r>
      <w:r w:rsidR="00B90445" w:rsidRPr="002C6752">
        <w:t xml:space="preserve"> to identify systemic issues</w:t>
      </w:r>
      <w:r w:rsidR="00167891" w:rsidRPr="002C6752">
        <w:t>;</w:t>
      </w:r>
    </w:p>
    <w:p w14:paraId="1D90EB64" w14:textId="708084B2" w:rsidR="00FC1DB9" w:rsidRPr="002C6752" w:rsidRDefault="00977C1C" w:rsidP="009A6619">
      <w:pPr>
        <w:pStyle w:val="Enfparassubparaa"/>
      </w:pPr>
      <w:r w:rsidRPr="002C6752">
        <w:t>promptly escalate</w:t>
      </w:r>
      <w:r w:rsidR="00FC1DB9" w:rsidRPr="002C6752">
        <w:t xml:space="preserve"> possible systemic issues to appropriate areas </w:t>
      </w:r>
      <w:r w:rsidR="00B90445" w:rsidRPr="002C6752">
        <w:t xml:space="preserve">within the firm </w:t>
      </w:r>
      <w:r w:rsidR="00FC1DB9" w:rsidRPr="002C6752">
        <w:t xml:space="preserve">for </w:t>
      </w:r>
      <w:r w:rsidR="00B90445" w:rsidRPr="002C6752">
        <w:t xml:space="preserve">investigation and </w:t>
      </w:r>
      <w:r w:rsidR="00FC1DB9" w:rsidRPr="002C6752">
        <w:t>action;</w:t>
      </w:r>
      <w:r w:rsidR="005523E1" w:rsidRPr="002C6752">
        <w:t xml:space="preserve"> and</w:t>
      </w:r>
    </w:p>
    <w:p w14:paraId="1ADBF438" w14:textId="57153C8E" w:rsidR="00FC1DB9" w:rsidRPr="002C6752" w:rsidRDefault="00B90445" w:rsidP="009A6619">
      <w:pPr>
        <w:pStyle w:val="Enfparassubparaa"/>
      </w:pPr>
      <w:r w:rsidRPr="002C6752">
        <w:t>report internally on the outcome of investigations, including actions taken</w:t>
      </w:r>
      <w:r w:rsidR="00167891" w:rsidRPr="002C6752">
        <w:t>,</w:t>
      </w:r>
      <w:r w:rsidRPr="002C6752">
        <w:t xml:space="preserve"> </w:t>
      </w:r>
      <w:r w:rsidR="00977C1C" w:rsidRPr="002C6752">
        <w:t>in a timely manner.</w:t>
      </w:r>
      <w:r w:rsidR="00FC1DB9" w:rsidRPr="002C6752">
        <w:t xml:space="preserve"> </w:t>
      </w:r>
    </w:p>
    <w:p w14:paraId="17FCCD5F" w14:textId="64C0F1B2" w:rsidR="007A601B" w:rsidRPr="002C6752" w:rsidRDefault="007A601B" w:rsidP="009A6619">
      <w:pPr>
        <w:pStyle w:val="Enfparasnote"/>
      </w:pPr>
      <w:r w:rsidRPr="002C6752">
        <w:t>Note: Some smaller firms may not have escalation processes to investigate systemic issues</w:t>
      </w:r>
      <w:r w:rsidR="00167891" w:rsidRPr="002C6752">
        <w:t>. They</w:t>
      </w:r>
      <w:r w:rsidRPr="002C6752">
        <w:t xml:space="preserve"> must</w:t>
      </w:r>
      <w:r w:rsidR="00167891" w:rsidRPr="002C6752">
        <w:t xml:space="preserve"> still</w:t>
      </w:r>
      <w:r w:rsidRPr="002C6752">
        <w:t xml:space="preserve"> act in a timely manner to investigate possible systemic issues identified from complaints.</w:t>
      </w:r>
    </w:p>
    <w:p w14:paraId="7FFA14FF" w14:textId="12C75928" w:rsidR="006D5741" w:rsidRPr="002C6752" w:rsidRDefault="00167891" w:rsidP="00553058">
      <w:pPr>
        <w:pStyle w:val="BodyText"/>
      </w:pPr>
      <w:bookmarkStart w:id="341" w:name="_Hlk24361293"/>
      <w:r w:rsidRPr="002C6752">
        <w:t>If</w:t>
      </w:r>
      <w:r w:rsidR="006D5741" w:rsidRPr="002C6752">
        <w:t xml:space="preserve"> an investigation confirms that a systemic issue exists, </w:t>
      </w:r>
      <w:r w:rsidR="007A601B" w:rsidRPr="002C6752">
        <w:t xml:space="preserve">we expect the financial firm to </w:t>
      </w:r>
      <w:r w:rsidR="006D5741" w:rsidRPr="002C6752">
        <w:t>take prompt action to identify affected</w:t>
      </w:r>
      <w:r w:rsidR="00CA12DE" w:rsidRPr="002C6752">
        <w:t xml:space="preserve"> consumers</w:t>
      </w:r>
      <w:r w:rsidR="00DD58FB">
        <w:t xml:space="preserve"> </w:t>
      </w:r>
      <w:r w:rsidR="006D5741" w:rsidRPr="002C6752">
        <w:t>and provide fair remediation.</w:t>
      </w:r>
    </w:p>
    <w:bookmarkEnd w:id="340"/>
    <w:bookmarkEnd w:id="341"/>
    <w:p w14:paraId="18CC40FC" w14:textId="655C9E65" w:rsidR="000A28E6" w:rsidRPr="002C6752" w:rsidRDefault="00024D62" w:rsidP="000A28E6">
      <w:pPr>
        <w:pStyle w:val="BodyText"/>
      </w:pPr>
      <w:r w:rsidRPr="002C6752">
        <w:t>The early identification and resolution of systemic issues by financial firms should prevent these matters being escalated to AFCA.</w:t>
      </w:r>
      <w:r w:rsidR="00C600F4" w:rsidRPr="002C6752">
        <w:t xml:space="preserve"> </w:t>
      </w:r>
      <w:r w:rsidR="000A28E6" w:rsidRPr="002C6752">
        <w:t>AFCA also has a statutory responsibility to identify, refer and report systemic issues to a regulator where it considers that there is a systemic issue arising from its consideration of a complai</w:t>
      </w:r>
      <w:r w:rsidR="00B775AA" w:rsidRPr="002C6752">
        <w:t>nt</w:t>
      </w:r>
      <w:r w:rsidR="001425B1" w:rsidRPr="002C6752">
        <w:t>:</w:t>
      </w:r>
      <w:r w:rsidR="00B775AA" w:rsidRPr="002C6752">
        <w:t xml:space="preserve"> see </w:t>
      </w:r>
      <w:r w:rsidR="000A28E6" w:rsidRPr="002C6752">
        <w:t xml:space="preserve">RG 267.65. </w:t>
      </w:r>
    </w:p>
    <w:p w14:paraId="6EE5D3CB" w14:textId="158DC642" w:rsidR="000A28E6" w:rsidRPr="002C6752" w:rsidRDefault="000A28E6" w:rsidP="000A28E6">
      <w:pPr>
        <w:pStyle w:val="BodyText"/>
      </w:pPr>
      <w:bookmarkStart w:id="342" w:name="_Hlk46486878"/>
      <w:r w:rsidRPr="002C6752">
        <w:t xml:space="preserve">AFCA must make a report to a regulator (ASIC, </w:t>
      </w:r>
      <w:r w:rsidR="005523E1" w:rsidRPr="002C6752">
        <w:t xml:space="preserve">the </w:t>
      </w:r>
      <w:r w:rsidRPr="002C6752">
        <w:t>A</w:t>
      </w:r>
      <w:r w:rsidR="005523E1" w:rsidRPr="002C6752">
        <w:t xml:space="preserve">ustralian </w:t>
      </w:r>
      <w:r w:rsidRPr="002C6752">
        <w:t>P</w:t>
      </w:r>
      <w:r w:rsidR="005523E1" w:rsidRPr="002C6752">
        <w:t xml:space="preserve">rudential </w:t>
      </w:r>
      <w:r w:rsidRPr="002C6752">
        <w:t>R</w:t>
      </w:r>
      <w:r w:rsidR="005523E1" w:rsidRPr="002C6752">
        <w:t xml:space="preserve">egulation </w:t>
      </w:r>
      <w:r w:rsidRPr="002C6752">
        <w:t>A</w:t>
      </w:r>
      <w:r w:rsidR="005523E1" w:rsidRPr="002C6752">
        <w:t>uthority</w:t>
      </w:r>
      <w:r w:rsidRPr="002C6752">
        <w:t xml:space="preserve"> or</w:t>
      </w:r>
      <w:r w:rsidR="005523E1" w:rsidRPr="002C6752">
        <w:t xml:space="preserve"> the</w:t>
      </w:r>
      <w:r w:rsidRPr="002C6752">
        <w:t xml:space="preserve"> A</w:t>
      </w:r>
      <w:r w:rsidR="005523E1" w:rsidRPr="002C6752">
        <w:t xml:space="preserve">ustralian </w:t>
      </w:r>
      <w:r w:rsidRPr="002C6752">
        <w:t>T</w:t>
      </w:r>
      <w:r w:rsidR="005523E1" w:rsidRPr="002C6752">
        <w:t xml:space="preserve">axation </w:t>
      </w:r>
      <w:r w:rsidRPr="002C6752">
        <w:t>O</w:t>
      </w:r>
      <w:r w:rsidR="005523E1" w:rsidRPr="002C6752">
        <w:t>ffice</w:t>
      </w:r>
      <w:r w:rsidRPr="002C6752">
        <w:t xml:space="preserve">) as soon as practicable—but no later than 15 </w:t>
      </w:r>
      <w:r w:rsidR="001461EC">
        <w:t xml:space="preserve">calendar </w:t>
      </w:r>
      <w:r w:rsidRPr="002C6752">
        <w:t>days—after A</w:t>
      </w:r>
      <w:r w:rsidR="005523E1" w:rsidRPr="002C6752">
        <w:t>FCA</w:t>
      </w:r>
      <w:r w:rsidRPr="002C6752">
        <w:t xml:space="preserve"> considers that there is a systemic issue. </w:t>
      </w:r>
    </w:p>
    <w:p w14:paraId="2405FE60" w14:textId="0357C37D" w:rsidR="00D1660E" w:rsidRPr="002C6752" w:rsidRDefault="00D1660E" w:rsidP="00642749">
      <w:pPr>
        <w:pStyle w:val="Heading1"/>
      </w:pPr>
      <w:bookmarkStart w:id="343" w:name="_Ref5091954"/>
      <w:bookmarkStart w:id="344" w:name="_ASICRef657"/>
      <w:bookmarkStart w:id="345" w:name="_Toc46844245"/>
      <w:bookmarkEnd w:id="332"/>
      <w:bookmarkEnd w:id="342"/>
      <w:r w:rsidRPr="002C6752">
        <w:lastRenderedPageBreak/>
        <w:t>IDR standards</w:t>
      </w:r>
      <w:bookmarkEnd w:id="333"/>
      <w:bookmarkEnd w:id="343"/>
      <w:bookmarkEnd w:id="344"/>
      <w:bookmarkEnd w:id="345"/>
    </w:p>
    <w:p w14:paraId="672CBC28" w14:textId="39E8A5F6" w:rsidR="0014267E" w:rsidRPr="002C6752" w:rsidRDefault="0014267E" w:rsidP="00642749">
      <w:pPr>
        <w:pStyle w:val="KPhead"/>
      </w:pPr>
      <w:r w:rsidRPr="002C6752">
        <w:t>Key points</w:t>
      </w:r>
    </w:p>
    <w:p w14:paraId="3280A293" w14:textId="19724664" w:rsidR="00D1660E" w:rsidRPr="002C6752" w:rsidRDefault="00D1660E" w:rsidP="00642749">
      <w:pPr>
        <w:pStyle w:val="KPtext"/>
      </w:pPr>
      <w:bookmarkStart w:id="346" w:name="_Hlk447323"/>
      <w:r w:rsidRPr="002C6752">
        <w:t xml:space="preserve">Our IDR standards reflect the requirements for effective complaint management in </w:t>
      </w:r>
      <w:hyperlink r:id="rId40" w:history="1">
        <w:r w:rsidRPr="002C6752">
          <w:rPr>
            <w:rStyle w:val="Hyperlink"/>
          </w:rPr>
          <w:t>AS/NZS 10002:2014</w:t>
        </w:r>
      </w:hyperlink>
      <w:r w:rsidRPr="002C6752">
        <w:t xml:space="preserve"> and other matters we consider</w:t>
      </w:r>
      <w:r w:rsidR="008928F5" w:rsidRPr="002C6752">
        <w:t xml:space="preserve"> </w:t>
      </w:r>
      <w:r w:rsidR="00EC574A" w:rsidRPr="002C6752">
        <w:t>relevant</w:t>
      </w:r>
      <w:r w:rsidR="005550D2" w:rsidRPr="002C6752">
        <w:t>,</w:t>
      </w:r>
      <w:r w:rsidRPr="002C6752">
        <w:t xml:space="preserve"> given our own regulatory experience</w:t>
      </w:r>
      <w:bookmarkEnd w:id="346"/>
      <w:r w:rsidRPr="002C6752">
        <w:t>.</w:t>
      </w:r>
    </w:p>
    <w:p w14:paraId="6D2D4974" w14:textId="6B0C82BE" w:rsidR="00D1660E" w:rsidRPr="002C6752" w:rsidRDefault="00D1660E" w:rsidP="00642749">
      <w:pPr>
        <w:pStyle w:val="KPtext"/>
      </w:pPr>
      <w:r w:rsidRPr="002C6752">
        <w:t xml:space="preserve">We expect that our IDR </w:t>
      </w:r>
      <w:r w:rsidR="0014267E" w:rsidRPr="002C6752">
        <w:t>s</w:t>
      </w:r>
      <w:r w:rsidRPr="002C6752">
        <w:t>tandards can be adapted by financial firms to suit the nature, scale and complexity of their business.</w:t>
      </w:r>
    </w:p>
    <w:p w14:paraId="579D2022" w14:textId="77777777" w:rsidR="005550D2" w:rsidRPr="002C6752" w:rsidRDefault="005550D2" w:rsidP="00642749">
      <w:pPr>
        <w:pStyle w:val="KPtext"/>
      </w:pPr>
      <w:r w:rsidRPr="002C6752">
        <w:t>This section sets out our IDR standards for:</w:t>
      </w:r>
    </w:p>
    <w:p w14:paraId="41E6A48C" w14:textId="77777777" w:rsidR="005550D2" w:rsidRPr="002C6752" w:rsidRDefault="005550D2" w:rsidP="00802F46">
      <w:pPr>
        <w:pStyle w:val="KPbullet"/>
        <w:numPr>
          <w:ilvl w:val="0"/>
          <w:numId w:val="22"/>
        </w:numPr>
        <w:ind w:left="2665" w:hanging="284"/>
      </w:pPr>
      <w:r w:rsidRPr="002C6752">
        <w:t>top-level commitment to effective, fair and timely complaint management;</w:t>
      </w:r>
    </w:p>
    <w:p w14:paraId="484373CA" w14:textId="77777777" w:rsidR="005550D2" w:rsidRPr="002C6752" w:rsidRDefault="005550D2" w:rsidP="00642749">
      <w:pPr>
        <w:pStyle w:val="KPbullet"/>
      </w:pPr>
      <w:r w:rsidRPr="002C6752">
        <w:t>enabling complaints;</w:t>
      </w:r>
    </w:p>
    <w:p w14:paraId="5EBDD98F" w14:textId="77777777" w:rsidR="005550D2" w:rsidRPr="002C6752" w:rsidRDefault="005550D2" w:rsidP="00642749">
      <w:pPr>
        <w:pStyle w:val="KPbullet"/>
      </w:pPr>
      <w:r w:rsidRPr="002C6752">
        <w:t>resourcing;</w:t>
      </w:r>
    </w:p>
    <w:p w14:paraId="3450203C" w14:textId="77777777" w:rsidR="005550D2" w:rsidRPr="002C6752" w:rsidRDefault="005550D2" w:rsidP="00642749">
      <w:pPr>
        <w:pStyle w:val="KPbullet"/>
      </w:pPr>
      <w:r w:rsidRPr="002C6752">
        <w:t>responsiveness;</w:t>
      </w:r>
    </w:p>
    <w:p w14:paraId="00F17D1C" w14:textId="77777777" w:rsidR="005550D2" w:rsidRPr="002C6752" w:rsidRDefault="005550D2" w:rsidP="00642749">
      <w:pPr>
        <w:pStyle w:val="KPbullet"/>
      </w:pPr>
      <w:r w:rsidRPr="002C6752">
        <w:t>objectivity and fairness;</w:t>
      </w:r>
    </w:p>
    <w:p w14:paraId="4B595072" w14:textId="77777777" w:rsidR="005550D2" w:rsidRPr="002C6752" w:rsidRDefault="005550D2" w:rsidP="00642749">
      <w:pPr>
        <w:pStyle w:val="KPbullet"/>
      </w:pPr>
      <w:r w:rsidRPr="002C6752">
        <w:t>complaint management policies and procedures;</w:t>
      </w:r>
    </w:p>
    <w:p w14:paraId="3C7004E0" w14:textId="77777777" w:rsidR="005550D2" w:rsidRPr="002C6752" w:rsidRDefault="005550D2" w:rsidP="00642749">
      <w:pPr>
        <w:pStyle w:val="KPbullet"/>
      </w:pPr>
      <w:r w:rsidRPr="002C6752">
        <w:t>data collection, analysis and internal reporting; and</w:t>
      </w:r>
    </w:p>
    <w:p w14:paraId="3077D40D" w14:textId="4890C121" w:rsidR="005550D2" w:rsidRPr="002C6752" w:rsidRDefault="005550D2" w:rsidP="00642749">
      <w:pPr>
        <w:pStyle w:val="KPbullet"/>
      </w:pPr>
      <w:r w:rsidRPr="002C6752">
        <w:t xml:space="preserve">continuous improvement of the IDR </w:t>
      </w:r>
      <w:r w:rsidR="00F97EF9" w:rsidRPr="002C6752">
        <w:t>process</w:t>
      </w:r>
      <w:r w:rsidRPr="002C6752">
        <w:t>.</w:t>
      </w:r>
    </w:p>
    <w:p w14:paraId="7943136B" w14:textId="5204C09B" w:rsidR="005550D2" w:rsidRPr="002C6752" w:rsidRDefault="005550D2" w:rsidP="00642749">
      <w:pPr>
        <w:pStyle w:val="Heading2"/>
      </w:pPr>
      <w:bookmarkStart w:id="347" w:name="_Toc46844246"/>
      <w:r w:rsidRPr="002C6752">
        <w:t>Basis for the IDR standards</w:t>
      </w:r>
      <w:bookmarkEnd w:id="347"/>
    </w:p>
    <w:p w14:paraId="330800E6" w14:textId="39DA827A" w:rsidR="0014267E" w:rsidRPr="002C6752" w:rsidRDefault="0089362B" w:rsidP="0014267E">
      <w:pPr>
        <w:pStyle w:val="BodyText"/>
      </w:pPr>
      <w:r w:rsidRPr="002C6752">
        <w:t xml:space="preserve">We expect financial firms to </w:t>
      </w:r>
      <w:r w:rsidR="0014267E" w:rsidRPr="002C6752">
        <w:t>comply with our IDR standards for the design, implementation, and ongoing improvement of financial firms</w:t>
      </w:r>
      <w:r w:rsidR="00E12C7C">
        <w:t>’</w:t>
      </w:r>
      <w:r w:rsidR="0014267E" w:rsidRPr="002C6752">
        <w:t xml:space="preserve"> IDR </w:t>
      </w:r>
      <w:r w:rsidR="00F97EF9" w:rsidRPr="002C6752">
        <w:t>processes</w:t>
      </w:r>
      <w:r w:rsidR="0014267E" w:rsidRPr="002C6752">
        <w:t xml:space="preserve">. </w:t>
      </w:r>
      <w:r w:rsidR="00E12C7C">
        <w:t>‘</w:t>
      </w:r>
      <w:r w:rsidR="00F97EF9" w:rsidRPr="002C6752">
        <w:t>Process</w:t>
      </w:r>
      <w:r w:rsidR="00E12C7C">
        <w:t>’</w:t>
      </w:r>
      <w:r w:rsidR="00F97EF9" w:rsidRPr="002C6752">
        <w:t xml:space="preserve"> </w:t>
      </w:r>
      <w:r w:rsidR="0014267E" w:rsidRPr="002C6752">
        <w:t xml:space="preserve">refers to the totality of all procedures, documents, policies, resources, </w:t>
      </w:r>
      <w:r w:rsidR="005D054A">
        <w:t xml:space="preserve">systems, </w:t>
      </w:r>
      <w:r w:rsidR="0014267E" w:rsidRPr="002C6752">
        <w:t xml:space="preserve">governance and arrangements in place to manage complaints. </w:t>
      </w:r>
    </w:p>
    <w:p w14:paraId="0CC44EE9" w14:textId="61071B46" w:rsidR="0014267E" w:rsidRPr="002C6752" w:rsidRDefault="0014267E" w:rsidP="0014267E">
      <w:pPr>
        <w:pStyle w:val="BodyText"/>
      </w:pPr>
      <w:r w:rsidRPr="002C6752">
        <w:t xml:space="preserve">Our IDR </w:t>
      </w:r>
      <w:r w:rsidR="005550D2" w:rsidRPr="002C6752">
        <w:t>s</w:t>
      </w:r>
      <w:r w:rsidRPr="002C6752">
        <w:t xml:space="preserve">tandards reflect the requirements for effective complaint management set out in AS/NZS 10002: 2014 and other matters we consider </w:t>
      </w:r>
      <w:r w:rsidR="00EC574A" w:rsidRPr="002C6752">
        <w:t xml:space="preserve">relevant </w:t>
      </w:r>
      <w:r w:rsidRPr="002C6752">
        <w:t>given our own regulatory experience.</w:t>
      </w:r>
      <w:r w:rsidR="00D22F1C" w:rsidRPr="002C6752">
        <w:t xml:space="preserve"> </w:t>
      </w:r>
      <w:r w:rsidRPr="002C6752">
        <w:t>AS/NZS 10002: 2014 does not apply exclusively to financial services or credit, and has been drafted broadly so that it can:</w:t>
      </w:r>
    </w:p>
    <w:p w14:paraId="6213E7D5" w14:textId="77777777" w:rsidR="0014267E" w:rsidRPr="002C6752" w:rsidRDefault="0014267E" w:rsidP="00642749">
      <w:pPr>
        <w:pStyle w:val="subparaa"/>
      </w:pPr>
      <w:r w:rsidRPr="002C6752">
        <w:t>apply to any industry in which consumers participate; and</w:t>
      </w:r>
    </w:p>
    <w:p w14:paraId="30B1B025" w14:textId="77777777" w:rsidR="0014267E" w:rsidRPr="002C6752" w:rsidRDefault="0014267E" w:rsidP="0014267E">
      <w:pPr>
        <w:pStyle w:val="subparaa"/>
      </w:pPr>
      <w:r w:rsidRPr="002C6752">
        <w:t>be implemented by a business of any size.</w:t>
      </w:r>
    </w:p>
    <w:p w14:paraId="2BBF4625" w14:textId="6BBD7E96" w:rsidR="0014267E" w:rsidRPr="002C6752" w:rsidRDefault="0014267E" w:rsidP="0014267E">
      <w:pPr>
        <w:pStyle w:val="BodyText"/>
      </w:pPr>
      <w:r w:rsidRPr="002C6752">
        <w:t>We expect that the IDR standards can be adapted by financial firms to suit the nature, scale and complexity of their business.</w:t>
      </w:r>
    </w:p>
    <w:p w14:paraId="68B2E6D4" w14:textId="056D35E6" w:rsidR="00D1660E" w:rsidRPr="002C6752" w:rsidRDefault="00D1660E" w:rsidP="00D1660E">
      <w:pPr>
        <w:pStyle w:val="Heading2"/>
      </w:pPr>
      <w:bookmarkStart w:id="348" w:name="_Toc46844247"/>
      <w:r w:rsidRPr="002C6752">
        <w:lastRenderedPageBreak/>
        <w:t>Commitment and culture</w:t>
      </w:r>
      <w:bookmarkEnd w:id="348"/>
    </w:p>
    <w:p w14:paraId="324E462F" w14:textId="77777777" w:rsidR="00D1660E" w:rsidRPr="002C6752" w:rsidRDefault="00D1660E" w:rsidP="00D1660E">
      <w:pPr>
        <w:pStyle w:val="BodyText"/>
      </w:pPr>
      <w:r w:rsidRPr="002C6752">
        <w:t>We expect financial firms to develop and maintain a positive complaint management culture that welcomes and values complaints. A positive complaint management culture can produce beneficial outcomes for both consumers and financial firms.</w:t>
      </w:r>
    </w:p>
    <w:p w14:paraId="7FE73EFB" w14:textId="77777777" w:rsidR="00D1660E" w:rsidRPr="002C6752" w:rsidRDefault="00D1660E" w:rsidP="00D1660E">
      <w:pPr>
        <w:pStyle w:val="Heading3"/>
      </w:pPr>
      <w:r w:rsidRPr="002C6752">
        <w:t>Top-level commitment</w:t>
      </w:r>
    </w:p>
    <w:p w14:paraId="65680F14" w14:textId="3DDD36E0" w:rsidR="00D1660E" w:rsidRPr="002C6752" w:rsidRDefault="00D1660E" w:rsidP="00D1660E">
      <w:pPr>
        <w:pStyle w:val="BodyText"/>
      </w:pPr>
      <w:r w:rsidRPr="002C6752">
        <w:t xml:space="preserve">Boards (if applicable), chief executives and senior management </w:t>
      </w:r>
      <w:r w:rsidR="0089362B" w:rsidRPr="002C6752">
        <w:t xml:space="preserve">should </w:t>
      </w:r>
      <w:r w:rsidRPr="002C6752">
        <w:t>be actively interested in and support effective complaint management by:</w:t>
      </w:r>
    </w:p>
    <w:p w14:paraId="700B543B" w14:textId="77777777" w:rsidR="00D1660E" w:rsidRPr="002C6752" w:rsidRDefault="00D1660E" w:rsidP="005550D2">
      <w:pPr>
        <w:pStyle w:val="subparaa"/>
      </w:pPr>
      <w:r w:rsidRPr="002C6752">
        <w:t>having board and/or senior management oversight of the IDR process;</w:t>
      </w:r>
    </w:p>
    <w:p w14:paraId="7DAB5D95" w14:textId="77777777" w:rsidR="00D1660E" w:rsidRPr="002C6752" w:rsidRDefault="00D1660E" w:rsidP="005550D2">
      <w:pPr>
        <w:pStyle w:val="subparaa"/>
      </w:pPr>
      <w:r w:rsidRPr="002C6752">
        <w:t xml:space="preserve">providing adequate resources, including training and support to staff managing complaints; </w:t>
      </w:r>
    </w:p>
    <w:p w14:paraId="32320A9A" w14:textId="77777777" w:rsidR="00D1660E" w:rsidRPr="002C6752" w:rsidRDefault="00D1660E" w:rsidP="005550D2">
      <w:pPr>
        <w:pStyle w:val="subparaa"/>
      </w:pPr>
      <w:r w:rsidRPr="002C6752">
        <w:t xml:space="preserve">establishing and promoting a complaint management policy and procedure; </w:t>
      </w:r>
    </w:p>
    <w:p w14:paraId="44CD77F5" w14:textId="481827AA" w:rsidR="00D1660E" w:rsidRPr="002C6752" w:rsidRDefault="00D1660E" w:rsidP="005550D2">
      <w:pPr>
        <w:pStyle w:val="subparaa"/>
      </w:pPr>
      <w:r w:rsidRPr="002C6752">
        <w:t>implementing information technology (IT) systems and reporting procedures to ensure timely and effective complaint management and monitoring; and</w:t>
      </w:r>
    </w:p>
    <w:p w14:paraId="197FCCD2" w14:textId="77777777" w:rsidR="00D1660E" w:rsidRPr="002C6752" w:rsidRDefault="00D1660E" w:rsidP="005550D2">
      <w:pPr>
        <w:pStyle w:val="subparaa"/>
      </w:pPr>
      <w:r w:rsidRPr="002C6752">
        <w:t>establishing clear roles and responsibilities for the management of complaints.</w:t>
      </w:r>
    </w:p>
    <w:p w14:paraId="7AD50974" w14:textId="77777777" w:rsidR="00D1660E" w:rsidRPr="002C6752" w:rsidRDefault="00D1660E" w:rsidP="00D1660E">
      <w:pPr>
        <w:pStyle w:val="Heading3"/>
      </w:pPr>
      <w:r w:rsidRPr="002C6752">
        <w:t>People focus</w:t>
      </w:r>
    </w:p>
    <w:p w14:paraId="59D891D6" w14:textId="67390E31" w:rsidR="00D1660E" w:rsidRPr="002C6752" w:rsidRDefault="00D1660E" w:rsidP="00D1660E">
      <w:pPr>
        <w:pStyle w:val="BodyText"/>
      </w:pPr>
      <w:r w:rsidRPr="002C6752">
        <w:t>The culture of the firm</w:t>
      </w:r>
      <w:r w:rsidR="00360221" w:rsidRPr="002C6752">
        <w:t xml:space="preserve"> </w:t>
      </w:r>
      <w:r w:rsidR="0089362B" w:rsidRPr="002C6752">
        <w:t>should</w:t>
      </w:r>
      <w:r w:rsidRPr="002C6752">
        <w:t>:</w:t>
      </w:r>
    </w:p>
    <w:p w14:paraId="645FB1C1" w14:textId="5F302DF3" w:rsidR="00D1660E" w:rsidRPr="002C6752" w:rsidRDefault="00D1660E" w:rsidP="00642749">
      <w:pPr>
        <w:pStyle w:val="subparaa"/>
      </w:pPr>
      <w:r w:rsidRPr="002C6752">
        <w:t>recognise that everyone has a right to complain; and</w:t>
      </w:r>
    </w:p>
    <w:p w14:paraId="46333259" w14:textId="565FB9BD" w:rsidR="00D1660E" w:rsidRPr="002C6752" w:rsidRDefault="00D1660E" w:rsidP="00642749">
      <w:pPr>
        <w:pStyle w:val="subparaa"/>
      </w:pPr>
      <w:r w:rsidRPr="002C6752">
        <w:t>be open to receiving complaints and demonstrate a commitment to resolving complaints through action.</w:t>
      </w:r>
    </w:p>
    <w:p w14:paraId="0E37E2A5" w14:textId="7AB96DCE" w:rsidR="00D1660E" w:rsidRPr="002C6752" w:rsidRDefault="00D1660E" w:rsidP="0010362C">
      <w:pPr>
        <w:pStyle w:val="BodyText"/>
      </w:pPr>
      <w:r w:rsidRPr="002C6752">
        <w:t xml:space="preserve">The firm </w:t>
      </w:r>
      <w:r w:rsidR="0089362B" w:rsidRPr="002C6752">
        <w:t xml:space="preserve">should </w:t>
      </w:r>
      <w:r w:rsidRPr="002C6752">
        <w:t>encourage staff to</w:t>
      </w:r>
      <w:r w:rsidR="008F4FBF" w:rsidRPr="002C6752">
        <w:t xml:space="preserve"> </w:t>
      </w:r>
      <w:r w:rsidRPr="002C6752">
        <w:t>treat complainants with respect, be helpful and adopt a user-friendly approach to complaint management. This is particularly important where complaints involve default notices, hardship notices or requests for postponement of enforcement proceedings.</w:t>
      </w:r>
    </w:p>
    <w:p w14:paraId="10FE7F54" w14:textId="76DCC3EB" w:rsidR="00D1660E" w:rsidRPr="002C6752" w:rsidRDefault="00D1660E" w:rsidP="005550D2">
      <w:pPr>
        <w:pStyle w:val="Heading2"/>
      </w:pPr>
      <w:bookmarkStart w:id="349" w:name="_Toc46844248"/>
      <w:r w:rsidRPr="002C6752">
        <w:t>Enabling complaints</w:t>
      </w:r>
      <w:bookmarkEnd w:id="349"/>
    </w:p>
    <w:p w14:paraId="0E677383" w14:textId="77777777" w:rsidR="00D1660E" w:rsidRPr="002C6752" w:rsidRDefault="00D1660E" w:rsidP="00D1660E">
      <w:pPr>
        <w:pStyle w:val="BodyText"/>
      </w:pPr>
      <w:bookmarkStart w:id="350" w:name="_ASICRef89"/>
      <w:r w:rsidRPr="002C6752">
        <w:t>Firms should encourage complaints and make it easy for people to voice their concerns by developing an IDR system that is readily accessible and easy to use. Firms should proactively identify people who might need additional assistance.</w:t>
      </w:r>
      <w:bookmarkEnd w:id="350"/>
    </w:p>
    <w:p w14:paraId="31C732B2" w14:textId="77777777" w:rsidR="00D1660E" w:rsidRPr="002C6752" w:rsidRDefault="00D1660E" w:rsidP="00D1660E">
      <w:pPr>
        <w:pStyle w:val="Heading3"/>
      </w:pPr>
      <w:r w:rsidRPr="002C6752">
        <w:lastRenderedPageBreak/>
        <w:t>Visibility</w:t>
      </w:r>
    </w:p>
    <w:p w14:paraId="41F0A2CB" w14:textId="084D9354" w:rsidR="00D1660E" w:rsidRPr="002C6752" w:rsidRDefault="00D1660E" w:rsidP="006A6678">
      <w:pPr>
        <w:pStyle w:val="BodyText"/>
      </w:pPr>
      <w:r w:rsidRPr="002C6752">
        <w:t xml:space="preserve">Firms </w:t>
      </w:r>
      <w:r w:rsidR="00986569">
        <w:t xml:space="preserve">should </w:t>
      </w:r>
      <w:r w:rsidRPr="002C6752">
        <w:t>widely publicise information about how and where complaints may be made, by:</w:t>
      </w:r>
    </w:p>
    <w:p w14:paraId="2F07AD2B" w14:textId="7D1F3366" w:rsidR="00D1660E" w:rsidRPr="00CC2DD6" w:rsidRDefault="00D1660E" w:rsidP="006A6678">
      <w:pPr>
        <w:pStyle w:val="subparaa"/>
        <w:rPr>
          <w:spacing w:val="-2"/>
        </w:rPr>
      </w:pPr>
      <w:bookmarkStart w:id="351" w:name="_ASICRef956"/>
      <w:r w:rsidRPr="00CC2DD6">
        <w:rPr>
          <w:spacing w:val="-2"/>
        </w:rPr>
        <w:t>publishing</w:t>
      </w:r>
      <w:r w:rsidR="00B10D97" w:rsidRPr="00CC2DD6">
        <w:rPr>
          <w:spacing w:val="-2"/>
        </w:rPr>
        <w:t xml:space="preserve"> their complaints policy </w:t>
      </w:r>
      <w:r w:rsidRPr="00CC2DD6">
        <w:rPr>
          <w:spacing w:val="-2"/>
        </w:rPr>
        <w:t>online and mak</w:t>
      </w:r>
      <w:r w:rsidR="00C57B9D" w:rsidRPr="00CC2DD6">
        <w:rPr>
          <w:spacing w:val="-2"/>
        </w:rPr>
        <w:t>ing</w:t>
      </w:r>
      <w:r w:rsidRPr="00CC2DD6">
        <w:rPr>
          <w:spacing w:val="-2"/>
        </w:rPr>
        <w:t xml:space="preserve"> it available in hard copy on request. Information about the IDR process </w:t>
      </w:r>
      <w:r w:rsidR="00986569" w:rsidRPr="00CC2DD6">
        <w:rPr>
          <w:spacing w:val="-2"/>
        </w:rPr>
        <w:t xml:space="preserve">should </w:t>
      </w:r>
      <w:r w:rsidRPr="00CC2DD6">
        <w:rPr>
          <w:spacing w:val="-2"/>
        </w:rPr>
        <w:t>be readily available, not just at the time a consumer wishes to make a complaint;</w:t>
      </w:r>
      <w:bookmarkEnd w:id="351"/>
    </w:p>
    <w:p w14:paraId="548B2103" w14:textId="0992DD96" w:rsidR="00D1660E" w:rsidRPr="002C6752" w:rsidRDefault="00D1660E" w:rsidP="00CC2DD6">
      <w:pPr>
        <w:pStyle w:val="subparaa"/>
        <w:ind w:right="-142"/>
      </w:pPr>
      <w:r w:rsidRPr="002C6752">
        <w:t xml:space="preserve">including information about the IDR process in product welcome packs. It is a requirement to include details about accessing the IDR process in </w:t>
      </w:r>
      <w:r w:rsidRPr="00CC2DD6">
        <w:rPr>
          <w:spacing w:val="-4"/>
        </w:rPr>
        <w:t>Financial Services Guides, PDSs, Credit Guides and periodic statements; and</w:t>
      </w:r>
    </w:p>
    <w:p w14:paraId="787E5A7C" w14:textId="7C13E4D4" w:rsidR="00D1660E" w:rsidRPr="002C6752" w:rsidRDefault="00D1660E" w:rsidP="006A6678">
      <w:pPr>
        <w:pStyle w:val="subparaa"/>
      </w:pPr>
      <w:r w:rsidRPr="002C6752">
        <w:t>providing training to all staff, not just complaints management staff, about the IDR process.</w:t>
      </w:r>
    </w:p>
    <w:p w14:paraId="2262448E" w14:textId="4B8D24CB" w:rsidR="00D1660E" w:rsidRPr="002C6752" w:rsidRDefault="00D1660E" w:rsidP="00D1660E">
      <w:pPr>
        <w:pStyle w:val="BodyText"/>
      </w:pPr>
      <w:r w:rsidRPr="002C6752">
        <w:t xml:space="preserve">Firms </w:t>
      </w:r>
      <w:r w:rsidR="00CA12DE" w:rsidRPr="002C6752">
        <w:t xml:space="preserve">should </w:t>
      </w:r>
      <w:r w:rsidRPr="002C6752">
        <w:t>also implement proactive and innovative approaches to promoting awareness about the IDR process and sourcing complaints from vulnerable people and groups.</w:t>
      </w:r>
    </w:p>
    <w:p w14:paraId="2EECB8A7" w14:textId="7CCDB84C" w:rsidR="00D1660E" w:rsidRPr="002C6752" w:rsidRDefault="00D1660E" w:rsidP="00D1660E">
      <w:pPr>
        <w:pStyle w:val="Heading3"/>
      </w:pPr>
      <w:r w:rsidRPr="002C6752">
        <w:t>Accessibility</w:t>
      </w:r>
    </w:p>
    <w:p w14:paraId="7B2438F6" w14:textId="65E2A705" w:rsidR="008D73E8" w:rsidRPr="002C6752" w:rsidRDefault="008D73E8" w:rsidP="008D73E8">
      <w:pPr>
        <w:pStyle w:val="Enfparashead"/>
      </w:pPr>
      <w:r w:rsidRPr="002C6752">
        <w:t xml:space="preserve">Enforceable paragraph: </w:t>
      </w:r>
      <w:r w:rsidRPr="002C6752">
        <w:fldChar w:fldCharType="begin"/>
      </w:r>
      <w:r w:rsidRPr="002C6752">
        <w:instrText xml:space="preserve"> REF _ASICRef65 \w \h </w:instrText>
      </w:r>
      <w:r w:rsidRPr="002C6752">
        <w:fldChar w:fldCharType="separate"/>
      </w:r>
      <w:r w:rsidR="00DE6E77">
        <w:t>RG 271.134</w:t>
      </w:r>
      <w:r w:rsidRPr="002C6752">
        <w:fldChar w:fldCharType="end"/>
      </w:r>
    </w:p>
    <w:p w14:paraId="7D8865D5" w14:textId="77777777" w:rsidR="008D73E8" w:rsidRPr="002C6752" w:rsidRDefault="00D1660E" w:rsidP="008D73E8">
      <w:pPr>
        <w:pStyle w:val="Enfparastext"/>
      </w:pPr>
      <w:bookmarkStart w:id="352" w:name="_ASICRef65"/>
      <w:bookmarkStart w:id="353" w:name="_ASICRef633"/>
      <w:bookmarkStart w:id="354" w:name="_ASICRef538"/>
      <w:r w:rsidRPr="002C6752">
        <w:t>The IDR process must be easy to understand and use, including by people with</w:t>
      </w:r>
      <w:r w:rsidR="00463F33" w:rsidRPr="002C6752">
        <w:t xml:space="preserve"> disability</w:t>
      </w:r>
      <w:r w:rsidRPr="002C6752">
        <w:t xml:space="preserve"> or language difficulties. </w:t>
      </w:r>
      <w:bookmarkEnd w:id="352"/>
    </w:p>
    <w:p w14:paraId="4A74B9EE" w14:textId="43786A07" w:rsidR="00D1660E" w:rsidRPr="002C6752" w:rsidRDefault="00D1660E" w:rsidP="005550D2">
      <w:pPr>
        <w:pStyle w:val="BodyText"/>
      </w:pPr>
      <w:r w:rsidRPr="002C6752">
        <w:t>This can be achieved by firms:</w:t>
      </w:r>
      <w:bookmarkEnd w:id="353"/>
      <w:bookmarkEnd w:id="354"/>
    </w:p>
    <w:p w14:paraId="59E940DE" w14:textId="2376BA97" w:rsidR="00D1660E" w:rsidRPr="002C6752" w:rsidRDefault="00D1660E" w:rsidP="005550D2">
      <w:pPr>
        <w:pStyle w:val="subparaa"/>
      </w:pPr>
      <w:r w:rsidRPr="002C6752">
        <w:t xml:space="preserve">ensuring that information provided to the public about the IDR process is available in a range of languages and formats (including large print, Braille or audiotape); </w:t>
      </w:r>
    </w:p>
    <w:p w14:paraId="646A59FD" w14:textId="7C69AB9B" w:rsidR="00D1660E" w:rsidRPr="002C6752" w:rsidRDefault="00D1660E" w:rsidP="005550D2">
      <w:pPr>
        <w:pStyle w:val="subparaa"/>
      </w:pPr>
      <w:r w:rsidRPr="002C6752">
        <w:t>using Australian Sign Language (AUSLAN) video presentations of material on their website;</w:t>
      </w:r>
    </w:p>
    <w:p w14:paraId="5F0B3AD7" w14:textId="1EA02DD3" w:rsidR="00D1660E" w:rsidRPr="002C6752" w:rsidRDefault="00D1660E" w:rsidP="005550D2">
      <w:pPr>
        <w:pStyle w:val="subparaa"/>
      </w:pPr>
      <w:r w:rsidRPr="002C6752">
        <w:t xml:space="preserve">enabling people to adjust the font size of information on their website; </w:t>
      </w:r>
    </w:p>
    <w:p w14:paraId="4CDD3494" w14:textId="77777777" w:rsidR="00D1660E" w:rsidRPr="002C6752" w:rsidRDefault="00D1660E" w:rsidP="005550D2">
      <w:pPr>
        <w:pStyle w:val="subparaa"/>
      </w:pPr>
      <w:r w:rsidRPr="002C6752">
        <w:t>offering text telephone (TTY) and the National Relay Service (NRS) to complainants; and</w:t>
      </w:r>
    </w:p>
    <w:p w14:paraId="5D36EFE0" w14:textId="77777777" w:rsidR="00D1660E" w:rsidRPr="002C6752" w:rsidRDefault="00D1660E" w:rsidP="005550D2">
      <w:pPr>
        <w:pStyle w:val="subparaa"/>
      </w:pPr>
      <w:r w:rsidRPr="002C6752">
        <w:t>offering translation services to complainants or making staff available who are cross-culturally trained.</w:t>
      </w:r>
    </w:p>
    <w:p w14:paraId="1F9D439C" w14:textId="6307A729" w:rsidR="00D1660E" w:rsidRPr="002C6752" w:rsidRDefault="00D1660E" w:rsidP="005550D2">
      <w:pPr>
        <w:pStyle w:val="BodyText"/>
      </w:pPr>
      <w:r w:rsidRPr="002C6752">
        <w:t xml:space="preserve">The process </w:t>
      </w:r>
      <w:r w:rsidR="00D74F7D" w:rsidRPr="002C6752">
        <w:t xml:space="preserve">should </w:t>
      </w:r>
      <w:r w:rsidRPr="002C6752">
        <w:t>be flexible about how complaints are lodged and offer multiple lodgement methods—including telephone, email, letter,</w:t>
      </w:r>
      <w:r w:rsidR="004F127D">
        <w:t xml:space="preserve"> social media,</w:t>
      </w:r>
      <w:r w:rsidRPr="002C6752">
        <w:t xml:space="preserve"> in person, or online. Complaints do not need to be in writing—in some cases, insisting that complaints are in written form can be a disincentive to the complainant.</w:t>
      </w:r>
    </w:p>
    <w:p w14:paraId="6F378C57" w14:textId="1B4A4732" w:rsidR="00D1660E" w:rsidRPr="002C6752" w:rsidRDefault="00D1660E" w:rsidP="005550D2">
      <w:pPr>
        <w:pStyle w:val="BodyText"/>
      </w:pPr>
      <w:r w:rsidRPr="002C6752">
        <w:t xml:space="preserve">Firms </w:t>
      </w:r>
      <w:r w:rsidR="00853AF5" w:rsidRPr="002C6752">
        <w:t>should</w:t>
      </w:r>
      <w:r w:rsidRPr="002C6752">
        <w:t xml:space="preserve"> provide a toll-free or local call telephone number.</w:t>
      </w:r>
    </w:p>
    <w:p w14:paraId="410FC92F" w14:textId="3AC6628B" w:rsidR="00D1660E" w:rsidRPr="002C6752" w:rsidRDefault="00D1660E" w:rsidP="005550D2">
      <w:pPr>
        <w:pStyle w:val="BodyText"/>
      </w:pPr>
      <w:r w:rsidRPr="002C6752">
        <w:lastRenderedPageBreak/>
        <w:t xml:space="preserve">Firms </w:t>
      </w:r>
      <w:r w:rsidR="0089362B" w:rsidRPr="002C6752">
        <w:t xml:space="preserve">should </w:t>
      </w:r>
      <w:r w:rsidRPr="002C6752">
        <w:t>train staff to proactively identify, support and assist people who need help to make a complaint.</w:t>
      </w:r>
    </w:p>
    <w:p w14:paraId="15A5F95A" w14:textId="44CC805F" w:rsidR="00D1660E" w:rsidRDefault="00D1660E" w:rsidP="005550D2">
      <w:pPr>
        <w:pStyle w:val="BodyText"/>
      </w:pPr>
      <w:r w:rsidRPr="002C6752">
        <w:t xml:space="preserve">Firms </w:t>
      </w:r>
      <w:r w:rsidR="00F45F17">
        <w:t xml:space="preserve">should </w:t>
      </w:r>
      <w:r w:rsidRPr="002C6752">
        <w:t>allow representatives to lodge complaints on behalf of complainants</w:t>
      </w:r>
      <w:r w:rsidR="0056115C" w:rsidRPr="002C6752">
        <w:t>. Such</w:t>
      </w:r>
      <w:r w:rsidR="0005414D" w:rsidRPr="002C6752">
        <w:t xml:space="preserve"> </w:t>
      </w:r>
      <w:r w:rsidR="0056115C" w:rsidRPr="002C6752">
        <w:t>representatives might</w:t>
      </w:r>
      <w:r w:rsidRPr="002C6752">
        <w:t xml:space="preserve"> incl</w:t>
      </w:r>
      <w:r w:rsidR="0056115C" w:rsidRPr="002C6752">
        <w:t>ude</w:t>
      </w:r>
      <w:r w:rsidR="0005414D" w:rsidRPr="002C6752">
        <w:t xml:space="preserve"> </w:t>
      </w:r>
      <w:r w:rsidR="00E66A61" w:rsidRPr="002C6752">
        <w:t>financial counsellors, legal representatives, family, friends and</w:t>
      </w:r>
      <w:r w:rsidRPr="002C6752">
        <w:t xml:space="preserve"> members of parliament.</w:t>
      </w:r>
      <w:r w:rsidR="00C600F4" w:rsidRPr="002C6752">
        <w:t xml:space="preserve"> </w:t>
      </w:r>
      <w:r w:rsidR="00E66A61" w:rsidRPr="002C6752">
        <w:t>Firms should not put in place barriers to accepting authorities</w:t>
      </w:r>
      <w:r w:rsidR="0056115C" w:rsidRPr="002C6752">
        <w:t xml:space="preserve"> </w:t>
      </w:r>
      <w:r w:rsidR="00DB6F47" w:rsidRPr="002C6752">
        <w:t xml:space="preserve">from </w:t>
      </w:r>
      <w:r w:rsidR="0056115C" w:rsidRPr="002C6752">
        <w:t>these representatives.</w:t>
      </w:r>
      <w:r w:rsidR="00853859">
        <w:t xml:space="preserve"> </w:t>
      </w:r>
      <w:r w:rsidR="00D1018B">
        <w:t>Once a firm is notified that a complainant has authorised a representative, the firm should not contact the complainant directly unless:</w:t>
      </w:r>
    </w:p>
    <w:p w14:paraId="5FF1A40D" w14:textId="07F2B338" w:rsidR="00D1018B" w:rsidRDefault="00D1018B" w:rsidP="00D1018B">
      <w:pPr>
        <w:pStyle w:val="subparaa"/>
      </w:pPr>
      <w:r>
        <w:t>the complainant specifically requests direct communicati</w:t>
      </w:r>
      <w:r w:rsidR="006C6557">
        <w:t>o</w:t>
      </w:r>
      <w:r>
        <w:t>n with the firm;</w:t>
      </w:r>
    </w:p>
    <w:p w14:paraId="382EA468" w14:textId="511AE104" w:rsidR="00D1018B" w:rsidRDefault="00D1018B" w:rsidP="00D1018B">
      <w:pPr>
        <w:pStyle w:val="subparaa"/>
      </w:pPr>
      <w:r>
        <w:t>the firm reasonably believes that the representative is acting against the complainant</w:t>
      </w:r>
      <w:r w:rsidR="00E12C7C">
        <w:t>’</w:t>
      </w:r>
      <w:r>
        <w:t xml:space="preserve">s best </w:t>
      </w:r>
      <w:r w:rsidR="008A4752">
        <w:t>interests</w:t>
      </w:r>
      <w:r>
        <w:t>;</w:t>
      </w:r>
    </w:p>
    <w:p w14:paraId="5F766B0E" w14:textId="350541DD" w:rsidR="00D1018B" w:rsidRDefault="00D1018B" w:rsidP="00D1018B">
      <w:pPr>
        <w:pStyle w:val="subparaa"/>
      </w:pPr>
      <w:r>
        <w:t>the firm reasonably believes that the representative is acting in a deceptive or misleading manner with the complainant and/or the firm;</w:t>
      </w:r>
    </w:p>
    <w:p w14:paraId="25BC8D2F" w14:textId="421CD134" w:rsidR="00D1018B" w:rsidRDefault="00D1018B" w:rsidP="00D1018B">
      <w:pPr>
        <w:pStyle w:val="subparaa"/>
      </w:pPr>
      <w:r>
        <w:t>the firm reasonably believes that the representative is not authorised to represent the complainant; or</w:t>
      </w:r>
    </w:p>
    <w:p w14:paraId="669299AC" w14:textId="74DA2263" w:rsidR="00D1018B" w:rsidRPr="002C6752" w:rsidRDefault="00730E71" w:rsidP="00853859">
      <w:pPr>
        <w:pStyle w:val="subparaa"/>
      </w:pPr>
      <w:r>
        <w:t xml:space="preserve">at the time the firm is dealing with the complaint, </w:t>
      </w:r>
      <w:r w:rsidR="00D1018B">
        <w:t>the representative has been excluded by AFCA from representing complainants in relation to any complaint lodged with AFCA.</w:t>
      </w:r>
    </w:p>
    <w:p w14:paraId="1B5BAD0B" w14:textId="67BF3E4B" w:rsidR="00D1660E" w:rsidRPr="002C6752" w:rsidRDefault="00D1660E" w:rsidP="00D1660E">
      <w:pPr>
        <w:pStyle w:val="BodyText"/>
      </w:pPr>
      <w:bookmarkStart w:id="355" w:name="_ASICRef207"/>
      <w:bookmarkStart w:id="356" w:name="_ASICRef167"/>
      <w:r w:rsidRPr="002C6752">
        <w:t xml:space="preserve">Firms </w:t>
      </w:r>
      <w:r w:rsidR="00D75D70" w:rsidRPr="002C6752">
        <w:t xml:space="preserve">should </w:t>
      </w:r>
      <w:r w:rsidRPr="002C6752">
        <w:t>continuously review the effectiveness of IDR communications.</w:t>
      </w:r>
      <w:bookmarkEnd w:id="355"/>
      <w:bookmarkEnd w:id="356"/>
    </w:p>
    <w:p w14:paraId="270A2D14" w14:textId="76CBEA29" w:rsidR="00D1660E" w:rsidRPr="002C6752" w:rsidRDefault="00D1660E" w:rsidP="00D1660E">
      <w:pPr>
        <w:pStyle w:val="Heading3"/>
      </w:pPr>
      <w:r w:rsidRPr="002C6752">
        <w:t>No charges or detriment</w:t>
      </w:r>
    </w:p>
    <w:p w14:paraId="07E32693" w14:textId="62ECBD1B" w:rsidR="008D73E8" w:rsidRPr="002C6752" w:rsidRDefault="008D73E8" w:rsidP="0000687D">
      <w:pPr>
        <w:pStyle w:val="Enfparashead"/>
      </w:pPr>
      <w:r w:rsidRPr="002C6752">
        <w:t xml:space="preserve">Enforceable paragraph: </w:t>
      </w:r>
      <w:r w:rsidRPr="002C6752">
        <w:fldChar w:fldCharType="begin"/>
      </w:r>
      <w:r w:rsidRPr="002C6752">
        <w:instrText xml:space="preserve"> REF _ASICRef61 \w \h </w:instrText>
      </w:r>
      <w:r w:rsidRPr="002C6752">
        <w:fldChar w:fldCharType="separate"/>
      </w:r>
      <w:r w:rsidR="00DE6E77">
        <w:t>RG 271.141</w:t>
      </w:r>
      <w:r w:rsidRPr="002C6752">
        <w:fldChar w:fldCharType="end"/>
      </w:r>
    </w:p>
    <w:p w14:paraId="4C7026F1" w14:textId="669800BD" w:rsidR="00D1660E" w:rsidRPr="002C6752" w:rsidRDefault="00D1660E" w:rsidP="009A6619">
      <w:pPr>
        <w:pStyle w:val="Enfparastext"/>
      </w:pPr>
      <w:bookmarkStart w:id="357" w:name="_ASICRef757"/>
      <w:bookmarkStart w:id="358" w:name="_ASICRef406"/>
      <w:bookmarkStart w:id="359" w:name="_ASICRef61"/>
      <w:r w:rsidRPr="002C6752">
        <w:t>The IDR process must be free to complainants. We consider that:</w:t>
      </w:r>
      <w:bookmarkEnd w:id="357"/>
      <w:bookmarkEnd w:id="358"/>
      <w:bookmarkEnd w:id="359"/>
    </w:p>
    <w:p w14:paraId="6913315D" w14:textId="7F6EFB07" w:rsidR="00D1660E" w:rsidRPr="002C6752" w:rsidRDefault="00D1660E" w:rsidP="009A6619">
      <w:pPr>
        <w:pStyle w:val="Enfparassubparaa"/>
      </w:pPr>
      <w:r w:rsidRPr="002C6752">
        <w:t>material explaining the IDR process must be provided free of charge to complainants; and</w:t>
      </w:r>
    </w:p>
    <w:p w14:paraId="20599FEB" w14:textId="100656E4" w:rsidR="00D1660E" w:rsidRPr="002C6752" w:rsidRDefault="00D1660E" w:rsidP="009A6619">
      <w:pPr>
        <w:pStyle w:val="Enfparassubparaa"/>
      </w:pPr>
      <w:r w:rsidRPr="002C6752">
        <w:t xml:space="preserve">complainants must be able to </w:t>
      </w:r>
      <w:r w:rsidR="00463F33" w:rsidRPr="002C6752">
        <w:t xml:space="preserve">make </w:t>
      </w:r>
      <w:r w:rsidRPr="002C6752">
        <w:t>or pursue their complaint via the IDR process free of charge.</w:t>
      </w:r>
    </w:p>
    <w:p w14:paraId="2958B9C3" w14:textId="77777777" w:rsidR="00D1660E" w:rsidRPr="002C6752" w:rsidRDefault="00D1660E" w:rsidP="00D1660E">
      <w:pPr>
        <w:pStyle w:val="Heading2"/>
      </w:pPr>
      <w:bookmarkStart w:id="360" w:name="_Toc46844249"/>
      <w:r w:rsidRPr="002C6752">
        <w:t>Resourcing</w:t>
      </w:r>
      <w:bookmarkEnd w:id="360"/>
    </w:p>
    <w:p w14:paraId="7B08157D" w14:textId="68F824BE" w:rsidR="0000687D" w:rsidRPr="002C6752" w:rsidRDefault="0000687D" w:rsidP="009A6619">
      <w:pPr>
        <w:pStyle w:val="Enfparashead"/>
      </w:pPr>
      <w:r w:rsidRPr="002C6752">
        <w:t xml:space="preserve">Enforceable paragraph: </w:t>
      </w:r>
      <w:r w:rsidRPr="002C6752">
        <w:fldChar w:fldCharType="begin"/>
      </w:r>
      <w:r w:rsidRPr="002C6752">
        <w:instrText xml:space="preserve"> REF _ASICRef793 \w \h  \* MERGEFORMAT </w:instrText>
      </w:r>
      <w:r w:rsidRPr="002C6752">
        <w:fldChar w:fldCharType="separate"/>
      </w:r>
      <w:r w:rsidR="00DE6E77">
        <w:t>RG 271.142</w:t>
      </w:r>
      <w:r w:rsidRPr="002C6752">
        <w:fldChar w:fldCharType="end"/>
      </w:r>
    </w:p>
    <w:p w14:paraId="4BDB3AF1" w14:textId="6D564D3D" w:rsidR="00D1660E" w:rsidRPr="002C6752" w:rsidRDefault="00D75D70" w:rsidP="009A6619">
      <w:pPr>
        <w:pStyle w:val="Enfparastext"/>
      </w:pPr>
      <w:bookmarkStart w:id="361" w:name="_ASICRef793"/>
      <w:r w:rsidRPr="002C6752">
        <w:t xml:space="preserve">The </w:t>
      </w:r>
      <w:r w:rsidR="00D1660E" w:rsidRPr="002C6752">
        <w:t xml:space="preserve">IDR </w:t>
      </w:r>
      <w:r w:rsidR="005D054A">
        <w:t>process</w:t>
      </w:r>
      <w:r w:rsidRPr="002C6752">
        <w:t xml:space="preserve"> must be</w:t>
      </w:r>
      <w:r w:rsidR="00D1660E" w:rsidRPr="002C6752">
        <w:t xml:space="preserve"> resourced so that it operates fairly, effectively and efficiently. </w:t>
      </w:r>
      <w:r w:rsidRPr="002C6752">
        <w:t xml:space="preserve">The financial firm must </w:t>
      </w:r>
      <w:r w:rsidR="00D1660E" w:rsidRPr="002C6752">
        <w:t xml:space="preserve">regularly review whether the IDR </w:t>
      </w:r>
      <w:r w:rsidR="005D054A">
        <w:t>process</w:t>
      </w:r>
      <w:r w:rsidR="00D1660E" w:rsidRPr="002C6752">
        <w:t xml:space="preserve"> is adequately resourced.</w:t>
      </w:r>
      <w:bookmarkEnd w:id="361"/>
    </w:p>
    <w:p w14:paraId="347105DF" w14:textId="77777777" w:rsidR="00D1660E" w:rsidRPr="002C6752" w:rsidRDefault="00D1660E" w:rsidP="00D1660E">
      <w:pPr>
        <w:pStyle w:val="Heading3"/>
      </w:pPr>
      <w:r w:rsidRPr="002C6752">
        <w:lastRenderedPageBreak/>
        <w:t>Staff numbers</w:t>
      </w:r>
    </w:p>
    <w:p w14:paraId="6D31AA29" w14:textId="168289EA" w:rsidR="00F752D1" w:rsidRDefault="00F752D1" w:rsidP="00E96FC9">
      <w:pPr>
        <w:pStyle w:val="Enfparashead"/>
      </w:pPr>
      <w:bookmarkStart w:id="362" w:name="_ASICRef379"/>
      <w:r>
        <w:t xml:space="preserve">Enforceable paragraph: </w:t>
      </w:r>
      <w:r>
        <w:fldChar w:fldCharType="begin"/>
      </w:r>
      <w:r>
        <w:instrText xml:space="preserve"> REF _Ref34810036 \r \h </w:instrText>
      </w:r>
      <w:r>
        <w:fldChar w:fldCharType="separate"/>
      </w:r>
      <w:r w:rsidR="00DE6E77">
        <w:t>RG 271.143</w:t>
      </w:r>
      <w:r>
        <w:fldChar w:fldCharType="end"/>
      </w:r>
    </w:p>
    <w:p w14:paraId="6EFAF913" w14:textId="3A753F88" w:rsidR="00D1660E" w:rsidRPr="002C6752" w:rsidRDefault="00D1660E" w:rsidP="00E96FC9">
      <w:pPr>
        <w:pStyle w:val="Enfparastext"/>
      </w:pPr>
      <w:bookmarkStart w:id="363" w:name="_Ref34810036"/>
      <w:r w:rsidRPr="002C6752">
        <w:t xml:space="preserve">Staffing numbers </w:t>
      </w:r>
      <w:r w:rsidR="00147F0F">
        <w:t xml:space="preserve">must </w:t>
      </w:r>
      <w:r w:rsidRPr="002C6752">
        <w:t>be sufficient to deal with complaints in a fair and effective manner within maximum IDR timeframes. This includes resourcing the IDR function to deal with intermittent spikes in complaint volumes.</w:t>
      </w:r>
      <w:bookmarkEnd w:id="362"/>
      <w:bookmarkEnd w:id="363"/>
    </w:p>
    <w:p w14:paraId="7E21D12B" w14:textId="77777777" w:rsidR="00D1660E" w:rsidRPr="002C6752" w:rsidRDefault="00D1660E" w:rsidP="00D1660E">
      <w:pPr>
        <w:pStyle w:val="Heading3"/>
      </w:pPr>
      <w:r w:rsidRPr="002C6752">
        <w:t>Roles, responsibilities and empowerment</w:t>
      </w:r>
    </w:p>
    <w:p w14:paraId="72626ABC" w14:textId="5189D2D5" w:rsidR="00D1660E" w:rsidRPr="002C6752" w:rsidRDefault="00C338E6" w:rsidP="00D1660E">
      <w:pPr>
        <w:pStyle w:val="BodyText"/>
      </w:pPr>
      <w:bookmarkStart w:id="364" w:name="_Ref34810021"/>
      <w:r w:rsidRPr="002C6752">
        <w:t xml:space="preserve">Staff expected to </w:t>
      </w:r>
      <w:r w:rsidR="00D1660E" w:rsidRPr="002C6752">
        <w:t>play a role in the firm</w:t>
      </w:r>
      <w:r w:rsidR="00E12C7C">
        <w:t>’</w:t>
      </w:r>
      <w:r w:rsidR="00D1660E" w:rsidRPr="002C6752">
        <w:t>s IDR process includ</w:t>
      </w:r>
      <w:r w:rsidRPr="002C6752">
        <w:t>e</w:t>
      </w:r>
      <w:r w:rsidR="00A258E0" w:rsidRPr="002C6752">
        <w:t>:</w:t>
      </w:r>
      <w:bookmarkEnd w:id="364"/>
    </w:p>
    <w:p w14:paraId="21414BFA" w14:textId="77777777" w:rsidR="00D1660E" w:rsidRPr="002C6752" w:rsidRDefault="00D1660E" w:rsidP="005550D2">
      <w:pPr>
        <w:pStyle w:val="subparaa"/>
      </w:pPr>
      <w:r w:rsidRPr="002C6752">
        <w:t>the chief executive (or equivalent) and senior management;</w:t>
      </w:r>
    </w:p>
    <w:p w14:paraId="610C719D" w14:textId="77777777" w:rsidR="00D1660E" w:rsidRPr="002C6752" w:rsidRDefault="00D1660E" w:rsidP="005550D2">
      <w:pPr>
        <w:pStyle w:val="subparaa"/>
      </w:pPr>
      <w:r w:rsidRPr="002C6752">
        <w:t>the manager responsible for the IDR process;</w:t>
      </w:r>
    </w:p>
    <w:p w14:paraId="356F6BED" w14:textId="77777777" w:rsidR="00D1660E" w:rsidRPr="002C6752" w:rsidRDefault="00D1660E" w:rsidP="005550D2">
      <w:pPr>
        <w:pStyle w:val="subparaa"/>
      </w:pPr>
      <w:r w:rsidRPr="002C6752">
        <w:t>staff managing complaints;</w:t>
      </w:r>
    </w:p>
    <w:p w14:paraId="0E8C3F6A" w14:textId="77777777" w:rsidR="00D1660E" w:rsidRPr="002C6752" w:rsidRDefault="00D1660E" w:rsidP="005550D2">
      <w:pPr>
        <w:pStyle w:val="subparaa"/>
      </w:pPr>
      <w:r w:rsidRPr="002C6752">
        <w:t>business unit managers; and</w:t>
      </w:r>
    </w:p>
    <w:p w14:paraId="35697098" w14:textId="77777777" w:rsidR="00D1660E" w:rsidRPr="002C6752" w:rsidRDefault="00D1660E" w:rsidP="005550D2">
      <w:pPr>
        <w:pStyle w:val="subparaa"/>
      </w:pPr>
      <w:r w:rsidRPr="002C6752">
        <w:t>frontline staff.</w:t>
      </w:r>
    </w:p>
    <w:p w14:paraId="29113BB4" w14:textId="710EF729" w:rsidR="00D1660E" w:rsidRPr="002C6752" w:rsidRDefault="00D1660E" w:rsidP="00D1660E">
      <w:pPr>
        <w:pStyle w:val="BodyText"/>
      </w:pPr>
      <w:r w:rsidRPr="002C6752">
        <w:t xml:space="preserve">All staff </w:t>
      </w:r>
      <w:r w:rsidR="000B700A" w:rsidRPr="002C6752">
        <w:t xml:space="preserve">should </w:t>
      </w:r>
      <w:r w:rsidRPr="002C6752">
        <w:t>understand their roles and responsibilities in relation to the IDR process.</w:t>
      </w:r>
    </w:p>
    <w:p w14:paraId="48DF39B1" w14:textId="108674EE" w:rsidR="000B700A" w:rsidRPr="002C6752" w:rsidRDefault="000B700A" w:rsidP="00553058">
      <w:pPr>
        <w:pStyle w:val="Heading3"/>
      </w:pPr>
      <w:r w:rsidRPr="002C6752">
        <w:t>Empower</w:t>
      </w:r>
      <w:r w:rsidR="00167891" w:rsidRPr="002C6752">
        <w:t>ing</w:t>
      </w:r>
      <w:r w:rsidRPr="002C6752">
        <w:t xml:space="preserve"> staff and financial delegations</w:t>
      </w:r>
    </w:p>
    <w:p w14:paraId="78D88239" w14:textId="12C59447" w:rsidR="004B4A6F" w:rsidRPr="002C6752" w:rsidRDefault="004B4A6F" w:rsidP="00C31FD2">
      <w:pPr>
        <w:pStyle w:val="Enfparashead"/>
      </w:pPr>
      <w:r w:rsidRPr="002C6752">
        <w:t>Enforceable paragraph</w:t>
      </w:r>
      <w:r>
        <w:t>s</w:t>
      </w:r>
      <w:r w:rsidRPr="002C6752">
        <w:t>:</w:t>
      </w:r>
      <w:r>
        <w:t xml:space="preserve"> </w:t>
      </w:r>
      <w:r>
        <w:fldChar w:fldCharType="begin"/>
      </w:r>
      <w:r>
        <w:instrText xml:space="preserve"> REF _Ref33606408 \r \h </w:instrText>
      </w:r>
      <w:r>
        <w:fldChar w:fldCharType="separate"/>
      </w:r>
      <w:r w:rsidR="00DE6E77">
        <w:t>RG 271.146</w:t>
      </w:r>
      <w:r>
        <w:fldChar w:fldCharType="end"/>
      </w:r>
      <w:r>
        <w:t>–</w:t>
      </w:r>
      <w:r w:rsidRPr="002C6752">
        <w:fldChar w:fldCharType="begin"/>
      </w:r>
      <w:r w:rsidRPr="002C6752">
        <w:instrText xml:space="preserve"> REF _ASICRef463 \w \h  \* MERGEFORMAT </w:instrText>
      </w:r>
      <w:r w:rsidRPr="002C6752">
        <w:fldChar w:fldCharType="separate"/>
      </w:r>
      <w:r w:rsidR="00DE6E77">
        <w:t>RG 271.147</w:t>
      </w:r>
      <w:r w:rsidRPr="002C6752">
        <w:fldChar w:fldCharType="end"/>
      </w:r>
    </w:p>
    <w:p w14:paraId="5E1261D0" w14:textId="3E8401DD" w:rsidR="00D1660E" w:rsidRPr="002C6752" w:rsidRDefault="00D1660E" w:rsidP="00C31FD2">
      <w:pPr>
        <w:pStyle w:val="Enfparastext"/>
      </w:pPr>
      <w:bookmarkStart w:id="365" w:name="_Ref33606408"/>
      <w:r w:rsidRPr="002C6752">
        <w:t>Firms</w:t>
      </w:r>
      <w:r w:rsidR="00D74F7D" w:rsidRPr="002C6752">
        <w:t xml:space="preserve"> must </w:t>
      </w:r>
      <w:r w:rsidRPr="002C6752">
        <w:t xml:space="preserve">provide </w:t>
      </w:r>
      <w:r w:rsidR="000B700A" w:rsidRPr="002C6752">
        <w:t xml:space="preserve">relevant </w:t>
      </w:r>
      <w:r w:rsidRPr="002C6752">
        <w:t>staff with appropriate authority to be able to resolve complaints.</w:t>
      </w:r>
      <w:bookmarkEnd w:id="365"/>
    </w:p>
    <w:p w14:paraId="1326843A" w14:textId="76429020" w:rsidR="000B700A" w:rsidRPr="002C6752" w:rsidRDefault="000B700A" w:rsidP="0010362C">
      <w:pPr>
        <w:pStyle w:val="Enfparastext"/>
      </w:pPr>
      <w:bookmarkStart w:id="366" w:name="_ASICRef463"/>
      <w:r w:rsidRPr="00C31FD2">
        <w:t>Firms must</w:t>
      </w:r>
      <w:r w:rsidR="0008041E" w:rsidRPr="00C31FD2">
        <w:t xml:space="preserve"> ensure that</w:t>
      </w:r>
      <w:r w:rsidR="00F3307A" w:rsidRPr="00C31FD2">
        <w:t xml:space="preserve"> </w:t>
      </w:r>
      <w:r w:rsidR="0008041E" w:rsidRPr="00C31FD2">
        <w:t>the</w:t>
      </w:r>
      <w:r w:rsidR="0008041E" w:rsidRPr="0011105D">
        <w:t xml:space="preserve"> authorit</w:t>
      </w:r>
      <w:r w:rsidR="0008041E" w:rsidRPr="002C6752">
        <w:t>ies for determining and/or approving complaint outcomes (including product contract variations) and</w:t>
      </w:r>
      <w:r w:rsidR="00F3307A" w:rsidRPr="002C6752">
        <w:t xml:space="preserve"> </w:t>
      </w:r>
      <w:r w:rsidR="000729C0" w:rsidRPr="00C31FD2">
        <w:t>the</w:t>
      </w:r>
      <w:r w:rsidR="000729C0" w:rsidRPr="0011105D">
        <w:t xml:space="preserve"> financial delegations </w:t>
      </w:r>
      <w:r w:rsidR="000729C0" w:rsidRPr="00C31FD2">
        <w:t>in place</w:t>
      </w:r>
      <w:r w:rsidR="000729C0" w:rsidRPr="0011105D">
        <w:t xml:space="preserve"> fo</w:t>
      </w:r>
      <w:r w:rsidR="000729C0" w:rsidRPr="002C6752">
        <w:t>r paying amounts to complainants</w:t>
      </w:r>
      <w:r w:rsidR="004B4A6F">
        <w:t xml:space="preserve"> </w:t>
      </w:r>
      <w:r w:rsidR="000729C0" w:rsidRPr="002C6752">
        <w:t>facilitate the fair and efficient resolution of complaints.</w:t>
      </w:r>
      <w:r w:rsidRPr="002C6752">
        <w:t xml:space="preserve"> </w:t>
      </w:r>
      <w:bookmarkEnd w:id="366"/>
    </w:p>
    <w:p w14:paraId="023F3F1C" w14:textId="77777777" w:rsidR="00D1660E" w:rsidRPr="002C6752" w:rsidRDefault="00D1660E" w:rsidP="00D1660E">
      <w:pPr>
        <w:pStyle w:val="Heading3"/>
      </w:pPr>
      <w:r w:rsidRPr="002C6752">
        <w:t>Skills, attributes and training</w:t>
      </w:r>
    </w:p>
    <w:p w14:paraId="4F64C0C8" w14:textId="45B06290" w:rsidR="00D1660E" w:rsidRPr="002C6752" w:rsidRDefault="000B700A" w:rsidP="005550D2">
      <w:pPr>
        <w:pStyle w:val="BodyText"/>
      </w:pPr>
      <w:r w:rsidRPr="002C6752">
        <w:t>We expect staff</w:t>
      </w:r>
      <w:r w:rsidR="00167891" w:rsidRPr="002C6752">
        <w:t xml:space="preserve"> who</w:t>
      </w:r>
      <w:r w:rsidRPr="002C6752">
        <w:t xml:space="preserve"> deal with complaints to </w:t>
      </w:r>
      <w:r w:rsidR="00D1660E" w:rsidRPr="002C6752">
        <w:t>have the knowledge, skills and attributes to effectively perform their roles</w:t>
      </w:r>
      <w:r w:rsidR="00167891" w:rsidRPr="002C6752">
        <w:t>.</w:t>
      </w:r>
      <w:r w:rsidR="00D1660E" w:rsidRPr="002C6752">
        <w:t xml:space="preserve"> </w:t>
      </w:r>
      <w:r w:rsidR="00167891" w:rsidRPr="002C6752">
        <w:t xml:space="preserve">This </w:t>
      </w:r>
      <w:r w:rsidR="00D1660E" w:rsidRPr="002C6752">
        <w:t>includ</w:t>
      </w:r>
      <w:r w:rsidR="00167891" w:rsidRPr="002C6752">
        <w:t>es</w:t>
      </w:r>
      <w:r w:rsidR="00D1660E" w:rsidRPr="002C6752">
        <w:t>:</w:t>
      </w:r>
    </w:p>
    <w:p w14:paraId="4B114DB1" w14:textId="222D9E79" w:rsidR="00D1660E" w:rsidRPr="002C6752" w:rsidRDefault="00D1660E" w:rsidP="005550D2">
      <w:pPr>
        <w:pStyle w:val="subparaa"/>
      </w:pPr>
      <w:r w:rsidRPr="002C6752">
        <w:t>knowledge of this regulatory guide, consumer protection laws</w:t>
      </w:r>
      <w:r w:rsidR="00463F33" w:rsidRPr="002C6752">
        <w:t xml:space="preserve"> relating to</w:t>
      </w:r>
      <w:r w:rsidRPr="002C6752">
        <w:t xml:space="preserve"> financial products and services, AFCA approaches and relevant industry codes of practice;</w:t>
      </w:r>
    </w:p>
    <w:p w14:paraId="71DE69D9" w14:textId="77777777" w:rsidR="00D1660E" w:rsidRPr="002C6752" w:rsidRDefault="00D1660E" w:rsidP="005550D2">
      <w:pPr>
        <w:pStyle w:val="subparaa"/>
      </w:pPr>
      <w:r w:rsidRPr="002C6752">
        <w:t>an understanding of the products and services offered by the financial firm;</w:t>
      </w:r>
    </w:p>
    <w:p w14:paraId="7C8F8EE8" w14:textId="77777777" w:rsidR="00D1660E" w:rsidRPr="002C6752" w:rsidRDefault="00D1660E" w:rsidP="005550D2">
      <w:pPr>
        <w:pStyle w:val="subparaa"/>
      </w:pPr>
      <w:r w:rsidRPr="002C6752">
        <w:t>empathy, respect and courtesy;</w:t>
      </w:r>
    </w:p>
    <w:p w14:paraId="2A6A5BD5" w14:textId="70E6252F" w:rsidR="00D1660E" w:rsidRPr="002C6752" w:rsidRDefault="00D1660E" w:rsidP="005550D2">
      <w:pPr>
        <w:pStyle w:val="subparaa"/>
      </w:pPr>
      <w:r w:rsidRPr="002C6752">
        <w:t>awareness of cultural differences and the ability to identify and assist complainants who need additional assistance;</w:t>
      </w:r>
    </w:p>
    <w:p w14:paraId="4D51D677" w14:textId="14B7B986" w:rsidR="00D1660E" w:rsidRPr="002C6752" w:rsidRDefault="00D1660E" w:rsidP="005550D2">
      <w:pPr>
        <w:pStyle w:val="subparaa"/>
      </w:pPr>
      <w:r w:rsidRPr="002C6752">
        <w:lastRenderedPageBreak/>
        <w:t>strong verbal and written communication skills; and</w:t>
      </w:r>
    </w:p>
    <w:p w14:paraId="579D7622" w14:textId="77777777" w:rsidR="00D1660E" w:rsidRPr="002C6752" w:rsidRDefault="00D1660E" w:rsidP="005550D2">
      <w:pPr>
        <w:pStyle w:val="subparaa"/>
      </w:pPr>
      <w:r w:rsidRPr="002C6752">
        <w:t>analytical thinking and good judgement.</w:t>
      </w:r>
    </w:p>
    <w:p w14:paraId="4EC9ED90" w14:textId="3499ACF6" w:rsidR="00D1660E" w:rsidRPr="002C6752" w:rsidRDefault="00D1660E" w:rsidP="00D1660E">
      <w:pPr>
        <w:pStyle w:val="BodyText"/>
      </w:pPr>
      <w:r w:rsidRPr="002C6752">
        <w:t xml:space="preserve">Firms </w:t>
      </w:r>
      <w:r w:rsidR="000B700A" w:rsidRPr="002C6752">
        <w:t xml:space="preserve">should </w:t>
      </w:r>
      <w:r w:rsidRPr="002C6752">
        <w:t>incorporate these skills and attributes into key human resource documents for complaint management staff, including position descriptions, development plans and performance assessments.</w:t>
      </w:r>
    </w:p>
    <w:p w14:paraId="33AB86C7" w14:textId="068D225A" w:rsidR="00D1660E" w:rsidRPr="002C6752" w:rsidRDefault="00D1660E" w:rsidP="00D1660E">
      <w:pPr>
        <w:pStyle w:val="BodyText"/>
      </w:pPr>
      <w:r w:rsidRPr="002C6752">
        <w:t xml:space="preserve">Firms </w:t>
      </w:r>
      <w:r w:rsidR="000B700A" w:rsidRPr="002C6752">
        <w:t xml:space="preserve">should </w:t>
      </w:r>
      <w:r w:rsidRPr="002C6752">
        <w:t>provide targeted induction and ongoing training to staff who handle complaints. Topics may include:</w:t>
      </w:r>
    </w:p>
    <w:p w14:paraId="7C02640A" w14:textId="4CFD7015" w:rsidR="00D1660E" w:rsidRPr="002C6752" w:rsidRDefault="00D1660E" w:rsidP="005550D2">
      <w:pPr>
        <w:pStyle w:val="subparaa"/>
      </w:pPr>
      <w:r w:rsidRPr="002C6752">
        <w:t>the firm</w:t>
      </w:r>
      <w:r w:rsidR="00E12C7C">
        <w:t>’</w:t>
      </w:r>
      <w:r w:rsidRPr="002C6752">
        <w:t>s IDR policy and process, including roles, responsibilities, authority and escalation points;</w:t>
      </w:r>
    </w:p>
    <w:p w14:paraId="02C4C65A" w14:textId="495FE8CA" w:rsidR="00D1660E" w:rsidRPr="002C6752" w:rsidRDefault="00D1660E" w:rsidP="005550D2">
      <w:pPr>
        <w:pStyle w:val="subparaa"/>
      </w:pPr>
      <w:r w:rsidRPr="002C6752">
        <w:t>the requirements of this guide;</w:t>
      </w:r>
    </w:p>
    <w:p w14:paraId="51FA21C4" w14:textId="77777777" w:rsidR="00D1660E" w:rsidRPr="002C6752" w:rsidRDefault="00D1660E" w:rsidP="005550D2">
      <w:pPr>
        <w:pStyle w:val="subparaa"/>
      </w:pPr>
      <w:r w:rsidRPr="002C6752">
        <w:t>financial services consumer protection laws, AFCA position statements and industry codes of practice;</w:t>
      </w:r>
    </w:p>
    <w:p w14:paraId="03EE4974" w14:textId="70E24454" w:rsidR="00D1660E" w:rsidRPr="002C6752" w:rsidRDefault="00D1660E" w:rsidP="005550D2">
      <w:pPr>
        <w:pStyle w:val="subparaa"/>
      </w:pPr>
      <w:r w:rsidRPr="002C6752">
        <w:t>the firm</w:t>
      </w:r>
      <w:r w:rsidR="00E12C7C">
        <w:t>’</w:t>
      </w:r>
      <w:r w:rsidRPr="002C6752">
        <w:t>s products and services;</w:t>
      </w:r>
    </w:p>
    <w:p w14:paraId="6784AB2C" w14:textId="51BBC38E" w:rsidR="00D1660E" w:rsidRPr="002C6752" w:rsidRDefault="00D1660E" w:rsidP="005550D2">
      <w:pPr>
        <w:pStyle w:val="subparaa"/>
      </w:pPr>
      <w:r w:rsidRPr="002C6752">
        <w:t>how to identify and help complainants who need additional assistance;</w:t>
      </w:r>
    </w:p>
    <w:p w14:paraId="67A7B47D" w14:textId="77777777" w:rsidR="00D1660E" w:rsidRPr="002C6752" w:rsidRDefault="00D1660E" w:rsidP="005550D2">
      <w:pPr>
        <w:pStyle w:val="subparaa"/>
      </w:pPr>
      <w:r w:rsidRPr="002C6752">
        <w:t>dealing with unreasonable complainant conduct;</w:t>
      </w:r>
    </w:p>
    <w:p w14:paraId="27C402C4" w14:textId="77777777" w:rsidR="00D1660E" w:rsidRPr="002C6752" w:rsidRDefault="00D1660E" w:rsidP="005550D2">
      <w:pPr>
        <w:pStyle w:val="subparaa"/>
      </w:pPr>
      <w:r w:rsidRPr="002C6752">
        <w:t>effective communication and negotiation techniques;</w:t>
      </w:r>
    </w:p>
    <w:p w14:paraId="25AAED80" w14:textId="77777777" w:rsidR="00D1660E" w:rsidRPr="002C6752" w:rsidRDefault="00D1660E" w:rsidP="005550D2">
      <w:pPr>
        <w:pStyle w:val="subparaa"/>
      </w:pPr>
      <w:r w:rsidRPr="002C6752">
        <w:t>effective written communications;</w:t>
      </w:r>
    </w:p>
    <w:p w14:paraId="2966083D" w14:textId="77777777" w:rsidR="00D1660E" w:rsidRPr="002C6752" w:rsidRDefault="00D1660E" w:rsidP="005550D2">
      <w:pPr>
        <w:pStyle w:val="subparaa"/>
      </w:pPr>
      <w:r w:rsidRPr="002C6752">
        <w:t>complaint data capture and internal reporting;</w:t>
      </w:r>
    </w:p>
    <w:p w14:paraId="4A56E39A" w14:textId="77777777" w:rsidR="00D1660E" w:rsidRPr="002C6752" w:rsidRDefault="00D1660E" w:rsidP="005550D2">
      <w:pPr>
        <w:pStyle w:val="subparaa"/>
      </w:pPr>
      <w:r w:rsidRPr="002C6752">
        <w:t>issues identification and analysis; and</w:t>
      </w:r>
    </w:p>
    <w:p w14:paraId="026663D0" w14:textId="77777777" w:rsidR="00D1660E" w:rsidRPr="002C6752" w:rsidRDefault="00D1660E" w:rsidP="005550D2">
      <w:pPr>
        <w:pStyle w:val="subparaa"/>
      </w:pPr>
      <w:r w:rsidRPr="002C6752">
        <w:t>identifying and escalating possible systemic issues.</w:t>
      </w:r>
    </w:p>
    <w:p w14:paraId="5605B31D" w14:textId="77777777" w:rsidR="00D1660E" w:rsidRPr="002C6752" w:rsidRDefault="00D1660E" w:rsidP="00D1660E">
      <w:pPr>
        <w:pStyle w:val="Heading3"/>
      </w:pPr>
      <w:r w:rsidRPr="002C6752">
        <w:t>Materials and equipment</w:t>
      </w:r>
    </w:p>
    <w:p w14:paraId="33B53FE5" w14:textId="0B27D117" w:rsidR="00D1660E" w:rsidRPr="002C6752" w:rsidRDefault="000B700A" w:rsidP="00D1660E">
      <w:pPr>
        <w:pStyle w:val="BodyText"/>
      </w:pPr>
      <w:r w:rsidRPr="002C6752">
        <w:t>Firms should provide c</w:t>
      </w:r>
      <w:r w:rsidR="00D1660E" w:rsidRPr="002C6752">
        <w:t xml:space="preserve">omplaint management staff </w:t>
      </w:r>
      <w:r w:rsidRPr="002C6752">
        <w:t xml:space="preserve">with </w:t>
      </w:r>
      <w:r w:rsidR="00D1660E" w:rsidRPr="002C6752">
        <w:t xml:space="preserve">adequate </w:t>
      </w:r>
      <w:r w:rsidR="00213D60" w:rsidRPr="002C6752">
        <w:t xml:space="preserve">materials and equipment </w:t>
      </w:r>
      <w:r w:rsidR="00D1660E" w:rsidRPr="002C6752">
        <w:t>to handle complaints. This includes scripts, FAQs, checklists, sample letters and templates, specialist support materials, complaint management IT systems and finances.</w:t>
      </w:r>
    </w:p>
    <w:p w14:paraId="4B60FE4C" w14:textId="77777777" w:rsidR="00D1660E" w:rsidRPr="002C6752" w:rsidRDefault="00D1660E" w:rsidP="00D1660E">
      <w:pPr>
        <w:pStyle w:val="Heading3"/>
      </w:pPr>
      <w:r w:rsidRPr="002C6752">
        <w:t>Health, safety and support</w:t>
      </w:r>
    </w:p>
    <w:p w14:paraId="630875BC" w14:textId="118D2604" w:rsidR="00D1660E" w:rsidRPr="002C6752" w:rsidRDefault="00D1660E" w:rsidP="00D1660E">
      <w:pPr>
        <w:pStyle w:val="BodyText"/>
      </w:pPr>
      <w:r w:rsidRPr="002C6752">
        <w:t xml:space="preserve">Firms </w:t>
      </w:r>
      <w:r w:rsidR="00A6770C" w:rsidRPr="002C6752">
        <w:t xml:space="preserve">should </w:t>
      </w:r>
      <w:r w:rsidRPr="002C6752">
        <w:t>develop health and safety policies to support staff involved in complaint management. This may include:</w:t>
      </w:r>
    </w:p>
    <w:p w14:paraId="5E06F72D" w14:textId="744510AE" w:rsidR="00D1660E" w:rsidRPr="002C6752" w:rsidRDefault="00D1660E" w:rsidP="005550D2">
      <w:pPr>
        <w:pStyle w:val="subparaa"/>
      </w:pPr>
      <w:r w:rsidRPr="002C6752">
        <w:t>policies and procedures for managing unreasonable conduct by complainants</w:t>
      </w:r>
      <w:r w:rsidR="005D054A">
        <w:t xml:space="preserve"> (see </w:t>
      </w:r>
      <w:r w:rsidR="00730E71">
        <w:fldChar w:fldCharType="begin"/>
      </w:r>
      <w:r w:rsidR="00730E71">
        <w:instrText xml:space="preserve"> REF _ASICRef437 \w \h </w:instrText>
      </w:r>
      <w:r w:rsidR="00730E71">
        <w:fldChar w:fldCharType="separate"/>
      </w:r>
      <w:r w:rsidR="00DE6E77">
        <w:t>RG 271.170</w:t>
      </w:r>
      <w:r w:rsidR="00730E71">
        <w:fldChar w:fldCharType="end"/>
      </w:r>
      <w:r w:rsidR="005D054A">
        <w:t>)</w:t>
      </w:r>
      <w:r w:rsidRPr="002C6752">
        <w:t>;</w:t>
      </w:r>
    </w:p>
    <w:p w14:paraId="4C454FBD" w14:textId="77777777" w:rsidR="00D1660E" w:rsidRPr="002C6752" w:rsidRDefault="00D1660E" w:rsidP="005550D2">
      <w:pPr>
        <w:pStyle w:val="subparaa"/>
      </w:pPr>
      <w:r w:rsidRPr="002C6752">
        <w:t>protecting the identity of staff where required; and</w:t>
      </w:r>
    </w:p>
    <w:p w14:paraId="1A10F010" w14:textId="77777777" w:rsidR="00D1660E" w:rsidRPr="002C6752" w:rsidRDefault="00D1660E" w:rsidP="00D1660E">
      <w:pPr>
        <w:pStyle w:val="subparaa"/>
      </w:pPr>
      <w:r w:rsidRPr="002C6752">
        <w:t>providing access to internal debriefing sessions or employee assistance programs.</w:t>
      </w:r>
    </w:p>
    <w:p w14:paraId="16D64698" w14:textId="77777777" w:rsidR="00D1660E" w:rsidRPr="002C6752" w:rsidRDefault="00D1660E" w:rsidP="00D1660E">
      <w:pPr>
        <w:pStyle w:val="Heading3"/>
      </w:pPr>
      <w:r w:rsidRPr="002C6752">
        <w:lastRenderedPageBreak/>
        <w:t>Continual review</w:t>
      </w:r>
    </w:p>
    <w:p w14:paraId="355EF236" w14:textId="6EF825F1" w:rsidR="00D1660E" w:rsidRPr="002C6752" w:rsidRDefault="00D1660E" w:rsidP="00D1660E">
      <w:pPr>
        <w:pStyle w:val="BodyText"/>
      </w:pPr>
      <w:r w:rsidRPr="002C6752">
        <w:t xml:space="preserve">Firms </w:t>
      </w:r>
      <w:r w:rsidR="00A6770C" w:rsidRPr="002C6752">
        <w:t xml:space="preserve">should </w:t>
      </w:r>
      <w:r w:rsidR="00213D60" w:rsidRPr="002C6752">
        <w:t xml:space="preserve">regularly </w:t>
      </w:r>
      <w:r w:rsidRPr="002C6752">
        <w:t>review the adequacy of IDR resources.</w:t>
      </w:r>
    </w:p>
    <w:p w14:paraId="167ED5EA" w14:textId="77777777" w:rsidR="00D1660E" w:rsidRPr="002C6752" w:rsidRDefault="00D1660E" w:rsidP="00D1660E">
      <w:pPr>
        <w:pStyle w:val="Heading2"/>
      </w:pPr>
      <w:bookmarkStart w:id="367" w:name="_Toc46844250"/>
      <w:r w:rsidRPr="002C6752">
        <w:t>Responsiveness</w:t>
      </w:r>
      <w:bookmarkEnd w:id="367"/>
    </w:p>
    <w:p w14:paraId="1AE132C0" w14:textId="285714D1" w:rsidR="00D1660E" w:rsidRPr="002C6752" w:rsidRDefault="00D1660E" w:rsidP="00D1660E">
      <w:pPr>
        <w:pStyle w:val="BodyText"/>
      </w:pPr>
      <w:bookmarkStart w:id="368" w:name="_ASICRef186"/>
      <w:r w:rsidRPr="002C6752">
        <w:t>Firms</w:t>
      </w:r>
      <w:r w:rsidR="00E12C7C">
        <w:t>’</w:t>
      </w:r>
      <w:r w:rsidRPr="002C6752">
        <w:t xml:space="preserve"> IDR proce</w:t>
      </w:r>
      <w:r w:rsidR="00FE3B6C" w:rsidRPr="002C6752">
        <w:t>ss</w:t>
      </w:r>
      <w:r w:rsidRPr="002C6752">
        <w:t xml:space="preserve">es </w:t>
      </w:r>
      <w:r w:rsidR="00F45F17">
        <w:t>should</w:t>
      </w:r>
      <w:r w:rsidR="00D74F7D" w:rsidRPr="002C6752">
        <w:t xml:space="preserve"> </w:t>
      </w:r>
      <w:r w:rsidRPr="002C6752">
        <w:t>work efficiently and be capable of responding to each complaint in a timely and flexible manner</w:t>
      </w:r>
      <w:r w:rsidR="00FA78DF" w:rsidRPr="002C6752">
        <w:t>.</w:t>
      </w:r>
      <w:r w:rsidR="00A6770C" w:rsidRPr="002C6752">
        <w:t xml:space="preserve"> </w:t>
      </w:r>
      <w:r w:rsidR="00FA78DF" w:rsidRPr="002C6752">
        <w:t xml:space="preserve">This </w:t>
      </w:r>
      <w:r w:rsidR="00A6770C" w:rsidRPr="002C6752">
        <w:t>includ</w:t>
      </w:r>
      <w:r w:rsidR="00FA78DF" w:rsidRPr="002C6752">
        <w:t>es</w:t>
      </w:r>
      <w:r w:rsidR="00A6770C" w:rsidRPr="002C6752">
        <w:t xml:space="preserve"> meeting the maximum IDR timeframes set out in this guide</w:t>
      </w:r>
      <w:bookmarkEnd w:id="368"/>
      <w:r w:rsidR="00FA78DF" w:rsidRPr="002C6752">
        <w:t>.</w:t>
      </w:r>
    </w:p>
    <w:p w14:paraId="4C64A0D4" w14:textId="77777777" w:rsidR="00D1660E" w:rsidRPr="002C6752" w:rsidRDefault="00D1660E" w:rsidP="00D1660E">
      <w:pPr>
        <w:pStyle w:val="Heading3"/>
      </w:pPr>
      <w:r w:rsidRPr="002C6752">
        <w:t>Early resolution</w:t>
      </w:r>
    </w:p>
    <w:p w14:paraId="4B7ABDE1" w14:textId="6EDF41EA" w:rsidR="00D1660E" w:rsidRPr="002C6752" w:rsidRDefault="00D1660E" w:rsidP="00642749">
      <w:pPr>
        <w:pStyle w:val="BodyText"/>
      </w:pPr>
      <w:r w:rsidRPr="002C6752">
        <w:t xml:space="preserve">Firms </w:t>
      </w:r>
      <w:r w:rsidR="00A6770C" w:rsidRPr="002C6752">
        <w:t xml:space="preserve">should </w:t>
      </w:r>
      <w:r w:rsidRPr="002C6752">
        <w:t>actively encourage staff to resolve complaints, wherever possible, at the first point of contact.</w:t>
      </w:r>
    </w:p>
    <w:p w14:paraId="3ED34AE9" w14:textId="3A471A06" w:rsidR="00D1660E" w:rsidRPr="002C6752" w:rsidRDefault="00D1660E" w:rsidP="00D1660E">
      <w:pPr>
        <w:pStyle w:val="BodyText"/>
      </w:pPr>
      <w:r w:rsidRPr="002C6752">
        <w:t>Firms</w:t>
      </w:r>
      <w:r w:rsidR="00E12C7C">
        <w:t>’</w:t>
      </w:r>
      <w:r w:rsidRPr="002C6752">
        <w:t xml:space="preserve"> data analysis and internal reporting </w:t>
      </w:r>
      <w:r w:rsidR="00A6770C" w:rsidRPr="002C6752">
        <w:t xml:space="preserve">should </w:t>
      </w:r>
      <w:r w:rsidRPr="002C6752">
        <w:t>measure and actively monitor the volume of complaints resolved at first point of contact.</w:t>
      </w:r>
    </w:p>
    <w:p w14:paraId="4AEDB53E" w14:textId="77777777" w:rsidR="00D1660E" w:rsidRPr="002C6752" w:rsidRDefault="00D1660E" w:rsidP="00D1660E">
      <w:pPr>
        <w:pStyle w:val="Heading3"/>
      </w:pPr>
      <w:r w:rsidRPr="002C6752">
        <w:t>Acknowledging complaints</w:t>
      </w:r>
    </w:p>
    <w:p w14:paraId="399A6112" w14:textId="046937AC" w:rsidR="00573041" w:rsidRPr="002C6752" w:rsidRDefault="00D1660E" w:rsidP="00573041">
      <w:pPr>
        <w:pStyle w:val="BodyText"/>
      </w:pPr>
      <w:r w:rsidRPr="002C6752">
        <w:t xml:space="preserve">Complaints </w:t>
      </w:r>
      <w:r w:rsidR="00F45F17">
        <w:t>should</w:t>
      </w:r>
      <w:r w:rsidRPr="002C6752">
        <w:t xml:space="preserve"> be acknowledged </w:t>
      </w:r>
      <w:r w:rsidR="00191061" w:rsidRPr="002C6752">
        <w:t>in accordance w</w:t>
      </w:r>
      <w:r w:rsidR="00B775AA" w:rsidRPr="002C6752">
        <w:t>ith the requirements set out at</w:t>
      </w:r>
      <w:r w:rsidR="00345FF2" w:rsidRPr="002C6752">
        <w:t xml:space="preserve"> </w:t>
      </w:r>
      <w:r w:rsidR="004601D9" w:rsidRPr="002C6752">
        <w:fldChar w:fldCharType="begin"/>
      </w:r>
      <w:r w:rsidR="004601D9" w:rsidRPr="002C6752">
        <w:instrText xml:space="preserve"> REF _ASICRef878 \w \h </w:instrText>
      </w:r>
      <w:r w:rsidR="004601D9" w:rsidRPr="002C6752">
        <w:fldChar w:fldCharType="separate"/>
      </w:r>
      <w:r w:rsidR="00DE6E77">
        <w:t>RG 271.51</w:t>
      </w:r>
      <w:r w:rsidR="004601D9" w:rsidRPr="002C6752">
        <w:fldChar w:fldCharType="end"/>
      </w:r>
      <w:r w:rsidR="004601D9" w:rsidRPr="002C6752">
        <w:t>–</w:t>
      </w:r>
      <w:r w:rsidR="004601D9" w:rsidRPr="002C6752">
        <w:fldChar w:fldCharType="begin"/>
      </w:r>
      <w:r w:rsidR="004601D9" w:rsidRPr="002C6752">
        <w:instrText xml:space="preserve"> REF _ASICRef610 \w \h </w:instrText>
      </w:r>
      <w:r w:rsidR="004601D9" w:rsidRPr="002C6752">
        <w:fldChar w:fldCharType="separate"/>
      </w:r>
      <w:r w:rsidR="00DE6E77">
        <w:t>RG 271.52</w:t>
      </w:r>
      <w:r w:rsidR="004601D9" w:rsidRPr="002C6752">
        <w:fldChar w:fldCharType="end"/>
      </w:r>
      <w:r w:rsidR="00B775AA" w:rsidRPr="002C6752">
        <w:t>.</w:t>
      </w:r>
    </w:p>
    <w:p w14:paraId="319AD9A0" w14:textId="5EA34BA8" w:rsidR="00D1660E" w:rsidRPr="002C6752" w:rsidRDefault="00D1660E" w:rsidP="00573041">
      <w:pPr>
        <w:pStyle w:val="Heading3"/>
      </w:pPr>
      <w:r w:rsidRPr="002C6752">
        <w:t>Triaging complaints</w:t>
      </w:r>
    </w:p>
    <w:p w14:paraId="1C9BA25F" w14:textId="2A793D8D" w:rsidR="00D1660E" w:rsidRPr="002C6752" w:rsidRDefault="00D1660E" w:rsidP="005C6121">
      <w:pPr>
        <w:pStyle w:val="BodyText"/>
      </w:pPr>
      <w:bookmarkStart w:id="369" w:name="_ASICRef919"/>
      <w:r w:rsidRPr="002C6752">
        <w:t>When a complaint is received, complaint management staff should assess</w:t>
      </w:r>
      <w:r w:rsidR="008432B5" w:rsidRPr="002C6752">
        <w:t xml:space="preserve"> </w:t>
      </w:r>
      <w:r w:rsidRPr="002C6752">
        <w:t>and prioritise complaints according to the urgency and severity of the issues raised. Example of matters that should be prioritised include where:</w:t>
      </w:r>
      <w:bookmarkEnd w:id="369"/>
    </w:p>
    <w:p w14:paraId="32DF2B6E" w14:textId="77777777" w:rsidR="00D1660E" w:rsidRPr="002C6752" w:rsidRDefault="00D1660E" w:rsidP="005C6121">
      <w:pPr>
        <w:pStyle w:val="subparaa"/>
      </w:pPr>
      <w:r w:rsidRPr="002C6752">
        <w:t>the complainant is experiencing domestic or financial abuse;</w:t>
      </w:r>
    </w:p>
    <w:p w14:paraId="3691EE95" w14:textId="77777777" w:rsidR="00D1660E" w:rsidRPr="002C6752" w:rsidRDefault="00D1660E" w:rsidP="005C6121">
      <w:pPr>
        <w:pStyle w:val="subparaa"/>
      </w:pPr>
      <w:r w:rsidRPr="002C6752">
        <w:t xml:space="preserve">the complainant has a serious or terminal illness; or </w:t>
      </w:r>
    </w:p>
    <w:p w14:paraId="177A98E2" w14:textId="1DCB8FED" w:rsidR="00D1660E" w:rsidRPr="002C6752" w:rsidRDefault="00D1660E" w:rsidP="00D1660E">
      <w:pPr>
        <w:pStyle w:val="subparaa"/>
      </w:pPr>
      <w:r w:rsidRPr="002C6752">
        <w:t>a delay in addressing the complaint could adversely affect the complainant</w:t>
      </w:r>
      <w:r w:rsidR="00E12C7C">
        <w:t>’</w:t>
      </w:r>
      <w:r w:rsidRPr="002C6752">
        <w:t>s basic living conditions.</w:t>
      </w:r>
    </w:p>
    <w:p w14:paraId="5547C5E8" w14:textId="77777777" w:rsidR="00D1660E" w:rsidRPr="002C6752" w:rsidRDefault="00D1660E" w:rsidP="00D1660E">
      <w:pPr>
        <w:pStyle w:val="Heading3"/>
      </w:pPr>
      <w:r w:rsidRPr="002C6752">
        <w:t>Responding flexibly</w:t>
      </w:r>
    </w:p>
    <w:p w14:paraId="3D802AC6" w14:textId="01FD9DAA" w:rsidR="00D1660E" w:rsidRPr="002C6752" w:rsidRDefault="00D1660E" w:rsidP="00642749">
      <w:pPr>
        <w:pStyle w:val="BodyText"/>
      </w:pPr>
      <w:bookmarkStart w:id="370" w:name="_ASICRef443"/>
      <w:bookmarkStart w:id="371" w:name="_ASICRef672"/>
      <w:r w:rsidRPr="002C6752">
        <w:t xml:space="preserve">Firms </w:t>
      </w:r>
      <w:r w:rsidR="00A6770C" w:rsidRPr="002C6752">
        <w:t xml:space="preserve">should </w:t>
      </w:r>
      <w:r w:rsidRPr="002C6752">
        <w:t xml:space="preserve">deal with complaints with as little formality as possible and avoid </w:t>
      </w:r>
      <w:r w:rsidR="00191061" w:rsidRPr="002C6752">
        <w:t xml:space="preserve">requirements </w:t>
      </w:r>
      <w:r w:rsidRPr="002C6752">
        <w:t xml:space="preserve">(e.g. </w:t>
      </w:r>
      <w:r w:rsidR="005523E1" w:rsidRPr="002C6752">
        <w:t xml:space="preserve">that </w:t>
      </w:r>
      <w:r w:rsidRPr="002C6752">
        <w:t xml:space="preserve">a complaint </w:t>
      </w:r>
      <w:r w:rsidR="005523E1" w:rsidRPr="002C6752">
        <w:t>must</w:t>
      </w:r>
      <w:r w:rsidRPr="002C6752">
        <w:t xml:space="preserve"> be lodged in writing) that restrict complainants</w:t>
      </w:r>
      <w:r w:rsidR="00E12C7C">
        <w:t>’</w:t>
      </w:r>
      <w:r w:rsidRPr="002C6752">
        <w:t xml:space="preserve"> access to the IDR process.</w:t>
      </w:r>
      <w:bookmarkEnd w:id="370"/>
      <w:bookmarkEnd w:id="371"/>
    </w:p>
    <w:p w14:paraId="78F5D16E" w14:textId="3F5307D3" w:rsidR="00D1660E" w:rsidRPr="002C6752" w:rsidRDefault="00D1660E" w:rsidP="00D1660E">
      <w:pPr>
        <w:pStyle w:val="BodyText"/>
      </w:pPr>
      <w:bookmarkStart w:id="372" w:name="_ASICRef272"/>
      <w:bookmarkStart w:id="373" w:name="_ASICRef721"/>
      <w:r w:rsidRPr="002C6752">
        <w:t xml:space="preserve">Firms </w:t>
      </w:r>
      <w:r w:rsidR="00A6770C" w:rsidRPr="002C6752">
        <w:t xml:space="preserve">should </w:t>
      </w:r>
      <w:r w:rsidRPr="002C6752">
        <w:t>adopt a range of flexible complaint management approaches that promote early resolution, wherever appropriate.</w:t>
      </w:r>
      <w:bookmarkEnd w:id="372"/>
      <w:bookmarkEnd w:id="373"/>
    </w:p>
    <w:p w14:paraId="0970718F" w14:textId="77777777" w:rsidR="00D1660E" w:rsidRPr="002C6752" w:rsidRDefault="00D1660E" w:rsidP="00D1660E">
      <w:pPr>
        <w:pStyle w:val="Heading3"/>
      </w:pPr>
      <w:r w:rsidRPr="002C6752">
        <w:lastRenderedPageBreak/>
        <w:t>Remedies</w:t>
      </w:r>
    </w:p>
    <w:p w14:paraId="39C13385" w14:textId="7A9DBA54" w:rsidR="00D1660E" w:rsidRPr="002C6752" w:rsidRDefault="00D1660E" w:rsidP="005C6121">
      <w:pPr>
        <w:pStyle w:val="BodyText"/>
      </w:pPr>
      <w:r w:rsidRPr="002C6752">
        <w:t xml:space="preserve">Firms </w:t>
      </w:r>
      <w:r w:rsidR="00A6770C" w:rsidRPr="002C6752">
        <w:t xml:space="preserve">should </w:t>
      </w:r>
      <w:r w:rsidRPr="002C6752">
        <w:t>consider a broad range of possible remedies when attempting to resolve complaints. Remedies may include:</w:t>
      </w:r>
    </w:p>
    <w:p w14:paraId="43E2547A" w14:textId="77777777" w:rsidR="00D1660E" w:rsidRPr="002C6752" w:rsidRDefault="00D1660E" w:rsidP="005C6121">
      <w:pPr>
        <w:pStyle w:val="subparaa"/>
      </w:pPr>
      <w:r w:rsidRPr="002C6752">
        <w:t>an explanation of the circumstances giving rise to the complaint;</w:t>
      </w:r>
    </w:p>
    <w:p w14:paraId="5CCF9A05" w14:textId="77777777" w:rsidR="00D1660E" w:rsidRPr="002C6752" w:rsidRDefault="00D1660E" w:rsidP="005C6121">
      <w:pPr>
        <w:pStyle w:val="subparaa"/>
      </w:pPr>
      <w:r w:rsidRPr="002C6752">
        <w:t>an apology;</w:t>
      </w:r>
    </w:p>
    <w:p w14:paraId="23549985" w14:textId="77777777" w:rsidR="00D1660E" w:rsidRPr="002C6752" w:rsidRDefault="00D1660E" w:rsidP="005C6121">
      <w:pPr>
        <w:pStyle w:val="subparaa"/>
      </w:pPr>
      <w:r w:rsidRPr="002C6752">
        <w:t>provision of assistance and support;</w:t>
      </w:r>
    </w:p>
    <w:p w14:paraId="7F9245C6" w14:textId="77777777" w:rsidR="00D1660E" w:rsidRPr="002C6752" w:rsidRDefault="00D1660E" w:rsidP="005C6121">
      <w:pPr>
        <w:pStyle w:val="subparaa"/>
      </w:pPr>
      <w:r w:rsidRPr="002C6752">
        <w:t>a refund or waiver of a fee or charge;</w:t>
      </w:r>
    </w:p>
    <w:p w14:paraId="298BC18E" w14:textId="77777777" w:rsidR="00D1660E" w:rsidRPr="002C6752" w:rsidRDefault="00D1660E" w:rsidP="005C6121">
      <w:pPr>
        <w:pStyle w:val="subparaa"/>
      </w:pPr>
      <w:r w:rsidRPr="002C6752">
        <w:t>a goodwill payment;</w:t>
      </w:r>
    </w:p>
    <w:p w14:paraId="718D2B8A" w14:textId="77777777" w:rsidR="00D1660E" w:rsidRPr="002C6752" w:rsidRDefault="00D1660E" w:rsidP="005C6121">
      <w:pPr>
        <w:pStyle w:val="subparaa"/>
      </w:pPr>
      <w:r w:rsidRPr="002C6752">
        <w:t>a payment of compensation;</w:t>
      </w:r>
    </w:p>
    <w:p w14:paraId="4FCC4DDC" w14:textId="77777777" w:rsidR="00D1660E" w:rsidRPr="002C6752" w:rsidRDefault="00D1660E" w:rsidP="005C6121">
      <w:pPr>
        <w:pStyle w:val="subparaa"/>
      </w:pPr>
      <w:r w:rsidRPr="002C6752">
        <w:t>a waiver of a debt;</w:t>
      </w:r>
    </w:p>
    <w:p w14:paraId="6BD3CD28" w14:textId="77777777" w:rsidR="00D1660E" w:rsidRPr="002C6752" w:rsidRDefault="00D1660E" w:rsidP="005C6121">
      <w:pPr>
        <w:pStyle w:val="subparaa"/>
      </w:pPr>
      <w:r w:rsidRPr="002C6752">
        <w:t>replacing damaged or lost property;</w:t>
      </w:r>
    </w:p>
    <w:p w14:paraId="37726860" w14:textId="348CF362" w:rsidR="00D1660E" w:rsidRPr="002C6752" w:rsidRDefault="00D1660E" w:rsidP="005C6121">
      <w:pPr>
        <w:pStyle w:val="subparaa"/>
      </w:pPr>
      <w:r w:rsidRPr="002C6752">
        <w:t>correcting incorrect or out-of-date records;</w:t>
      </w:r>
    </w:p>
    <w:p w14:paraId="3B1AF3A2" w14:textId="77777777" w:rsidR="00D1660E" w:rsidRPr="002C6752" w:rsidRDefault="00D1660E" w:rsidP="005C6121">
      <w:pPr>
        <w:pStyle w:val="subparaa"/>
      </w:pPr>
      <w:r w:rsidRPr="002C6752">
        <w:t>repairing physical damage to property;</w:t>
      </w:r>
    </w:p>
    <w:p w14:paraId="14014FA4" w14:textId="77777777" w:rsidR="00D1660E" w:rsidRPr="002C6752" w:rsidRDefault="00D1660E" w:rsidP="005C6121">
      <w:pPr>
        <w:pStyle w:val="subparaa"/>
      </w:pPr>
      <w:r w:rsidRPr="002C6752">
        <w:t>changing the terms of a contract;</w:t>
      </w:r>
    </w:p>
    <w:p w14:paraId="11590C7D" w14:textId="77777777" w:rsidR="00D1660E" w:rsidRPr="002C6752" w:rsidRDefault="00D1660E" w:rsidP="005C6121">
      <w:pPr>
        <w:pStyle w:val="subparaa"/>
      </w:pPr>
      <w:r w:rsidRPr="002C6752">
        <w:t>ceasing legal or other action that may cause detriment; and</w:t>
      </w:r>
    </w:p>
    <w:p w14:paraId="2040DCF2" w14:textId="77777777" w:rsidR="00D1660E" w:rsidRPr="002C6752" w:rsidRDefault="00D1660E" w:rsidP="00BF38B0">
      <w:pPr>
        <w:pStyle w:val="subparaa"/>
        <w:ind w:right="-142"/>
        <w:rPr>
          <w:spacing w:val="-4"/>
        </w:rPr>
      </w:pPr>
      <w:r w:rsidRPr="002C6752">
        <w:rPr>
          <w:spacing w:val="-4"/>
        </w:rPr>
        <w:t>undertaking to set in place improvements to systems, procedures or products.</w:t>
      </w:r>
    </w:p>
    <w:p w14:paraId="7368F8F7" w14:textId="144613E4" w:rsidR="00D1660E" w:rsidRPr="002C6752" w:rsidRDefault="00D1660E" w:rsidP="00D1660E">
      <w:pPr>
        <w:pStyle w:val="BodyText"/>
      </w:pPr>
      <w:r w:rsidRPr="002C6752">
        <w:t>Firms</w:t>
      </w:r>
      <w:r w:rsidR="00061795" w:rsidRPr="002C6752">
        <w:t xml:space="preserve"> </w:t>
      </w:r>
      <w:r w:rsidR="00F45F17">
        <w:t>should</w:t>
      </w:r>
      <w:r w:rsidR="00DD58FB">
        <w:t xml:space="preserve"> </w:t>
      </w:r>
      <w:r w:rsidRPr="002C6752">
        <w:t>ensure that any agreed resolution outcomes are implemented in a timely manner when a complaint is closed.</w:t>
      </w:r>
    </w:p>
    <w:p w14:paraId="1D241FC2" w14:textId="77777777" w:rsidR="00D1660E" w:rsidRPr="0010362C" w:rsidRDefault="00D1660E" w:rsidP="00D1660E">
      <w:pPr>
        <w:pStyle w:val="Heading3"/>
        <w:rPr>
          <w:lang w:val="fr-FR"/>
        </w:rPr>
      </w:pPr>
      <w:r w:rsidRPr="0010362C">
        <w:rPr>
          <w:lang w:val="fr-FR"/>
        </w:rPr>
        <w:t xml:space="preserve">Maximum IDR </w:t>
      </w:r>
      <w:r w:rsidRPr="00495803">
        <w:rPr>
          <w:lang w:val="fr-FR"/>
        </w:rPr>
        <w:t>timeframes</w:t>
      </w:r>
    </w:p>
    <w:p w14:paraId="6484A93F" w14:textId="70A0673E" w:rsidR="00A6601A" w:rsidRPr="0010362C" w:rsidRDefault="00A6601A" w:rsidP="009A6619">
      <w:pPr>
        <w:pStyle w:val="Enfparashead"/>
        <w:rPr>
          <w:lang w:val="fr-FR"/>
        </w:rPr>
      </w:pPr>
      <w:r w:rsidRPr="00E12C7C">
        <w:rPr>
          <w:lang w:val="fr-FR"/>
        </w:rPr>
        <w:t>Enforceable</w:t>
      </w:r>
      <w:r w:rsidRPr="0010362C">
        <w:rPr>
          <w:lang w:val="fr-FR"/>
        </w:rPr>
        <w:t xml:space="preserve"> </w:t>
      </w:r>
      <w:r w:rsidRPr="00E12C7C">
        <w:rPr>
          <w:lang w:val="fr-FR"/>
        </w:rPr>
        <w:t>paragraph</w:t>
      </w:r>
      <w:r w:rsidRPr="0010362C">
        <w:rPr>
          <w:lang w:val="fr-FR"/>
        </w:rPr>
        <w:t xml:space="preserve">: </w:t>
      </w:r>
      <w:r w:rsidRPr="002C6752">
        <w:fldChar w:fldCharType="begin"/>
      </w:r>
      <w:r w:rsidRPr="0010362C">
        <w:rPr>
          <w:lang w:val="fr-FR"/>
        </w:rPr>
        <w:instrText xml:space="preserve"> REF _ASICRef173 \w \h  \* MERGEFORMAT </w:instrText>
      </w:r>
      <w:r w:rsidRPr="002C6752">
        <w:fldChar w:fldCharType="separate"/>
      </w:r>
      <w:r w:rsidR="00DE6E77">
        <w:rPr>
          <w:lang w:val="fr-FR"/>
        </w:rPr>
        <w:t>RG 271.163</w:t>
      </w:r>
      <w:r w:rsidRPr="002C6752">
        <w:fldChar w:fldCharType="end"/>
      </w:r>
    </w:p>
    <w:p w14:paraId="613A97F8" w14:textId="493343D5" w:rsidR="006A534F" w:rsidRPr="002C6752" w:rsidRDefault="00180EC3" w:rsidP="009A6619">
      <w:pPr>
        <w:pStyle w:val="Enfparastext"/>
      </w:pPr>
      <w:bookmarkStart w:id="374" w:name="_ASICRef173"/>
      <w:r w:rsidRPr="002C6752">
        <w:t>Financial</w:t>
      </w:r>
      <w:r w:rsidR="008432B5" w:rsidRPr="002C6752">
        <w:t xml:space="preserve"> firms must adhere to </w:t>
      </w:r>
      <w:r w:rsidR="00A6770C" w:rsidRPr="002C6752">
        <w:t xml:space="preserve">our requirements for issuing IDR responses within </w:t>
      </w:r>
      <w:r w:rsidR="008432B5" w:rsidRPr="002C6752">
        <w:t>maximu</w:t>
      </w:r>
      <w:r w:rsidRPr="002C6752">
        <w:t>m IDR timeframes</w:t>
      </w:r>
      <w:r w:rsidR="00FA78DF" w:rsidRPr="002C6752">
        <w:t>:</w:t>
      </w:r>
      <w:r w:rsidRPr="002C6752">
        <w:t xml:space="preserve"> </w:t>
      </w:r>
      <w:r w:rsidR="00B53D13" w:rsidRPr="002C6752">
        <w:t xml:space="preserve">see </w:t>
      </w:r>
      <w:r w:rsidR="004601D9" w:rsidRPr="002C6752">
        <w:fldChar w:fldCharType="begin"/>
      </w:r>
      <w:r w:rsidR="004601D9" w:rsidRPr="002C6752">
        <w:instrText xml:space="preserve"> REF _ASICRef374 \w \h </w:instrText>
      </w:r>
      <w:r w:rsidR="004601D9" w:rsidRPr="002C6752">
        <w:fldChar w:fldCharType="separate"/>
      </w:r>
      <w:r w:rsidR="00DE6E77">
        <w:t>RG 271.56</w:t>
      </w:r>
      <w:r w:rsidR="004601D9" w:rsidRPr="002C6752">
        <w:fldChar w:fldCharType="end"/>
      </w:r>
      <w:r w:rsidR="00B53D13" w:rsidRPr="002C6752">
        <w:t>–</w:t>
      </w:r>
      <w:r w:rsidR="00B53D13" w:rsidRPr="002C6752">
        <w:fldChar w:fldCharType="begin"/>
      </w:r>
      <w:r w:rsidR="00B53D13" w:rsidRPr="002C6752">
        <w:instrText xml:space="preserve"> REF _ASICRef536 \w \h </w:instrText>
      </w:r>
      <w:r w:rsidR="002F1325" w:rsidRPr="002C6752">
        <w:instrText xml:space="preserve"> \* MERGEFORMAT </w:instrText>
      </w:r>
      <w:r w:rsidR="00B53D13" w:rsidRPr="002C6752">
        <w:fldChar w:fldCharType="separate"/>
      </w:r>
      <w:r w:rsidR="00DE6E77">
        <w:t>RG 271.101</w:t>
      </w:r>
      <w:r w:rsidR="00B53D13" w:rsidRPr="002C6752">
        <w:fldChar w:fldCharType="end"/>
      </w:r>
      <w:r w:rsidRPr="002C6752">
        <w:t>.</w:t>
      </w:r>
      <w:bookmarkEnd w:id="374"/>
    </w:p>
    <w:p w14:paraId="0160583D" w14:textId="5CE33AED" w:rsidR="00D1660E" w:rsidRPr="002C6752" w:rsidRDefault="00D1660E" w:rsidP="00D1660E">
      <w:pPr>
        <w:pStyle w:val="Heading3"/>
      </w:pPr>
      <w:r w:rsidRPr="002C6752">
        <w:t>Closing complaints</w:t>
      </w:r>
    </w:p>
    <w:p w14:paraId="6825C046" w14:textId="0884492E" w:rsidR="00D1660E" w:rsidRPr="002C6752" w:rsidRDefault="00D1660E" w:rsidP="005C6121">
      <w:pPr>
        <w:pStyle w:val="BodyText"/>
      </w:pPr>
      <w:bookmarkStart w:id="375" w:name="_ASICRef561"/>
      <w:r w:rsidRPr="002C6752">
        <w:t xml:space="preserve">When closing a complaint, firms </w:t>
      </w:r>
      <w:r w:rsidR="00A6770C" w:rsidRPr="002C6752">
        <w:t xml:space="preserve">should </w:t>
      </w:r>
      <w:r w:rsidRPr="002C6752">
        <w:t>record the complaint outcome, complaint remedy and financial compensation amount (if any)</w:t>
      </w:r>
      <w:r w:rsidR="00A6770C" w:rsidRPr="002C6752">
        <w:t>.</w:t>
      </w:r>
      <w:r w:rsidRPr="002C6752">
        <w:t xml:space="preserve"> </w:t>
      </w:r>
      <w:bookmarkEnd w:id="375"/>
    </w:p>
    <w:p w14:paraId="55F81B9D" w14:textId="1C776CDE" w:rsidR="00A6601A" w:rsidRPr="002C6752" w:rsidRDefault="00A6601A" w:rsidP="00A6601A">
      <w:pPr>
        <w:pStyle w:val="Enfparashead"/>
      </w:pPr>
      <w:r w:rsidRPr="002C6752">
        <w:t xml:space="preserve">Enforceable paragraph: </w:t>
      </w:r>
      <w:r w:rsidRPr="002C6752">
        <w:fldChar w:fldCharType="begin"/>
      </w:r>
      <w:r w:rsidRPr="002C6752">
        <w:instrText xml:space="preserve"> REF _ASICRef714 \w \h </w:instrText>
      </w:r>
      <w:r w:rsidRPr="002C6752">
        <w:fldChar w:fldCharType="separate"/>
      </w:r>
      <w:r w:rsidR="00DE6E77">
        <w:t>RG 271.165</w:t>
      </w:r>
      <w:r w:rsidRPr="002C6752">
        <w:fldChar w:fldCharType="end"/>
      </w:r>
    </w:p>
    <w:p w14:paraId="510A2ABB" w14:textId="77777777" w:rsidR="00D1660E" w:rsidRPr="002C6752" w:rsidRDefault="00D1660E" w:rsidP="009A6619">
      <w:pPr>
        <w:pStyle w:val="Enfparastext"/>
      </w:pPr>
      <w:bookmarkStart w:id="376" w:name="_ASICRef583"/>
      <w:bookmarkStart w:id="377" w:name="_ASICRef694"/>
      <w:bookmarkStart w:id="378" w:name="_ASICRef714"/>
      <w:r w:rsidRPr="002C6752">
        <w:t>Firms must ensure that complaint resolution outcomes (e.g. refunds, fee waivers, correction of records, compensation payments) are implemented in a timely manner when a complaint is closed.</w:t>
      </w:r>
      <w:bookmarkEnd w:id="376"/>
      <w:bookmarkEnd w:id="377"/>
      <w:bookmarkEnd w:id="378"/>
    </w:p>
    <w:p w14:paraId="0E16346F" w14:textId="77777777" w:rsidR="00D1660E" w:rsidRPr="002C6752" w:rsidRDefault="00D1660E" w:rsidP="00D1660E">
      <w:pPr>
        <w:pStyle w:val="Heading2"/>
      </w:pPr>
      <w:bookmarkStart w:id="379" w:name="_Toc46844251"/>
      <w:r w:rsidRPr="002C6752">
        <w:lastRenderedPageBreak/>
        <w:t>Objectivity and fairness</w:t>
      </w:r>
      <w:bookmarkEnd w:id="379"/>
    </w:p>
    <w:p w14:paraId="04E63A67" w14:textId="409A3BC6" w:rsidR="00D1660E" w:rsidRPr="002C6752" w:rsidRDefault="00D1660E" w:rsidP="00D1660E">
      <w:pPr>
        <w:pStyle w:val="BodyText"/>
      </w:pPr>
      <w:bookmarkStart w:id="380" w:name="_ASICRef80"/>
      <w:r w:rsidRPr="002C6752">
        <w:t xml:space="preserve">We expect firms to develop processes that ensure each complaint is managed </w:t>
      </w:r>
      <w:r w:rsidR="00A6770C" w:rsidRPr="002C6752">
        <w:t xml:space="preserve">fairly, </w:t>
      </w:r>
      <w:r w:rsidRPr="002C6752">
        <w:t>objectively and without actual or perceived bias.</w:t>
      </w:r>
      <w:bookmarkEnd w:id="380"/>
    </w:p>
    <w:p w14:paraId="0F5B3E1D" w14:textId="77777777" w:rsidR="00D1660E" w:rsidRPr="002C6752" w:rsidRDefault="00D1660E" w:rsidP="00D1660E">
      <w:pPr>
        <w:pStyle w:val="Heading3"/>
      </w:pPr>
      <w:r w:rsidRPr="002C6752">
        <w:t>Objectivity</w:t>
      </w:r>
    </w:p>
    <w:p w14:paraId="3A6A96F5" w14:textId="5F529CCD" w:rsidR="00D1660E" w:rsidRPr="002C6752" w:rsidRDefault="00FA78DF" w:rsidP="005C6121">
      <w:pPr>
        <w:pStyle w:val="BodyText"/>
      </w:pPr>
      <w:r w:rsidRPr="002C6752">
        <w:t>Financial firms should manage c</w:t>
      </w:r>
      <w:r w:rsidR="00D1660E" w:rsidRPr="002C6752">
        <w:t>omplaint</w:t>
      </w:r>
      <w:r w:rsidR="00ED3E2D" w:rsidRPr="002C6752">
        <w:t xml:space="preserve">s </w:t>
      </w:r>
      <w:r w:rsidR="00D1660E" w:rsidRPr="002C6752">
        <w:t>objectively and without actual or perceived bias. This requires that:</w:t>
      </w:r>
    </w:p>
    <w:p w14:paraId="262E063A" w14:textId="1530EA26" w:rsidR="00D1660E" w:rsidRPr="00234BC1" w:rsidRDefault="00D1660E" w:rsidP="00234BC1">
      <w:pPr>
        <w:pStyle w:val="subparaa"/>
        <w:ind w:right="-142"/>
        <w:rPr>
          <w:spacing w:val="-4"/>
        </w:rPr>
      </w:pPr>
      <w:r w:rsidRPr="00234BC1">
        <w:rPr>
          <w:spacing w:val="-4"/>
        </w:rPr>
        <w:t xml:space="preserve">IDR </w:t>
      </w:r>
      <w:r w:rsidR="007A0226" w:rsidRPr="00234BC1">
        <w:rPr>
          <w:spacing w:val="-4"/>
        </w:rPr>
        <w:t xml:space="preserve">processes </w:t>
      </w:r>
      <w:r w:rsidRPr="00234BC1">
        <w:rPr>
          <w:spacing w:val="-4"/>
        </w:rPr>
        <w:t>allow adequate opportunity for each party to make their case;</w:t>
      </w:r>
    </w:p>
    <w:p w14:paraId="4EB1B503" w14:textId="109365C9" w:rsidR="00D1660E" w:rsidRPr="002C6752" w:rsidRDefault="00D1660E" w:rsidP="005C6121">
      <w:pPr>
        <w:pStyle w:val="subparaa"/>
      </w:pPr>
      <w:r w:rsidRPr="002C6752">
        <w:t xml:space="preserve">wherever possible, the complaint is considered by staff not involved in the subject matter of the complaint. We recognise that this will not always be possible for a small </w:t>
      </w:r>
      <w:r w:rsidR="007A0226" w:rsidRPr="002C6752">
        <w:t>financial firm</w:t>
      </w:r>
      <w:r w:rsidRPr="002C6752">
        <w:t>;</w:t>
      </w:r>
    </w:p>
    <w:p w14:paraId="10AE9957" w14:textId="77777777" w:rsidR="00FA78DF" w:rsidRPr="00234BC1" w:rsidRDefault="00D1660E" w:rsidP="00B9535C">
      <w:pPr>
        <w:pStyle w:val="BodyText"/>
        <w:rPr>
          <w:spacing w:val="-2"/>
        </w:rPr>
      </w:pPr>
      <w:r w:rsidRPr="00234BC1">
        <w:rPr>
          <w:spacing w:val="-2"/>
        </w:rPr>
        <w:t xml:space="preserve">IDR </w:t>
      </w:r>
      <w:r w:rsidR="007A0226" w:rsidRPr="00234BC1">
        <w:rPr>
          <w:spacing w:val="-2"/>
        </w:rPr>
        <w:t xml:space="preserve">processes </w:t>
      </w:r>
      <w:r w:rsidRPr="00234BC1">
        <w:rPr>
          <w:spacing w:val="-2"/>
        </w:rPr>
        <w:t>allow for other persons who may request an information return (e.g. beneficiaries), and who may reasonably have an interest in the outcome of a traditional services complaint, to be identified, notified and their views considered, where relevant to the efficient and fair handling of the complaint.</w:t>
      </w:r>
    </w:p>
    <w:p w14:paraId="07F8EB12" w14:textId="64493418" w:rsidR="00D6478B" w:rsidRDefault="00227AC9" w:rsidP="008E4860">
      <w:pPr>
        <w:pStyle w:val="Heading3"/>
        <w:rPr>
          <w:lang w:val="fr-FR"/>
        </w:rPr>
      </w:pPr>
      <w:r w:rsidRPr="00D6478B">
        <w:t>Privacy</w:t>
      </w:r>
      <w:bookmarkStart w:id="381" w:name="_ASICRef905"/>
    </w:p>
    <w:p w14:paraId="60A6959B" w14:textId="45669EEA" w:rsidR="00D1660E" w:rsidRPr="008E4860" w:rsidRDefault="00D1660E" w:rsidP="008E4860">
      <w:pPr>
        <w:pStyle w:val="BodyText"/>
      </w:pPr>
      <w:bookmarkStart w:id="382" w:name="_ASICRef178"/>
      <w:r w:rsidRPr="008E4860">
        <w:t>Firms</w:t>
      </w:r>
      <w:r w:rsidR="00061795" w:rsidRPr="008E4860">
        <w:t xml:space="preserve"> </w:t>
      </w:r>
      <w:r w:rsidR="00227AC9" w:rsidRPr="008E4860">
        <w:t xml:space="preserve">need to have processes and systems in place to ensure that they comply with their obligations under privacy laws when dealing with complaints. </w:t>
      </w:r>
      <w:bookmarkEnd w:id="381"/>
      <w:bookmarkEnd w:id="382"/>
    </w:p>
    <w:p w14:paraId="5E47A993" w14:textId="77777777" w:rsidR="00D1660E" w:rsidRPr="002C6752" w:rsidRDefault="00D1660E" w:rsidP="00D1660E">
      <w:pPr>
        <w:pStyle w:val="Heading3"/>
      </w:pPr>
      <w:r w:rsidRPr="002C6752">
        <w:t>Unreasonable complainant conduct</w:t>
      </w:r>
    </w:p>
    <w:p w14:paraId="7E415F1D" w14:textId="5C0E61F4" w:rsidR="00D1660E" w:rsidRPr="002C6752" w:rsidRDefault="00D1660E" w:rsidP="00642749">
      <w:pPr>
        <w:pStyle w:val="BodyText"/>
      </w:pPr>
      <w:bookmarkStart w:id="383" w:name="_ASICRef785"/>
      <w:bookmarkStart w:id="384" w:name="_ASICRef378"/>
      <w:bookmarkStart w:id="385" w:name="_ASICRef437"/>
      <w:r w:rsidRPr="002C6752">
        <w:t xml:space="preserve">Each complaint should be managed in an equitable manner, including those lodged by complainants who display unreasonable or challenging behaviour. Firms </w:t>
      </w:r>
      <w:r w:rsidR="00ED3E2D" w:rsidRPr="002C6752">
        <w:t xml:space="preserve">should </w:t>
      </w:r>
      <w:r w:rsidRPr="002C6752">
        <w:t>develop a policy for dealing with unreasonable or challenging complainant conduct.</w:t>
      </w:r>
      <w:bookmarkEnd w:id="383"/>
      <w:bookmarkEnd w:id="384"/>
      <w:bookmarkEnd w:id="385"/>
    </w:p>
    <w:p w14:paraId="2CEADF43" w14:textId="11789FC1" w:rsidR="00D1660E" w:rsidRPr="002C6752" w:rsidRDefault="00D1660E" w:rsidP="00D1660E">
      <w:pPr>
        <w:pStyle w:val="Note"/>
      </w:pPr>
      <w:r w:rsidRPr="002C6752">
        <w:t xml:space="preserve">Note: </w:t>
      </w:r>
      <w:r w:rsidR="00567A7C" w:rsidRPr="002C6752">
        <w:t xml:space="preserve">For more information about dealing with unreasonable conduct by complainants, </w:t>
      </w:r>
      <w:r w:rsidRPr="002C6752">
        <w:t>see Appendix E</w:t>
      </w:r>
      <w:r w:rsidR="00567A7C" w:rsidRPr="002C6752">
        <w:t xml:space="preserve"> to </w:t>
      </w:r>
      <w:r w:rsidRPr="002C6752">
        <w:t>AS/NZS 10002:2014.</w:t>
      </w:r>
    </w:p>
    <w:p w14:paraId="4983CD67" w14:textId="77777777" w:rsidR="00D1660E" w:rsidRPr="002C6752" w:rsidRDefault="00D1660E" w:rsidP="00642749">
      <w:pPr>
        <w:pStyle w:val="Heading3"/>
      </w:pPr>
      <w:r w:rsidRPr="002C6752">
        <w:t>Postponement of action</w:t>
      </w:r>
    </w:p>
    <w:p w14:paraId="606BCDDF" w14:textId="178B906E" w:rsidR="00D1660E" w:rsidRPr="002C6752" w:rsidRDefault="00D1660E" w:rsidP="00D1660E">
      <w:pPr>
        <w:pStyle w:val="BodyText"/>
      </w:pPr>
      <w:bookmarkStart w:id="386" w:name="_ASICRef457"/>
      <w:r w:rsidRPr="002C6752">
        <w:t xml:space="preserve">Where appropriate, financial firms </w:t>
      </w:r>
      <w:r w:rsidR="00ED3E2D" w:rsidRPr="002C6752">
        <w:t xml:space="preserve">should </w:t>
      </w:r>
      <w:r w:rsidRPr="002C6752">
        <w:t xml:space="preserve">postpone actions that could adversely affect the complainant until the complaint has been finalised and an IDR response has been provided: see </w:t>
      </w:r>
      <w:r w:rsidR="004601D9" w:rsidRPr="002C6752">
        <w:fldChar w:fldCharType="begin"/>
      </w:r>
      <w:r w:rsidR="004601D9" w:rsidRPr="002C6752">
        <w:instrText xml:space="preserve"> REF _ASICRef860 \w \h </w:instrText>
      </w:r>
      <w:r w:rsidR="004601D9" w:rsidRPr="002C6752">
        <w:fldChar w:fldCharType="separate"/>
      </w:r>
      <w:r w:rsidR="00DE6E77">
        <w:t>RG 271.92</w:t>
      </w:r>
      <w:r w:rsidR="004601D9" w:rsidRPr="002C6752">
        <w:fldChar w:fldCharType="end"/>
      </w:r>
      <w:r w:rsidR="00567A7C" w:rsidRPr="002C6752">
        <w:t>–</w:t>
      </w:r>
      <w:r w:rsidR="00567A7C" w:rsidRPr="002C6752">
        <w:fldChar w:fldCharType="begin"/>
      </w:r>
      <w:r w:rsidR="00567A7C" w:rsidRPr="002C6752">
        <w:instrText xml:space="preserve"> REF _ASICRef326 \w \h  \* MERGEFORMAT </w:instrText>
      </w:r>
      <w:r w:rsidR="00567A7C" w:rsidRPr="002C6752">
        <w:fldChar w:fldCharType="separate"/>
      </w:r>
      <w:r w:rsidR="00DE6E77">
        <w:t>RG 271.101</w:t>
      </w:r>
      <w:r w:rsidR="00567A7C" w:rsidRPr="002C6752">
        <w:fldChar w:fldCharType="end"/>
      </w:r>
      <w:r w:rsidRPr="002C6752">
        <w:t xml:space="preserve"> regarding the postponement of legal proceedings or other enforcement action while </w:t>
      </w:r>
      <w:r w:rsidR="00567A7C" w:rsidRPr="002C6752">
        <w:t xml:space="preserve">the financial firm is considering a </w:t>
      </w:r>
      <w:r w:rsidRPr="002C6752">
        <w:t xml:space="preserve">hardship </w:t>
      </w:r>
      <w:r w:rsidR="00567A7C" w:rsidRPr="002C6752">
        <w:t xml:space="preserve">notice </w:t>
      </w:r>
      <w:r w:rsidRPr="002C6752">
        <w:t xml:space="preserve">or </w:t>
      </w:r>
      <w:r w:rsidR="00567A7C" w:rsidRPr="002C6752">
        <w:t xml:space="preserve">request to </w:t>
      </w:r>
      <w:r w:rsidR="00024D62" w:rsidRPr="002C6752">
        <w:t xml:space="preserve">postpone </w:t>
      </w:r>
      <w:r w:rsidRPr="002C6752">
        <w:t>enforcement proceedings.</w:t>
      </w:r>
      <w:bookmarkEnd w:id="386"/>
    </w:p>
    <w:p w14:paraId="22C5BB9B" w14:textId="77777777" w:rsidR="00D1660E" w:rsidRPr="002C6752" w:rsidRDefault="00D1660E" w:rsidP="00D1660E">
      <w:pPr>
        <w:pStyle w:val="Heading2"/>
      </w:pPr>
      <w:bookmarkStart w:id="387" w:name="_Toc46844252"/>
      <w:r w:rsidRPr="002C6752">
        <w:lastRenderedPageBreak/>
        <w:t>Policy and procedures</w:t>
      </w:r>
      <w:bookmarkEnd w:id="387"/>
    </w:p>
    <w:p w14:paraId="570FAF58" w14:textId="6C9E94C6" w:rsidR="00A6601A" w:rsidRPr="002C6752" w:rsidRDefault="00A6601A" w:rsidP="00A6601A">
      <w:pPr>
        <w:pStyle w:val="Enfparashead"/>
      </w:pPr>
      <w:r w:rsidRPr="002C6752">
        <w:t xml:space="preserve">Enforceable paragraph: </w:t>
      </w:r>
      <w:r w:rsidRPr="002C6752">
        <w:fldChar w:fldCharType="begin"/>
      </w:r>
      <w:r w:rsidRPr="002C6752">
        <w:instrText xml:space="preserve"> REF _ASICRef216 \w \h </w:instrText>
      </w:r>
      <w:r w:rsidR="00C95A06" w:rsidRPr="002C6752">
        <w:instrText xml:space="preserve"> \* MERGEFORMAT </w:instrText>
      </w:r>
      <w:r w:rsidRPr="002C6752">
        <w:fldChar w:fldCharType="separate"/>
      </w:r>
      <w:r w:rsidR="00DE6E77">
        <w:t>RG 271.172</w:t>
      </w:r>
      <w:r w:rsidRPr="002C6752">
        <w:fldChar w:fldCharType="end"/>
      </w:r>
    </w:p>
    <w:p w14:paraId="16BAE9C0" w14:textId="7E2FF66C" w:rsidR="00D1660E" w:rsidRPr="002C6752" w:rsidRDefault="00D1660E" w:rsidP="009A6619">
      <w:pPr>
        <w:pStyle w:val="Enfparastext"/>
      </w:pPr>
      <w:bookmarkStart w:id="388" w:name="_ASICRef216"/>
      <w:r w:rsidRPr="002C6752">
        <w:t>Complaint management documentation is a key component of a financial firm</w:t>
      </w:r>
      <w:r w:rsidR="00E12C7C">
        <w:t>’</w:t>
      </w:r>
      <w:r w:rsidRPr="002C6752">
        <w:t xml:space="preserve">s IDR </w:t>
      </w:r>
      <w:r w:rsidR="00191061" w:rsidRPr="002C6752">
        <w:t>process</w:t>
      </w:r>
      <w:r w:rsidRPr="002C6752">
        <w:t>. Firms must have a publicly available</w:t>
      </w:r>
      <w:r w:rsidR="001E5B2F">
        <w:t>, readily accessible</w:t>
      </w:r>
      <w:r w:rsidR="00DD58FB">
        <w:t xml:space="preserve"> </w:t>
      </w:r>
      <w:r w:rsidRPr="002C6752">
        <w:t>complaint</w:t>
      </w:r>
      <w:r w:rsidR="00986569">
        <w:t>s</w:t>
      </w:r>
      <w:r w:rsidRPr="002C6752">
        <w:t xml:space="preserve"> policy and an internal complaint management procedure. Firms must provide material that explains their IDR process free of charge to complainants.</w:t>
      </w:r>
      <w:bookmarkEnd w:id="388"/>
    </w:p>
    <w:p w14:paraId="1BA62652" w14:textId="7BC59390" w:rsidR="00D1660E" w:rsidRPr="002C6752" w:rsidRDefault="00D1660E" w:rsidP="00D1660E">
      <w:pPr>
        <w:pStyle w:val="Heading3"/>
      </w:pPr>
      <w:r w:rsidRPr="002C6752">
        <w:t>Public complaint</w:t>
      </w:r>
      <w:r w:rsidR="00D00CF6">
        <w:t>s</w:t>
      </w:r>
      <w:r w:rsidRPr="002C6752">
        <w:t xml:space="preserve"> policy</w:t>
      </w:r>
    </w:p>
    <w:p w14:paraId="5018DAC6" w14:textId="3268F5BF" w:rsidR="00D1660E" w:rsidRPr="002C6752" w:rsidRDefault="00D1660E" w:rsidP="00642749">
      <w:pPr>
        <w:pStyle w:val="BodyText"/>
      </w:pPr>
      <w:r w:rsidRPr="002C6752">
        <w:t>A firm</w:t>
      </w:r>
      <w:r w:rsidR="00E12C7C">
        <w:t>’</w:t>
      </w:r>
      <w:r w:rsidRPr="002C6752">
        <w:t>s complaint</w:t>
      </w:r>
      <w:r w:rsidR="00D00CF6">
        <w:t>s</w:t>
      </w:r>
      <w:r w:rsidRPr="002C6752">
        <w:t xml:space="preserve"> policy </w:t>
      </w:r>
      <w:r w:rsidR="00061795" w:rsidRPr="002C6752">
        <w:t xml:space="preserve">should </w:t>
      </w:r>
      <w:r w:rsidRPr="002C6752">
        <w:t>explain:</w:t>
      </w:r>
    </w:p>
    <w:p w14:paraId="648DC69A" w14:textId="77777777" w:rsidR="00D1660E" w:rsidRPr="002C6752" w:rsidRDefault="00D1660E" w:rsidP="00642749">
      <w:pPr>
        <w:pStyle w:val="subparaa"/>
      </w:pPr>
      <w:r w:rsidRPr="002C6752">
        <w:t>how consumers may lodge a complaint with the firm (e.g. online, by email, by phone and in person);</w:t>
      </w:r>
    </w:p>
    <w:p w14:paraId="2E08F8A2" w14:textId="5078AF63" w:rsidR="00D1660E" w:rsidRPr="002C6752" w:rsidRDefault="00D1660E" w:rsidP="00642749">
      <w:pPr>
        <w:pStyle w:val="subparaa"/>
      </w:pPr>
      <w:r w:rsidRPr="002C6752">
        <w:t>the options available to assist complainants who might need additional assistance to lodge a complaint;</w:t>
      </w:r>
    </w:p>
    <w:p w14:paraId="29372DE7" w14:textId="7A5AD7C9" w:rsidR="00D1660E" w:rsidRPr="002C6752" w:rsidRDefault="00D1660E" w:rsidP="00642749">
      <w:pPr>
        <w:pStyle w:val="subparaa"/>
      </w:pPr>
      <w:r w:rsidRPr="002C6752">
        <w:t>the firm</w:t>
      </w:r>
      <w:r w:rsidR="00E12C7C">
        <w:t>’</w:t>
      </w:r>
      <w:r w:rsidRPr="002C6752">
        <w:t>s key steps for dealing with complaints, including acknowledgement, assessment and investigation, and provision of an IDR response;</w:t>
      </w:r>
    </w:p>
    <w:p w14:paraId="44E8C298" w14:textId="77777777" w:rsidR="00D1660E" w:rsidRPr="002C6752" w:rsidRDefault="00D1660E" w:rsidP="00642749">
      <w:pPr>
        <w:pStyle w:val="subparaa"/>
      </w:pPr>
      <w:r w:rsidRPr="002C6752">
        <w:t>response timeframes; and</w:t>
      </w:r>
    </w:p>
    <w:p w14:paraId="307E2C98" w14:textId="77777777" w:rsidR="00D1660E" w:rsidRPr="002C6752" w:rsidRDefault="00D1660E" w:rsidP="00642749">
      <w:pPr>
        <w:pStyle w:val="subparaa"/>
      </w:pPr>
      <w:r w:rsidRPr="002C6752">
        <w:t>details about accessing AFCA where a complaint is not resolved.</w:t>
      </w:r>
    </w:p>
    <w:p w14:paraId="738181DB" w14:textId="6BFCE7BA" w:rsidR="00D1660E" w:rsidRPr="002C6752" w:rsidRDefault="00D1660E" w:rsidP="00D1660E">
      <w:pPr>
        <w:pStyle w:val="BodyText"/>
      </w:pPr>
      <w:r w:rsidRPr="002C6752">
        <w:t>The complaint</w:t>
      </w:r>
      <w:r w:rsidR="00D00CF6">
        <w:t>s</w:t>
      </w:r>
      <w:r w:rsidRPr="002C6752">
        <w:t xml:space="preserve"> policy</w:t>
      </w:r>
      <w:r w:rsidR="00061795" w:rsidRPr="002C6752">
        <w:t xml:space="preserve"> </w:t>
      </w:r>
      <w:r w:rsidR="00F45F17">
        <w:t>should</w:t>
      </w:r>
      <w:r w:rsidRPr="002C6752">
        <w:t xml:space="preserve"> be readily available to the public, in a range of formats and languages. In particular, the policy </w:t>
      </w:r>
      <w:r w:rsidR="006E3266">
        <w:t>should</w:t>
      </w:r>
      <w:r w:rsidR="000C27E1" w:rsidRPr="002C6752">
        <w:t xml:space="preserve"> </w:t>
      </w:r>
      <w:r w:rsidRPr="002C6752">
        <w:t>appear on the firm</w:t>
      </w:r>
      <w:r w:rsidR="00E12C7C">
        <w:t>’</w:t>
      </w:r>
      <w:r w:rsidRPr="002C6752">
        <w:t>s website in an accessible location.</w:t>
      </w:r>
    </w:p>
    <w:p w14:paraId="4A5FA911" w14:textId="77777777" w:rsidR="00D1660E" w:rsidRPr="002C6752" w:rsidRDefault="00D1660E" w:rsidP="00D1660E">
      <w:pPr>
        <w:pStyle w:val="Heading3"/>
      </w:pPr>
      <w:r w:rsidRPr="002C6752">
        <w:t>Internal complaint management procedure</w:t>
      </w:r>
    </w:p>
    <w:p w14:paraId="52E5CA6A" w14:textId="3B9111F1" w:rsidR="00D1660E" w:rsidRPr="002C6752" w:rsidRDefault="00D1660E" w:rsidP="00567A7C">
      <w:pPr>
        <w:pStyle w:val="BodyText"/>
      </w:pPr>
      <w:r w:rsidRPr="002C6752">
        <w:t xml:space="preserve">Firms </w:t>
      </w:r>
      <w:r w:rsidR="006E3266">
        <w:t>should</w:t>
      </w:r>
      <w:r w:rsidR="00061795" w:rsidRPr="002C6752">
        <w:t xml:space="preserve"> </w:t>
      </w:r>
      <w:r w:rsidRPr="002C6752">
        <w:t>have a documented internal complaint management procedure to support the public complaint management policy.</w:t>
      </w:r>
    </w:p>
    <w:p w14:paraId="54932B29" w14:textId="5E5C103D" w:rsidR="00D1660E" w:rsidRPr="002C6752" w:rsidRDefault="00D1660E" w:rsidP="00567A7C">
      <w:pPr>
        <w:pStyle w:val="BodyText"/>
      </w:pPr>
      <w:r w:rsidRPr="002C6752">
        <w:t xml:space="preserve">The procedure </w:t>
      </w:r>
      <w:r w:rsidR="00061795" w:rsidRPr="002C6752">
        <w:t xml:space="preserve">should </w:t>
      </w:r>
      <w:r w:rsidRPr="002C6752">
        <w:t xml:space="preserve">be a comprehensive and useful tool for staff who deal with complaints, providing a step-by-step guide to the entire IDR process, and clearly setting out staff roles and responsibilities. </w:t>
      </w:r>
    </w:p>
    <w:p w14:paraId="2CEB97E4" w14:textId="60D59B4C" w:rsidR="00D1660E" w:rsidRPr="002C6752" w:rsidRDefault="00D1660E" w:rsidP="00567A7C">
      <w:pPr>
        <w:pStyle w:val="BodyText"/>
      </w:pPr>
      <w:r w:rsidRPr="002C6752">
        <w:t xml:space="preserve">The internal complaint management procedure </w:t>
      </w:r>
      <w:r w:rsidR="00061795" w:rsidRPr="002C6752">
        <w:t xml:space="preserve">should </w:t>
      </w:r>
      <w:r w:rsidRPr="002C6752">
        <w:t xml:space="preserve">be anchored to the IDR requirements set out in this regulatory guide, including the IDR </w:t>
      </w:r>
      <w:r w:rsidR="00567A7C" w:rsidRPr="002C6752">
        <w:t>s</w:t>
      </w:r>
      <w:r w:rsidRPr="002C6752">
        <w:t>tandards. At a minimum, we expect a firm</w:t>
      </w:r>
      <w:r w:rsidR="00E12C7C">
        <w:t>’</w:t>
      </w:r>
      <w:r w:rsidRPr="002C6752">
        <w:t>s internal procedure to address our requirements for:</w:t>
      </w:r>
    </w:p>
    <w:p w14:paraId="652ED10E" w14:textId="15372D3E" w:rsidR="00D1660E" w:rsidRPr="002C6752" w:rsidRDefault="00D1660E" w:rsidP="00567A7C">
      <w:pPr>
        <w:pStyle w:val="subparaa"/>
      </w:pPr>
      <w:r w:rsidRPr="002C6752">
        <w:t xml:space="preserve">the definition of </w:t>
      </w:r>
      <w:r w:rsidR="00E12C7C">
        <w:t>‘</w:t>
      </w:r>
      <w:r w:rsidRPr="002C6752">
        <w:t>complaint</w:t>
      </w:r>
      <w:r w:rsidR="00E12C7C">
        <w:t>’</w:t>
      </w:r>
      <w:r w:rsidRPr="002C6752">
        <w:t xml:space="preserve"> and the types of matters that must be dealt with in accordance with our IDR requirements </w:t>
      </w:r>
      <w:r w:rsidR="00567A7C" w:rsidRPr="002C6752">
        <w:t>(</w:t>
      </w:r>
      <w:r w:rsidRPr="002C6752">
        <w:t xml:space="preserve">see </w:t>
      </w:r>
      <w:r w:rsidR="000C27E1" w:rsidRPr="002C6752">
        <w:fldChar w:fldCharType="begin"/>
      </w:r>
      <w:r w:rsidR="000C27E1" w:rsidRPr="002C6752">
        <w:instrText xml:space="preserve"> REF _ASICRef800 \w \h </w:instrText>
      </w:r>
      <w:r w:rsidR="000C27E1" w:rsidRPr="002C6752">
        <w:fldChar w:fldCharType="separate"/>
      </w:r>
      <w:r w:rsidR="00DE6E77">
        <w:t>RG 271.27</w:t>
      </w:r>
      <w:r w:rsidR="000C27E1" w:rsidRPr="002C6752">
        <w:fldChar w:fldCharType="end"/>
      </w:r>
      <w:r w:rsidR="00360221" w:rsidRPr="002C6752">
        <w:t>)</w:t>
      </w:r>
    </w:p>
    <w:p w14:paraId="5016EE03" w14:textId="7EA0F132" w:rsidR="00D1660E" w:rsidRPr="002C6752" w:rsidRDefault="00D1660E" w:rsidP="00567A7C">
      <w:pPr>
        <w:pStyle w:val="subparaa"/>
      </w:pPr>
      <w:r w:rsidRPr="002C6752">
        <w:t xml:space="preserve">proactively identifying and assisting complainants who might need additional assistance </w:t>
      </w:r>
      <w:r w:rsidR="00B211E1" w:rsidRPr="002C6752">
        <w:t>(</w:t>
      </w:r>
      <w:r w:rsidR="00B775AA" w:rsidRPr="002C6752">
        <w:t xml:space="preserve">see </w:t>
      </w:r>
      <w:r w:rsidR="00E4355C" w:rsidRPr="002C6752">
        <w:fldChar w:fldCharType="begin"/>
      </w:r>
      <w:r w:rsidR="00E4355C" w:rsidRPr="002C6752">
        <w:instrText xml:space="preserve"> REF _ASICRef89 \w \h </w:instrText>
      </w:r>
      <w:r w:rsidR="002F1325" w:rsidRPr="002C6752">
        <w:instrText xml:space="preserve"> \* MERGEFORMAT </w:instrText>
      </w:r>
      <w:r w:rsidR="00E4355C" w:rsidRPr="002C6752">
        <w:fldChar w:fldCharType="separate"/>
      </w:r>
      <w:r w:rsidR="00DE6E77">
        <w:t>RG 271.131</w:t>
      </w:r>
      <w:r w:rsidR="00E4355C" w:rsidRPr="002C6752">
        <w:fldChar w:fldCharType="end"/>
      </w:r>
      <w:r w:rsidR="00E4355C" w:rsidRPr="002C6752">
        <w:t>–</w:t>
      </w:r>
      <w:r w:rsidR="00E4355C" w:rsidRPr="002C6752">
        <w:fldChar w:fldCharType="begin"/>
      </w:r>
      <w:r w:rsidR="00E4355C" w:rsidRPr="002C6752">
        <w:instrText xml:space="preserve"> REF _ASICRef757 \w \h </w:instrText>
      </w:r>
      <w:r w:rsidR="002F1325" w:rsidRPr="002C6752">
        <w:instrText xml:space="preserve"> \* MERGEFORMAT </w:instrText>
      </w:r>
      <w:r w:rsidR="00E4355C" w:rsidRPr="002C6752">
        <w:fldChar w:fldCharType="separate"/>
      </w:r>
      <w:r w:rsidR="00DE6E77">
        <w:t>RG 271.141</w:t>
      </w:r>
      <w:r w:rsidR="00E4355C" w:rsidRPr="002C6752">
        <w:fldChar w:fldCharType="end"/>
      </w:r>
      <w:r w:rsidR="00B211E1" w:rsidRPr="002C6752">
        <w:t>)</w:t>
      </w:r>
      <w:r w:rsidRPr="002C6752">
        <w:t>;</w:t>
      </w:r>
    </w:p>
    <w:p w14:paraId="4157A38F" w14:textId="5A872CAC" w:rsidR="00D1660E" w:rsidRPr="002C6752" w:rsidRDefault="00D1660E" w:rsidP="00567A7C">
      <w:pPr>
        <w:pStyle w:val="subparaa"/>
      </w:pPr>
      <w:r w:rsidRPr="002C6752">
        <w:t xml:space="preserve">acknowledging complaints </w:t>
      </w:r>
      <w:r w:rsidR="00E4355C" w:rsidRPr="002C6752">
        <w:t>(</w:t>
      </w:r>
      <w:r w:rsidR="00BC72E1" w:rsidRPr="002C6752">
        <w:t xml:space="preserve">see </w:t>
      </w:r>
      <w:r w:rsidR="00E4355C" w:rsidRPr="002C6752">
        <w:fldChar w:fldCharType="begin"/>
      </w:r>
      <w:r w:rsidR="00E4355C" w:rsidRPr="002C6752">
        <w:instrText xml:space="preserve"> REF _ASICRef169 \w \h </w:instrText>
      </w:r>
      <w:r w:rsidR="002F1325" w:rsidRPr="002C6752">
        <w:instrText xml:space="preserve"> \* MERGEFORMAT </w:instrText>
      </w:r>
      <w:r w:rsidR="00E4355C" w:rsidRPr="002C6752">
        <w:fldChar w:fldCharType="separate"/>
      </w:r>
      <w:r w:rsidR="00DE6E77">
        <w:t>RG 271.51</w:t>
      </w:r>
      <w:r w:rsidR="00E4355C" w:rsidRPr="002C6752">
        <w:fldChar w:fldCharType="end"/>
      </w:r>
      <w:r w:rsidR="00E4355C" w:rsidRPr="002C6752">
        <w:t>–</w:t>
      </w:r>
      <w:r w:rsidR="00E4237C" w:rsidRPr="002C6752">
        <w:fldChar w:fldCharType="begin"/>
      </w:r>
      <w:r w:rsidR="00E4237C" w:rsidRPr="002C6752">
        <w:instrText xml:space="preserve"> REF _Ref24552123 \r \h </w:instrText>
      </w:r>
      <w:r w:rsidR="00E4237C" w:rsidRPr="002C6752">
        <w:fldChar w:fldCharType="separate"/>
      </w:r>
      <w:r w:rsidR="00DE6E77">
        <w:t>RG 271.52</w:t>
      </w:r>
      <w:r w:rsidR="00E4237C" w:rsidRPr="002C6752">
        <w:fldChar w:fldCharType="end"/>
      </w:r>
      <w:r w:rsidR="00E4355C" w:rsidRPr="002C6752">
        <w:t>)</w:t>
      </w:r>
      <w:r w:rsidRPr="002C6752">
        <w:t>;</w:t>
      </w:r>
    </w:p>
    <w:p w14:paraId="5A2A71D3" w14:textId="66A477A7" w:rsidR="00D1660E" w:rsidRPr="002C6752" w:rsidRDefault="00D1660E" w:rsidP="00567A7C">
      <w:pPr>
        <w:pStyle w:val="subparaa"/>
      </w:pPr>
      <w:r w:rsidRPr="002C6752">
        <w:lastRenderedPageBreak/>
        <w:t xml:space="preserve">assessing and prioritising complaints according to the urgency of the issues raised </w:t>
      </w:r>
      <w:r w:rsidR="00B211E1" w:rsidRPr="002C6752">
        <w:t>(</w:t>
      </w:r>
      <w:r w:rsidRPr="002C6752">
        <w:t xml:space="preserve">see </w:t>
      </w:r>
      <w:r w:rsidR="00B211E1" w:rsidRPr="002C6752">
        <w:fldChar w:fldCharType="begin"/>
      </w:r>
      <w:r w:rsidR="00B211E1" w:rsidRPr="002C6752">
        <w:instrText xml:space="preserve"> REF _ASICRef919 \w \h </w:instrText>
      </w:r>
      <w:r w:rsidR="00024D62" w:rsidRPr="002C6752">
        <w:instrText xml:space="preserve"> \* MERGEFORMAT </w:instrText>
      </w:r>
      <w:r w:rsidR="00B211E1" w:rsidRPr="002C6752">
        <w:fldChar w:fldCharType="separate"/>
      </w:r>
      <w:r w:rsidR="00DE6E77">
        <w:t>RG 271.158</w:t>
      </w:r>
      <w:r w:rsidR="00B211E1" w:rsidRPr="002C6752">
        <w:fldChar w:fldCharType="end"/>
      </w:r>
      <w:r w:rsidR="00B211E1" w:rsidRPr="002C6752">
        <w:t>)</w:t>
      </w:r>
      <w:r w:rsidRPr="002C6752">
        <w:t>;</w:t>
      </w:r>
    </w:p>
    <w:p w14:paraId="05EDAC65" w14:textId="63FF51CF" w:rsidR="00D1660E" w:rsidRPr="002C6752" w:rsidRDefault="00D1660E" w:rsidP="00567A7C">
      <w:pPr>
        <w:pStyle w:val="subparaa"/>
      </w:pPr>
      <w:r w:rsidRPr="002C6752">
        <w:t xml:space="preserve">dealing with unreasonable complainant conduct </w:t>
      </w:r>
      <w:r w:rsidR="00B211E1" w:rsidRPr="002C6752">
        <w:t>(</w:t>
      </w:r>
      <w:r w:rsidRPr="002C6752">
        <w:t xml:space="preserve">see </w:t>
      </w:r>
      <w:r w:rsidR="00B211E1" w:rsidRPr="002C6752">
        <w:fldChar w:fldCharType="begin"/>
      </w:r>
      <w:r w:rsidR="00B211E1" w:rsidRPr="002C6752">
        <w:instrText xml:space="preserve"> REF _ASICRef378 \w \h </w:instrText>
      </w:r>
      <w:r w:rsidR="00024D62" w:rsidRPr="002C6752">
        <w:instrText xml:space="preserve"> \* MERGEFORMAT </w:instrText>
      </w:r>
      <w:r w:rsidR="00B211E1" w:rsidRPr="002C6752">
        <w:fldChar w:fldCharType="separate"/>
      </w:r>
      <w:r w:rsidR="00DE6E77">
        <w:t>RG 271.170</w:t>
      </w:r>
      <w:r w:rsidR="00B211E1" w:rsidRPr="002C6752">
        <w:fldChar w:fldCharType="end"/>
      </w:r>
      <w:r w:rsidR="00B211E1" w:rsidRPr="002C6752">
        <w:t>)</w:t>
      </w:r>
      <w:r w:rsidRPr="002C6752">
        <w:t>;</w:t>
      </w:r>
    </w:p>
    <w:p w14:paraId="09FB5278" w14:textId="73904721" w:rsidR="00D1660E" w:rsidRPr="002C6752" w:rsidRDefault="00D1660E" w:rsidP="00567A7C">
      <w:pPr>
        <w:pStyle w:val="subparaa"/>
      </w:pPr>
      <w:r w:rsidRPr="002C6752">
        <w:t xml:space="preserve">investigating complaints, conducting negotiations and exploring resolution options, including appropriate remedies </w:t>
      </w:r>
      <w:r w:rsidR="00B211E1" w:rsidRPr="002C6752">
        <w:t>(</w:t>
      </w:r>
      <w:r w:rsidRPr="002C6752">
        <w:t>see</w:t>
      </w:r>
      <w:r w:rsidR="00582267" w:rsidRPr="002C6752">
        <w:t xml:space="preserve"> </w:t>
      </w:r>
      <w:r w:rsidR="00582267" w:rsidRPr="002C6752">
        <w:fldChar w:fldCharType="begin"/>
      </w:r>
      <w:r w:rsidR="00582267" w:rsidRPr="002C6752">
        <w:instrText xml:space="preserve"> REF _ASICRef672 \w \h </w:instrText>
      </w:r>
      <w:r w:rsidR="002F1325" w:rsidRPr="002C6752">
        <w:instrText xml:space="preserve"> \* MERGEFORMAT </w:instrText>
      </w:r>
      <w:r w:rsidR="00582267" w:rsidRPr="002C6752">
        <w:fldChar w:fldCharType="separate"/>
      </w:r>
      <w:r w:rsidR="00DE6E77">
        <w:t>RG 271.159</w:t>
      </w:r>
      <w:r w:rsidR="00582267" w:rsidRPr="002C6752">
        <w:fldChar w:fldCharType="end"/>
      </w:r>
      <w:r w:rsidR="00582267" w:rsidRPr="002C6752">
        <w:t>–</w:t>
      </w:r>
      <w:r w:rsidR="00582267" w:rsidRPr="002C6752">
        <w:fldChar w:fldCharType="begin"/>
      </w:r>
      <w:r w:rsidR="00582267" w:rsidRPr="002C6752">
        <w:instrText xml:space="preserve"> REF _ASICRef721 \w \h </w:instrText>
      </w:r>
      <w:r w:rsidR="002F1325" w:rsidRPr="002C6752">
        <w:instrText xml:space="preserve"> \* MERGEFORMAT </w:instrText>
      </w:r>
      <w:r w:rsidR="00582267" w:rsidRPr="002C6752">
        <w:fldChar w:fldCharType="separate"/>
      </w:r>
      <w:r w:rsidR="00DE6E77">
        <w:t>RG 271.160</w:t>
      </w:r>
      <w:r w:rsidR="00582267" w:rsidRPr="002C6752">
        <w:fldChar w:fldCharType="end"/>
      </w:r>
      <w:r w:rsidR="00B211E1" w:rsidRPr="002C6752">
        <w:t>)</w:t>
      </w:r>
      <w:r w:rsidRPr="002C6752">
        <w:t>;</w:t>
      </w:r>
    </w:p>
    <w:p w14:paraId="09978CC7" w14:textId="38032311" w:rsidR="00D1660E" w:rsidRPr="002C6752" w:rsidRDefault="00D1660E" w:rsidP="00567A7C">
      <w:pPr>
        <w:pStyle w:val="subparaa"/>
      </w:pPr>
      <w:r w:rsidRPr="002C6752">
        <w:t xml:space="preserve">providing an IDR response within maximum IDR timeframes </w:t>
      </w:r>
      <w:r w:rsidR="00B211E1" w:rsidRPr="002C6752">
        <w:t>(</w:t>
      </w:r>
      <w:r w:rsidRPr="002C6752">
        <w:t>see</w:t>
      </w:r>
      <w:r w:rsidR="00BC72E1" w:rsidRPr="002C6752">
        <w:t xml:space="preserve"> </w:t>
      </w:r>
      <w:r w:rsidR="000C27E1" w:rsidRPr="002C6752">
        <w:fldChar w:fldCharType="begin"/>
      </w:r>
      <w:r w:rsidR="000C27E1" w:rsidRPr="002C6752">
        <w:instrText xml:space="preserve"> REF _ASICRef325 \w \h </w:instrText>
      </w:r>
      <w:r w:rsidR="000C27E1" w:rsidRPr="002C6752">
        <w:fldChar w:fldCharType="separate"/>
      </w:r>
      <w:r w:rsidR="00DE6E77">
        <w:t>RG 271.56</w:t>
      </w:r>
      <w:r w:rsidR="000C27E1" w:rsidRPr="002C6752">
        <w:fldChar w:fldCharType="end"/>
      </w:r>
      <w:r w:rsidR="000C27E1" w:rsidRPr="002C6752">
        <w:t>–</w:t>
      </w:r>
      <w:r w:rsidR="000C27E1" w:rsidRPr="002C6752">
        <w:fldChar w:fldCharType="begin"/>
      </w:r>
      <w:r w:rsidR="000C27E1" w:rsidRPr="002C6752">
        <w:instrText xml:space="preserve"> REF _ASICRef804 \w \h </w:instrText>
      </w:r>
      <w:r w:rsidR="000C27E1" w:rsidRPr="002C6752">
        <w:fldChar w:fldCharType="separate"/>
      </w:r>
      <w:r w:rsidR="00DE6E77">
        <w:t>RG 271.101</w:t>
      </w:r>
      <w:r w:rsidR="000C27E1" w:rsidRPr="002C6752">
        <w:fldChar w:fldCharType="end"/>
      </w:r>
      <w:r w:rsidR="00B211E1" w:rsidRPr="002C6752">
        <w:t>)</w:t>
      </w:r>
      <w:r w:rsidRPr="002C6752">
        <w:t>;</w:t>
      </w:r>
    </w:p>
    <w:p w14:paraId="16007733" w14:textId="34DEA70A" w:rsidR="00D1660E" w:rsidRPr="002C6752" w:rsidRDefault="00D1660E" w:rsidP="00567A7C">
      <w:pPr>
        <w:pStyle w:val="subparaa"/>
      </w:pPr>
      <w:r w:rsidRPr="002C6752">
        <w:t xml:space="preserve">the content of IDR responses, including reasons for decision </w:t>
      </w:r>
      <w:r w:rsidR="004929AC" w:rsidRPr="002C6752">
        <w:t>(</w:t>
      </w:r>
      <w:r w:rsidR="00BC72E1" w:rsidRPr="002C6752">
        <w:t xml:space="preserve">see </w:t>
      </w:r>
      <w:r w:rsidR="003672E2">
        <w:fldChar w:fldCharType="begin"/>
      </w:r>
      <w:r w:rsidR="003672E2">
        <w:instrText xml:space="preserve"> REF _ASICRef103 \r \h </w:instrText>
      </w:r>
      <w:r w:rsidR="003672E2">
        <w:fldChar w:fldCharType="separate"/>
      </w:r>
      <w:r w:rsidR="00DE6E77">
        <w:t>RG 271.53</w:t>
      </w:r>
      <w:r w:rsidR="003672E2">
        <w:fldChar w:fldCharType="end"/>
      </w:r>
      <w:r w:rsidR="003F1D62" w:rsidRPr="002C6752">
        <w:t>–</w:t>
      </w:r>
      <w:r w:rsidR="000A03AA" w:rsidRPr="002C6752">
        <w:fldChar w:fldCharType="begin"/>
      </w:r>
      <w:r w:rsidR="000A03AA" w:rsidRPr="002C6752">
        <w:instrText xml:space="preserve"> REF _ASICRef256 \w \h </w:instrText>
      </w:r>
      <w:r w:rsidR="000A03AA" w:rsidRPr="002C6752">
        <w:fldChar w:fldCharType="separate"/>
      </w:r>
      <w:r w:rsidR="00DE6E77">
        <w:t>RG 271.55</w:t>
      </w:r>
      <w:r w:rsidR="000A03AA" w:rsidRPr="002C6752">
        <w:fldChar w:fldCharType="end"/>
      </w:r>
      <w:r w:rsidR="004929AC" w:rsidRPr="002C6752">
        <w:t>)</w:t>
      </w:r>
      <w:r w:rsidRPr="002C6752">
        <w:t>;</w:t>
      </w:r>
    </w:p>
    <w:p w14:paraId="2AE9AF41" w14:textId="21259ABD" w:rsidR="00D1660E" w:rsidRPr="002C6752" w:rsidRDefault="00D1660E" w:rsidP="00567A7C">
      <w:pPr>
        <w:pStyle w:val="subparaa"/>
      </w:pPr>
      <w:r w:rsidRPr="002C6752">
        <w:t xml:space="preserve">closing complaints </w:t>
      </w:r>
      <w:r w:rsidR="006B1E1D" w:rsidRPr="002C6752">
        <w:t>(</w:t>
      </w:r>
      <w:r w:rsidRPr="002C6752">
        <w:t xml:space="preserve">see </w:t>
      </w:r>
      <w:r w:rsidR="006B1E1D" w:rsidRPr="002C6752">
        <w:fldChar w:fldCharType="begin"/>
      </w:r>
      <w:r w:rsidR="006B1E1D" w:rsidRPr="002C6752">
        <w:instrText xml:space="preserve"> REF _ASICRef561 \w \h </w:instrText>
      </w:r>
      <w:r w:rsidR="00024D62" w:rsidRPr="002C6752">
        <w:instrText xml:space="preserve"> \* MERGEFORMAT </w:instrText>
      </w:r>
      <w:r w:rsidR="006B1E1D" w:rsidRPr="002C6752">
        <w:fldChar w:fldCharType="separate"/>
      </w:r>
      <w:r w:rsidR="00DE6E77">
        <w:t>RG 271.164</w:t>
      </w:r>
      <w:r w:rsidR="006B1E1D" w:rsidRPr="002C6752">
        <w:fldChar w:fldCharType="end"/>
      </w:r>
      <w:r w:rsidR="006B1E1D" w:rsidRPr="002C6752">
        <w:t>–</w:t>
      </w:r>
      <w:r w:rsidR="006B1E1D" w:rsidRPr="002C6752">
        <w:fldChar w:fldCharType="begin"/>
      </w:r>
      <w:r w:rsidR="006B1E1D" w:rsidRPr="002C6752">
        <w:instrText xml:space="preserve"> REF _ASICRef694 \w \h </w:instrText>
      </w:r>
      <w:r w:rsidR="00024D62" w:rsidRPr="002C6752">
        <w:instrText xml:space="preserve"> \* MERGEFORMAT </w:instrText>
      </w:r>
      <w:r w:rsidR="006B1E1D" w:rsidRPr="002C6752">
        <w:fldChar w:fldCharType="separate"/>
      </w:r>
      <w:r w:rsidR="00DE6E77">
        <w:t>RG 271.165</w:t>
      </w:r>
      <w:r w:rsidR="006B1E1D" w:rsidRPr="002C6752">
        <w:fldChar w:fldCharType="end"/>
      </w:r>
      <w:r w:rsidR="006B1E1D" w:rsidRPr="002C6752">
        <w:t>)</w:t>
      </w:r>
      <w:r w:rsidRPr="002C6752">
        <w:t>;</w:t>
      </w:r>
    </w:p>
    <w:p w14:paraId="61F50E47" w14:textId="4381B56F" w:rsidR="00D1660E" w:rsidRPr="002C6752" w:rsidRDefault="00D1660E" w:rsidP="00567A7C">
      <w:pPr>
        <w:pStyle w:val="subparaa"/>
      </w:pPr>
      <w:r w:rsidRPr="002C6752">
        <w:t xml:space="preserve">identifying and escalating systemic issues and complaint trends </w:t>
      </w:r>
      <w:r w:rsidR="006B1E1D" w:rsidRPr="002C6752">
        <w:t>(</w:t>
      </w:r>
      <w:r w:rsidRPr="002C6752">
        <w:t>see</w:t>
      </w:r>
      <w:r w:rsidR="00BC72E1" w:rsidRPr="002C6752">
        <w:t xml:space="preserve"> </w:t>
      </w:r>
      <w:r w:rsidR="003F1D62" w:rsidRPr="002C6752">
        <w:t xml:space="preserve">Section </w:t>
      </w:r>
      <w:r w:rsidR="003F1D62" w:rsidRPr="002C6752">
        <w:fldChar w:fldCharType="begin"/>
      </w:r>
      <w:r w:rsidR="003F1D62" w:rsidRPr="002C6752">
        <w:instrText xml:space="preserve"> REF _Ref5107167 \r \h </w:instrText>
      </w:r>
      <w:r w:rsidR="002F1325" w:rsidRPr="002C6752">
        <w:instrText xml:space="preserve"> \* MERGEFORMAT </w:instrText>
      </w:r>
      <w:r w:rsidR="003F1D62" w:rsidRPr="002C6752">
        <w:fldChar w:fldCharType="separate"/>
      </w:r>
      <w:r w:rsidR="00DE6E77">
        <w:t>D</w:t>
      </w:r>
      <w:r w:rsidR="003F1D62" w:rsidRPr="002C6752">
        <w:fldChar w:fldCharType="end"/>
      </w:r>
      <w:r w:rsidR="006B1E1D" w:rsidRPr="002C6752">
        <w:t>)</w:t>
      </w:r>
      <w:r w:rsidRPr="002C6752">
        <w:t>; and</w:t>
      </w:r>
    </w:p>
    <w:p w14:paraId="1131A671" w14:textId="6AD15A8B" w:rsidR="00D1660E" w:rsidRPr="002C6752" w:rsidRDefault="00D1660E" w:rsidP="00567A7C">
      <w:pPr>
        <w:pStyle w:val="subparaa"/>
      </w:pPr>
      <w:r w:rsidRPr="002C6752">
        <w:t xml:space="preserve">reporting internally about complaints </w:t>
      </w:r>
      <w:r w:rsidR="006B1E1D" w:rsidRPr="002C6752">
        <w:t>(</w:t>
      </w:r>
      <w:r w:rsidRPr="002C6752">
        <w:t xml:space="preserve">see </w:t>
      </w:r>
      <w:r w:rsidR="00F752D1">
        <w:fldChar w:fldCharType="begin"/>
      </w:r>
      <w:r w:rsidR="00F752D1">
        <w:instrText xml:space="preserve"> REF _Ref34293252 \r \h </w:instrText>
      </w:r>
      <w:r w:rsidR="00F752D1">
        <w:fldChar w:fldCharType="separate"/>
      </w:r>
      <w:r w:rsidR="00DE6E77">
        <w:t>RG 271.183</w:t>
      </w:r>
      <w:r w:rsidR="00F752D1">
        <w:fldChar w:fldCharType="end"/>
      </w:r>
      <w:r w:rsidR="000C27E1" w:rsidRPr="002C6752">
        <w:t>–</w:t>
      </w:r>
      <w:r w:rsidR="00E96FC9">
        <w:fldChar w:fldCharType="begin"/>
      </w:r>
      <w:r w:rsidR="00E96FC9">
        <w:instrText xml:space="preserve"> REF _ASICRef261 \w \h </w:instrText>
      </w:r>
      <w:r w:rsidR="00E96FC9">
        <w:fldChar w:fldCharType="separate"/>
      </w:r>
      <w:r w:rsidR="00DE6E77">
        <w:t>RG 271.184</w:t>
      </w:r>
      <w:r w:rsidR="00E96FC9">
        <w:fldChar w:fldCharType="end"/>
      </w:r>
      <w:r w:rsidR="006B1E1D" w:rsidRPr="002C6752">
        <w:t>)</w:t>
      </w:r>
      <w:r w:rsidR="00BD6944" w:rsidRPr="002C6752">
        <w:t>.</w:t>
      </w:r>
      <w:r w:rsidRPr="002C6752">
        <w:t xml:space="preserve"> </w:t>
      </w:r>
    </w:p>
    <w:p w14:paraId="69D450A8" w14:textId="2F9A63E3" w:rsidR="00D1660E" w:rsidRPr="002C6752" w:rsidRDefault="00191061" w:rsidP="00D1660E">
      <w:pPr>
        <w:pStyle w:val="Heading3"/>
      </w:pPr>
      <w:r w:rsidRPr="002C6752">
        <w:t>Regular</w:t>
      </w:r>
      <w:r w:rsidR="00D1660E" w:rsidRPr="002C6752">
        <w:t xml:space="preserve"> review</w:t>
      </w:r>
    </w:p>
    <w:p w14:paraId="11272D94" w14:textId="6BE8EFB9" w:rsidR="00D1660E" w:rsidRPr="002C6752" w:rsidRDefault="00D1660E" w:rsidP="00D1660E">
      <w:pPr>
        <w:pStyle w:val="BodyText"/>
      </w:pPr>
      <w:r w:rsidRPr="002C6752">
        <w:t xml:space="preserve">Firms </w:t>
      </w:r>
      <w:r w:rsidR="00687675" w:rsidRPr="002C6752">
        <w:t xml:space="preserve">should </w:t>
      </w:r>
      <w:r w:rsidR="005007E6" w:rsidRPr="002C6752">
        <w:t xml:space="preserve">regularly </w:t>
      </w:r>
      <w:r w:rsidRPr="002C6752">
        <w:t>review the adequacy of complaint management documentation, including the complaint</w:t>
      </w:r>
      <w:r w:rsidR="00D00CF6">
        <w:t>s</w:t>
      </w:r>
      <w:r w:rsidRPr="002C6752">
        <w:t xml:space="preserve"> policy and </w:t>
      </w:r>
      <w:r w:rsidR="005007E6" w:rsidRPr="002C6752">
        <w:t xml:space="preserve">internal </w:t>
      </w:r>
      <w:r w:rsidRPr="002C6752">
        <w:t>procedure.</w:t>
      </w:r>
    </w:p>
    <w:p w14:paraId="270C3380" w14:textId="77777777" w:rsidR="00D1660E" w:rsidRPr="002C6752" w:rsidRDefault="00D1660E" w:rsidP="00D1660E">
      <w:pPr>
        <w:pStyle w:val="Heading2"/>
      </w:pPr>
      <w:bookmarkStart w:id="389" w:name="_Toc46844253"/>
      <w:r w:rsidRPr="002C6752">
        <w:t>Data collection, analysis and internal reporting</w:t>
      </w:r>
      <w:bookmarkEnd w:id="389"/>
    </w:p>
    <w:p w14:paraId="66FE8AA0" w14:textId="0C68790F" w:rsidR="00C95A06" w:rsidRPr="002C6752" w:rsidRDefault="00C95A06" w:rsidP="00C95A06">
      <w:pPr>
        <w:pStyle w:val="Enfparashead"/>
      </w:pPr>
      <w:bookmarkStart w:id="390" w:name="_ASICRef913"/>
      <w:r w:rsidRPr="002C6752">
        <w:t xml:space="preserve">Enforceable paragraph: </w:t>
      </w:r>
      <w:r w:rsidRPr="002C6752">
        <w:fldChar w:fldCharType="begin"/>
      </w:r>
      <w:r w:rsidRPr="002C6752">
        <w:instrText xml:space="preserve"> REF _ASICRef752 \w \h </w:instrText>
      </w:r>
      <w:r w:rsidRPr="002C6752">
        <w:fldChar w:fldCharType="separate"/>
      </w:r>
      <w:r w:rsidR="00DE6E77">
        <w:t>RG 271.179</w:t>
      </w:r>
      <w:r w:rsidRPr="002C6752">
        <w:fldChar w:fldCharType="end"/>
      </w:r>
    </w:p>
    <w:p w14:paraId="58090396" w14:textId="4F5F41FA" w:rsidR="00C95A06" w:rsidRPr="002C6752" w:rsidRDefault="00D1660E" w:rsidP="009A6619">
      <w:pPr>
        <w:pStyle w:val="Enfparastext"/>
      </w:pPr>
      <w:bookmarkStart w:id="391" w:name="_ASICRef752"/>
      <w:r w:rsidRPr="002C6752">
        <w:t>Firms must have an effective system for recording information about</w:t>
      </w:r>
      <w:r w:rsidR="002C6752">
        <w:t xml:space="preserve"> </w:t>
      </w:r>
      <w:r w:rsidR="00687675" w:rsidRPr="002C6752">
        <w:t>complaints</w:t>
      </w:r>
      <w:r w:rsidRPr="002C6752">
        <w:t>. The system must enable firms to keep track of the progress of each complaint</w:t>
      </w:r>
      <w:r w:rsidR="007F12B7">
        <w:t>.</w:t>
      </w:r>
      <w:r w:rsidRPr="002C6752">
        <w:t xml:space="preserve"> </w:t>
      </w:r>
      <w:bookmarkEnd w:id="390"/>
      <w:bookmarkEnd w:id="391"/>
    </w:p>
    <w:p w14:paraId="4EF31641" w14:textId="3BC6E341" w:rsidR="00D1660E" w:rsidRPr="002C6752" w:rsidRDefault="00D1660E" w:rsidP="00D1660E">
      <w:pPr>
        <w:pStyle w:val="BodyText"/>
      </w:pPr>
      <w:r w:rsidRPr="002C6752">
        <w:t>Firms</w:t>
      </w:r>
      <w:r w:rsidR="00573041" w:rsidRPr="002C6752">
        <w:t xml:space="preserve"> </w:t>
      </w:r>
      <w:r w:rsidR="001244D9" w:rsidRPr="002C6752">
        <w:t>should</w:t>
      </w:r>
      <w:r w:rsidRPr="002C6752">
        <w:t xml:space="preserve"> design their complaints system to suit the nature, scale and complexity </w:t>
      </w:r>
      <w:r w:rsidR="00C338E6" w:rsidRPr="002C6752">
        <w:t xml:space="preserve">of </w:t>
      </w:r>
      <w:r w:rsidRPr="002C6752">
        <w:t>their business, including the number of complaints they receive. Firms that receive few complaints might, for example, use a spreadsheet. We expect firms with large volumes of complaints firms to use specialised complaints software or to integrate complaint management data fields into existing customer relationship management systems.</w:t>
      </w:r>
    </w:p>
    <w:p w14:paraId="10B25157" w14:textId="0C9ED393" w:rsidR="00D1660E" w:rsidRPr="002C6752" w:rsidRDefault="00D1660E" w:rsidP="00393450">
      <w:pPr>
        <w:pStyle w:val="Heading3"/>
      </w:pPr>
      <w:r w:rsidRPr="002C6752">
        <w:t>Conduct ongoing data analysis</w:t>
      </w:r>
    </w:p>
    <w:p w14:paraId="23E722E4" w14:textId="3D8120E8" w:rsidR="00D1660E" w:rsidRPr="002C6752" w:rsidRDefault="00D1660E" w:rsidP="006A534F">
      <w:pPr>
        <w:pStyle w:val="BodyText"/>
      </w:pPr>
      <w:bookmarkStart w:id="392" w:name="_ASICRef22"/>
      <w:r w:rsidRPr="002C6752">
        <w:t>Firms should analyse complaint data regularly so that they can:</w:t>
      </w:r>
      <w:bookmarkEnd w:id="392"/>
    </w:p>
    <w:p w14:paraId="753245B7" w14:textId="77777777" w:rsidR="00D1660E" w:rsidRPr="002C6752" w:rsidRDefault="00D1660E" w:rsidP="006A534F">
      <w:pPr>
        <w:pStyle w:val="subparaa"/>
      </w:pPr>
      <w:r w:rsidRPr="002C6752">
        <w:t>monitor the performance of the IDR process;</w:t>
      </w:r>
    </w:p>
    <w:p w14:paraId="24A962DC" w14:textId="77777777" w:rsidR="00D1660E" w:rsidRPr="002C6752" w:rsidRDefault="00D1660E" w:rsidP="006A534F">
      <w:pPr>
        <w:pStyle w:val="subparaa"/>
      </w:pPr>
      <w:r w:rsidRPr="002C6752">
        <w:t>identify possible systemic issues and areas where product or service delivery improvements are required; and</w:t>
      </w:r>
    </w:p>
    <w:p w14:paraId="1142629F" w14:textId="44276254" w:rsidR="00D1660E" w:rsidRPr="002C6752" w:rsidRDefault="00D1660E" w:rsidP="006A534F">
      <w:pPr>
        <w:pStyle w:val="subparaa"/>
      </w:pPr>
      <w:r w:rsidRPr="002C6752">
        <w:lastRenderedPageBreak/>
        <w:t xml:space="preserve">identify matters that are likely to need to be reported to ASIC under s912D of the Corporations Act. </w:t>
      </w:r>
    </w:p>
    <w:p w14:paraId="3ACE394A" w14:textId="7CCC952C" w:rsidR="00D1660E" w:rsidRPr="002C6752" w:rsidRDefault="00D1660E" w:rsidP="006A534F">
      <w:pPr>
        <w:pStyle w:val="BodyText"/>
      </w:pPr>
      <w:bookmarkStart w:id="393" w:name="_ASICRef427"/>
      <w:r w:rsidRPr="002C6752">
        <w:t xml:space="preserve">To monitor the performance of the IDR process, firms </w:t>
      </w:r>
      <w:r w:rsidR="00687675" w:rsidRPr="002C6752">
        <w:t xml:space="preserve">should </w:t>
      </w:r>
      <w:r w:rsidR="0052504E" w:rsidRPr="002C6752">
        <w:t xml:space="preserve">collect and </w:t>
      </w:r>
      <w:r w:rsidRPr="002C6752">
        <w:t>analyse the following items of data (at a minimum) at regular intervals:</w:t>
      </w:r>
      <w:bookmarkEnd w:id="393"/>
    </w:p>
    <w:p w14:paraId="1478A952" w14:textId="6B1CA590" w:rsidR="00D1660E" w:rsidRPr="002C6752" w:rsidRDefault="00D1660E" w:rsidP="006A534F">
      <w:pPr>
        <w:pStyle w:val="subparaa"/>
      </w:pPr>
      <w:r w:rsidRPr="002C6752">
        <w:t>number of complaints received;</w:t>
      </w:r>
    </w:p>
    <w:p w14:paraId="4508793A" w14:textId="0211A0CF" w:rsidR="00EC6D49" w:rsidRPr="002C6752" w:rsidRDefault="00EC6D49" w:rsidP="006A534F">
      <w:pPr>
        <w:pStyle w:val="subparaa"/>
      </w:pPr>
      <w:r w:rsidRPr="002C6752">
        <w:t>number of complaints closed;</w:t>
      </w:r>
    </w:p>
    <w:p w14:paraId="740475AB" w14:textId="7952E064" w:rsidR="00D1660E" w:rsidRPr="002C6752" w:rsidRDefault="00D1660E" w:rsidP="006A534F">
      <w:pPr>
        <w:pStyle w:val="subparaa"/>
      </w:pPr>
      <w:r w:rsidRPr="002C6752">
        <w:t>nature of complaints (e</w:t>
      </w:r>
      <w:r w:rsidR="008432B5" w:rsidRPr="002C6752">
        <w:t>.</w:t>
      </w:r>
      <w:r w:rsidRPr="002C6752">
        <w:t>g</w:t>
      </w:r>
      <w:r w:rsidR="008432B5" w:rsidRPr="002C6752">
        <w:t>.</w:t>
      </w:r>
      <w:r w:rsidRPr="002C6752">
        <w:t xml:space="preserve"> product and problem);</w:t>
      </w:r>
    </w:p>
    <w:p w14:paraId="7B774933" w14:textId="61164FDF" w:rsidR="00EC6D49" w:rsidRPr="002C6752" w:rsidRDefault="00EC6D49" w:rsidP="006A534F">
      <w:pPr>
        <w:pStyle w:val="subparaa"/>
      </w:pPr>
      <w:r w:rsidRPr="002C6752">
        <w:t>time taken to acknowledge complaints;</w:t>
      </w:r>
    </w:p>
    <w:p w14:paraId="6A231AE1" w14:textId="77777777" w:rsidR="00D1660E" w:rsidRPr="002C6752" w:rsidRDefault="00D1660E" w:rsidP="006A534F">
      <w:pPr>
        <w:pStyle w:val="subparaa"/>
      </w:pPr>
      <w:r w:rsidRPr="002C6752">
        <w:t xml:space="preserve">time taken to resolve or finalise complaints; </w:t>
      </w:r>
    </w:p>
    <w:p w14:paraId="2E83A2D1" w14:textId="77777777" w:rsidR="00CA6276" w:rsidRPr="002C6752" w:rsidRDefault="00EC6D49" w:rsidP="006A534F">
      <w:pPr>
        <w:pStyle w:val="subparaa"/>
      </w:pPr>
      <w:r w:rsidRPr="002C6752">
        <w:t>complaint outcomes</w:t>
      </w:r>
      <w:r w:rsidR="00CA6276" w:rsidRPr="002C6752">
        <w:t>,</w:t>
      </w:r>
      <w:r w:rsidRPr="002C6752">
        <w:t xml:space="preserve"> including</w:t>
      </w:r>
      <w:r w:rsidR="00CA6276" w:rsidRPr="002C6752">
        <w:t>:</w:t>
      </w:r>
    </w:p>
    <w:p w14:paraId="1AF93CF7" w14:textId="1E0D2854" w:rsidR="00CA6276" w:rsidRPr="002C6752" w:rsidRDefault="00D1660E" w:rsidP="004A0498">
      <w:pPr>
        <w:pStyle w:val="subsubparai"/>
      </w:pPr>
      <w:r w:rsidRPr="002C6752">
        <w:t>number of complaints resolved</w:t>
      </w:r>
      <w:r w:rsidR="00D54F22" w:rsidRPr="002C6752">
        <w:t>;</w:t>
      </w:r>
    </w:p>
    <w:p w14:paraId="02FB086E" w14:textId="79D0DEF3" w:rsidR="00CA6276" w:rsidRPr="002C6752" w:rsidRDefault="00CA6276" w:rsidP="004A0498">
      <w:pPr>
        <w:pStyle w:val="subsubparai"/>
      </w:pPr>
      <w:r w:rsidRPr="002C6752">
        <w:t xml:space="preserve">number of complaints </w:t>
      </w:r>
      <w:r w:rsidR="00D1660E" w:rsidRPr="002C6752">
        <w:t>unresolved</w:t>
      </w:r>
      <w:r w:rsidR="00D54F22" w:rsidRPr="002C6752">
        <w:t>;</w:t>
      </w:r>
    </w:p>
    <w:p w14:paraId="148C97ED" w14:textId="5D061892" w:rsidR="00D54F22" w:rsidRPr="002C6752" w:rsidRDefault="00CA6276" w:rsidP="004A0498">
      <w:pPr>
        <w:pStyle w:val="subsubparai"/>
      </w:pPr>
      <w:r w:rsidRPr="002C6752">
        <w:t xml:space="preserve">number of complaints </w:t>
      </w:r>
      <w:r w:rsidR="00D1660E" w:rsidRPr="002C6752">
        <w:t>abandoned/withdrawn</w:t>
      </w:r>
      <w:r w:rsidR="00D54F22" w:rsidRPr="002C6752">
        <w:t>;</w:t>
      </w:r>
      <w:r w:rsidR="00EC6D49" w:rsidRPr="002C6752">
        <w:t xml:space="preserve"> and</w:t>
      </w:r>
    </w:p>
    <w:p w14:paraId="5FCB0A05" w14:textId="4DE98276" w:rsidR="00D1660E" w:rsidRPr="002C6752" w:rsidRDefault="00EC6D49" w:rsidP="004A0498">
      <w:pPr>
        <w:pStyle w:val="subsubparai"/>
      </w:pPr>
      <w:r w:rsidRPr="002C6752">
        <w:t>details of amounts paid to complainants to resolve complaints</w:t>
      </w:r>
      <w:r w:rsidR="00D1660E" w:rsidRPr="002C6752">
        <w:t>;</w:t>
      </w:r>
    </w:p>
    <w:p w14:paraId="6764D347" w14:textId="6D66F21B" w:rsidR="00EC6D49" w:rsidRPr="002C6752" w:rsidRDefault="00EC6D49" w:rsidP="006A534F">
      <w:pPr>
        <w:pStyle w:val="subparaa"/>
      </w:pPr>
      <w:r w:rsidRPr="002C6752">
        <w:t>possible systemic issues identified;</w:t>
      </w:r>
      <w:r w:rsidR="00687675" w:rsidRPr="002C6752">
        <w:t xml:space="preserve"> and</w:t>
      </w:r>
    </w:p>
    <w:p w14:paraId="41492E16" w14:textId="2F79DB4F" w:rsidR="00675F1A" w:rsidRPr="002C6752" w:rsidRDefault="00EC6D49" w:rsidP="00B9535C">
      <w:pPr>
        <w:pStyle w:val="subparaa"/>
      </w:pPr>
      <w:r w:rsidRPr="002C6752">
        <w:t>number of complaints escalated to AFCA</w:t>
      </w:r>
      <w:r w:rsidR="00675F1A" w:rsidRPr="002C6752">
        <w:t>.</w:t>
      </w:r>
    </w:p>
    <w:p w14:paraId="75B97545" w14:textId="278C0283" w:rsidR="00D1660E" w:rsidRPr="002C6752" w:rsidRDefault="00D1660E" w:rsidP="00D1660E">
      <w:pPr>
        <w:pStyle w:val="Heading3"/>
      </w:pPr>
      <w:r w:rsidRPr="002C6752">
        <w:t>Report complaints data internally and publicly</w:t>
      </w:r>
    </w:p>
    <w:p w14:paraId="24814006" w14:textId="1DCE88FD" w:rsidR="007F0127" w:rsidRPr="008E4860" w:rsidRDefault="007F0127" w:rsidP="008E4860">
      <w:pPr>
        <w:pStyle w:val="Enfparashead"/>
      </w:pPr>
      <w:bookmarkStart w:id="394" w:name="_ASICRef398"/>
      <w:bookmarkStart w:id="395" w:name="_ASICRef416"/>
      <w:bookmarkStart w:id="396" w:name="_Ref449735"/>
      <w:r w:rsidRPr="008E4860">
        <w:t xml:space="preserve">Enforceable paragraph: </w:t>
      </w:r>
      <w:r w:rsidRPr="008E4860">
        <w:fldChar w:fldCharType="begin"/>
      </w:r>
      <w:r w:rsidRPr="008E4860">
        <w:instrText xml:space="preserve"> REF _Ref34293252 \r \h </w:instrText>
      </w:r>
      <w:r>
        <w:instrText xml:space="preserve"> \* MERGEFORMAT </w:instrText>
      </w:r>
      <w:r w:rsidRPr="008E4860">
        <w:fldChar w:fldCharType="separate"/>
      </w:r>
      <w:r w:rsidR="00DE6E77">
        <w:t>RG 271.183</w:t>
      </w:r>
      <w:r w:rsidRPr="008E4860">
        <w:fldChar w:fldCharType="end"/>
      </w:r>
    </w:p>
    <w:p w14:paraId="5DE2A245" w14:textId="59FF436E" w:rsidR="00687675" w:rsidRPr="008E4860" w:rsidRDefault="00675F1A" w:rsidP="008E4860">
      <w:pPr>
        <w:pStyle w:val="Enfparastext"/>
      </w:pPr>
      <w:bookmarkStart w:id="397" w:name="_Ref34293252"/>
      <w:r w:rsidRPr="008E4860">
        <w:t xml:space="preserve">Financial firms </w:t>
      </w:r>
      <w:r w:rsidR="001B4399" w:rsidRPr="008E4860">
        <w:t xml:space="preserve">must </w:t>
      </w:r>
      <w:r w:rsidRPr="008E4860">
        <w:t>provide r</w:t>
      </w:r>
      <w:r w:rsidR="00D1660E" w:rsidRPr="008E4860">
        <w:t>eports about complaints data</w:t>
      </w:r>
      <w:r w:rsidR="00687675" w:rsidRPr="008E4860">
        <w:t xml:space="preserve"> regularly</w:t>
      </w:r>
      <w:r w:rsidR="00D1660E" w:rsidRPr="008E4860">
        <w:t xml:space="preserve"> to senior management and the firm</w:t>
      </w:r>
      <w:r w:rsidR="00E12C7C">
        <w:t>’</w:t>
      </w:r>
      <w:r w:rsidR="00D1660E" w:rsidRPr="008E4860">
        <w:t>s board (or equivalent).</w:t>
      </w:r>
      <w:bookmarkEnd w:id="397"/>
      <w:r w:rsidR="00D1660E" w:rsidRPr="008E4860">
        <w:t xml:space="preserve"> </w:t>
      </w:r>
      <w:bookmarkEnd w:id="394"/>
      <w:bookmarkEnd w:id="395"/>
    </w:p>
    <w:p w14:paraId="66D4BC65" w14:textId="3729168B" w:rsidR="00D1660E" w:rsidRPr="002C6752" w:rsidRDefault="00D1660E" w:rsidP="00642749">
      <w:pPr>
        <w:pStyle w:val="BodyText"/>
      </w:pPr>
      <w:bookmarkStart w:id="398" w:name="_ASICRef261"/>
      <w:r w:rsidRPr="002C6752">
        <w:t>These reports should include:</w:t>
      </w:r>
      <w:bookmarkEnd w:id="396"/>
      <w:bookmarkEnd w:id="398"/>
    </w:p>
    <w:p w14:paraId="418C3B69" w14:textId="279BBCAF" w:rsidR="00D1660E" w:rsidRPr="002C6752" w:rsidRDefault="00675F1A" w:rsidP="00642749">
      <w:pPr>
        <w:pStyle w:val="subparaa"/>
      </w:pPr>
      <w:r w:rsidRPr="002C6752">
        <w:t xml:space="preserve">the </w:t>
      </w:r>
      <w:r w:rsidR="00D1660E" w:rsidRPr="002C6752">
        <w:t>number of complaints received;</w:t>
      </w:r>
    </w:p>
    <w:p w14:paraId="3BCFFCF8" w14:textId="1C659C59" w:rsidR="00D1660E" w:rsidRPr="002C6752" w:rsidRDefault="00675F1A" w:rsidP="00642749">
      <w:pPr>
        <w:pStyle w:val="subparaa"/>
      </w:pPr>
      <w:r w:rsidRPr="002C6752">
        <w:t xml:space="preserve">the </w:t>
      </w:r>
      <w:r w:rsidR="00D1660E" w:rsidRPr="002C6752">
        <w:t>number of complaints closed;</w:t>
      </w:r>
    </w:p>
    <w:p w14:paraId="3528770F" w14:textId="12FADC59" w:rsidR="00D1660E" w:rsidRPr="002C6752" w:rsidRDefault="00675F1A" w:rsidP="00642749">
      <w:pPr>
        <w:pStyle w:val="subparaa"/>
      </w:pPr>
      <w:r w:rsidRPr="002C6752">
        <w:t xml:space="preserve">the </w:t>
      </w:r>
      <w:r w:rsidR="00D1660E" w:rsidRPr="002C6752">
        <w:t>circumstances giving rise to complaints (e.g. products, services, and issues and reasons);</w:t>
      </w:r>
    </w:p>
    <w:p w14:paraId="667E788F" w14:textId="599ADBE3" w:rsidR="00EC6D49" w:rsidRPr="002C6752" w:rsidRDefault="00675F1A" w:rsidP="00642749">
      <w:pPr>
        <w:pStyle w:val="subparaa"/>
      </w:pPr>
      <w:r w:rsidRPr="002C6752">
        <w:t xml:space="preserve">the </w:t>
      </w:r>
      <w:r w:rsidR="00EC6D49" w:rsidRPr="002C6752">
        <w:t>time taken to acknowledge complaints</w:t>
      </w:r>
      <w:r w:rsidR="00223A85" w:rsidRPr="002C6752">
        <w:t>;</w:t>
      </w:r>
    </w:p>
    <w:p w14:paraId="6C6C406E" w14:textId="3F26D057" w:rsidR="00D1660E" w:rsidRPr="002C6752" w:rsidRDefault="00675F1A" w:rsidP="00642749">
      <w:pPr>
        <w:pStyle w:val="subparaa"/>
      </w:pPr>
      <w:r w:rsidRPr="002C6752">
        <w:t xml:space="preserve">the </w:t>
      </w:r>
      <w:r w:rsidR="00EC6D49" w:rsidRPr="002C6752">
        <w:t>time taken to resolve or finalise complaints;</w:t>
      </w:r>
    </w:p>
    <w:p w14:paraId="0388BC3D" w14:textId="0216830D" w:rsidR="00223A85" w:rsidRPr="002C6752" w:rsidRDefault="00D1660E" w:rsidP="00642749">
      <w:pPr>
        <w:pStyle w:val="subparaa"/>
      </w:pPr>
      <w:r w:rsidRPr="002C6752">
        <w:t>complaint outcomes</w:t>
      </w:r>
      <w:r w:rsidR="00675F1A" w:rsidRPr="002C6752">
        <w:t>,</w:t>
      </w:r>
      <w:r w:rsidR="00EC6D49" w:rsidRPr="002C6752">
        <w:t xml:space="preserve"> </w:t>
      </w:r>
      <w:r w:rsidRPr="002C6752">
        <w:t>including</w:t>
      </w:r>
      <w:r w:rsidR="00223A85" w:rsidRPr="002C6752">
        <w:t>:</w:t>
      </w:r>
    </w:p>
    <w:p w14:paraId="00D74AB3" w14:textId="32388392" w:rsidR="00223A85" w:rsidRPr="002C6752" w:rsidRDefault="00675F1A" w:rsidP="004A0498">
      <w:pPr>
        <w:pStyle w:val="subsubparai"/>
      </w:pPr>
      <w:r w:rsidRPr="002C6752">
        <w:t xml:space="preserve">the </w:t>
      </w:r>
      <w:r w:rsidR="00EC6D49" w:rsidRPr="002C6752">
        <w:t>number of complaints resolved</w:t>
      </w:r>
      <w:r w:rsidR="00223A85" w:rsidRPr="002C6752">
        <w:t>;</w:t>
      </w:r>
    </w:p>
    <w:p w14:paraId="7A4A2EB5" w14:textId="3DF715B7" w:rsidR="00223A85" w:rsidRPr="002C6752" w:rsidRDefault="00675F1A" w:rsidP="004A0498">
      <w:pPr>
        <w:pStyle w:val="subsubparai"/>
      </w:pPr>
      <w:r w:rsidRPr="002C6752">
        <w:t xml:space="preserve">the </w:t>
      </w:r>
      <w:r w:rsidR="00223A85" w:rsidRPr="002C6752">
        <w:t xml:space="preserve">number of complaints </w:t>
      </w:r>
      <w:r w:rsidR="00EC6D49" w:rsidRPr="002C6752">
        <w:t>unresolved</w:t>
      </w:r>
      <w:r w:rsidR="00223A85" w:rsidRPr="002C6752">
        <w:t>;</w:t>
      </w:r>
    </w:p>
    <w:p w14:paraId="43149AAD" w14:textId="5D12FD7E" w:rsidR="00223A85" w:rsidRPr="002C6752" w:rsidRDefault="00675F1A" w:rsidP="004A0498">
      <w:pPr>
        <w:pStyle w:val="subsubparai"/>
      </w:pPr>
      <w:r w:rsidRPr="002C6752">
        <w:t xml:space="preserve">the </w:t>
      </w:r>
      <w:r w:rsidR="00223A85" w:rsidRPr="002C6752">
        <w:t xml:space="preserve">number of </w:t>
      </w:r>
      <w:r w:rsidRPr="002C6752">
        <w:t xml:space="preserve">complaints that were </w:t>
      </w:r>
      <w:r w:rsidR="00EC6D49" w:rsidRPr="002C6752">
        <w:t>abandoned</w:t>
      </w:r>
      <w:r w:rsidRPr="002C6752">
        <w:t xml:space="preserve"> or </w:t>
      </w:r>
      <w:r w:rsidR="00EC6D49" w:rsidRPr="002C6752">
        <w:t>withdrawn</w:t>
      </w:r>
      <w:r w:rsidR="00223A85" w:rsidRPr="002C6752">
        <w:t>;</w:t>
      </w:r>
      <w:r w:rsidR="00EC6D49" w:rsidRPr="002C6752">
        <w:t xml:space="preserve"> and</w:t>
      </w:r>
    </w:p>
    <w:p w14:paraId="0FF0AED4" w14:textId="347C0A9B" w:rsidR="00D1660E" w:rsidRPr="002C6752" w:rsidRDefault="00D1660E" w:rsidP="004A0498">
      <w:pPr>
        <w:pStyle w:val="subsubparai"/>
      </w:pPr>
      <w:r w:rsidRPr="002C6752">
        <w:t>details of amounts paid to c</w:t>
      </w:r>
      <w:r w:rsidR="00EC6D49" w:rsidRPr="002C6752">
        <w:t>omplainants</w:t>
      </w:r>
      <w:r w:rsidRPr="002C6752">
        <w:t xml:space="preserve"> to resolve complaints;</w:t>
      </w:r>
    </w:p>
    <w:p w14:paraId="1F6FC007" w14:textId="77777777" w:rsidR="00D1660E" w:rsidRPr="002C6752" w:rsidRDefault="00D1660E" w:rsidP="00642749">
      <w:pPr>
        <w:pStyle w:val="subparaa"/>
      </w:pPr>
      <w:r w:rsidRPr="002C6752">
        <w:t>possible systemic issues identified;</w:t>
      </w:r>
    </w:p>
    <w:p w14:paraId="1D268B2F" w14:textId="5AFE2AE8" w:rsidR="00D1660E" w:rsidRPr="002C6752" w:rsidRDefault="00675F1A" w:rsidP="00642749">
      <w:pPr>
        <w:pStyle w:val="subparaa"/>
      </w:pPr>
      <w:r w:rsidRPr="002C6752">
        <w:t xml:space="preserve">the </w:t>
      </w:r>
      <w:r w:rsidR="00D1660E" w:rsidRPr="002C6752">
        <w:t>underlying causes of complaints;</w:t>
      </w:r>
    </w:p>
    <w:p w14:paraId="6AB65E37" w14:textId="77777777" w:rsidR="00D1660E" w:rsidRPr="002C6752" w:rsidRDefault="00D1660E" w:rsidP="00642749">
      <w:pPr>
        <w:pStyle w:val="subparaa"/>
      </w:pPr>
      <w:r w:rsidRPr="002C6752">
        <w:lastRenderedPageBreak/>
        <w:t>complaint trends;</w:t>
      </w:r>
    </w:p>
    <w:p w14:paraId="19386C58" w14:textId="6209AF15" w:rsidR="001F413C" w:rsidRPr="002C6752" w:rsidRDefault="00675F1A" w:rsidP="00642749">
      <w:pPr>
        <w:pStyle w:val="subparaa"/>
      </w:pPr>
      <w:r w:rsidRPr="002C6752">
        <w:t xml:space="preserve">the </w:t>
      </w:r>
      <w:r w:rsidR="00D1660E" w:rsidRPr="002C6752">
        <w:t xml:space="preserve">number of complaints escalated to AFCA; </w:t>
      </w:r>
      <w:r w:rsidR="00687675" w:rsidRPr="002C6752">
        <w:t>and</w:t>
      </w:r>
    </w:p>
    <w:p w14:paraId="277B51E9" w14:textId="77777777" w:rsidR="00D1660E" w:rsidRPr="002C6752" w:rsidRDefault="00D1660E" w:rsidP="00642749">
      <w:pPr>
        <w:pStyle w:val="subparaa"/>
      </w:pPr>
      <w:r w:rsidRPr="002C6752">
        <w:t xml:space="preserve">recommendations for improving products or services. </w:t>
      </w:r>
    </w:p>
    <w:p w14:paraId="41022FD6" w14:textId="37B5FDF1" w:rsidR="00D1660E" w:rsidRPr="002C6752" w:rsidRDefault="00D1660E" w:rsidP="006A534F">
      <w:pPr>
        <w:pStyle w:val="BodyText"/>
      </w:pPr>
      <w:bookmarkStart w:id="399" w:name="_ASICRef834"/>
      <w:bookmarkStart w:id="400" w:name="_ASICRef123"/>
      <w:r w:rsidRPr="002C6752">
        <w:t>Firms should also report on complaints in their annual reports</w:t>
      </w:r>
      <w:r w:rsidR="00687675" w:rsidRPr="002C6752">
        <w:t>, if applicable</w:t>
      </w:r>
      <w:r w:rsidRPr="002C6752">
        <w:t>.</w:t>
      </w:r>
      <w:bookmarkEnd w:id="399"/>
      <w:bookmarkEnd w:id="400"/>
    </w:p>
    <w:p w14:paraId="0BF1F691" w14:textId="77777777" w:rsidR="00D1660E" w:rsidRPr="002C6752" w:rsidRDefault="00D1660E" w:rsidP="00D1660E">
      <w:pPr>
        <w:pStyle w:val="Heading2"/>
      </w:pPr>
      <w:bookmarkStart w:id="401" w:name="_Toc46844254"/>
      <w:r w:rsidRPr="002C6752">
        <w:t>Continuous improvement</w:t>
      </w:r>
      <w:bookmarkEnd w:id="401"/>
    </w:p>
    <w:p w14:paraId="5C8CD9A3" w14:textId="4763F173" w:rsidR="00D1660E" w:rsidRPr="002C6752" w:rsidRDefault="00D1660E" w:rsidP="00D1660E">
      <w:pPr>
        <w:pStyle w:val="BodyText"/>
      </w:pPr>
      <w:r w:rsidRPr="002C6752">
        <w:t xml:space="preserve">Firms </w:t>
      </w:r>
      <w:r w:rsidR="00687675" w:rsidRPr="002C6752">
        <w:t xml:space="preserve">should </w:t>
      </w:r>
      <w:r w:rsidRPr="002C6752">
        <w:t>monitor and review the performance of their IDR process. This include</w:t>
      </w:r>
      <w:r w:rsidR="00687675" w:rsidRPr="002C6752">
        <w:t>s</w:t>
      </w:r>
      <w:r w:rsidRPr="002C6752">
        <w:t xml:space="preserve"> monitoring of complaint metrics, ongoing quality assurance and regular reviews.</w:t>
      </w:r>
    </w:p>
    <w:p w14:paraId="22862E90" w14:textId="77777777" w:rsidR="00D1660E" w:rsidRPr="002C6752" w:rsidRDefault="00D1660E" w:rsidP="00D1660E">
      <w:pPr>
        <w:pStyle w:val="Heading3"/>
      </w:pPr>
      <w:r w:rsidRPr="002C6752">
        <w:t>Complaint metrics and monitoring</w:t>
      </w:r>
    </w:p>
    <w:p w14:paraId="10B516D1" w14:textId="4231CAAF" w:rsidR="00D1660E" w:rsidRPr="002C6752" w:rsidRDefault="00D1660E" w:rsidP="00D1660E">
      <w:pPr>
        <w:pStyle w:val="BodyText"/>
        <w:rPr>
          <w:spacing w:val="-2"/>
        </w:rPr>
      </w:pPr>
      <w:r w:rsidRPr="002C6752">
        <w:rPr>
          <w:spacing w:val="-2"/>
        </w:rPr>
        <w:t xml:space="preserve">Firms </w:t>
      </w:r>
      <w:r w:rsidR="00687675" w:rsidRPr="002C6752">
        <w:rPr>
          <w:spacing w:val="-2"/>
        </w:rPr>
        <w:t xml:space="preserve">should </w:t>
      </w:r>
      <w:r w:rsidRPr="002C6752">
        <w:rPr>
          <w:spacing w:val="-2"/>
        </w:rPr>
        <w:t xml:space="preserve">monitor </w:t>
      </w:r>
      <w:r w:rsidR="00EC6D49" w:rsidRPr="002C6752">
        <w:rPr>
          <w:spacing w:val="-2"/>
        </w:rPr>
        <w:t xml:space="preserve">the </w:t>
      </w:r>
      <w:r w:rsidRPr="002C6752">
        <w:rPr>
          <w:spacing w:val="-2"/>
        </w:rPr>
        <w:t>key metrics for complaint management</w:t>
      </w:r>
      <w:r w:rsidR="00EC6D49" w:rsidRPr="002C6752">
        <w:rPr>
          <w:spacing w:val="-2"/>
        </w:rPr>
        <w:t xml:space="preserve"> set out in </w:t>
      </w:r>
      <w:r w:rsidR="00223A85" w:rsidRPr="002C6752">
        <w:rPr>
          <w:spacing w:val="-2"/>
        </w:rPr>
        <w:fldChar w:fldCharType="begin"/>
      </w:r>
      <w:r w:rsidR="00223A85" w:rsidRPr="002C6752">
        <w:rPr>
          <w:spacing w:val="-2"/>
        </w:rPr>
        <w:instrText xml:space="preserve"> REF _ASICRef427 \w \h </w:instrText>
      </w:r>
      <w:r w:rsidR="002F1325" w:rsidRPr="002C6752">
        <w:rPr>
          <w:spacing w:val="-2"/>
        </w:rPr>
        <w:instrText xml:space="preserve"> \* MERGEFORMAT </w:instrText>
      </w:r>
      <w:r w:rsidR="00223A85" w:rsidRPr="002C6752">
        <w:rPr>
          <w:spacing w:val="-2"/>
        </w:rPr>
      </w:r>
      <w:r w:rsidR="00223A85" w:rsidRPr="002C6752">
        <w:rPr>
          <w:spacing w:val="-2"/>
        </w:rPr>
        <w:fldChar w:fldCharType="separate"/>
      </w:r>
      <w:r w:rsidR="00DE6E77">
        <w:rPr>
          <w:spacing w:val="-2"/>
        </w:rPr>
        <w:t>RG 271.182</w:t>
      </w:r>
      <w:r w:rsidR="00223A85" w:rsidRPr="002C6752">
        <w:rPr>
          <w:spacing w:val="-2"/>
        </w:rPr>
        <w:fldChar w:fldCharType="end"/>
      </w:r>
      <w:r w:rsidR="00EC6D49" w:rsidRPr="002C6752">
        <w:rPr>
          <w:spacing w:val="-2"/>
        </w:rPr>
        <w:t xml:space="preserve"> on an ongoing basis. </w:t>
      </w:r>
    </w:p>
    <w:p w14:paraId="2031F921" w14:textId="77777777" w:rsidR="00D1660E" w:rsidRPr="002C6752" w:rsidRDefault="00D1660E" w:rsidP="00D1660E">
      <w:pPr>
        <w:pStyle w:val="Heading3"/>
      </w:pPr>
      <w:r w:rsidRPr="002C6752">
        <w:t>Quality assurance</w:t>
      </w:r>
    </w:p>
    <w:p w14:paraId="382F276D" w14:textId="734A9A8D" w:rsidR="00D1660E" w:rsidRPr="002C6752" w:rsidRDefault="00D1660E" w:rsidP="00D1660E">
      <w:pPr>
        <w:pStyle w:val="BodyText"/>
      </w:pPr>
      <w:r w:rsidRPr="002C6752">
        <w:t xml:space="preserve">Firms </w:t>
      </w:r>
      <w:r w:rsidR="00061795" w:rsidRPr="002C6752">
        <w:t xml:space="preserve">should </w:t>
      </w:r>
      <w:r w:rsidRPr="002C6752">
        <w:t>carry out regular and ongoing quality assurance of complaint management activity by frontline and specialist complaints teams, including monitoring whether:</w:t>
      </w:r>
    </w:p>
    <w:p w14:paraId="50B8BE64" w14:textId="6FA237AE" w:rsidR="00D1660E" w:rsidRPr="00234BC1" w:rsidRDefault="00D1660E" w:rsidP="006A534F">
      <w:pPr>
        <w:pStyle w:val="subparaa"/>
        <w:rPr>
          <w:spacing w:val="-4"/>
        </w:rPr>
      </w:pPr>
      <w:r w:rsidRPr="00234BC1">
        <w:rPr>
          <w:spacing w:val="-4"/>
        </w:rPr>
        <w:t>complaints are being recorded in the firm</w:t>
      </w:r>
      <w:r w:rsidR="00E12C7C">
        <w:rPr>
          <w:spacing w:val="-4"/>
        </w:rPr>
        <w:t>’</w:t>
      </w:r>
      <w:r w:rsidRPr="00234BC1">
        <w:rPr>
          <w:spacing w:val="-4"/>
        </w:rPr>
        <w:t>s complaint management system;</w:t>
      </w:r>
    </w:p>
    <w:p w14:paraId="5A6CEB00" w14:textId="5F0EBA13" w:rsidR="00D1660E" w:rsidRPr="002C6752" w:rsidRDefault="00D1660E" w:rsidP="006A534F">
      <w:pPr>
        <w:pStyle w:val="subparaa"/>
      </w:pPr>
      <w:r w:rsidRPr="002C6752">
        <w:t>telephone contact and correspondence with complainants is clear and c</w:t>
      </w:r>
      <w:r w:rsidR="00110BD5" w:rsidRPr="002C6752">
        <w:t>onsumer</w:t>
      </w:r>
      <w:r w:rsidRPr="002C6752">
        <w:t xml:space="preserve"> focused;</w:t>
      </w:r>
    </w:p>
    <w:p w14:paraId="1F8055B0" w14:textId="77777777" w:rsidR="00D1660E" w:rsidRPr="002C6752" w:rsidRDefault="00D1660E" w:rsidP="006A534F">
      <w:pPr>
        <w:pStyle w:val="subparaa"/>
      </w:pPr>
      <w:r w:rsidRPr="002C6752">
        <w:t>complaint outcomes are fair; and</w:t>
      </w:r>
    </w:p>
    <w:p w14:paraId="19640FFD" w14:textId="11789A5E" w:rsidR="00D1660E" w:rsidRPr="002C6752" w:rsidRDefault="00D1660E" w:rsidP="00D1660E">
      <w:pPr>
        <w:pStyle w:val="subparaa"/>
      </w:pPr>
      <w:r w:rsidRPr="002C6752">
        <w:t>complainants are being provided with their escalation options, including AFCA.</w:t>
      </w:r>
    </w:p>
    <w:p w14:paraId="2EC62897" w14:textId="77777777" w:rsidR="00D1660E" w:rsidRPr="002C6752" w:rsidRDefault="00D1660E" w:rsidP="00D1660E">
      <w:pPr>
        <w:pStyle w:val="Heading3"/>
      </w:pPr>
      <w:r w:rsidRPr="002C6752">
        <w:t>Compliance audits</w:t>
      </w:r>
    </w:p>
    <w:p w14:paraId="030FEDDE" w14:textId="5AC6BE05" w:rsidR="00D1660E" w:rsidRPr="002C6752" w:rsidRDefault="00D1660E" w:rsidP="00D1660E">
      <w:pPr>
        <w:pStyle w:val="BodyText"/>
      </w:pPr>
      <w:bookmarkStart w:id="402" w:name="_ASICRef191"/>
      <w:r w:rsidRPr="002C6752">
        <w:t xml:space="preserve">Firms </w:t>
      </w:r>
      <w:r w:rsidR="00687675" w:rsidRPr="002C6752">
        <w:t xml:space="preserve">should </w:t>
      </w:r>
      <w:r w:rsidRPr="002C6752">
        <w:t>conduct regular compliance audits to identify and address issues of non-conformity with this regulatory guide and internal requirements.</w:t>
      </w:r>
      <w:bookmarkEnd w:id="402"/>
    </w:p>
    <w:p w14:paraId="15251C4B" w14:textId="4BBE3C20" w:rsidR="00D1660E" w:rsidRPr="002C6752" w:rsidRDefault="00D1660E" w:rsidP="00D1660E">
      <w:pPr>
        <w:pStyle w:val="BodyText"/>
      </w:pPr>
      <w:bookmarkStart w:id="403" w:name="_ASICRef678"/>
      <w:r w:rsidRPr="002C6752">
        <w:t xml:space="preserve">Unless the number of complaints is very small, we would expect compliance audits to be undertaken at least annually. Where non-compliance with this regulatory guide is identified, appropriate action </w:t>
      </w:r>
      <w:r w:rsidR="006E3266">
        <w:t>should</w:t>
      </w:r>
      <w:r w:rsidRPr="002C6752">
        <w:t xml:space="preserve"> be taken—such as performance feedback, re-training and enhanced supervision for complaints management staff and, where appropriate, rectification for the complainants adversely affected by the non-compliance.</w:t>
      </w:r>
      <w:bookmarkEnd w:id="403"/>
    </w:p>
    <w:p w14:paraId="4BBB1707" w14:textId="77777777" w:rsidR="00D1660E" w:rsidRPr="002C6752" w:rsidRDefault="00D1660E" w:rsidP="001A60F2">
      <w:pPr>
        <w:pStyle w:val="Heading3"/>
        <w:spacing w:before="380"/>
      </w:pPr>
      <w:r w:rsidRPr="002C6752">
        <w:lastRenderedPageBreak/>
        <w:t>Customer advocate recommendations</w:t>
      </w:r>
    </w:p>
    <w:p w14:paraId="636F57B5" w14:textId="6C4AFE05" w:rsidR="00D1660E" w:rsidRPr="002C6752" w:rsidRDefault="00196434" w:rsidP="001A60F2">
      <w:pPr>
        <w:pStyle w:val="BodyText"/>
        <w:spacing w:before="180"/>
      </w:pPr>
      <w:bookmarkStart w:id="404" w:name="_ASICRef454"/>
      <w:bookmarkStart w:id="405" w:name="_ASICRef462"/>
      <w:r w:rsidRPr="002C6752">
        <w:t>Firms</w:t>
      </w:r>
      <w:r w:rsidR="00D1660E" w:rsidRPr="002C6752">
        <w:t xml:space="preserve"> with customer advocates </w:t>
      </w:r>
      <w:r w:rsidR="00687675" w:rsidRPr="002C6752">
        <w:t>should</w:t>
      </w:r>
      <w:r w:rsidR="004B6BEF" w:rsidRPr="002C6752">
        <w:t xml:space="preserve"> </w:t>
      </w:r>
      <w:r w:rsidR="00D1660E" w:rsidRPr="002C6752">
        <w:t xml:space="preserve">genuinely consider any recommendations made by customer advocates to improve the </w:t>
      </w:r>
      <w:r w:rsidR="00D96B8B">
        <w:t xml:space="preserve">IDR </w:t>
      </w:r>
      <w:r w:rsidR="00D1660E" w:rsidRPr="002C6752">
        <w:t xml:space="preserve">process. </w:t>
      </w:r>
      <w:bookmarkEnd w:id="404"/>
      <w:bookmarkEnd w:id="405"/>
    </w:p>
    <w:p w14:paraId="4184B7BC" w14:textId="7A87BE98" w:rsidR="00D1660E" w:rsidRPr="002C6752" w:rsidRDefault="00D1660E" w:rsidP="00D1660E">
      <w:pPr>
        <w:pStyle w:val="BodyText"/>
      </w:pPr>
      <w:bookmarkStart w:id="406" w:name="_ASICRef357"/>
      <w:bookmarkStart w:id="407" w:name="_ASICRef235"/>
      <w:r w:rsidRPr="002C6752">
        <w:t xml:space="preserve">There </w:t>
      </w:r>
      <w:r w:rsidR="000F7A9F" w:rsidRPr="002C6752">
        <w:t xml:space="preserve">should </w:t>
      </w:r>
      <w:r w:rsidRPr="002C6752">
        <w:t xml:space="preserve">be a transparent </w:t>
      </w:r>
      <w:r w:rsidR="000F7A9F" w:rsidRPr="002C6752">
        <w:t xml:space="preserve">internal </w:t>
      </w:r>
      <w:r w:rsidRPr="002C6752">
        <w:t xml:space="preserve">process for responding to recommendations made by customer advocates. </w:t>
      </w:r>
      <w:bookmarkEnd w:id="406"/>
      <w:bookmarkEnd w:id="407"/>
    </w:p>
    <w:p w14:paraId="1B89803D" w14:textId="77777777" w:rsidR="00D1660E" w:rsidRPr="002C6752" w:rsidRDefault="00D1660E" w:rsidP="001A60F2">
      <w:pPr>
        <w:pStyle w:val="Heading3"/>
        <w:spacing w:before="380"/>
      </w:pPr>
      <w:r w:rsidRPr="002C6752">
        <w:t>Review program</w:t>
      </w:r>
    </w:p>
    <w:p w14:paraId="05096EF1" w14:textId="2D39FA95" w:rsidR="00D1660E" w:rsidRPr="002C6752" w:rsidRDefault="00D970CF" w:rsidP="001A60F2">
      <w:pPr>
        <w:pStyle w:val="BodyText"/>
        <w:spacing w:before="180"/>
      </w:pPr>
      <w:r w:rsidRPr="002C6752">
        <w:t>S</w:t>
      </w:r>
      <w:r w:rsidR="00D1660E" w:rsidRPr="002C6752">
        <w:t xml:space="preserve">enior management should conduct or arrange regular reviews of the IDR </w:t>
      </w:r>
      <w:r w:rsidR="00D96B8B">
        <w:t>process</w:t>
      </w:r>
      <w:r w:rsidR="00C600F4" w:rsidRPr="002C6752">
        <w:t xml:space="preserve"> </w:t>
      </w:r>
      <w:r w:rsidR="00D1660E" w:rsidRPr="002C6752">
        <w:t>to:</w:t>
      </w:r>
    </w:p>
    <w:p w14:paraId="390556DA" w14:textId="77777777" w:rsidR="00D1660E" w:rsidRPr="002C6752" w:rsidRDefault="00D1660E" w:rsidP="001A60F2">
      <w:pPr>
        <w:pStyle w:val="subparaa"/>
        <w:spacing w:before="90"/>
      </w:pPr>
      <w:r w:rsidRPr="002C6752">
        <w:t>consider the suitability, effectiveness and efficiency of the IDR system;</w:t>
      </w:r>
    </w:p>
    <w:p w14:paraId="1CE1B8D9" w14:textId="77777777" w:rsidR="00D1660E" w:rsidRPr="002C6752" w:rsidRDefault="00D1660E" w:rsidP="001A60F2">
      <w:pPr>
        <w:pStyle w:val="subparaa"/>
        <w:spacing w:before="90"/>
      </w:pPr>
      <w:r w:rsidRPr="002C6752">
        <w:t>assess whether systemic issues are being promptly identified and remedial action taken to address the issues;</w:t>
      </w:r>
    </w:p>
    <w:p w14:paraId="1A7D1388" w14:textId="6FEDA72C" w:rsidR="00D1660E" w:rsidRPr="002C6752" w:rsidRDefault="00D1660E" w:rsidP="001A60F2">
      <w:pPr>
        <w:pStyle w:val="subparaa"/>
        <w:spacing w:before="90"/>
      </w:pPr>
      <w:r w:rsidRPr="002C6752">
        <w:t>assess whether the remedial action is</w:t>
      </w:r>
      <w:r w:rsidR="008432B5" w:rsidRPr="002C6752">
        <w:t xml:space="preserve"> </w:t>
      </w:r>
      <w:r w:rsidRPr="002C6752">
        <w:t xml:space="preserve">prioritised and effective; </w:t>
      </w:r>
    </w:p>
    <w:p w14:paraId="288612D2" w14:textId="77777777" w:rsidR="00D970CF" w:rsidRPr="002C6752" w:rsidRDefault="00D1660E" w:rsidP="001A60F2">
      <w:pPr>
        <w:pStyle w:val="subparaa"/>
        <w:spacing w:before="90"/>
      </w:pPr>
      <w:r w:rsidRPr="002C6752">
        <w:t>identify improvements that need to be made</w:t>
      </w:r>
      <w:r w:rsidR="00D970CF" w:rsidRPr="002C6752">
        <w:t>; and</w:t>
      </w:r>
    </w:p>
    <w:p w14:paraId="4B6312CF" w14:textId="0B3344B0" w:rsidR="00D1660E" w:rsidRPr="002C6752" w:rsidRDefault="00D970CF" w:rsidP="001A60F2">
      <w:pPr>
        <w:pStyle w:val="subparaa"/>
        <w:spacing w:before="90"/>
      </w:pPr>
      <w:r w:rsidRPr="002C6752">
        <w:t>assess customer satisfaction (e.g. through surveys).</w:t>
      </w:r>
    </w:p>
    <w:p w14:paraId="32D57733" w14:textId="244EFF25" w:rsidR="00D1660E" w:rsidRPr="002C6752" w:rsidRDefault="00D1660E" w:rsidP="00D1660E">
      <w:pPr>
        <w:pStyle w:val="BodyText"/>
      </w:pPr>
      <w:r w:rsidRPr="002C6752">
        <w:t xml:space="preserve">For a smaller firm with few complaints, senior management could undertake the IDR </w:t>
      </w:r>
      <w:r w:rsidR="00D96B8B">
        <w:t>process</w:t>
      </w:r>
      <w:r w:rsidRPr="002C6752">
        <w:t xml:space="preserve"> review in conjunction with the compliance audit.</w:t>
      </w:r>
    </w:p>
    <w:p w14:paraId="424ABDDD" w14:textId="059F0031" w:rsidR="00D1660E" w:rsidRPr="002C6752" w:rsidRDefault="00D1660E" w:rsidP="00D1660E">
      <w:pPr>
        <w:pStyle w:val="BodyText"/>
      </w:pPr>
      <w:r w:rsidRPr="002C6752">
        <w:t xml:space="preserve">For a larger firm, the internal audit function or an appropriately qualified independent consultant could undertake the IDR </w:t>
      </w:r>
      <w:r w:rsidR="00D96B8B">
        <w:t>process</w:t>
      </w:r>
      <w:r w:rsidRPr="002C6752">
        <w:t xml:space="preserve"> review. </w:t>
      </w:r>
    </w:p>
    <w:p w14:paraId="4862950F" w14:textId="495C9413" w:rsidR="00D1660E" w:rsidRPr="002C6752" w:rsidRDefault="00D1660E" w:rsidP="00D1660E">
      <w:pPr>
        <w:pStyle w:val="BodyText"/>
      </w:pPr>
      <w:r w:rsidRPr="002C6752">
        <w:t>The financial firm</w:t>
      </w:r>
      <w:r w:rsidR="00D970CF" w:rsidRPr="002C6752">
        <w:t xml:space="preserve"> should</w:t>
      </w:r>
      <w:r w:rsidR="00223A85" w:rsidRPr="002C6752">
        <w:t xml:space="preserve"> </w:t>
      </w:r>
      <w:r w:rsidRPr="002C6752">
        <w:t xml:space="preserve">develop a plan to action review recommendations. These actions </w:t>
      </w:r>
      <w:r w:rsidR="00061795" w:rsidRPr="002C6752">
        <w:t xml:space="preserve">should </w:t>
      </w:r>
      <w:r w:rsidRPr="002C6752">
        <w:t>be tracked by senior management to ensure that sustainable improvements are made.</w:t>
      </w:r>
    </w:p>
    <w:p w14:paraId="085CF095" w14:textId="77777777" w:rsidR="00D1660E" w:rsidRPr="002C6752" w:rsidRDefault="00D1660E" w:rsidP="001A60F2">
      <w:pPr>
        <w:pStyle w:val="Heading3"/>
        <w:spacing w:before="380"/>
      </w:pPr>
      <w:r w:rsidRPr="002C6752">
        <w:t>Other improvement activities</w:t>
      </w:r>
    </w:p>
    <w:p w14:paraId="793A80F1" w14:textId="75F5925C" w:rsidR="007B1B44" w:rsidRPr="002C6752" w:rsidRDefault="00D1660E" w:rsidP="001A60F2">
      <w:pPr>
        <w:pStyle w:val="BodyText"/>
        <w:spacing w:before="180"/>
      </w:pPr>
      <w:r w:rsidRPr="002C6752">
        <w:t>Firms</w:t>
      </w:r>
      <w:r w:rsidR="007B1B44" w:rsidRPr="002C6752">
        <w:t xml:space="preserve"> should also con</w:t>
      </w:r>
      <w:r w:rsidR="00D970CF" w:rsidRPr="002C6752">
        <w:t>sider</w:t>
      </w:r>
      <w:r w:rsidR="007B1B44" w:rsidRPr="002C6752">
        <w:t xml:space="preserve"> other improvement activities, including:</w:t>
      </w:r>
    </w:p>
    <w:p w14:paraId="26506057" w14:textId="5E2AF352" w:rsidR="007B1B44" w:rsidRPr="002C6752" w:rsidRDefault="007B1B44" w:rsidP="001A60F2">
      <w:pPr>
        <w:pStyle w:val="subparaa"/>
        <w:spacing w:before="90"/>
      </w:pPr>
      <w:r w:rsidRPr="002C6752">
        <w:t>conducting benchmarking exercises;</w:t>
      </w:r>
    </w:p>
    <w:p w14:paraId="30C58B26" w14:textId="714BCD5B" w:rsidR="007B1B44" w:rsidRPr="002C6752" w:rsidRDefault="007B1B44" w:rsidP="001A60F2">
      <w:pPr>
        <w:pStyle w:val="subparaa"/>
        <w:spacing w:before="90"/>
      </w:pPr>
      <w:r w:rsidRPr="002C6752">
        <w:t>establishing a feedback mechanism for staff to record improvement opportunities;</w:t>
      </w:r>
    </w:p>
    <w:p w14:paraId="04120B2E" w14:textId="28290E2D" w:rsidR="007B1B44" w:rsidRPr="002C6752" w:rsidRDefault="007B1B44" w:rsidP="001A60F2">
      <w:pPr>
        <w:pStyle w:val="subparaa"/>
        <w:spacing w:before="90"/>
      </w:pPr>
      <w:r w:rsidRPr="002C6752">
        <w:t>encouraging innovation in complaint management practices; and</w:t>
      </w:r>
    </w:p>
    <w:p w14:paraId="4A119CE1" w14:textId="715626EE" w:rsidR="007B1B44" w:rsidRPr="002C6752" w:rsidRDefault="007B1B44" w:rsidP="001A60F2">
      <w:pPr>
        <w:pStyle w:val="subparaa"/>
        <w:spacing w:before="90"/>
      </w:pPr>
      <w:r w:rsidRPr="002C6752">
        <w:t>recognising and rewarding exemplary management of complaints.</w:t>
      </w:r>
    </w:p>
    <w:p w14:paraId="6566A834" w14:textId="1F8ACAC8" w:rsidR="00483B56" w:rsidRPr="002C6752" w:rsidRDefault="00676EB3" w:rsidP="00483B56">
      <w:pPr>
        <w:pStyle w:val="Heading1nonumber"/>
      </w:pPr>
      <w:bookmarkStart w:id="408" w:name="_Toc163488666"/>
      <w:bookmarkStart w:id="409" w:name="_Toc46844255"/>
      <w:r w:rsidRPr="002C6752">
        <w:lastRenderedPageBreak/>
        <w:t>Key terms</w:t>
      </w:r>
      <w:bookmarkEnd w:id="408"/>
      <w:bookmarkEnd w:id="409"/>
      <w:r w:rsidR="00614E82" w:rsidRPr="002C6752">
        <w:t xml:space="preserve"> </w:t>
      </w:r>
    </w:p>
    <w:tbl>
      <w:tblPr>
        <w:tblW w:w="6804" w:type="dxa"/>
        <w:tblInd w:w="2268" w:type="dxa"/>
        <w:tblLayout w:type="fixed"/>
        <w:tblCellMar>
          <w:bottom w:w="85" w:type="dxa"/>
        </w:tblCellMar>
        <w:tblLook w:val="0020" w:firstRow="1" w:lastRow="0" w:firstColumn="0" w:lastColumn="0" w:noHBand="0" w:noVBand="0"/>
      </w:tblPr>
      <w:tblGrid>
        <w:gridCol w:w="1985"/>
        <w:gridCol w:w="4819"/>
      </w:tblGrid>
      <w:tr w:rsidR="00676EB3" w:rsidRPr="002C6752" w14:paraId="57289934" w14:textId="77777777" w:rsidTr="00E979B9">
        <w:trPr>
          <w:cantSplit/>
          <w:tblHeader/>
        </w:trPr>
        <w:tc>
          <w:tcPr>
            <w:tcW w:w="1985" w:type="dxa"/>
            <w:tcBorders>
              <w:top w:val="single" w:sz="4" w:space="0" w:color="999999"/>
              <w:bottom w:val="single" w:sz="4" w:space="0" w:color="999999"/>
            </w:tcBorders>
            <w:shd w:val="clear" w:color="auto" w:fill="C2E3FA"/>
          </w:tcPr>
          <w:p w14:paraId="077352D8" w14:textId="77777777" w:rsidR="00676EB3" w:rsidRPr="002C6752" w:rsidRDefault="00676EB3">
            <w:pPr>
              <w:pStyle w:val="tablehead"/>
            </w:pPr>
            <w:r w:rsidRPr="002C6752">
              <w:t>Term</w:t>
            </w:r>
          </w:p>
        </w:tc>
        <w:tc>
          <w:tcPr>
            <w:tcW w:w="4819" w:type="dxa"/>
            <w:tcBorders>
              <w:top w:val="single" w:sz="4" w:space="0" w:color="999999"/>
              <w:bottom w:val="single" w:sz="4" w:space="0" w:color="999999"/>
            </w:tcBorders>
            <w:shd w:val="clear" w:color="auto" w:fill="C2E3FA"/>
          </w:tcPr>
          <w:p w14:paraId="6E3DE289" w14:textId="77777777" w:rsidR="00676EB3" w:rsidRPr="002C6752" w:rsidRDefault="00676EB3">
            <w:pPr>
              <w:pStyle w:val="tablehead"/>
            </w:pPr>
            <w:r w:rsidRPr="002C6752">
              <w:t>Meaning in this document</w:t>
            </w:r>
          </w:p>
        </w:tc>
      </w:tr>
      <w:tr w:rsidR="009B453F" w:rsidRPr="002C6752" w14:paraId="396E57D6" w14:textId="77777777" w:rsidTr="00E979B9">
        <w:trPr>
          <w:cantSplit/>
        </w:trPr>
        <w:tc>
          <w:tcPr>
            <w:tcW w:w="1985" w:type="dxa"/>
            <w:tcBorders>
              <w:top w:val="single" w:sz="4" w:space="0" w:color="999999"/>
            </w:tcBorders>
          </w:tcPr>
          <w:p w14:paraId="4646E222" w14:textId="42A749BD" w:rsidR="009B453F" w:rsidRPr="002C6752" w:rsidRDefault="009B453F">
            <w:pPr>
              <w:pStyle w:val="tabletext"/>
            </w:pPr>
            <w:r w:rsidRPr="002C6752">
              <w:t>AFCA</w:t>
            </w:r>
          </w:p>
        </w:tc>
        <w:tc>
          <w:tcPr>
            <w:tcW w:w="4819" w:type="dxa"/>
            <w:tcBorders>
              <w:top w:val="single" w:sz="4" w:space="0" w:color="999999"/>
            </w:tcBorders>
          </w:tcPr>
          <w:p w14:paraId="285E018D" w14:textId="02752F45" w:rsidR="009B453F" w:rsidRPr="002C6752" w:rsidRDefault="009B453F" w:rsidP="00B514B2">
            <w:pPr>
              <w:pStyle w:val="tabletext"/>
            </w:pPr>
            <w:r w:rsidRPr="002C6752">
              <w:t>Australian Financial C</w:t>
            </w:r>
            <w:r w:rsidR="001B2F74" w:rsidRPr="002C6752">
              <w:t>omplaints Authority</w:t>
            </w:r>
            <w:r w:rsidR="007D67D2" w:rsidRPr="002C6752">
              <w:t>—</w:t>
            </w:r>
            <w:r w:rsidR="008C1A15">
              <w:t xml:space="preserve">AFCA is the operator of the AFCA scheme, which is </w:t>
            </w:r>
            <w:r w:rsidR="001B2F74" w:rsidRPr="002C6752">
              <w:t xml:space="preserve">the </w:t>
            </w:r>
            <w:r w:rsidR="008C1A15">
              <w:t>external dispute resolution</w:t>
            </w:r>
            <w:r w:rsidR="001B2F74" w:rsidRPr="002C6752">
              <w:t xml:space="preserve"> scheme for which an authorisation under Pt 7.10A of the Corporations Act is in force</w:t>
            </w:r>
          </w:p>
        </w:tc>
      </w:tr>
      <w:tr w:rsidR="001B2F74" w:rsidRPr="002C6752" w14:paraId="285DE8A0" w14:textId="77777777" w:rsidTr="00E979B9">
        <w:trPr>
          <w:cantSplit/>
        </w:trPr>
        <w:tc>
          <w:tcPr>
            <w:tcW w:w="1985" w:type="dxa"/>
          </w:tcPr>
          <w:p w14:paraId="45ACA388" w14:textId="0C9E35E4" w:rsidR="001B2F74" w:rsidRPr="002C6752" w:rsidRDefault="001B2F74">
            <w:pPr>
              <w:pStyle w:val="tabletext"/>
            </w:pPr>
            <w:r w:rsidRPr="002C6752">
              <w:t>AFCA Rules</w:t>
            </w:r>
          </w:p>
        </w:tc>
        <w:tc>
          <w:tcPr>
            <w:tcW w:w="4819" w:type="dxa"/>
          </w:tcPr>
          <w:p w14:paraId="0B0A61FD" w14:textId="359A7B88" w:rsidR="001B2F74" w:rsidRPr="002C6752" w:rsidRDefault="001B2F74" w:rsidP="001B2F74">
            <w:pPr>
              <w:pStyle w:val="tabletext"/>
            </w:pPr>
            <w:r w:rsidRPr="002C6752">
              <w:t>Complaint Resolution Scheme</w:t>
            </w:r>
            <w:r w:rsidR="00B4499D" w:rsidRPr="002C6752">
              <w:t xml:space="preserve"> Rules</w:t>
            </w:r>
            <w:r w:rsidR="00F97EF9" w:rsidRPr="002C6752">
              <w:t>—A</w:t>
            </w:r>
            <w:r w:rsidRPr="002C6752">
              <w:t xml:space="preserve"> document setting out AFCA</w:t>
            </w:r>
            <w:r w:rsidR="00E12C7C">
              <w:t>’</w:t>
            </w:r>
            <w:r w:rsidRPr="002C6752">
              <w:t>s jurisdiction and procedures, to which financial firms are contractually bound</w:t>
            </w:r>
          </w:p>
        </w:tc>
      </w:tr>
      <w:tr w:rsidR="00676EB3" w:rsidRPr="002C6752" w14:paraId="3461EC38" w14:textId="77777777" w:rsidTr="00E979B9">
        <w:trPr>
          <w:cantSplit/>
        </w:trPr>
        <w:tc>
          <w:tcPr>
            <w:tcW w:w="1985" w:type="dxa"/>
          </w:tcPr>
          <w:p w14:paraId="4B8A4E69" w14:textId="1DEB6095" w:rsidR="00676EB3" w:rsidRPr="002C6752" w:rsidRDefault="00AD18C5">
            <w:pPr>
              <w:pStyle w:val="tabletext"/>
            </w:pPr>
            <w:r w:rsidRPr="002C6752">
              <w:t>AFS licence</w:t>
            </w:r>
          </w:p>
        </w:tc>
        <w:tc>
          <w:tcPr>
            <w:tcW w:w="4819" w:type="dxa"/>
          </w:tcPr>
          <w:p w14:paraId="13EEE8EA" w14:textId="77777777" w:rsidR="00B514B2" w:rsidRPr="002C6752" w:rsidRDefault="00B514B2" w:rsidP="00B514B2">
            <w:pPr>
              <w:pStyle w:val="tabletext"/>
            </w:pPr>
            <w:r w:rsidRPr="002C6752">
              <w:t>An Australian financial services licence under s913B of the Corporations Act that authorises a person who carries on a financial services business to provide financial services</w:t>
            </w:r>
          </w:p>
          <w:p w14:paraId="4F6A1985" w14:textId="2A3A3F6C" w:rsidR="00B514B2" w:rsidRPr="002C6752" w:rsidRDefault="00B514B2" w:rsidP="00E5660C">
            <w:pPr>
              <w:pStyle w:val="tblnote"/>
            </w:pPr>
            <w:r w:rsidRPr="002C6752">
              <w:t>Note: This is a definition contained in s761A of the Corporations Act</w:t>
            </w:r>
            <w:r w:rsidR="00372B34" w:rsidRPr="002C6752">
              <w:t>.</w:t>
            </w:r>
          </w:p>
        </w:tc>
      </w:tr>
      <w:tr w:rsidR="00676EB3" w:rsidRPr="002C6752" w14:paraId="717E0D85" w14:textId="77777777" w:rsidTr="00E979B9">
        <w:trPr>
          <w:cantSplit/>
        </w:trPr>
        <w:tc>
          <w:tcPr>
            <w:tcW w:w="1985" w:type="dxa"/>
          </w:tcPr>
          <w:p w14:paraId="2BAFDF36" w14:textId="32BF936D" w:rsidR="00676EB3" w:rsidRPr="002C6752" w:rsidRDefault="00AD18C5">
            <w:pPr>
              <w:pStyle w:val="tabletext"/>
            </w:pPr>
            <w:r w:rsidRPr="002C6752">
              <w:t>AFS licensee</w:t>
            </w:r>
          </w:p>
        </w:tc>
        <w:tc>
          <w:tcPr>
            <w:tcW w:w="4819" w:type="dxa"/>
          </w:tcPr>
          <w:p w14:paraId="0FC0C624" w14:textId="40F42C1E" w:rsidR="00B514B2" w:rsidRPr="002C6752" w:rsidRDefault="00B514B2" w:rsidP="00E30515">
            <w:pPr>
              <w:pStyle w:val="tabletext"/>
            </w:pPr>
            <w:r w:rsidRPr="002C6752">
              <w:t>A person who holds an Australian financial services licence under s913B of the Corporations Act</w:t>
            </w:r>
          </w:p>
        </w:tc>
      </w:tr>
      <w:tr w:rsidR="00E577A8" w:rsidRPr="002C6752" w14:paraId="2201BF6A" w14:textId="77777777" w:rsidTr="00E979B9">
        <w:trPr>
          <w:cantSplit/>
        </w:trPr>
        <w:tc>
          <w:tcPr>
            <w:tcW w:w="1985" w:type="dxa"/>
          </w:tcPr>
          <w:p w14:paraId="7B69F310" w14:textId="3CCB0D48" w:rsidR="00E577A8" w:rsidRPr="002C6752" w:rsidRDefault="00E577A8" w:rsidP="00E577A8">
            <w:pPr>
              <w:pStyle w:val="tabletext"/>
            </w:pPr>
            <w:r w:rsidRPr="002C6752">
              <w:t>ASIC</w:t>
            </w:r>
          </w:p>
        </w:tc>
        <w:tc>
          <w:tcPr>
            <w:tcW w:w="4819" w:type="dxa"/>
          </w:tcPr>
          <w:p w14:paraId="2A9E9D35" w14:textId="54C965D6" w:rsidR="00E577A8" w:rsidRPr="002C6752" w:rsidRDefault="00E577A8" w:rsidP="00E577A8">
            <w:pPr>
              <w:pStyle w:val="tabletext"/>
            </w:pPr>
            <w:r w:rsidRPr="002C6752">
              <w:t>Australian Securities and Investments Commission</w:t>
            </w:r>
          </w:p>
        </w:tc>
      </w:tr>
      <w:tr w:rsidR="00E577A8" w:rsidRPr="002C6752" w14:paraId="44884F1A" w14:textId="77777777" w:rsidTr="00E979B9">
        <w:trPr>
          <w:cantSplit/>
        </w:trPr>
        <w:tc>
          <w:tcPr>
            <w:tcW w:w="1985" w:type="dxa"/>
          </w:tcPr>
          <w:p w14:paraId="0BD99B3C" w14:textId="4F837E4A" w:rsidR="00E577A8" w:rsidRPr="002C6752" w:rsidRDefault="00E577A8" w:rsidP="00E577A8">
            <w:pPr>
              <w:pStyle w:val="tabletext"/>
            </w:pPr>
            <w:r w:rsidRPr="002C6752">
              <w:t>AS/NZS 100</w:t>
            </w:r>
            <w:r w:rsidR="001B2F74" w:rsidRPr="002C6752">
              <w:t>0</w:t>
            </w:r>
            <w:r w:rsidRPr="002C6752">
              <w:t>2:2014</w:t>
            </w:r>
          </w:p>
        </w:tc>
        <w:tc>
          <w:tcPr>
            <w:tcW w:w="4819" w:type="dxa"/>
          </w:tcPr>
          <w:p w14:paraId="36250046" w14:textId="69713D5C" w:rsidR="00E577A8" w:rsidRPr="002C6752" w:rsidRDefault="00E577A8" w:rsidP="00E577A8">
            <w:pPr>
              <w:pStyle w:val="tabletext"/>
            </w:pPr>
            <w:r w:rsidRPr="002C6752">
              <w:t xml:space="preserve">Australian Standard AS/NZS 10002:2014 </w:t>
            </w:r>
            <w:r w:rsidRPr="002C6752">
              <w:rPr>
                <w:i/>
              </w:rPr>
              <w:t>Guidelines for complaint management in organizations</w:t>
            </w:r>
          </w:p>
        </w:tc>
      </w:tr>
      <w:tr w:rsidR="00E577A8" w:rsidRPr="002C6752" w14:paraId="03984973" w14:textId="77777777" w:rsidTr="00E979B9">
        <w:trPr>
          <w:cantSplit/>
        </w:trPr>
        <w:tc>
          <w:tcPr>
            <w:tcW w:w="1985" w:type="dxa"/>
          </w:tcPr>
          <w:p w14:paraId="260402F0" w14:textId="77777777" w:rsidR="00E577A8" w:rsidRPr="002C6752" w:rsidRDefault="00E577A8" w:rsidP="00E577A8">
            <w:pPr>
              <w:pStyle w:val="tabletext"/>
            </w:pPr>
            <w:r w:rsidRPr="002C6752">
              <w:t>carried over instrument</w:t>
            </w:r>
          </w:p>
        </w:tc>
        <w:tc>
          <w:tcPr>
            <w:tcW w:w="4819" w:type="dxa"/>
          </w:tcPr>
          <w:p w14:paraId="02F17168" w14:textId="77777777" w:rsidR="00E577A8" w:rsidRPr="002C6752" w:rsidRDefault="00E577A8" w:rsidP="00E577A8">
            <w:pPr>
              <w:pStyle w:val="tabletext"/>
            </w:pPr>
            <w:r w:rsidRPr="002C6752">
              <w:t xml:space="preserve">Has the meaning given in s4 of the </w:t>
            </w:r>
            <w:r w:rsidRPr="002C6752">
              <w:rPr>
                <w:i/>
              </w:rPr>
              <w:t>National Consumer Credit Protection (Transitional and Consequential Provisions) Act 2009</w:t>
            </w:r>
          </w:p>
        </w:tc>
      </w:tr>
      <w:tr w:rsidR="00E577A8" w:rsidRPr="002C6752" w14:paraId="1880D31A" w14:textId="77777777" w:rsidTr="00E979B9">
        <w:trPr>
          <w:cantSplit/>
        </w:trPr>
        <w:tc>
          <w:tcPr>
            <w:tcW w:w="1985" w:type="dxa"/>
          </w:tcPr>
          <w:p w14:paraId="79E533A8" w14:textId="77777777" w:rsidR="00E577A8" w:rsidRPr="002C6752" w:rsidRDefault="00E577A8" w:rsidP="00E577A8">
            <w:pPr>
              <w:pStyle w:val="tabletext"/>
            </w:pPr>
            <w:r w:rsidRPr="002C6752">
              <w:t>complaint</w:t>
            </w:r>
          </w:p>
        </w:tc>
        <w:tc>
          <w:tcPr>
            <w:tcW w:w="4819" w:type="dxa"/>
          </w:tcPr>
          <w:p w14:paraId="31A6D6CA" w14:textId="5BC66CF9" w:rsidR="009A6461" w:rsidRPr="002C6752" w:rsidRDefault="00FC72FA" w:rsidP="00E5660C">
            <w:pPr>
              <w:pStyle w:val="tbltext"/>
            </w:pPr>
            <w:r w:rsidRPr="002C6752">
              <w:t>An e</w:t>
            </w:r>
            <w:r w:rsidR="009A6461" w:rsidRPr="002C6752">
              <w:t>xpression of dissatisfaction made to or about an organi</w:t>
            </w:r>
            <w:r w:rsidRPr="002C6752">
              <w:t>s</w:t>
            </w:r>
            <w:r w:rsidR="009A6461" w:rsidRPr="002C6752">
              <w:t>ation</w:t>
            </w:r>
            <w:r w:rsidRPr="002C6752">
              <w:t>—</w:t>
            </w:r>
            <w:r w:rsidR="009A6461" w:rsidRPr="002C6752">
              <w:t>related to its products, services, staff or the handling of a complaint</w:t>
            </w:r>
            <w:r w:rsidRPr="002C6752">
              <w:t>—</w:t>
            </w:r>
            <w:r w:rsidR="009A6461" w:rsidRPr="002C6752">
              <w:t>where a response or resolution is explicitly or implicitly expected or legally required</w:t>
            </w:r>
          </w:p>
          <w:p w14:paraId="68FBA1F3" w14:textId="04DC42E4" w:rsidR="00FC72FA" w:rsidRPr="002C6752" w:rsidRDefault="00FC72FA" w:rsidP="00E5660C">
            <w:pPr>
              <w:pStyle w:val="tblnote"/>
            </w:pPr>
            <w:r w:rsidRPr="002C6752">
              <w:t>Note: This is the definition given in AS/NZS 10002:2014.</w:t>
            </w:r>
          </w:p>
        </w:tc>
      </w:tr>
      <w:tr w:rsidR="007D67D2" w:rsidRPr="002C6752" w14:paraId="5A8CE7F7" w14:textId="77777777" w:rsidTr="00E979B9">
        <w:trPr>
          <w:cantSplit/>
        </w:trPr>
        <w:tc>
          <w:tcPr>
            <w:tcW w:w="1985" w:type="dxa"/>
          </w:tcPr>
          <w:p w14:paraId="02A379E7" w14:textId="77777777" w:rsidR="007D67D2" w:rsidRPr="002C6752" w:rsidRDefault="007D67D2" w:rsidP="007D67D2">
            <w:pPr>
              <w:pStyle w:val="tabletext"/>
            </w:pPr>
            <w:bookmarkStart w:id="410" w:name="_Hlk32929365"/>
            <w:r w:rsidRPr="002C6752">
              <w:t>consumer or complainant</w:t>
            </w:r>
          </w:p>
        </w:tc>
        <w:tc>
          <w:tcPr>
            <w:tcW w:w="4819" w:type="dxa"/>
          </w:tcPr>
          <w:p w14:paraId="548839E1" w14:textId="77777777" w:rsidR="007D67D2" w:rsidRPr="002C6752" w:rsidRDefault="007D67D2" w:rsidP="007D67D2">
            <w:pPr>
              <w:pStyle w:val="tbltext"/>
            </w:pPr>
            <w:r w:rsidRPr="002C6752">
              <w:t xml:space="preserve">A person or small business. It includes, at a minimum: </w:t>
            </w:r>
          </w:p>
          <w:p w14:paraId="092157F7" w14:textId="77777777" w:rsidR="007D67D2" w:rsidRPr="002C6752" w:rsidRDefault="007D67D2" w:rsidP="0028641A">
            <w:pPr>
              <w:pStyle w:val="tablebullet"/>
            </w:pPr>
            <w:r w:rsidRPr="002C6752">
              <w:t xml:space="preserve">an individual consumer or guarantor; </w:t>
            </w:r>
          </w:p>
          <w:p w14:paraId="5F38666F" w14:textId="5E74BAC8" w:rsidR="007D67D2" w:rsidRPr="002C6752" w:rsidRDefault="007D67D2" w:rsidP="0028641A">
            <w:pPr>
              <w:pStyle w:val="tablebullet"/>
            </w:pPr>
            <w:r w:rsidRPr="002C6752">
              <w:t xml:space="preserve">a superannuation fund member or third-party beneficiary eligible to make a complaint to AFCA under s1053, or taken to be a member of a regulated superannuation fund or approved deposit fund, or a holder of an RSA, as provided for by s1053A; </w:t>
            </w:r>
            <w:r w:rsidR="00C95A06" w:rsidRPr="002C6752">
              <w:t>and</w:t>
            </w:r>
          </w:p>
          <w:p w14:paraId="11BEAA03" w14:textId="057F2853" w:rsidR="007D67D2" w:rsidRPr="002C6752" w:rsidRDefault="0028641A" w:rsidP="00924260">
            <w:pPr>
              <w:pStyle w:val="tablebullet"/>
            </w:pPr>
            <w:r w:rsidRPr="002C6752">
              <w:t xml:space="preserve">a </w:t>
            </w:r>
            <w:r w:rsidR="00E12C7C">
              <w:t>‘</w:t>
            </w:r>
            <w:r w:rsidRPr="002C6752">
              <w:t>small business</w:t>
            </w:r>
            <w:r w:rsidR="00E12C7C">
              <w:t>’</w:t>
            </w:r>
            <w:r w:rsidRPr="002C6752">
              <w:t xml:space="preserve"> as defined in</w:t>
            </w:r>
            <w:r w:rsidR="00EB40DA" w:rsidRPr="002C6752">
              <w:t xml:space="preserve"> modified s761G of the Corporations Act.</w:t>
            </w:r>
            <w:r w:rsidRPr="002C6752">
              <w:t xml:space="preserve"> </w:t>
            </w:r>
          </w:p>
        </w:tc>
      </w:tr>
      <w:bookmarkEnd w:id="410"/>
      <w:tr w:rsidR="00E577A8" w:rsidRPr="002C6752" w14:paraId="12D5A1DA" w14:textId="77777777" w:rsidTr="00E979B9">
        <w:trPr>
          <w:cantSplit/>
        </w:trPr>
        <w:tc>
          <w:tcPr>
            <w:tcW w:w="1985" w:type="dxa"/>
          </w:tcPr>
          <w:p w14:paraId="212F4E89" w14:textId="77777777" w:rsidR="00E577A8" w:rsidRPr="002C6752" w:rsidRDefault="00E577A8" w:rsidP="00E577A8">
            <w:pPr>
              <w:pStyle w:val="tabletext"/>
            </w:pPr>
            <w:r w:rsidRPr="002C6752">
              <w:t>Corporations Act</w:t>
            </w:r>
          </w:p>
        </w:tc>
        <w:tc>
          <w:tcPr>
            <w:tcW w:w="4819" w:type="dxa"/>
          </w:tcPr>
          <w:p w14:paraId="2EE49930" w14:textId="77777777" w:rsidR="00E577A8" w:rsidRPr="002C6752" w:rsidRDefault="00E577A8" w:rsidP="00E577A8">
            <w:pPr>
              <w:pStyle w:val="tabletext"/>
            </w:pPr>
            <w:r w:rsidRPr="002C6752">
              <w:rPr>
                <w:i/>
              </w:rPr>
              <w:t>Corporations Act 2001</w:t>
            </w:r>
            <w:r w:rsidRPr="002C6752">
              <w:t>, including regulations made for the purposes of that Act</w:t>
            </w:r>
          </w:p>
        </w:tc>
      </w:tr>
      <w:tr w:rsidR="00E577A8" w:rsidRPr="002C6752" w14:paraId="4D58693F" w14:textId="77777777" w:rsidTr="00E979B9">
        <w:trPr>
          <w:cantSplit/>
        </w:trPr>
        <w:tc>
          <w:tcPr>
            <w:tcW w:w="1985" w:type="dxa"/>
          </w:tcPr>
          <w:p w14:paraId="28AEF2C0" w14:textId="77777777" w:rsidR="00E577A8" w:rsidRPr="002C6752" w:rsidRDefault="00E577A8" w:rsidP="00E577A8">
            <w:pPr>
              <w:pStyle w:val="tabletext"/>
            </w:pPr>
            <w:r w:rsidRPr="002C6752">
              <w:t>Corporations Regulations</w:t>
            </w:r>
          </w:p>
        </w:tc>
        <w:tc>
          <w:tcPr>
            <w:tcW w:w="4819" w:type="dxa"/>
          </w:tcPr>
          <w:p w14:paraId="5AA37F53" w14:textId="77777777" w:rsidR="00E577A8" w:rsidRPr="002C6752" w:rsidRDefault="00E577A8" w:rsidP="00E577A8">
            <w:pPr>
              <w:pStyle w:val="tabletext"/>
            </w:pPr>
            <w:r w:rsidRPr="002C6752">
              <w:t>Corporations Regulations 2001</w:t>
            </w:r>
          </w:p>
        </w:tc>
      </w:tr>
      <w:tr w:rsidR="00E577A8" w:rsidRPr="002C6752" w14:paraId="7FC3BA15" w14:textId="77777777" w:rsidTr="00E979B9">
        <w:trPr>
          <w:cantSplit/>
        </w:trPr>
        <w:tc>
          <w:tcPr>
            <w:tcW w:w="1985" w:type="dxa"/>
          </w:tcPr>
          <w:p w14:paraId="7CB56B9D" w14:textId="583FCFAB" w:rsidR="00E577A8" w:rsidRPr="002C6752" w:rsidRDefault="00101DB8" w:rsidP="00E577A8">
            <w:pPr>
              <w:pStyle w:val="tabletext"/>
            </w:pPr>
            <w:r w:rsidRPr="002C6752">
              <w:lastRenderedPageBreak/>
              <w:t>c</w:t>
            </w:r>
            <w:r w:rsidR="00E577A8" w:rsidRPr="002C6752">
              <w:t>redit</w:t>
            </w:r>
          </w:p>
        </w:tc>
        <w:tc>
          <w:tcPr>
            <w:tcW w:w="4819" w:type="dxa"/>
          </w:tcPr>
          <w:p w14:paraId="56EE52D4" w14:textId="77777777" w:rsidR="00E577A8" w:rsidRPr="002C6752" w:rsidRDefault="00E577A8" w:rsidP="00E577A8">
            <w:pPr>
              <w:pStyle w:val="tabletext"/>
            </w:pPr>
            <w:r w:rsidRPr="002C6752">
              <w:t>Credit to which the National Credit Code applies</w:t>
            </w:r>
          </w:p>
          <w:p w14:paraId="0FEC8555" w14:textId="0FE339F9" w:rsidR="00E577A8" w:rsidRPr="002C6752" w:rsidRDefault="00E577A8" w:rsidP="00E5660C">
            <w:pPr>
              <w:pStyle w:val="tblnote"/>
            </w:pPr>
            <w:r w:rsidRPr="002C6752">
              <w:t xml:space="preserve">Note: </w:t>
            </w:r>
            <w:r w:rsidR="007D67D2" w:rsidRPr="002C6752">
              <w:t>S</w:t>
            </w:r>
            <w:r w:rsidRPr="002C6752">
              <w:t>ee s3 and 5-6 of the National Credit Code.</w:t>
            </w:r>
          </w:p>
        </w:tc>
      </w:tr>
      <w:tr w:rsidR="00E577A8" w:rsidRPr="002C6752" w14:paraId="26289695" w14:textId="77777777" w:rsidTr="00E979B9">
        <w:trPr>
          <w:cantSplit/>
        </w:trPr>
        <w:tc>
          <w:tcPr>
            <w:tcW w:w="1985" w:type="dxa"/>
          </w:tcPr>
          <w:p w14:paraId="12C6BE47" w14:textId="30B16D44" w:rsidR="00E577A8" w:rsidRPr="002C6752" w:rsidRDefault="00101DB8" w:rsidP="00E577A8">
            <w:pPr>
              <w:pStyle w:val="tabletext"/>
            </w:pPr>
            <w:r w:rsidRPr="002C6752">
              <w:t>c</w:t>
            </w:r>
            <w:r w:rsidR="00E577A8" w:rsidRPr="002C6752">
              <w:t>redit activity (or credit activities)</w:t>
            </w:r>
          </w:p>
        </w:tc>
        <w:tc>
          <w:tcPr>
            <w:tcW w:w="4819" w:type="dxa"/>
          </w:tcPr>
          <w:p w14:paraId="6D7E6D00" w14:textId="77777777" w:rsidR="00E577A8" w:rsidRPr="002C6752" w:rsidRDefault="00E577A8" w:rsidP="00E577A8">
            <w:pPr>
              <w:pStyle w:val="tabletext"/>
            </w:pPr>
            <w:r w:rsidRPr="002C6752">
              <w:t>Has the meaning given in s6 of the National Credit Act</w:t>
            </w:r>
          </w:p>
        </w:tc>
      </w:tr>
      <w:tr w:rsidR="00E577A8" w:rsidRPr="002C6752" w14:paraId="0F15E2AC" w14:textId="77777777" w:rsidTr="00E979B9">
        <w:trPr>
          <w:cantSplit/>
        </w:trPr>
        <w:tc>
          <w:tcPr>
            <w:tcW w:w="1985" w:type="dxa"/>
          </w:tcPr>
          <w:p w14:paraId="7E259616" w14:textId="77777777" w:rsidR="00E577A8" w:rsidRPr="002C6752" w:rsidRDefault="00E577A8" w:rsidP="00E577A8">
            <w:pPr>
              <w:pStyle w:val="tabletext"/>
            </w:pPr>
            <w:r w:rsidRPr="002C6752">
              <w:t>credit contract</w:t>
            </w:r>
          </w:p>
        </w:tc>
        <w:tc>
          <w:tcPr>
            <w:tcW w:w="4819" w:type="dxa"/>
          </w:tcPr>
          <w:p w14:paraId="02FBC088" w14:textId="77777777" w:rsidR="00E577A8" w:rsidRPr="002C6752" w:rsidRDefault="00E577A8" w:rsidP="00E577A8">
            <w:pPr>
              <w:pStyle w:val="tabletext"/>
            </w:pPr>
            <w:r w:rsidRPr="002C6752">
              <w:t>Has the meaning given in s4 of the National Credit Code</w:t>
            </w:r>
          </w:p>
        </w:tc>
      </w:tr>
      <w:tr w:rsidR="00C01926" w:rsidRPr="002C6752" w14:paraId="6317D40C" w14:textId="77777777" w:rsidTr="00E979B9">
        <w:trPr>
          <w:cantSplit/>
        </w:trPr>
        <w:tc>
          <w:tcPr>
            <w:tcW w:w="1985" w:type="dxa"/>
          </w:tcPr>
          <w:p w14:paraId="49A698C0" w14:textId="1F313062" w:rsidR="00C01926" w:rsidRPr="002C6752" w:rsidRDefault="00C01926" w:rsidP="00C01926">
            <w:pPr>
              <w:pStyle w:val="tabletext"/>
            </w:pPr>
            <w:r w:rsidRPr="002C6752">
              <w:t>Credit Guide</w:t>
            </w:r>
          </w:p>
        </w:tc>
        <w:tc>
          <w:tcPr>
            <w:tcW w:w="4819" w:type="dxa"/>
          </w:tcPr>
          <w:p w14:paraId="173EE65A" w14:textId="3D19D88C" w:rsidR="00C01926" w:rsidRPr="002C6752" w:rsidRDefault="00C01926" w:rsidP="00C01926">
            <w:pPr>
              <w:pStyle w:val="tabletext"/>
            </w:pPr>
            <w:r w:rsidRPr="002C6752">
              <w:t>A document that must be provided to a consumer by a credit provider, credit service provider, credit representative or debt collector under the National Credit Act</w:t>
            </w:r>
          </w:p>
        </w:tc>
      </w:tr>
      <w:tr w:rsidR="00C01926" w:rsidRPr="002C6752" w14:paraId="4C29DAFC" w14:textId="77777777" w:rsidTr="00E979B9">
        <w:trPr>
          <w:cantSplit/>
        </w:trPr>
        <w:tc>
          <w:tcPr>
            <w:tcW w:w="1985" w:type="dxa"/>
          </w:tcPr>
          <w:p w14:paraId="160EAB4E" w14:textId="77DD617E" w:rsidR="00C01926" w:rsidRPr="002C6752" w:rsidRDefault="00C01926" w:rsidP="00C01926">
            <w:pPr>
              <w:pStyle w:val="tabletext"/>
            </w:pPr>
            <w:r w:rsidRPr="002C6752">
              <w:t>credit licence</w:t>
            </w:r>
          </w:p>
        </w:tc>
        <w:tc>
          <w:tcPr>
            <w:tcW w:w="4819" w:type="dxa"/>
          </w:tcPr>
          <w:p w14:paraId="4BCE80A3" w14:textId="52D80B2B" w:rsidR="00C01926" w:rsidRPr="002C6752" w:rsidRDefault="00C01926" w:rsidP="00C01926">
            <w:pPr>
              <w:pStyle w:val="tabletext"/>
            </w:pPr>
            <w:r w:rsidRPr="002C6752">
              <w:t>An Australian credit licence under s35 of the National Credit Act that authorises a licensee to engage in particular credit activities</w:t>
            </w:r>
          </w:p>
        </w:tc>
      </w:tr>
      <w:tr w:rsidR="00C01926" w:rsidRPr="002C6752" w14:paraId="1773ED1E" w14:textId="77777777" w:rsidTr="00E979B9">
        <w:trPr>
          <w:cantSplit/>
        </w:trPr>
        <w:tc>
          <w:tcPr>
            <w:tcW w:w="1985" w:type="dxa"/>
          </w:tcPr>
          <w:p w14:paraId="754CC44D" w14:textId="585CDDF5" w:rsidR="00C01926" w:rsidRPr="002C6752" w:rsidRDefault="00C01926" w:rsidP="00C01926">
            <w:pPr>
              <w:pStyle w:val="tabletext"/>
            </w:pPr>
            <w:r w:rsidRPr="002C6752">
              <w:t>credit licensee</w:t>
            </w:r>
          </w:p>
        </w:tc>
        <w:tc>
          <w:tcPr>
            <w:tcW w:w="4819" w:type="dxa"/>
          </w:tcPr>
          <w:p w14:paraId="1D13B0D7" w14:textId="1E9E09F1" w:rsidR="00C01926" w:rsidRPr="002C6752" w:rsidRDefault="00C01926" w:rsidP="00C01926">
            <w:pPr>
              <w:pStyle w:val="tabletext"/>
            </w:pPr>
            <w:r w:rsidRPr="002C6752">
              <w:t>A person who holds an Australian credit licence under s35 of the National Credit Act</w:t>
            </w:r>
          </w:p>
        </w:tc>
      </w:tr>
      <w:tr w:rsidR="00C01926" w:rsidRPr="002C6752" w14:paraId="7AA47AB2" w14:textId="77777777" w:rsidTr="00E979B9">
        <w:trPr>
          <w:cantSplit/>
        </w:trPr>
        <w:tc>
          <w:tcPr>
            <w:tcW w:w="1985" w:type="dxa"/>
          </w:tcPr>
          <w:p w14:paraId="1057CC50" w14:textId="199AC301" w:rsidR="00C01926" w:rsidRPr="002C6752" w:rsidRDefault="00C01926" w:rsidP="00C01926">
            <w:pPr>
              <w:pStyle w:val="tabletext"/>
            </w:pPr>
            <w:r w:rsidRPr="002C6752">
              <w:t>credit provider</w:t>
            </w:r>
          </w:p>
        </w:tc>
        <w:tc>
          <w:tcPr>
            <w:tcW w:w="4819" w:type="dxa"/>
          </w:tcPr>
          <w:p w14:paraId="1345DFB9" w14:textId="03C43517" w:rsidR="00C01926" w:rsidRPr="002C6752" w:rsidRDefault="00C01926" w:rsidP="00C01926">
            <w:pPr>
              <w:pStyle w:val="tabletext"/>
            </w:pPr>
            <w:r w:rsidRPr="002C6752">
              <w:t>Has the meaning given in s5 of the National Credit Act</w:t>
            </w:r>
          </w:p>
        </w:tc>
      </w:tr>
      <w:tr w:rsidR="00C01926" w:rsidRPr="002C6752" w14:paraId="74904B14" w14:textId="77777777" w:rsidTr="00E979B9">
        <w:trPr>
          <w:cantSplit/>
        </w:trPr>
        <w:tc>
          <w:tcPr>
            <w:tcW w:w="1985" w:type="dxa"/>
          </w:tcPr>
          <w:p w14:paraId="2A146C56" w14:textId="2BF93830" w:rsidR="00C01926" w:rsidRPr="002C6752" w:rsidRDefault="00C01926" w:rsidP="00C01926">
            <w:pPr>
              <w:pStyle w:val="tabletext"/>
            </w:pPr>
            <w:r w:rsidRPr="002C6752">
              <w:t>credit representative</w:t>
            </w:r>
          </w:p>
        </w:tc>
        <w:tc>
          <w:tcPr>
            <w:tcW w:w="4819" w:type="dxa"/>
          </w:tcPr>
          <w:p w14:paraId="6C8CE73F" w14:textId="4F7E2801" w:rsidR="00C01926" w:rsidRPr="002C6752" w:rsidRDefault="00C01926" w:rsidP="00C01926">
            <w:pPr>
              <w:pStyle w:val="tabletext"/>
            </w:pPr>
            <w:r w:rsidRPr="002C6752">
              <w:t>A person authorised to engage in specified credit activities on behalf of a credit licensee under s64(2) or 65(2) of the National Credit Act</w:t>
            </w:r>
          </w:p>
        </w:tc>
      </w:tr>
      <w:tr w:rsidR="00C01926" w:rsidRPr="002C6752" w14:paraId="16B5022B" w14:textId="77777777" w:rsidTr="00E979B9">
        <w:trPr>
          <w:cantSplit/>
        </w:trPr>
        <w:tc>
          <w:tcPr>
            <w:tcW w:w="1985" w:type="dxa"/>
          </w:tcPr>
          <w:p w14:paraId="392C6E16" w14:textId="77777777" w:rsidR="00C01926" w:rsidRPr="002C6752" w:rsidRDefault="00C01926" w:rsidP="00C01926">
            <w:pPr>
              <w:pStyle w:val="tabletext"/>
            </w:pPr>
            <w:r w:rsidRPr="002C6752">
              <w:t>credit service</w:t>
            </w:r>
          </w:p>
        </w:tc>
        <w:tc>
          <w:tcPr>
            <w:tcW w:w="4819" w:type="dxa"/>
          </w:tcPr>
          <w:p w14:paraId="78880F04" w14:textId="77777777" w:rsidR="00C01926" w:rsidRPr="002C6752" w:rsidRDefault="00C01926" w:rsidP="00C01926">
            <w:pPr>
              <w:pStyle w:val="tabletext"/>
            </w:pPr>
            <w:r w:rsidRPr="002C6752">
              <w:t>Has the meaning given in s7 of the National Credit Act</w:t>
            </w:r>
          </w:p>
        </w:tc>
      </w:tr>
      <w:tr w:rsidR="00C01926" w:rsidRPr="002C6752" w14:paraId="289C4863" w14:textId="77777777" w:rsidTr="00E979B9">
        <w:trPr>
          <w:cantSplit/>
        </w:trPr>
        <w:tc>
          <w:tcPr>
            <w:tcW w:w="1985" w:type="dxa"/>
          </w:tcPr>
          <w:p w14:paraId="3920ECE2" w14:textId="188DDE0D" w:rsidR="00FC0CAC" w:rsidRPr="002C6752" w:rsidRDefault="00C01926" w:rsidP="007344FF">
            <w:pPr>
              <w:pStyle w:val="tabletext"/>
            </w:pPr>
            <w:r w:rsidRPr="002C6752">
              <w:t>credit service provider</w:t>
            </w:r>
          </w:p>
        </w:tc>
        <w:tc>
          <w:tcPr>
            <w:tcW w:w="4819" w:type="dxa"/>
          </w:tcPr>
          <w:p w14:paraId="3F2C7BF5" w14:textId="6E5535E7" w:rsidR="00FC0CAC" w:rsidRPr="002C6752" w:rsidRDefault="00C01926">
            <w:pPr>
              <w:pStyle w:val="tabletext"/>
            </w:pPr>
            <w:r w:rsidRPr="002C6752">
              <w:t>A person who provides credit services</w:t>
            </w:r>
          </w:p>
        </w:tc>
      </w:tr>
      <w:tr w:rsidR="009829CC" w:rsidRPr="002C6752" w14:paraId="1A8F3291" w14:textId="77777777" w:rsidTr="00E979B9">
        <w:trPr>
          <w:cantSplit/>
        </w:trPr>
        <w:tc>
          <w:tcPr>
            <w:tcW w:w="1985" w:type="dxa"/>
          </w:tcPr>
          <w:p w14:paraId="10550A20" w14:textId="205284BA" w:rsidR="009829CC" w:rsidRPr="002C6752" w:rsidRDefault="009829CC" w:rsidP="00C01926">
            <w:pPr>
              <w:pStyle w:val="tabletext"/>
            </w:pPr>
            <w:r>
              <w:t>death</w:t>
            </w:r>
            <w:r w:rsidR="00585166">
              <w:t xml:space="preserve"> </w:t>
            </w:r>
            <w:r>
              <w:t>benefit decision</w:t>
            </w:r>
            <w:r w:rsidR="00585166">
              <w:t>-</w:t>
            </w:r>
            <w:r>
              <w:t>maker</w:t>
            </w:r>
          </w:p>
        </w:tc>
        <w:tc>
          <w:tcPr>
            <w:tcW w:w="4819" w:type="dxa"/>
          </w:tcPr>
          <w:p w14:paraId="29722200" w14:textId="185EB498" w:rsidR="009829CC" w:rsidRPr="002C6752" w:rsidRDefault="009829CC" w:rsidP="00C01926">
            <w:pPr>
              <w:pStyle w:val="tabletext"/>
            </w:pPr>
            <w:r>
              <w:t>Has the meaning given in s761A of the Corporations Act</w:t>
            </w:r>
          </w:p>
        </w:tc>
      </w:tr>
      <w:tr w:rsidR="00C01926" w:rsidRPr="002C6752" w14:paraId="2F3F7B4F" w14:textId="77777777" w:rsidTr="00E979B9">
        <w:trPr>
          <w:cantSplit/>
        </w:trPr>
        <w:tc>
          <w:tcPr>
            <w:tcW w:w="1985" w:type="dxa"/>
          </w:tcPr>
          <w:p w14:paraId="0E91C467" w14:textId="77777777" w:rsidR="00C01926" w:rsidRPr="002C6752" w:rsidRDefault="00C01926" w:rsidP="00C01926">
            <w:pPr>
              <w:pStyle w:val="tabletext"/>
            </w:pPr>
            <w:r w:rsidRPr="002C6752">
              <w:t>declined insurance claim</w:t>
            </w:r>
          </w:p>
        </w:tc>
        <w:tc>
          <w:tcPr>
            <w:tcW w:w="4819" w:type="dxa"/>
          </w:tcPr>
          <w:p w14:paraId="09284D02" w14:textId="02C4D231" w:rsidR="00C01926" w:rsidRPr="002C6752" w:rsidRDefault="008C1A15" w:rsidP="00C01926">
            <w:pPr>
              <w:pStyle w:val="tabletext"/>
            </w:pPr>
            <w:r>
              <w:t>This includes w</w:t>
            </w:r>
            <w:r w:rsidR="00C01926" w:rsidRPr="002C6752">
              <w:t>here an insured person (the retail client) makes a claim on an insurance policy and</w:t>
            </w:r>
            <w:r>
              <w:t xml:space="preserve"> the insurer</w:t>
            </w:r>
            <w:r w:rsidR="00C01926" w:rsidRPr="002C6752">
              <w:t>:</w:t>
            </w:r>
          </w:p>
          <w:p w14:paraId="6A1EF1EF" w14:textId="53C057AC" w:rsidR="00C01926" w:rsidRPr="002C6752" w:rsidRDefault="00C01926" w:rsidP="00642749">
            <w:pPr>
              <w:pStyle w:val="tablebullet"/>
            </w:pPr>
            <w:r w:rsidRPr="002C6752">
              <w:t>declines or does not accept the claim; or</w:t>
            </w:r>
          </w:p>
          <w:p w14:paraId="40343E1B" w14:textId="14F05255" w:rsidR="00C01926" w:rsidRPr="002C6752" w:rsidRDefault="00C01926" w:rsidP="00642749">
            <w:pPr>
              <w:pStyle w:val="tablebullet"/>
            </w:pPr>
            <w:r w:rsidRPr="002C6752">
              <w:t>does not determine the claim within 10</w:t>
            </w:r>
            <w:r w:rsidR="00E979B9">
              <w:t> </w:t>
            </w:r>
            <w:r w:rsidRPr="002C6752">
              <w:t>business days of receiving all the information necessary to do so</w:t>
            </w:r>
          </w:p>
        </w:tc>
      </w:tr>
      <w:tr w:rsidR="00C01926" w:rsidRPr="002C6752" w14:paraId="1A712522" w14:textId="77777777" w:rsidTr="00E979B9">
        <w:trPr>
          <w:cantSplit/>
        </w:trPr>
        <w:tc>
          <w:tcPr>
            <w:tcW w:w="1985" w:type="dxa"/>
          </w:tcPr>
          <w:p w14:paraId="316A55F3" w14:textId="77777777" w:rsidR="00C01926" w:rsidRPr="002C6752" w:rsidRDefault="00C01926" w:rsidP="00C01926">
            <w:pPr>
              <w:pStyle w:val="tabletext"/>
            </w:pPr>
            <w:r w:rsidRPr="002C6752">
              <w:t>disputant</w:t>
            </w:r>
          </w:p>
        </w:tc>
        <w:tc>
          <w:tcPr>
            <w:tcW w:w="4819" w:type="dxa"/>
          </w:tcPr>
          <w:p w14:paraId="787ACF57" w14:textId="100EEAE9" w:rsidR="00C01926" w:rsidRPr="002C6752" w:rsidRDefault="00C01926" w:rsidP="00C01926">
            <w:pPr>
              <w:pStyle w:val="tabletext"/>
            </w:pPr>
            <w:r w:rsidRPr="002C6752">
              <w:t>Has the same meaning as complainant</w:t>
            </w:r>
          </w:p>
        </w:tc>
      </w:tr>
      <w:tr w:rsidR="00C01926" w:rsidRPr="002C6752" w14:paraId="56F1409F" w14:textId="77777777" w:rsidTr="00E979B9">
        <w:trPr>
          <w:cantSplit/>
        </w:trPr>
        <w:tc>
          <w:tcPr>
            <w:tcW w:w="1985" w:type="dxa"/>
          </w:tcPr>
          <w:p w14:paraId="01AA575B" w14:textId="77777777" w:rsidR="00C01926" w:rsidRPr="002C6752" w:rsidRDefault="00C01926" w:rsidP="00C01926">
            <w:pPr>
              <w:pStyle w:val="tabletext"/>
            </w:pPr>
            <w:r w:rsidRPr="002C6752">
              <w:t>dispute</w:t>
            </w:r>
          </w:p>
        </w:tc>
        <w:tc>
          <w:tcPr>
            <w:tcW w:w="4819" w:type="dxa"/>
          </w:tcPr>
          <w:p w14:paraId="7EE5F4E7" w14:textId="77777777" w:rsidR="00C01926" w:rsidRPr="002C6752" w:rsidRDefault="00C01926" w:rsidP="00C01926">
            <w:pPr>
              <w:pStyle w:val="tabletext"/>
            </w:pPr>
            <w:r w:rsidRPr="002C6752">
              <w:t>Has the same meaning as complaint</w:t>
            </w:r>
          </w:p>
        </w:tc>
      </w:tr>
      <w:tr w:rsidR="00C01926" w:rsidRPr="002C6752" w14:paraId="7AC49734" w14:textId="77777777" w:rsidTr="00E979B9">
        <w:trPr>
          <w:cantSplit/>
        </w:trPr>
        <w:tc>
          <w:tcPr>
            <w:tcW w:w="1985" w:type="dxa"/>
          </w:tcPr>
          <w:p w14:paraId="0048FF23" w14:textId="77777777" w:rsidR="00C01926" w:rsidRPr="002C6752" w:rsidRDefault="00C01926" w:rsidP="00C01926">
            <w:pPr>
              <w:pStyle w:val="tabletext"/>
            </w:pPr>
            <w:r w:rsidRPr="002C6752">
              <w:t>EDR</w:t>
            </w:r>
          </w:p>
        </w:tc>
        <w:tc>
          <w:tcPr>
            <w:tcW w:w="4819" w:type="dxa"/>
          </w:tcPr>
          <w:p w14:paraId="0B70A05C" w14:textId="77777777" w:rsidR="00C01926" w:rsidRPr="002C6752" w:rsidRDefault="00C01926" w:rsidP="00C01926">
            <w:pPr>
              <w:pStyle w:val="tabletext"/>
            </w:pPr>
            <w:r w:rsidRPr="002C6752">
              <w:t>External dispute resolution</w:t>
            </w:r>
          </w:p>
        </w:tc>
      </w:tr>
      <w:tr w:rsidR="0070106D" w:rsidRPr="002C6752" w14:paraId="024F765E" w14:textId="77777777" w:rsidTr="00E979B9">
        <w:trPr>
          <w:cantSplit/>
        </w:trPr>
        <w:tc>
          <w:tcPr>
            <w:tcW w:w="1985" w:type="dxa"/>
          </w:tcPr>
          <w:p w14:paraId="5E334A1C" w14:textId="6D0E3742" w:rsidR="0070106D" w:rsidRPr="002C6752" w:rsidRDefault="0070106D" w:rsidP="00C01926">
            <w:pPr>
              <w:pStyle w:val="tabletext"/>
            </w:pPr>
            <w:r w:rsidRPr="002C6752">
              <w:t>exempt SPFEs</w:t>
            </w:r>
          </w:p>
        </w:tc>
        <w:tc>
          <w:tcPr>
            <w:tcW w:w="4819" w:type="dxa"/>
          </w:tcPr>
          <w:p w14:paraId="70AEF08E" w14:textId="2F849F8C" w:rsidR="0070106D" w:rsidRPr="002C6752" w:rsidRDefault="0070106D" w:rsidP="00C01926">
            <w:pPr>
              <w:pStyle w:val="tabletext"/>
            </w:pPr>
            <w:r w:rsidRPr="002C6752">
              <w:t>Exempt special purpose funding entities</w:t>
            </w:r>
          </w:p>
        </w:tc>
      </w:tr>
      <w:tr w:rsidR="00C01926" w:rsidRPr="002C6752" w14:paraId="2503024F" w14:textId="77777777" w:rsidTr="00E979B9">
        <w:trPr>
          <w:cantSplit/>
        </w:trPr>
        <w:tc>
          <w:tcPr>
            <w:tcW w:w="1985" w:type="dxa"/>
          </w:tcPr>
          <w:p w14:paraId="2EA8627A" w14:textId="77777777" w:rsidR="00C01926" w:rsidRPr="002C6752" w:rsidRDefault="00C01926" w:rsidP="00C01926">
            <w:pPr>
              <w:pStyle w:val="tabletext"/>
            </w:pPr>
            <w:r w:rsidRPr="002C6752">
              <w:lastRenderedPageBreak/>
              <w:t>financial firm</w:t>
            </w:r>
          </w:p>
        </w:tc>
        <w:tc>
          <w:tcPr>
            <w:tcW w:w="4819" w:type="dxa"/>
          </w:tcPr>
          <w:p w14:paraId="3FE33E2F" w14:textId="77777777" w:rsidR="00216189" w:rsidRDefault="00D5667A" w:rsidP="00833B23">
            <w:pPr>
              <w:pStyle w:val="tabletext"/>
            </w:pPr>
            <w:r w:rsidRPr="002C6752">
              <w:t>Firms covered by s912A(1)(g) and 1017G(1) of the Corporations Act, s47(1)(h) of the National Credit Act, s47(1) of the RSA Act and s101(1) of the SIS Act</w:t>
            </w:r>
            <w:r w:rsidR="009C4455">
              <w:t>:</w:t>
            </w:r>
          </w:p>
          <w:p w14:paraId="285E5090" w14:textId="6BFC0F48" w:rsidR="00D5667A" w:rsidRPr="002C6752" w:rsidRDefault="00D5667A" w:rsidP="00C31FD2">
            <w:pPr>
              <w:pStyle w:val="tablebullet"/>
            </w:pPr>
            <w:r w:rsidRPr="002C6752">
              <w:t>AFS licensees;</w:t>
            </w:r>
          </w:p>
          <w:p w14:paraId="28761E32" w14:textId="7699DBD7" w:rsidR="00D5667A" w:rsidRPr="002C6752" w:rsidRDefault="00D5667A" w:rsidP="00642749">
            <w:pPr>
              <w:pStyle w:val="tablebullet"/>
            </w:pPr>
            <w:r w:rsidRPr="002C6752">
              <w:t>unlicensed product issuers;</w:t>
            </w:r>
          </w:p>
          <w:p w14:paraId="76301AC4" w14:textId="7EC04AC3" w:rsidR="00D5667A" w:rsidRPr="002C6752" w:rsidRDefault="00D5667A" w:rsidP="00642749">
            <w:pPr>
              <w:pStyle w:val="tablebullet"/>
            </w:pPr>
            <w:r w:rsidRPr="002C6752">
              <w:t>unlicensed secondary sellers;</w:t>
            </w:r>
          </w:p>
          <w:p w14:paraId="7ABEB4E6" w14:textId="41BDC05B" w:rsidR="00D5667A" w:rsidRPr="002C6752" w:rsidRDefault="00D5667A" w:rsidP="00642749">
            <w:pPr>
              <w:pStyle w:val="tablebullet"/>
            </w:pPr>
            <w:r w:rsidRPr="002C6752">
              <w:t>credit licensees;</w:t>
            </w:r>
          </w:p>
          <w:p w14:paraId="326BCB73" w14:textId="0A27E6A6" w:rsidR="00D5667A" w:rsidRPr="002C6752" w:rsidRDefault="009C4455" w:rsidP="00642749">
            <w:pPr>
              <w:pStyle w:val="tablebullet"/>
            </w:pPr>
            <w:r>
              <w:t xml:space="preserve">trustees of </w:t>
            </w:r>
            <w:r w:rsidR="00D5667A" w:rsidRPr="002C6752">
              <w:t>regulated superannuation funds (other than SMSFs);</w:t>
            </w:r>
          </w:p>
          <w:p w14:paraId="051611E5" w14:textId="03AEB896" w:rsidR="00D5667A" w:rsidRPr="002C6752" w:rsidRDefault="009C4455" w:rsidP="00642749">
            <w:pPr>
              <w:pStyle w:val="tablebullet"/>
            </w:pPr>
            <w:r>
              <w:t xml:space="preserve">trustees of </w:t>
            </w:r>
            <w:r w:rsidR="00D5667A" w:rsidRPr="002C6752">
              <w:t>approved deposit funds;</w:t>
            </w:r>
            <w:r>
              <w:t xml:space="preserve"> and</w:t>
            </w:r>
          </w:p>
          <w:p w14:paraId="51F4A393" w14:textId="7992E10D" w:rsidR="00D5667A" w:rsidRPr="002C6752" w:rsidRDefault="00D5667A" w:rsidP="00642749">
            <w:pPr>
              <w:pStyle w:val="tablebullet"/>
            </w:pPr>
            <w:r w:rsidRPr="002C6752">
              <w:t>RSA providers</w:t>
            </w:r>
          </w:p>
          <w:p w14:paraId="670C4F94" w14:textId="2BD4B0E6" w:rsidR="00A725FC" w:rsidRDefault="00D5667A" w:rsidP="00310CA1">
            <w:pPr>
              <w:pStyle w:val="tblnote"/>
            </w:pPr>
            <w:r w:rsidRPr="002C6752">
              <w:t>Note</w:t>
            </w:r>
            <w:r w:rsidR="0011105D">
              <w:t xml:space="preserve"> 1</w:t>
            </w:r>
            <w:r w:rsidRPr="002C6752">
              <w:t xml:space="preserve">: </w:t>
            </w:r>
            <w:r w:rsidR="007D664A" w:rsidRPr="002C6752">
              <w:t>We may require o</w:t>
            </w:r>
            <w:r w:rsidRPr="002C6752">
              <w:t>ther financ</w:t>
            </w:r>
            <w:r w:rsidR="007A55A2" w:rsidRPr="002C6752">
              <w:t>ial entities</w:t>
            </w:r>
            <w:r w:rsidR="009C4455">
              <w:t xml:space="preserve"> that are exempt from the requirement to hold a licence to have an IDR process that complies with the standards and requirements that apply to licensees.</w:t>
            </w:r>
            <w:r w:rsidR="00DD58FB">
              <w:t xml:space="preserve"> </w:t>
            </w:r>
            <w:r w:rsidR="0011105D">
              <w:t>For e</w:t>
            </w:r>
            <w:r w:rsidR="009C4455">
              <w:t>xample</w:t>
            </w:r>
            <w:r w:rsidR="0011105D">
              <w:t>,</w:t>
            </w:r>
            <w:r w:rsidR="009C4455">
              <w:t xml:space="preserve"> fintech businesses relying on</w:t>
            </w:r>
            <w:r w:rsidR="00616B57">
              <w:t xml:space="preserve"> a</w:t>
            </w:r>
            <w:r w:rsidR="009C4455">
              <w:t xml:space="preserve"> fintech licensing exemption</w:t>
            </w:r>
            <w:r w:rsidR="00310CA1" w:rsidRPr="002C6752">
              <w:t>.</w:t>
            </w:r>
          </w:p>
          <w:p w14:paraId="0CD6BC50" w14:textId="0903FDEF" w:rsidR="00D5667A" w:rsidRPr="002C6752" w:rsidRDefault="00A725FC" w:rsidP="00310CA1">
            <w:pPr>
              <w:pStyle w:val="tblnote"/>
            </w:pPr>
            <w:r>
              <w:t>Note</w:t>
            </w:r>
            <w:r w:rsidR="0011105D">
              <w:t xml:space="preserve"> 2</w:t>
            </w:r>
            <w:r>
              <w:t>: Unlicensed COI</w:t>
            </w:r>
            <w:r w:rsidR="0011105D">
              <w:t xml:space="preserve"> lender</w:t>
            </w:r>
            <w:r>
              <w:t>s are a type of financial firm.</w:t>
            </w:r>
            <w:r w:rsidR="00DD58FB">
              <w:t xml:space="preserve"> </w:t>
            </w:r>
            <w:r>
              <w:t xml:space="preserve">The IDR obligations set out in this guide apply to </w:t>
            </w:r>
            <w:r w:rsidR="0011105D">
              <w:t xml:space="preserve">unlicensed </w:t>
            </w:r>
            <w:r>
              <w:t>COI</w:t>
            </w:r>
            <w:r w:rsidR="0011105D">
              <w:t xml:space="preserve"> lender</w:t>
            </w:r>
            <w:r>
              <w:t xml:space="preserve">s, but </w:t>
            </w:r>
            <w:r w:rsidR="0011105D">
              <w:t xml:space="preserve">they </w:t>
            </w:r>
            <w:r>
              <w:t>are not required to be a member of AFCA.</w:t>
            </w:r>
            <w:r w:rsidRPr="002C6752">
              <w:t xml:space="preserve"> </w:t>
            </w:r>
          </w:p>
        </w:tc>
      </w:tr>
      <w:tr w:rsidR="00C01926" w:rsidRPr="002C6752" w14:paraId="513E13B6" w14:textId="77777777" w:rsidTr="00E979B9">
        <w:trPr>
          <w:cantSplit/>
        </w:trPr>
        <w:tc>
          <w:tcPr>
            <w:tcW w:w="1985" w:type="dxa"/>
          </w:tcPr>
          <w:p w14:paraId="7F7C61D8" w14:textId="77777777" w:rsidR="00C01926" w:rsidRPr="002C6752" w:rsidRDefault="00C01926" w:rsidP="00C01926">
            <w:pPr>
              <w:pStyle w:val="tabletext"/>
            </w:pPr>
            <w:r w:rsidRPr="002C6752">
              <w:t>financial product</w:t>
            </w:r>
          </w:p>
        </w:tc>
        <w:tc>
          <w:tcPr>
            <w:tcW w:w="4819" w:type="dxa"/>
          </w:tcPr>
          <w:p w14:paraId="61C290CE" w14:textId="77777777" w:rsidR="00C01926" w:rsidRPr="002C6752" w:rsidRDefault="00C01926" w:rsidP="00C01926">
            <w:pPr>
              <w:pStyle w:val="tabletext"/>
            </w:pPr>
            <w:r w:rsidRPr="00297D21">
              <w:rPr>
                <w:spacing w:val="-4"/>
              </w:rPr>
              <w:t>Generally a facility through which, or through the acquisition</w:t>
            </w:r>
            <w:r w:rsidRPr="002C6752">
              <w:t xml:space="preserve"> of which, a person does one or more of the following:</w:t>
            </w:r>
          </w:p>
          <w:p w14:paraId="003A1A10" w14:textId="77777777" w:rsidR="00C01926" w:rsidRPr="002C6752" w:rsidRDefault="00C01926" w:rsidP="00642749">
            <w:pPr>
              <w:pStyle w:val="tablebullet"/>
            </w:pPr>
            <w:r w:rsidRPr="002C6752">
              <w:t>makes a financial investment (see s763B);</w:t>
            </w:r>
          </w:p>
          <w:p w14:paraId="50068884" w14:textId="77777777" w:rsidR="00C01926" w:rsidRPr="002C6752" w:rsidRDefault="00C01926" w:rsidP="00642749">
            <w:pPr>
              <w:pStyle w:val="tablebullet"/>
            </w:pPr>
            <w:r w:rsidRPr="002C6752">
              <w:t>manages financial risk (see s763C);</w:t>
            </w:r>
          </w:p>
          <w:p w14:paraId="25B00C58" w14:textId="77777777" w:rsidR="00C01926" w:rsidRPr="002C6752" w:rsidRDefault="00C01926" w:rsidP="00642749">
            <w:pPr>
              <w:pStyle w:val="tablebullet"/>
            </w:pPr>
            <w:r w:rsidRPr="002C6752">
              <w:t>makes non-cash payments (see 763D)</w:t>
            </w:r>
          </w:p>
          <w:p w14:paraId="6DD64C68" w14:textId="77777777" w:rsidR="00C01926" w:rsidRPr="002C6752" w:rsidRDefault="00C01926" w:rsidP="00310CA1">
            <w:pPr>
              <w:pStyle w:val="tblnote"/>
            </w:pPr>
            <w:r w:rsidRPr="002C6752">
              <w:t>Note: Div 3 of Pt 7.1 of the Corporations Act for the exact definition.</w:t>
            </w:r>
          </w:p>
        </w:tc>
      </w:tr>
      <w:tr w:rsidR="00C01926" w:rsidRPr="002C6752" w14:paraId="3FFCED7F" w14:textId="77777777" w:rsidTr="00E979B9">
        <w:trPr>
          <w:cantSplit/>
        </w:trPr>
        <w:tc>
          <w:tcPr>
            <w:tcW w:w="1985" w:type="dxa"/>
          </w:tcPr>
          <w:p w14:paraId="5587168A" w14:textId="77777777" w:rsidR="00C01926" w:rsidRPr="002C6752" w:rsidRDefault="00C01926" w:rsidP="00C01926">
            <w:pPr>
              <w:pStyle w:val="tabletext"/>
            </w:pPr>
            <w:r w:rsidRPr="002C6752">
              <w:t>financial service</w:t>
            </w:r>
          </w:p>
        </w:tc>
        <w:tc>
          <w:tcPr>
            <w:tcW w:w="4819" w:type="dxa"/>
          </w:tcPr>
          <w:p w14:paraId="3A789BC7" w14:textId="77777777" w:rsidR="00C01926" w:rsidRPr="002C6752" w:rsidRDefault="00C01926" w:rsidP="00C01926">
            <w:pPr>
              <w:pStyle w:val="tabletext"/>
            </w:pPr>
            <w:r w:rsidRPr="002C6752">
              <w:t>Has the meaning given in Div 4 of Pt 7.1 of the Corporations Act</w:t>
            </w:r>
          </w:p>
        </w:tc>
      </w:tr>
      <w:tr w:rsidR="00C01926" w:rsidRPr="002C6752" w14:paraId="15CEE674" w14:textId="77777777" w:rsidTr="00E979B9">
        <w:trPr>
          <w:cantSplit/>
        </w:trPr>
        <w:tc>
          <w:tcPr>
            <w:tcW w:w="1985" w:type="dxa"/>
          </w:tcPr>
          <w:p w14:paraId="652FF08F" w14:textId="77777777" w:rsidR="00C01926" w:rsidRPr="002C6752" w:rsidRDefault="00C01926" w:rsidP="00C01926">
            <w:pPr>
              <w:pStyle w:val="tabletext"/>
            </w:pPr>
            <w:r w:rsidRPr="002C6752">
              <w:t>Financial Services Guide</w:t>
            </w:r>
          </w:p>
        </w:tc>
        <w:tc>
          <w:tcPr>
            <w:tcW w:w="4819" w:type="dxa"/>
          </w:tcPr>
          <w:p w14:paraId="7B2C8C77" w14:textId="2FCC5F1A" w:rsidR="00C01926" w:rsidRPr="002C6752" w:rsidRDefault="00C01926" w:rsidP="00C01926">
            <w:pPr>
              <w:pStyle w:val="tabletext"/>
            </w:pPr>
            <w:r w:rsidRPr="002C6752">
              <w:t>A document required by s941A or 941B to be given in accordance with Div 2 of Pt 7.7</w:t>
            </w:r>
            <w:r w:rsidR="00E979B9">
              <w:t xml:space="preserve"> of Corporations Act</w:t>
            </w:r>
          </w:p>
          <w:p w14:paraId="7715AE5C" w14:textId="4E694162" w:rsidR="00C01926" w:rsidRPr="002C6752" w:rsidRDefault="00C01926" w:rsidP="00642749">
            <w:pPr>
              <w:pStyle w:val="tblnote"/>
            </w:pPr>
            <w:r w:rsidRPr="002C6752">
              <w:t>Note: This is a definition contained in s761A.</w:t>
            </w:r>
          </w:p>
        </w:tc>
      </w:tr>
      <w:tr w:rsidR="00700163" w:rsidRPr="002C6752" w14:paraId="1F149EAA" w14:textId="77777777" w:rsidTr="00E979B9">
        <w:trPr>
          <w:cantSplit/>
        </w:trPr>
        <w:tc>
          <w:tcPr>
            <w:tcW w:w="1985" w:type="dxa"/>
          </w:tcPr>
          <w:p w14:paraId="1D4098BD" w14:textId="12C0ED61" w:rsidR="00700163" w:rsidRPr="002C6752" w:rsidRDefault="00700163" w:rsidP="00C01926">
            <w:pPr>
              <w:pStyle w:val="tabletext"/>
            </w:pPr>
            <w:r>
              <w:t>fintech</w:t>
            </w:r>
          </w:p>
        </w:tc>
        <w:tc>
          <w:tcPr>
            <w:tcW w:w="4819" w:type="dxa"/>
          </w:tcPr>
          <w:p w14:paraId="52303957" w14:textId="33C404E5" w:rsidR="00616B57" w:rsidRPr="002C6752" w:rsidRDefault="00616B57" w:rsidP="00C01926">
            <w:pPr>
              <w:pStyle w:val="tabletext"/>
            </w:pPr>
            <w:r>
              <w:t>Financial technology</w:t>
            </w:r>
          </w:p>
        </w:tc>
      </w:tr>
      <w:tr w:rsidR="00616B57" w:rsidRPr="002C6752" w14:paraId="67EB04E3" w14:textId="77777777" w:rsidTr="00E979B9">
        <w:trPr>
          <w:cantSplit/>
        </w:trPr>
        <w:tc>
          <w:tcPr>
            <w:tcW w:w="1985" w:type="dxa"/>
          </w:tcPr>
          <w:p w14:paraId="4580214F" w14:textId="2F86282B" w:rsidR="00616B57" w:rsidRDefault="00616B57" w:rsidP="00C01926">
            <w:pPr>
              <w:pStyle w:val="tabletext"/>
            </w:pPr>
            <w:r>
              <w:t>fintech licensing exemption</w:t>
            </w:r>
          </w:p>
        </w:tc>
        <w:tc>
          <w:tcPr>
            <w:tcW w:w="4819" w:type="dxa"/>
          </w:tcPr>
          <w:p w14:paraId="5F8AB913" w14:textId="7E2A353B" w:rsidR="00616B57" w:rsidRDefault="00616B57" w:rsidP="00C31FD2">
            <w:pPr>
              <w:pStyle w:val="tbltext"/>
            </w:pPr>
            <w:r>
              <w:t xml:space="preserve">A conditional licensing exemption provided by ASIC under </w:t>
            </w:r>
            <w:hyperlink r:id="rId41" w:history="1">
              <w:r w:rsidRPr="00616B57">
                <w:rPr>
                  <w:rStyle w:val="Hyperlink"/>
                </w:rPr>
                <w:t>ASIC Corporations (Concept Validation Licensing Exemption) Instrument 2016/1175</w:t>
              </w:r>
            </w:hyperlink>
            <w:r>
              <w:t xml:space="preserve"> and </w:t>
            </w:r>
            <w:hyperlink r:id="rId42" w:history="1">
              <w:r w:rsidRPr="00616B57">
                <w:rPr>
                  <w:rStyle w:val="Hyperlink"/>
                </w:rPr>
                <w:t>ASIC Credit (Concept Validation Licensing Exemption) Instrument 2016/1176</w:t>
              </w:r>
            </w:hyperlink>
            <w:r>
              <w:t xml:space="preserve"> to allow eligible businesses to test certain specified products and services for up to 12 months without holding an AFS licence or credit licence </w:t>
            </w:r>
          </w:p>
        </w:tc>
      </w:tr>
      <w:tr w:rsidR="00C01926" w:rsidRPr="002C6752" w14:paraId="3ED7C68D" w14:textId="77777777" w:rsidTr="00E979B9">
        <w:trPr>
          <w:cantSplit/>
        </w:trPr>
        <w:tc>
          <w:tcPr>
            <w:tcW w:w="1985" w:type="dxa"/>
          </w:tcPr>
          <w:p w14:paraId="6B4F4FAC" w14:textId="77777777" w:rsidR="00C01926" w:rsidRPr="002C6752" w:rsidRDefault="00C01926" w:rsidP="00C01926">
            <w:pPr>
              <w:pStyle w:val="tabletext"/>
            </w:pPr>
            <w:r w:rsidRPr="002C6752">
              <w:t>hardship notice</w:t>
            </w:r>
          </w:p>
        </w:tc>
        <w:tc>
          <w:tcPr>
            <w:tcW w:w="4819" w:type="dxa"/>
          </w:tcPr>
          <w:p w14:paraId="5CB058A4" w14:textId="77777777" w:rsidR="00C01926" w:rsidRPr="002C6752" w:rsidRDefault="00C01926" w:rsidP="00C01926">
            <w:pPr>
              <w:pStyle w:val="tabletext"/>
            </w:pPr>
            <w:r w:rsidRPr="002C6752">
              <w:t>Means:</w:t>
            </w:r>
          </w:p>
          <w:p w14:paraId="74457FCA" w14:textId="0AAC282A" w:rsidR="00C01926" w:rsidRPr="002C6752" w:rsidRDefault="007D664A" w:rsidP="00642749">
            <w:pPr>
              <w:pStyle w:val="tablebullet"/>
            </w:pPr>
            <w:r w:rsidRPr="002C6752">
              <w:t>f</w:t>
            </w:r>
            <w:r w:rsidR="00C01926" w:rsidRPr="002C6752">
              <w:t xml:space="preserve">or credit contracts entered into before 1 March 2013, </w:t>
            </w:r>
            <w:r w:rsidR="00C01926" w:rsidRPr="00297D21">
              <w:rPr>
                <w:spacing w:val="-2"/>
              </w:rPr>
              <w:t xml:space="preserve">to which the National Credit Code applies, an application </w:t>
            </w:r>
            <w:r w:rsidR="00C01926" w:rsidRPr="00297D21">
              <w:rPr>
                <w:spacing w:val="-4"/>
              </w:rPr>
              <w:t>for a change to the terms of the contract for hardship; and</w:t>
            </w:r>
          </w:p>
          <w:p w14:paraId="29445E06" w14:textId="159C0A4A" w:rsidR="00C01926" w:rsidRPr="002C6752" w:rsidRDefault="007D664A" w:rsidP="00642749">
            <w:pPr>
              <w:pStyle w:val="tablebullet"/>
            </w:pPr>
            <w:r w:rsidRPr="002C6752">
              <w:t>f</w:t>
            </w:r>
            <w:r w:rsidR="00C01926" w:rsidRPr="002C6752">
              <w:t>or credit contracts or leases entered into on or after 1</w:t>
            </w:r>
            <w:r w:rsidRPr="002C6752">
              <w:t> </w:t>
            </w:r>
            <w:r w:rsidR="00C01926" w:rsidRPr="002C6752">
              <w:t>March 2013, to which the National Credit Code applies, a hardship notice under s72 or 177B</w:t>
            </w:r>
            <w:r w:rsidR="00EE50C7" w:rsidRPr="002C6752">
              <w:t xml:space="preserve"> </w:t>
            </w:r>
          </w:p>
        </w:tc>
      </w:tr>
      <w:tr w:rsidR="00C01926" w:rsidRPr="002C6752" w14:paraId="25040C9D" w14:textId="77777777" w:rsidTr="00E979B9">
        <w:trPr>
          <w:cantSplit/>
        </w:trPr>
        <w:tc>
          <w:tcPr>
            <w:tcW w:w="1985" w:type="dxa"/>
          </w:tcPr>
          <w:p w14:paraId="76E8D5CD" w14:textId="77777777" w:rsidR="00C01926" w:rsidRPr="002C6752" w:rsidRDefault="00C01926" w:rsidP="00C01926">
            <w:pPr>
              <w:pStyle w:val="tabletext"/>
            </w:pPr>
            <w:r w:rsidRPr="002C6752">
              <w:lastRenderedPageBreak/>
              <w:t>IDR</w:t>
            </w:r>
          </w:p>
        </w:tc>
        <w:tc>
          <w:tcPr>
            <w:tcW w:w="4819" w:type="dxa"/>
          </w:tcPr>
          <w:p w14:paraId="5D5F1DB8" w14:textId="77777777" w:rsidR="00C01926" w:rsidRPr="002C6752" w:rsidRDefault="00C01926" w:rsidP="00C01926">
            <w:pPr>
              <w:pStyle w:val="tabletext"/>
            </w:pPr>
            <w:r w:rsidRPr="002C6752">
              <w:t>Internal dispute resolution</w:t>
            </w:r>
          </w:p>
        </w:tc>
      </w:tr>
      <w:tr w:rsidR="00E979B9" w:rsidRPr="00E5670A" w14:paraId="7C52B2CE" w14:textId="77777777" w:rsidTr="00E979B9">
        <w:trPr>
          <w:cantSplit/>
        </w:trPr>
        <w:tc>
          <w:tcPr>
            <w:tcW w:w="1985" w:type="dxa"/>
          </w:tcPr>
          <w:p w14:paraId="76FC8A0D" w14:textId="77777777" w:rsidR="00E979B9" w:rsidRPr="00E5670A" w:rsidRDefault="00E979B9" w:rsidP="005E10C4">
            <w:pPr>
              <w:pStyle w:val="tabletext"/>
            </w:pPr>
            <w:r w:rsidRPr="00E5670A">
              <w:t>IDR procedures</w:t>
            </w:r>
            <w:r>
              <w:t xml:space="preserve"> (or</w:t>
            </w:r>
            <w:r w:rsidRPr="00E5670A">
              <w:t xml:space="preserve"> IDR processes</w:t>
            </w:r>
            <w:r>
              <w:t>)</w:t>
            </w:r>
          </w:p>
        </w:tc>
        <w:tc>
          <w:tcPr>
            <w:tcW w:w="4819" w:type="dxa"/>
          </w:tcPr>
          <w:p w14:paraId="5149190C" w14:textId="56D1EA9D" w:rsidR="00E979B9" w:rsidRPr="00E5670A" w:rsidRDefault="00E979B9" w:rsidP="005E10C4">
            <w:pPr>
              <w:pStyle w:val="tabletext"/>
            </w:pPr>
            <w:r>
              <w:t>The i</w:t>
            </w:r>
            <w:r w:rsidRPr="00E5670A">
              <w:t>nternal dispute resolution procedures that meet the requirements and standards</w:t>
            </w:r>
            <w:r w:rsidR="0011716A">
              <w:t xml:space="preserve"> made and approved by</w:t>
            </w:r>
            <w:r w:rsidRPr="00E5670A">
              <w:t xml:space="preserve"> ASIC under </w:t>
            </w:r>
            <w:r>
              <w:t>RG 271</w:t>
            </w:r>
            <w:r w:rsidR="0011716A">
              <w:t xml:space="preserve"> and </w:t>
            </w:r>
            <w:hyperlink r:id="rId43" w:anchor="instrument-2020-98" w:history="1">
              <w:r w:rsidR="0011716A" w:rsidRPr="004D1EF7">
                <w:rPr>
                  <w:rStyle w:val="Hyperlink"/>
                </w:rPr>
                <w:t>ASIC Corporations, Credit and Superannuation (Internal Dispute Resolution) Instrument 2020/9</w:t>
              </w:r>
              <w:r w:rsidR="00D72FB0" w:rsidRPr="004D1EF7">
                <w:rPr>
                  <w:rStyle w:val="Hyperlink"/>
                </w:rPr>
                <w:t>8</w:t>
              </w:r>
            </w:hyperlink>
          </w:p>
        </w:tc>
      </w:tr>
      <w:tr w:rsidR="0070106D" w:rsidRPr="002C6752" w14:paraId="0B637171" w14:textId="77777777" w:rsidTr="00E979B9">
        <w:trPr>
          <w:cantSplit/>
        </w:trPr>
        <w:tc>
          <w:tcPr>
            <w:tcW w:w="1985" w:type="dxa"/>
          </w:tcPr>
          <w:p w14:paraId="1C24E5CA" w14:textId="657620A7" w:rsidR="0070106D" w:rsidRPr="002C6752" w:rsidRDefault="0070106D" w:rsidP="00C01926">
            <w:pPr>
              <w:pStyle w:val="tabletext"/>
            </w:pPr>
            <w:r w:rsidRPr="002C6752">
              <w:t xml:space="preserve">IDR </w:t>
            </w:r>
            <w:r w:rsidR="00FC72FA" w:rsidRPr="002C6752">
              <w:t>r</w:t>
            </w:r>
            <w:r w:rsidRPr="002C6752">
              <w:t>esponse</w:t>
            </w:r>
          </w:p>
        </w:tc>
        <w:tc>
          <w:tcPr>
            <w:tcW w:w="4819" w:type="dxa"/>
          </w:tcPr>
          <w:p w14:paraId="4E902836" w14:textId="424E902A" w:rsidR="0070106D" w:rsidRPr="002C6752" w:rsidRDefault="0070106D" w:rsidP="00C01926">
            <w:pPr>
              <w:pStyle w:val="tabletext"/>
            </w:pPr>
            <w:r w:rsidRPr="002C6752">
              <w:t xml:space="preserve">A </w:t>
            </w:r>
            <w:r w:rsidR="00FC72FA" w:rsidRPr="002C6752">
              <w:t xml:space="preserve">written </w:t>
            </w:r>
            <w:r w:rsidRPr="002C6752">
              <w:t xml:space="preserve">response </w:t>
            </w:r>
            <w:r w:rsidR="00FC72FA" w:rsidRPr="002C6752">
              <w:t>to a complaint, which must</w:t>
            </w:r>
            <w:r w:rsidRPr="002C6752">
              <w:t xml:space="preserve"> be given to the complainant in accordance with </w:t>
            </w:r>
            <w:r w:rsidR="004769C1" w:rsidRPr="002C6752">
              <w:fldChar w:fldCharType="begin"/>
            </w:r>
            <w:r w:rsidR="004769C1" w:rsidRPr="002C6752">
              <w:instrText xml:space="preserve"> REF _ASICRef713 \w \h </w:instrText>
            </w:r>
            <w:r w:rsidR="004769C1" w:rsidRPr="002C6752">
              <w:fldChar w:fldCharType="separate"/>
            </w:r>
            <w:r w:rsidR="00DE6E77">
              <w:t>RG 271.53</w:t>
            </w:r>
            <w:r w:rsidR="004769C1" w:rsidRPr="002C6752">
              <w:fldChar w:fldCharType="end"/>
            </w:r>
            <w:r w:rsidR="00642F42" w:rsidRPr="002C6752">
              <w:t>–</w:t>
            </w:r>
            <w:r w:rsidR="00642F42" w:rsidRPr="002C6752">
              <w:fldChar w:fldCharType="begin"/>
            </w:r>
            <w:r w:rsidR="00642F42" w:rsidRPr="002C6752">
              <w:instrText xml:space="preserve"> REF _ASICRef322 \w \h </w:instrText>
            </w:r>
            <w:r w:rsidR="00642F42" w:rsidRPr="002C6752">
              <w:fldChar w:fldCharType="separate"/>
            </w:r>
            <w:r w:rsidR="00DE6E77">
              <w:t>RG 271.55</w:t>
            </w:r>
            <w:r w:rsidR="00642F42" w:rsidRPr="002C6752">
              <w:fldChar w:fldCharType="end"/>
            </w:r>
          </w:p>
        </w:tc>
      </w:tr>
      <w:tr w:rsidR="00EE50C7" w:rsidRPr="002C6752" w14:paraId="76F42496" w14:textId="77777777" w:rsidTr="00E979B9">
        <w:trPr>
          <w:cantSplit/>
        </w:trPr>
        <w:tc>
          <w:tcPr>
            <w:tcW w:w="1985" w:type="dxa"/>
          </w:tcPr>
          <w:p w14:paraId="1128093E" w14:textId="48DE77CA" w:rsidR="00EE50C7" w:rsidRPr="002C6752" w:rsidRDefault="00EE50C7" w:rsidP="00C01926">
            <w:pPr>
              <w:pStyle w:val="tabletext"/>
            </w:pPr>
            <w:r w:rsidRPr="002C6752">
              <w:t>INFO 110 (for example)</w:t>
            </w:r>
          </w:p>
        </w:tc>
        <w:tc>
          <w:tcPr>
            <w:tcW w:w="4819" w:type="dxa"/>
          </w:tcPr>
          <w:p w14:paraId="47F757E7" w14:textId="2CAFE80F" w:rsidR="00EE50C7" w:rsidRPr="002C6752" w:rsidRDefault="00EE50C7" w:rsidP="00C01926">
            <w:pPr>
              <w:pStyle w:val="tabletext"/>
            </w:pPr>
            <w:r w:rsidRPr="002C6752">
              <w:t>An ASIC information sheet (in this example numbered 110)</w:t>
            </w:r>
          </w:p>
        </w:tc>
      </w:tr>
      <w:tr w:rsidR="00C01926" w:rsidRPr="002C6752" w14:paraId="6C1004C0" w14:textId="77777777" w:rsidTr="00E979B9">
        <w:trPr>
          <w:cantSplit/>
        </w:trPr>
        <w:tc>
          <w:tcPr>
            <w:tcW w:w="1985" w:type="dxa"/>
          </w:tcPr>
          <w:p w14:paraId="520ABA7B" w14:textId="77777777" w:rsidR="00C01926" w:rsidRPr="002C6752" w:rsidRDefault="00C01926" w:rsidP="00C01926">
            <w:pPr>
              <w:pStyle w:val="tabletext"/>
            </w:pPr>
            <w:r w:rsidRPr="002C6752">
              <w:t>information return</w:t>
            </w:r>
          </w:p>
        </w:tc>
        <w:tc>
          <w:tcPr>
            <w:tcW w:w="4819" w:type="dxa"/>
          </w:tcPr>
          <w:p w14:paraId="00A0E564" w14:textId="1DE00C8C" w:rsidR="00C01926" w:rsidRPr="002C6752" w:rsidRDefault="00C01926" w:rsidP="00C01926">
            <w:pPr>
              <w:pStyle w:val="tabletext"/>
            </w:pPr>
            <w:r w:rsidRPr="002C6752">
              <w:t xml:space="preserve">A trustee company providing traditional services must give certain information to beneficiaries, settlors of trusts, and certain other parties within 30 </w:t>
            </w:r>
            <w:r w:rsidR="001461EC">
              <w:t xml:space="preserve">calendar </w:t>
            </w:r>
            <w:r w:rsidRPr="002C6752">
              <w:t>days of a request.</w:t>
            </w:r>
          </w:p>
          <w:p w14:paraId="378CE59A" w14:textId="77777777" w:rsidR="00C01926" w:rsidRPr="002C6752" w:rsidRDefault="00C01926" w:rsidP="00C01926">
            <w:pPr>
              <w:pStyle w:val="tabletext"/>
            </w:pPr>
            <w:r w:rsidRPr="002C6752">
              <w:t>Such information must include:</w:t>
            </w:r>
          </w:p>
          <w:p w14:paraId="3351083C" w14:textId="035F38F0" w:rsidR="00C01926" w:rsidRPr="002C6752" w:rsidRDefault="00EE4368" w:rsidP="00642749">
            <w:pPr>
              <w:pStyle w:val="tablebullet"/>
            </w:pPr>
            <w:r w:rsidRPr="002C6752">
              <w:t>t</w:t>
            </w:r>
            <w:r w:rsidR="00C01926" w:rsidRPr="002C6752">
              <w:t>he income earned on the trust</w:t>
            </w:r>
            <w:r w:rsidR="00E12C7C">
              <w:t>’</w:t>
            </w:r>
            <w:r w:rsidR="00C01926" w:rsidRPr="002C6752">
              <w:t>s assets;</w:t>
            </w:r>
          </w:p>
          <w:p w14:paraId="46B5A915" w14:textId="25F0B000" w:rsidR="00C01926" w:rsidRPr="002C6752" w:rsidRDefault="00EE4368" w:rsidP="00642749">
            <w:pPr>
              <w:pStyle w:val="tablebullet"/>
            </w:pPr>
            <w:r w:rsidRPr="002C6752">
              <w:t>t</w:t>
            </w:r>
            <w:r w:rsidR="00C01926" w:rsidRPr="002C6752">
              <w:t>he expenses of the trust, including remuneration, commission or other benefits received by the trustee company; and</w:t>
            </w:r>
          </w:p>
          <w:p w14:paraId="422468D0" w14:textId="6E1FBCF4" w:rsidR="00C01926" w:rsidRPr="002C6752" w:rsidRDefault="00EE4368" w:rsidP="00642749">
            <w:pPr>
              <w:pStyle w:val="tablebullet"/>
            </w:pPr>
            <w:r w:rsidRPr="002C6752">
              <w:t>t</w:t>
            </w:r>
            <w:r w:rsidR="00C01926" w:rsidRPr="002C6752">
              <w:t>he net value of the trust</w:t>
            </w:r>
            <w:r w:rsidR="00E12C7C">
              <w:t>’</w:t>
            </w:r>
            <w:r w:rsidR="00C01926" w:rsidRPr="002C6752">
              <w:t>s assets</w:t>
            </w:r>
          </w:p>
          <w:p w14:paraId="09D5D9C5" w14:textId="15691934" w:rsidR="00C01926" w:rsidRPr="002C6752" w:rsidRDefault="00C01926" w:rsidP="00642749">
            <w:pPr>
              <w:pStyle w:val="tblnote"/>
            </w:pPr>
            <w:r w:rsidRPr="002C6752">
              <w:t>Note: See s601RAC1(e) of the Corporations Act and regs</w:t>
            </w:r>
            <w:r w:rsidR="00C65314">
              <w:t> </w:t>
            </w:r>
            <w:r w:rsidRPr="002C6752">
              <w:t>5D.2.01, 5D.2.02 and 7.1.28A of the Corporations Regulations.</w:t>
            </w:r>
          </w:p>
        </w:tc>
      </w:tr>
      <w:tr w:rsidR="00C01926" w:rsidRPr="002C6752" w14:paraId="2FE783B5" w14:textId="77777777" w:rsidTr="00E979B9">
        <w:trPr>
          <w:cantSplit/>
        </w:trPr>
        <w:tc>
          <w:tcPr>
            <w:tcW w:w="1985" w:type="dxa"/>
          </w:tcPr>
          <w:p w14:paraId="4CDD69BB" w14:textId="32A10881" w:rsidR="00C01926" w:rsidRPr="002C6752" w:rsidRDefault="00C01926" w:rsidP="00C01926">
            <w:pPr>
              <w:pStyle w:val="tabletext"/>
            </w:pPr>
            <w:r w:rsidRPr="002C6752">
              <w:t>multi-tiered IDR proce</w:t>
            </w:r>
            <w:r w:rsidR="00FE3B6C" w:rsidRPr="002C6752">
              <w:t>ss</w:t>
            </w:r>
            <w:r w:rsidRPr="002C6752">
              <w:t>es</w:t>
            </w:r>
          </w:p>
        </w:tc>
        <w:tc>
          <w:tcPr>
            <w:tcW w:w="4819" w:type="dxa"/>
          </w:tcPr>
          <w:p w14:paraId="652DFA48" w14:textId="66D016B3" w:rsidR="00C01926" w:rsidRPr="002C6752" w:rsidRDefault="00C01926" w:rsidP="00C01926">
            <w:pPr>
              <w:pStyle w:val="tabletext"/>
            </w:pPr>
            <w:r w:rsidRPr="002C6752">
              <w:t>IDR proce</w:t>
            </w:r>
            <w:r w:rsidR="00F97EF9" w:rsidRPr="002C6752">
              <w:t>ss</w:t>
            </w:r>
            <w:r w:rsidRPr="002C6752">
              <w:t>es that include internal appeals or escalation mechanisms</w:t>
            </w:r>
          </w:p>
        </w:tc>
      </w:tr>
      <w:tr w:rsidR="00C01926" w:rsidRPr="002C6752" w14:paraId="2A9C16B0" w14:textId="77777777" w:rsidTr="00E979B9">
        <w:trPr>
          <w:cantSplit/>
        </w:trPr>
        <w:tc>
          <w:tcPr>
            <w:tcW w:w="1985" w:type="dxa"/>
          </w:tcPr>
          <w:p w14:paraId="5FB491A4" w14:textId="77777777" w:rsidR="00C01926" w:rsidRPr="002C6752" w:rsidRDefault="00C01926" w:rsidP="00C01926">
            <w:pPr>
              <w:pStyle w:val="tabletext"/>
            </w:pPr>
            <w:r w:rsidRPr="002C6752">
              <w:t>National Credit Act</w:t>
            </w:r>
          </w:p>
        </w:tc>
        <w:tc>
          <w:tcPr>
            <w:tcW w:w="4819" w:type="dxa"/>
          </w:tcPr>
          <w:p w14:paraId="2D442715" w14:textId="77777777" w:rsidR="00C01926" w:rsidRPr="002C6752" w:rsidRDefault="00C01926" w:rsidP="00C01926">
            <w:pPr>
              <w:pStyle w:val="tabletext"/>
              <w:rPr>
                <w:i/>
              </w:rPr>
            </w:pPr>
            <w:r w:rsidRPr="002C6752">
              <w:rPr>
                <w:i/>
              </w:rPr>
              <w:t>National Consumer Credit Protection Act 2009</w:t>
            </w:r>
          </w:p>
        </w:tc>
      </w:tr>
      <w:tr w:rsidR="00C01926" w:rsidRPr="002C6752" w14:paraId="669D1A69" w14:textId="77777777" w:rsidTr="00E979B9">
        <w:trPr>
          <w:cantSplit/>
        </w:trPr>
        <w:tc>
          <w:tcPr>
            <w:tcW w:w="1985" w:type="dxa"/>
          </w:tcPr>
          <w:p w14:paraId="411F3168" w14:textId="77777777" w:rsidR="00C01926" w:rsidRPr="002C6752" w:rsidRDefault="00C01926" w:rsidP="00C01926">
            <w:pPr>
              <w:pStyle w:val="tabletext"/>
            </w:pPr>
            <w:r w:rsidRPr="002C6752">
              <w:t>National Credit Code</w:t>
            </w:r>
          </w:p>
        </w:tc>
        <w:tc>
          <w:tcPr>
            <w:tcW w:w="4819" w:type="dxa"/>
          </w:tcPr>
          <w:p w14:paraId="64B749F5" w14:textId="5803C910" w:rsidR="00C01926" w:rsidRPr="002C6752" w:rsidRDefault="00C01926" w:rsidP="00C01926">
            <w:pPr>
              <w:pStyle w:val="tabletext"/>
            </w:pPr>
            <w:r w:rsidRPr="002C6752">
              <w:t xml:space="preserve">National Credit Code at Sch 1 </w:t>
            </w:r>
            <w:r w:rsidR="007D664A" w:rsidRPr="002C6752">
              <w:t>to</w:t>
            </w:r>
            <w:r w:rsidRPr="002C6752">
              <w:t xml:space="preserve"> the National Credit Act</w:t>
            </w:r>
          </w:p>
        </w:tc>
      </w:tr>
      <w:tr w:rsidR="00C01926" w:rsidRPr="002C6752" w14:paraId="7A86852F" w14:textId="77777777" w:rsidTr="00E979B9">
        <w:trPr>
          <w:cantSplit/>
        </w:trPr>
        <w:tc>
          <w:tcPr>
            <w:tcW w:w="1985" w:type="dxa"/>
          </w:tcPr>
          <w:p w14:paraId="340B2941" w14:textId="77777777" w:rsidR="00C01926" w:rsidRPr="002C6752" w:rsidRDefault="00C01926" w:rsidP="00C01926">
            <w:pPr>
              <w:pStyle w:val="tabletext"/>
            </w:pPr>
            <w:r w:rsidRPr="002C6752">
              <w:t>National Credit Regulations</w:t>
            </w:r>
          </w:p>
        </w:tc>
        <w:tc>
          <w:tcPr>
            <w:tcW w:w="4819" w:type="dxa"/>
          </w:tcPr>
          <w:p w14:paraId="2B3A66CD" w14:textId="77777777" w:rsidR="00C01926" w:rsidRPr="002C6752" w:rsidRDefault="00C01926" w:rsidP="00C01926">
            <w:pPr>
              <w:pStyle w:val="tabletext"/>
            </w:pPr>
            <w:r w:rsidRPr="002C6752">
              <w:t>National Consumer Credit Protection Regulations 2010</w:t>
            </w:r>
          </w:p>
        </w:tc>
      </w:tr>
      <w:tr w:rsidR="00C01926" w:rsidRPr="002C6752" w14:paraId="0371F826" w14:textId="77777777" w:rsidTr="00E979B9">
        <w:trPr>
          <w:cantSplit/>
        </w:trPr>
        <w:tc>
          <w:tcPr>
            <w:tcW w:w="1985" w:type="dxa"/>
          </w:tcPr>
          <w:p w14:paraId="254CD470" w14:textId="77777777" w:rsidR="00C01926" w:rsidRPr="002C6752" w:rsidRDefault="00C01926" w:rsidP="00C01926">
            <w:pPr>
              <w:pStyle w:val="tabletext"/>
            </w:pPr>
            <w:r w:rsidRPr="002C6752">
              <w:t>PDS</w:t>
            </w:r>
          </w:p>
        </w:tc>
        <w:tc>
          <w:tcPr>
            <w:tcW w:w="4819" w:type="dxa"/>
          </w:tcPr>
          <w:p w14:paraId="5B878C0F" w14:textId="192D6C64" w:rsidR="00483B56" w:rsidRPr="002C6752" w:rsidRDefault="00483B56" w:rsidP="00483B56">
            <w:pPr>
              <w:pStyle w:val="tabletext"/>
              <w:rPr>
                <w:rFonts w:eastAsia="MS Mincho"/>
              </w:rPr>
            </w:pPr>
            <w:r w:rsidRPr="002C6752">
              <w:t xml:space="preserve">A </w:t>
            </w:r>
            <w:r w:rsidR="00C01926" w:rsidRPr="002C6752">
              <w:t>Product Disclosure Statement</w:t>
            </w:r>
            <w:r w:rsidRPr="002C6752">
              <w:t>—</w:t>
            </w:r>
            <w:r w:rsidRPr="002C6752">
              <w:rPr>
                <w:rFonts w:eastAsia="MS Mincho"/>
              </w:rPr>
              <w:t>a document that must be given to a retail client for the offer or issue of a financial product in accordance with Div 2 of Pt 7.9 of the Corporations Act</w:t>
            </w:r>
          </w:p>
          <w:p w14:paraId="0F7E82F0" w14:textId="7A15083E" w:rsidR="00C01926" w:rsidRPr="002C6752" w:rsidRDefault="00483B56" w:rsidP="00E5660C">
            <w:pPr>
              <w:pStyle w:val="tblnote"/>
            </w:pPr>
            <w:r w:rsidRPr="002C6752">
              <w:rPr>
                <w:rFonts w:eastAsia="MS Mincho"/>
              </w:rPr>
              <w:t>Note: See s761A for the exact definition.</w:t>
            </w:r>
          </w:p>
        </w:tc>
      </w:tr>
      <w:tr w:rsidR="00ED75E3" w:rsidRPr="002C6752" w14:paraId="07950E9E" w14:textId="77777777" w:rsidTr="00E979B9">
        <w:trPr>
          <w:cantSplit/>
        </w:trPr>
        <w:tc>
          <w:tcPr>
            <w:tcW w:w="1985" w:type="dxa"/>
          </w:tcPr>
          <w:p w14:paraId="01F40DA9" w14:textId="58520703" w:rsidR="00ED75E3" w:rsidRPr="002C6752" w:rsidRDefault="00ED75E3" w:rsidP="00C01926">
            <w:pPr>
              <w:pStyle w:val="tabletext"/>
            </w:pPr>
            <w:r w:rsidRPr="002C6752">
              <w:t>primary producer</w:t>
            </w:r>
          </w:p>
        </w:tc>
        <w:tc>
          <w:tcPr>
            <w:tcW w:w="4819" w:type="dxa"/>
          </w:tcPr>
          <w:p w14:paraId="74A54279" w14:textId="1FB95428" w:rsidR="00ED75E3" w:rsidRPr="002C6752" w:rsidRDefault="00ED75E3" w:rsidP="00582267">
            <w:pPr>
              <w:pStyle w:val="tbltext"/>
            </w:pPr>
            <w:r w:rsidRPr="002C6752">
              <w:t>A primary production business within the meaning of s995.1(1) of the</w:t>
            </w:r>
            <w:r w:rsidRPr="002C6752">
              <w:rPr>
                <w:i/>
              </w:rPr>
              <w:t xml:space="preserve"> Income Tax Assessment Act 1997</w:t>
            </w:r>
          </w:p>
          <w:p w14:paraId="0ABCC9C4" w14:textId="703FF341" w:rsidR="00ED75E3" w:rsidRPr="002C6752" w:rsidRDefault="00ED75E3" w:rsidP="00E5660C">
            <w:pPr>
              <w:pStyle w:val="tblnote"/>
            </w:pPr>
            <w:r w:rsidRPr="002C6752">
              <w:t>Note: This is the meaning given in the AFCA Rules.</w:t>
            </w:r>
          </w:p>
        </w:tc>
      </w:tr>
      <w:tr w:rsidR="00CE3424" w:rsidRPr="002C6752" w14:paraId="3B655F69" w14:textId="77777777" w:rsidTr="00E979B9">
        <w:trPr>
          <w:cantSplit/>
        </w:trPr>
        <w:tc>
          <w:tcPr>
            <w:tcW w:w="1985" w:type="dxa"/>
          </w:tcPr>
          <w:p w14:paraId="19F450C7" w14:textId="47BDEE10" w:rsidR="00CE3424" w:rsidRPr="002C6752" w:rsidRDefault="00CE3424" w:rsidP="00C01926">
            <w:pPr>
              <w:pStyle w:val="tabletext"/>
            </w:pPr>
            <w:r w:rsidRPr="002C6752">
              <w:t>Ramsay Review</w:t>
            </w:r>
          </w:p>
        </w:tc>
        <w:tc>
          <w:tcPr>
            <w:tcW w:w="4819" w:type="dxa"/>
          </w:tcPr>
          <w:p w14:paraId="4CCBA428" w14:textId="10B582FD" w:rsidR="00CE3424" w:rsidRPr="002C6752" w:rsidRDefault="00CE3424" w:rsidP="00C01926">
            <w:pPr>
              <w:pStyle w:val="tabletext"/>
            </w:pPr>
            <w:r w:rsidRPr="002C6752">
              <w:t>Review of the financial system external dispute resolution and complaints framework</w:t>
            </w:r>
          </w:p>
        </w:tc>
      </w:tr>
      <w:tr w:rsidR="009615E9" w:rsidRPr="002C6752" w14:paraId="5D31FE04" w14:textId="77777777" w:rsidTr="00E979B9">
        <w:trPr>
          <w:cantSplit/>
        </w:trPr>
        <w:tc>
          <w:tcPr>
            <w:tcW w:w="1985" w:type="dxa"/>
          </w:tcPr>
          <w:p w14:paraId="02E5F7A5" w14:textId="52F77F22" w:rsidR="009615E9" w:rsidRPr="002C6752" w:rsidRDefault="009615E9" w:rsidP="00C01926">
            <w:pPr>
              <w:pStyle w:val="tabletext"/>
            </w:pPr>
            <w:r w:rsidRPr="002C6752">
              <w:t>Ramsay Review final report</w:t>
            </w:r>
          </w:p>
        </w:tc>
        <w:tc>
          <w:tcPr>
            <w:tcW w:w="4819" w:type="dxa"/>
          </w:tcPr>
          <w:p w14:paraId="4B5A2B0A" w14:textId="03837CCD" w:rsidR="009615E9" w:rsidRPr="002C6752" w:rsidRDefault="009615E9" w:rsidP="00C01926">
            <w:pPr>
              <w:pStyle w:val="tabletext"/>
            </w:pPr>
            <w:r w:rsidRPr="002211F7">
              <w:rPr>
                <w:i/>
                <w:color w:val="000000"/>
              </w:rPr>
              <w:t>Final report: Review of the financial system external dispute resolution and complaints framework</w:t>
            </w:r>
            <w:r w:rsidRPr="002C6752">
              <w:rPr>
                <w:color w:val="000000"/>
              </w:rPr>
              <w:t xml:space="preserve"> (May 2017)</w:t>
            </w:r>
          </w:p>
        </w:tc>
      </w:tr>
      <w:tr w:rsidR="00C01926" w:rsidRPr="002C6752" w14:paraId="5DC02BBC" w14:textId="77777777" w:rsidTr="00E979B9">
        <w:trPr>
          <w:cantSplit/>
        </w:trPr>
        <w:tc>
          <w:tcPr>
            <w:tcW w:w="1985" w:type="dxa"/>
          </w:tcPr>
          <w:p w14:paraId="0499FE37" w14:textId="77777777" w:rsidR="00C01926" w:rsidRPr="002C6752" w:rsidRDefault="00C01926" w:rsidP="00C01926">
            <w:pPr>
              <w:pStyle w:val="tabletext"/>
            </w:pPr>
            <w:r w:rsidRPr="002C6752">
              <w:lastRenderedPageBreak/>
              <w:t>reg 16 (for example)</w:t>
            </w:r>
          </w:p>
        </w:tc>
        <w:tc>
          <w:tcPr>
            <w:tcW w:w="4819" w:type="dxa"/>
          </w:tcPr>
          <w:p w14:paraId="22BA3CEE" w14:textId="77777777" w:rsidR="00C01926" w:rsidRPr="002C6752" w:rsidRDefault="00C01926" w:rsidP="00C01926">
            <w:pPr>
              <w:pStyle w:val="tabletext"/>
            </w:pPr>
            <w:r w:rsidRPr="002C6752">
              <w:t>A regulation of a set of regulations as specified (in this example numbered 16)</w:t>
            </w:r>
          </w:p>
        </w:tc>
      </w:tr>
      <w:tr w:rsidR="00C01926" w:rsidRPr="002C6752" w14:paraId="6BA91227" w14:textId="77777777" w:rsidTr="00E979B9">
        <w:trPr>
          <w:cantSplit/>
        </w:trPr>
        <w:tc>
          <w:tcPr>
            <w:tcW w:w="1985" w:type="dxa"/>
          </w:tcPr>
          <w:p w14:paraId="305AAAC2" w14:textId="77777777" w:rsidR="00C01926" w:rsidRPr="002C6752" w:rsidRDefault="00C01926" w:rsidP="00C01926">
            <w:pPr>
              <w:pStyle w:val="tabletext"/>
            </w:pPr>
            <w:r w:rsidRPr="002C6752">
              <w:t>retail client</w:t>
            </w:r>
          </w:p>
        </w:tc>
        <w:tc>
          <w:tcPr>
            <w:tcW w:w="4819" w:type="dxa"/>
          </w:tcPr>
          <w:p w14:paraId="215597B0" w14:textId="37B5C6DE" w:rsidR="00C01926" w:rsidRPr="002C6752" w:rsidRDefault="00C01926" w:rsidP="00C01926">
            <w:pPr>
              <w:pStyle w:val="tabletext"/>
            </w:pPr>
            <w:r w:rsidRPr="002C6752">
              <w:t>A client as defined in s761G of the Corporations Act and Div 2 of</w:t>
            </w:r>
            <w:r w:rsidR="00483B56" w:rsidRPr="002C6752">
              <w:t xml:space="preserve"> Pt 7.1 of</w:t>
            </w:r>
            <w:r w:rsidRPr="002C6752">
              <w:t xml:space="preserve"> the Corporations Regulations</w:t>
            </w:r>
          </w:p>
        </w:tc>
      </w:tr>
      <w:tr w:rsidR="00CE3424" w:rsidRPr="002C6752" w14:paraId="170B1B84" w14:textId="77777777" w:rsidTr="00E979B9">
        <w:trPr>
          <w:cantSplit/>
        </w:trPr>
        <w:tc>
          <w:tcPr>
            <w:tcW w:w="1985" w:type="dxa"/>
          </w:tcPr>
          <w:p w14:paraId="171B3637" w14:textId="539B0EE2" w:rsidR="00CE3424" w:rsidRPr="002C6752" w:rsidRDefault="00CE3424" w:rsidP="00C01926">
            <w:pPr>
              <w:pStyle w:val="tabletext"/>
            </w:pPr>
            <w:r w:rsidRPr="002C6752">
              <w:t xml:space="preserve">RG </w:t>
            </w:r>
            <w:r w:rsidR="00483B56" w:rsidRPr="002C6752">
              <w:t>267</w:t>
            </w:r>
            <w:r w:rsidRPr="002C6752">
              <w:t xml:space="preserve"> (for example)</w:t>
            </w:r>
          </w:p>
        </w:tc>
        <w:tc>
          <w:tcPr>
            <w:tcW w:w="4819" w:type="dxa"/>
          </w:tcPr>
          <w:p w14:paraId="09FBAC3B" w14:textId="7E96E4F1" w:rsidR="00CE3424" w:rsidRPr="002C6752" w:rsidRDefault="00CE3424" w:rsidP="00C01926">
            <w:pPr>
              <w:pStyle w:val="tabletext"/>
            </w:pPr>
            <w:r w:rsidRPr="002C6752">
              <w:t xml:space="preserve">An ASIC regulatory guide (in this example numbered </w:t>
            </w:r>
            <w:r w:rsidR="00483B56" w:rsidRPr="002C6752">
              <w:t>267</w:t>
            </w:r>
            <w:r w:rsidRPr="002C6752">
              <w:t>)</w:t>
            </w:r>
          </w:p>
        </w:tc>
      </w:tr>
      <w:tr w:rsidR="00483B56" w:rsidRPr="002C6752" w14:paraId="026DD5B3" w14:textId="77777777" w:rsidTr="00E979B9">
        <w:trPr>
          <w:cantSplit/>
        </w:trPr>
        <w:tc>
          <w:tcPr>
            <w:tcW w:w="1985" w:type="dxa"/>
          </w:tcPr>
          <w:p w14:paraId="69A173FF" w14:textId="65DCFD99" w:rsidR="00483B56" w:rsidRPr="002C6752" w:rsidRDefault="00483B56" w:rsidP="00C01926">
            <w:pPr>
              <w:pStyle w:val="tabletext"/>
            </w:pPr>
            <w:r w:rsidRPr="002C6752">
              <w:t>RSA</w:t>
            </w:r>
          </w:p>
        </w:tc>
        <w:tc>
          <w:tcPr>
            <w:tcW w:w="4819" w:type="dxa"/>
          </w:tcPr>
          <w:p w14:paraId="71EBE99B" w14:textId="454049F8" w:rsidR="00483B56" w:rsidRPr="002C6752" w:rsidRDefault="00483B56" w:rsidP="00C01926">
            <w:pPr>
              <w:pStyle w:val="tabletext"/>
              <w:rPr>
                <w:rFonts w:eastAsia="MS Mincho"/>
              </w:rPr>
            </w:pPr>
            <w:r w:rsidRPr="002C6752">
              <w:rPr>
                <w:rFonts w:eastAsia="MS Mincho"/>
              </w:rPr>
              <w:t>A retirement savings account as defined in the RSA Act</w:t>
            </w:r>
          </w:p>
        </w:tc>
      </w:tr>
      <w:tr w:rsidR="00483B56" w:rsidRPr="002C6752" w14:paraId="655CFC58" w14:textId="77777777" w:rsidTr="00E979B9">
        <w:trPr>
          <w:cantSplit/>
        </w:trPr>
        <w:tc>
          <w:tcPr>
            <w:tcW w:w="1985" w:type="dxa"/>
          </w:tcPr>
          <w:p w14:paraId="353558EA" w14:textId="0E0D3970" w:rsidR="00483B56" w:rsidRPr="002C6752" w:rsidDel="00ED75E3" w:rsidRDefault="00483B56" w:rsidP="00C01926">
            <w:pPr>
              <w:pStyle w:val="tabletext"/>
            </w:pPr>
            <w:r w:rsidRPr="002C6752">
              <w:t>RSA Act</w:t>
            </w:r>
          </w:p>
        </w:tc>
        <w:tc>
          <w:tcPr>
            <w:tcW w:w="4819" w:type="dxa"/>
          </w:tcPr>
          <w:p w14:paraId="5AA0C972" w14:textId="32DEB929" w:rsidR="00483B56" w:rsidRPr="002C6752" w:rsidRDefault="00483B56" w:rsidP="00C01926">
            <w:pPr>
              <w:pStyle w:val="tabletext"/>
            </w:pPr>
            <w:r w:rsidRPr="002C6752">
              <w:rPr>
                <w:rFonts w:eastAsia="MS Mincho"/>
                <w:i/>
              </w:rPr>
              <w:t>Retirement Savings Accounts Act 1997</w:t>
            </w:r>
          </w:p>
        </w:tc>
      </w:tr>
      <w:tr w:rsidR="00C01926" w:rsidRPr="002C6752" w14:paraId="25D76DEE" w14:textId="77777777" w:rsidTr="00E979B9">
        <w:trPr>
          <w:cantSplit/>
        </w:trPr>
        <w:tc>
          <w:tcPr>
            <w:tcW w:w="1985" w:type="dxa"/>
          </w:tcPr>
          <w:p w14:paraId="37634E24" w14:textId="7DD9E084" w:rsidR="00C01926" w:rsidRPr="002C6752" w:rsidRDefault="00ED75E3" w:rsidP="00C01926">
            <w:pPr>
              <w:pStyle w:val="tabletext"/>
            </w:pPr>
            <w:r w:rsidRPr="002C6752">
              <w:t>s</w:t>
            </w:r>
            <w:r w:rsidR="00C01926" w:rsidRPr="002C6752">
              <w:t>64 (for example)</w:t>
            </w:r>
          </w:p>
        </w:tc>
        <w:tc>
          <w:tcPr>
            <w:tcW w:w="4819" w:type="dxa"/>
          </w:tcPr>
          <w:p w14:paraId="77B996B4" w14:textId="1E2D9781" w:rsidR="00C01926" w:rsidRPr="002C6752" w:rsidRDefault="00C01926" w:rsidP="00C01926">
            <w:pPr>
              <w:pStyle w:val="tabletext"/>
            </w:pPr>
            <w:r w:rsidRPr="002C6752">
              <w:t xml:space="preserve">A section of </w:t>
            </w:r>
            <w:r w:rsidR="00ED75E3" w:rsidRPr="002C6752">
              <w:t>the Corporations</w:t>
            </w:r>
            <w:r w:rsidRPr="002C6752">
              <w:t xml:space="preserve"> Act</w:t>
            </w:r>
            <w:r w:rsidR="00ED75E3" w:rsidRPr="002C6752">
              <w:t>,</w:t>
            </w:r>
            <w:r w:rsidRPr="002C6752">
              <w:t xml:space="preserve"> </w:t>
            </w:r>
            <w:r w:rsidR="00ED75E3" w:rsidRPr="002C6752">
              <w:t>unless otherwise</w:t>
            </w:r>
            <w:r w:rsidRPr="002C6752">
              <w:t xml:space="preserve"> specified (in this example numbered 64)</w:t>
            </w:r>
          </w:p>
        </w:tc>
      </w:tr>
      <w:tr w:rsidR="00CE3424" w:rsidRPr="002C6752" w14:paraId="7CC6B7B0" w14:textId="77777777" w:rsidTr="00E979B9">
        <w:trPr>
          <w:cantSplit/>
        </w:trPr>
        <w:tc>
          <w:tcPr>
            <w:tcW w:w="1985" w:type="dxa"/>
          </w:tcPr>
          <w:p w14:paraId="65FE32B6" w14:textId="01F0B36B" w:rsidR="00CE3424" w:rsidRPr="002C6752" w:rsidRDefault="00CE3424" w:rsidP="00C01926">
            <w:pPr>
              <w:pStyle w:val="tabletext"/>
            </w:pPr>
            <w:r w:rsidRPr="002C6752">
              <w:t>SIS Act</w:t>
            </w:r>
          </w:p>
        </w:tc>
        <w:tc>
          <w:tcPr>
            <w:tcW w:w="4819" w:type="dxa"/>
          </w:tcPr>
          <w:p w14:paraId="63EC56B1" w14:textId="271B8904" w:rsidR="00CE3424" w:rsidRPr="002C6752" w:rsidRDefault="00CE3424" w:rsidP="00C01926">
            <w:pPr>
              <w:pStyle w:val="tabletext"/>
              <w:rPr>
                <w:i/>
              </w:rPr>
            </w:pPr>
            <w:r w:rsidRPr="002C6752">
              <w:rPr>
                <w:i/>
              </w:rPr>
              <w:t>Superannuation Industry (Supervision) Act 1993</w:t>
            </w:r>
          </w:p>
        </w:tc>
      </w:tr>
      <w:tr w:rsidR="00C01926" w:rsidRPr="002C6752" w14:paraId="63D5BC29" w14:textId="77777777" w:rsidTr="00E979B9">
        <w:trPr>
          <w:cantSplit/>
        </w:trPr>
        <w:tc>
          <w:tcPr>
            <w:tcW w:w="1985" w:type="dxa"/>
          </w:tcPr>
          <w:p w14:paraId="64E73398" w14:textId="77777777" w:rsidR="00C01926" w:rsidRPr="002C6752" w:rsidRDefault="00C01926" w:rsidP="00C01926">
            <w:pPr>
              <w:pStyle w:val="tabletext"/>
            </w:pPr>
            <w:bookmarkStart w:id="411" w:name="_Hlk33533496"/>
            <w:r w:rsidRPr="002C6752">
              <w:t>securitisation body</w:t>
            </w:r>
          </w:p>
        </w:tc>
        <w:tc>
          <w:tcPr>
            <w:tcW w:w="4819" w:type="dxa"/>
          </w:tcPr>
          <w:p w14:paraId="14B34489" w14:textId="30929F14" w:rsidR="00C01926" w:rsidRPr="002C6752" w:rsidRDefault="00C01926" w:rsidP="00C01926">
            <w:pPr>
              <w:pStyle w:val="tabletext"/>
            </w:pPr>
            <w:r w:rsidRPr="002C6752">
              <w:t xml:space="preserve">Means a </w:t>
            </w:r>
            <w:r w:rsidR="00E12C7C">
              <w:t>‘</w:t>
            </w:r>
            <w:r w:rsidRPr="002C6752">
              <w:t>special purpose funding entity</w:t>
            </w:r>
            <w:r w:rsidR="00E12C7C">
              <w:t>’</w:t>
            </w:r>
            <w:r w:rsidR="00CA7F0D">
              <w:t xml:space="preserve"> </w:t>
            </w:r>
            <w:r w:rsidR="00E67EF9">
              <w:t>(as defined in s5 of the National Credit Act)</w:t>
            </w:r>
            <w:r w:rsidRPr="002C6752">
              <w:t>, which includes both:</w:t>
            </w:r>
          </w:p>
          <w:p w14:paraId="3C58E7FA" w14:textId="79316BB9" w:rsidR="00C01926" w:rsidRPr="002C6752" w:rsidRDefault="00FD5C7A" w:rsidP="00642749">
            <w:pPr>
              <w:pStyle w:val="tablebullet"/>
            </w:pPr>
            <w:r>
              <w:t>a</w:t>
            </w:r>
            <w:r w:rsidR="00C01926" w:rsidRPr="002C6752">
              <w:t xml:space="preserve"> securitisation entity; and</w:t>
            </w:r>
          </w:p>
          <w:p w14:paraId="39C8421B" w14:textId="77FE975B" w:rsidR="00C01926" w:rsidRPr="002C6752" w:rsidRDefault="00FD5C7A" w:rsidP="00642749">
            <w:pPr>
              <w:pStyle w:val="tablebullet"/>
            </w:pPr>
            <w:r>
              <w:t>a</w:t>
            </w:r>
            <w:r w:rsidR="00C01926" w:rsidRPr="002C6752">
              <w:t xml:space="preserve"> fun</w:t>
            </w:r>
            <w:r w:rsidR="005153AF" w:rsidRPr="002C6752">
              <w:t>d</w:t>
            </w:r>
            <w:r w:rsidR="00E67EF9">
              <w:t xml:space="preserve"> </w:t>
            </w:r>
            <w:r w:rsidR="005153AF" w:rsidRPr="002C6752">
              <w:t>raising special purpose entity</w:t>
            </w:r>
          </w:p>
          <w:p w14:paraId="529CC8F2" w14:textId="309CA1CB" w:rsidR="00C01926" w:rsidRPr="002C6752" w:rsidRDefault="005153AF" w:rsidP="005153AF">
            <w:pPr>
              <w:pStyle w:val="tblnote"/>
            </w:pPr>
            <w:r w:rsidRPr="002C6752">
              <w:t xml:space="preserve">Note: See the </w:t>
            </w:r>
            <w:r w:rsidR="00C01926" w:rsidRPr="002C6752">
              <w:t>defin</w:t>
            </w:r>
            <w:r w:rsidRPr="002C6752">
              <w:t xml:space="preserve">ition </w:t>
            </w:r>
            <w:r w:rsidR="00E67EF9">
              <w:t xml:space="preserve">of each of the above terms </w:t>
            </w:r>
            <w:r w:rsidRPr="002C6752">
              <w:t xml:space="preserve">in </w:t>
            </w:r>
            <w:r w:rsidR="00C01926" w:rsidRPr="002C6752">
              <w:t>s5 of the National Credit Act</w:t>
            </w:r>
            <w:r w:rsidRPr="002C6752">
              <w:t>.</w:t>
            </w:r>
          </w:p>
        </w:tc>
      </w:tr>
      <w:bookmarkEnd w:id="411"/>
      <w:tr w:rsidR="00ED75E3" w:rsidRPr="002C6752" w14:paraId="6A3E1870" w14:textId="77777777" w:rsidTr="00E979B9">
        <w:trPr>
          <w:cantSplit/>
        </w:trPr>
        <w:tc>
          <w:tcPr>
            <w:tcW w:w="1985" w:type="dxa"/>
          </w:tcPr>
          <w:p w14:paraId="561C08D6" w14:textId="25C808BB" w:rsidR="00ED75E3" w:rsidRPr="002C6752" w:rsidRDefault="00ED75E3" w:rsidP="00ED75E3">
            <w:pPr>
              <w:pStyle w:val="tabletext"/>
            </w:pPr>
            <w:r w:rsidRPr="002C6752">
              <w:t>servicing agreement</w:t>
            </w:r>
          </w:p>
        </w:tc>
        <w:tc>
          <w:tcPr>
            <w:tcW w:w="4819" w:type="dxa"/>
          </w:tcPr>
          <w:p w14:paraId="0C8BCCD7" w14:textId="4B7DB774" w:rsidR="00ED75E3" w:rsidRPr="002C6752" w:rsidRDefault="00ED75E3" w:rsidP="00ED75E3">
            <w:pPr>
              <w:pStyle w:val="tabletext"/>
            </w:pPr>
            <w:r w:rsidRPr="002C6752">
              <w:t>An agreement between a securitisation body and a credit licensee as defined in s5 of the National Credit Act</w:t>
            </w:r>
            <w:r w:rsidR="00DC5A8A">
              <w:t xml:space="preserve">, </w:t>
            </w:r>
            <w:r w:rsidR="00DC5A8A">
              <w:rPr>
                <w:sz w:val="19"/>
                <w:szCs w:val="19"/>
              </w:rPr>
              <w:t>as modified by item 3.4 of Sch 3 of the</w:t>
            </w:r>
            <w:r w:rsidR="00DD58FB">
              <w:rPr>
                <w:sz w:val="19"/>
                <w:szCs w:val="19"/>
              </w:rPr>
              <w:t xml:space="preserve"> </w:t>
            </w:r>
            <w:r w:rsidR="00DC5A8A">
              <w:rPr>
                <w:sz w:val="19"/>
                <w:szCs w:val="19"/>
              </w:rPr>
              <w:t>National Credit Regulations</w:t>
            </w:r>
          </w:p>
        </w:tc>
      </w:tr>
      <w:tr w:rsidR="00C01926" w:rsidRPr="002C6752" w14:paraId="2FC3C66B" w14:textId="77777777" w:rsidTr="00E979B9">
        <w:trPr>
          <w:cantSplit/>
        </w:trPr>
        <w:tc>
          <w:tcPr>
            <w:tcW w:w="1985" w:type="dxa"/>
          </w:tcPr>
          <w:p w14:paraId="19A05F57" w14:textId="2E9EAA7F" w:rsidR="00266F99" w:rsidRPr="002C6752" w:rsidRDefault="00266F99" w:rsidP="00C01926">
            <w:pPr>
              <w:pStyle w:val="tabletext"/>
            </w:pPr>
            <w:r w:rsidRPr="002C6752">
              <w:t>small business</w:t>
            </w:r>
          </w:p>
        </w:tc>
        <w:tc>
          <w:tcPr>
            <w:tcW w:w="4819" w:type="dxa"/>
          </w:tcPr>
          <w:p w14:paraId="38765C68" w14:textId="07962199" w:rsidR="00266F99" w:rsidRPr="002C6752" w:rsidRDefault="00924260" w:rsidP="0010362C">
            <w:pPr>
              <w:pStyle w:val="tbltext"/>
            </w:pPr>
            <w:r w:rsidRPr="002C6752">
              <w:t>Has the meaning given in the</w:t>
            </w:r>
            <w:r w:rsidR="00EB40DA" w:rsidRPr="002C6752">
              <w:t xml:space="preserve"> modified s761G of the Corporations Act</w:t>
            </w:r>
          </w:p>
        </w:tc>
      </w:tr>
      <w:tr w:rsidR="000721A1" w:rsidRPr="002C6752" w14:paraId="4BC77F47" w14:textId="77777777" w:rsidTr="00E979B9">
        <w:trPr>
          <w:cantSplit/>
        </w:trPr>
        <w:tc>
          <w:tcPr>
            <w:tcW w:w="1985" w:type="dxa"/>
          </w:tcPr>
          <w:p w14:paraId="755E50DD" w14:textId="053A7971" w:rsidR="000721A1" w:rsidRPr="002C6752" w:rsidRDefault="000721A1" w:rsidP="00C01926">
            <w:pPr>
              <w:pStyle w:val="tabletext"/>
            </w:pPr>
            <w:r w:rsidRPr="002C6752">
              <w:t>SMSF</w:t>
            </w:r>
          </w:p>
        </w:tc>
        <w:tc>
          <w:tcPr>
            <w:tcW w:w="4819" w:type="dxa"/>
          </w:tcPr>
          <w:p w14:paraId="3E5130BC" w14:textId="5F3BAFD8" w:rsidR="000721A1" w:rsidRPr="002C6752" w:rsidRDefault="000721A1" w:rsidP="00C01926">
            <w:pPr>
              <w:pStyle w:val="tabletext"/>
            </w:pPr>
            <w:r w:rsidRPr="002C6752">
              <w:t>A self-managed superannuation fund</w:t>
            </w:r>
          </w:p>
        </w:tc>
      </w:tr>
      <w:tr w:rsidR="000721A1" w:rsidRPr="002C6752" w14:paraId="14E0E393" w14:textId="77777777" w:rsidTr="00E979B9">
        <w:trPr>
          <w:cantSplit/>
        </w:trPr>
        <w:tc>
          <w:tcPr>
            <w:tcW w:w="1985" w:type="dxa"/>
          </w:tcPr>
          <w:p w14:paraId="30C5DF16" w14:textId="381A8047" w:rsidR="000721A1" w:rsidRPr="002C6752" w:rsidRDefault="000721A1" w:rsidP="00C01926">
            <w:pPr>
              <w:pStyle w:val="tabletext"/>
            </w:pPr>
            <w:r w:rsidRPr="002C6752">
              <w:t>SPFE</w:t>
            </w:r>
          </w:p>
        </w:tc>
        <w:tc>
          <w:tcPr>
            <w:tcW w:w="4819" w:type="dxa"/>
          </w:tcPr>
          <w:p w14:paraId="320C1726" w14:textId="245719E0" w:rsidR="000721A1" w:rsidRPr="002C6752" w:rsidRDefault="000721A1" w:rsidP="00C01926">
            <w:pPr>
              <w:pStyle w:val="tabletext"/>
            </w:pPr>
            <w:r w:rsidRPr="002C6752">
              <w:t>A special purpose funding entity</w:t>
            </w:r>
          </w:p>
        </w:tc>
      </w:tr>
      <w:tr w:rsidR="00C01926" w:rsidRPr="002C6752" w14:paraId="55DC1B00" w14:textId="77777777" w:rsidTr="00E979B9">
        <w:trPr>
          <w:cantSplit/>
        </w:trPr>
        <w:tc>
          <w:tcPr>
            <w:tcW w:w="1985" w:type="dxa"/>
          </w:tcPr>
          <w:p w14:paraId="23728512" w14:textId="77777777" w:rsidR="00C01926" w:rsidRPr="002C6752" w:rsidRDefault="00C01926" w:rsidP="00C01926">
            <w:pPr>
              <w:pStyle w:val="tabletext"/>
            </w:pPr>
            <w:r w:rsidRPr="002C6752">
              <w:t>traditional services</w:t>
            </w:r>
          </w:p>
        </w:tc>
        <w:tc>
          <w:tcPr>
            <w:tcW w:w="4819" w:type="dxa"/>
          </w:tcPr>
          <w:p w14:paraId="7B67BD75" w14:textId="77777777" w:rsidR="00C01926" w:rsidRPr="002C6752" w:rsidRDefault="00C01926" w:rsidP="00C01926">
            <w:pPr>
              <w:pStyle w:val="tabletext"/>
            </w:pPr>
            <w:r w:rsidRPr="002C6752">
              <w:t>Means traditional trustee company services as defined by s601RAC of the Corporations Act</w:t>
            </w:r>
          </w:p>
        </w:tc>
      </w:tr>
      <w:tr w:rsidR="00C01926" w:rsidRPr="002C6752" w14:paraId="172BAEDA" w14:textId="77777777" w:rsidTr="00E979B9">
        <w:trPr>
          <w:cantSplit/>
        </w:trPr>
        <w:tc>
          <w:tcPr>
            <w:tcW w:w="1985" w:type="dxa"/>
          </w:tcPr>
          <w:p w14:paraId="7804C59C" w14:textId="77777777" w:rsidR="00C01926" w:rsidRPr="002C6752" w:rsidRDefault="00C01926" w:rsidP="00C01926">
            <w:pPr>
              <w:pStyle w:val="tabletext"/>
            </w:pPr>
            <w:r w:rsidRPr="002C6752">
              <w:t>unlicensed COI lender</w:t>
            </w:r>
          </w:p>
        </w:tc>
        <w:tc>
          <w:tcPr>
            <w:tcW w:w="4819" w:type="dxa"/>
          </w:tcPr>
          <w:p w14:paraId="6A1DE01D" w14:textId="314322D1" w:rsidR="00C01926" w:rsidRPr="002C6752" w:rsidRDefault="00C01926" w:rsidP="00C01926">
            <w:pPr>
              <w:pStyle w:val="tabletext"/>
            </w:pPr>
            <w:r w:rsidRPr="002C6752">
              <w:t xml:space="preserve">Has the meaning given in s5 of the National Credit Act, as modified by item 2.4 of Sch 2 </w:t>
            </w:r>
            <w:r w:rsidR="0026168E">
              <w:t>to</w:t>
            </w:r>
            <w:r w:rsidRPr="002C6752">
              <w:t xml:space="preserve"> the National Credit Regulations</w:t>
            </w:r>
          </w:p>
        </w:tc>
      </w:tr>
      <w:tr w:rsidR="00C01926" w:rsidRPr="002C6752" w14:paraId="5EC92487" w14:textId="77777777" w:rsidTr="00E979B9">
        <w:trPr>
          <w:cantSplit/>
        </w:trPr>
        <w:tc>
          <w:tcPr>
            <w:tcW w:w="1985" w:type="dxa"/>
          </w:tcPr>
          <w:p w14:paraId="01DF8D68" w14:textId="77777777" w:rsidR="00C01926" w:rsidRPr="002C6752" w:rsidRDefault="00C01926" w:rsidP="00C01926">
            <w:pPr>
              <w:pStyle w:val="tabletext"/>
            </w:pPr>
            <w:r w:rsidRPr="002C6752">
              <w:t>unlicensed product issuer</w:t>
            </w:r>
          </w:p>
        </w:tc>
        <w:tc>
          <w:tcPr>
            <w:tcW w:w="4819" w:type="dxa"/>
          </w:tcPr>
          <w:p w14:paraId="784088B3" w14:textId="77777777" w:rsidR="00C01926" w:rsidRPr="002C6752" w:rsidRDefault="00C01926" w:rsidP="00C01926">
            <w:pPr>
              <w:pStyle w:val="tabletext"/>
            </w:pPr>
            <w:r w:rsidRPr="002C6752">
              <w:t>An issuer of a financial product who is not an AFS licensee</w:t>
            </w:r>
          </w:p>
        </w:tc>
      </w:tr>
      <w:tr w:rsidR="00C01926" w:rsidRPr="002C6752" w14:paraId="4166F4A4" w14:textId="77777777" w:rsidTr="00E979B9">
        <w:trPr>
          <w:cantSplit/>
        </w:trPr>
        <w:tc>
          <w:tcPr>
            <w:tcW w:w="1985" w:type="dxa"/>
          </w:tcPr>
          <w:p w14:paraId="658B365E" w14:textId="77777777" w:rsidR="00C01926" w:rsidRPr="002C6752" w:rsidRDefault="00C01926" w:rsidP="00C01926">
            <w:pPr>
              <w:pStyle w:val="tabletext"/>
            </w:pPr>
            <w:r w:rsidRPr="002C6752">
              <w:t>unlicensed secondary seller</w:t>
            </w:r>
          </w:p>
        </w:tc>
        <w:tc>
          <w:tcPr>
            <w:tcW w:w="4819" w:type="dxa"/>
          </w:tcPr>
          <w:p w14:paraId="28B1A07F" w14:textId="027C4191" w:rsidR="00C01926" w:rsidRPr="002C6752" w:rsidRDefault="00C01926" w:rsidP="00C01926">
            <w:pPr>
              <w:pStyle w:val="tabletext"/>
            </w:pPr>
            <w:r w:rsidRPr="002C6752">
              <w:t>A person who offers the secondary sale of a financial product under s1012C(5),</w:t>
            </w:r>
            <w:r w:rsidR="0053611B" w:rsidRPr="002C6752">
              <w:t xml:space="preserve"> </w:t>
            </w:r>
            <w:r w:rsidRPr="002C6752">
              <w:t>(6) or (8) of the Corporations Act and who is not an AFS licensee</w:t>
            </w:r>
          </w:p>
        </w:tc>
      </w:tr>
      <w:tr w:rsidR="00C01926" w:rsidRPr="002C6752" w14:paraId="24B9D164" w14:textId="77777777" w:rsidTr="00E979B9">
        <w:trPr>
          <w:cantSplit/>
        </w:trPr>
        <w:tc>
          <w:tcPr>
            <w:tcW w:w="1985" w:type="dxa"/>
          </w:tcPr>
          <w:p w14:paraId="25C3FC84" w14:textId="77777777" w:rsidR="00C01926" w:rsidRPr="002C6752" w:rsidRDefault="00C01926" w:rsidP="00C01926">
            <w:pPr>
              <w:pStyle w:val="tabletext"/>
            </w:pPr>
            <w:r w:rsidRPr="002C6752">
              <w:t>value of an insurance claim</w:t>
            </w:r>
          </w:p>
        </w:tc>
        <w:tc>
          <w:tcPr>
            <w:tcW w:w="4819" w:type="dxa"/>
          </w:tcPr>
          <w:p w14:paraId="6ABB0B9F" w14:textId="77777777" w:rsidR="00C01926" w:rsidRPr="002C6752" w:rsidRDefault="00C01926" w:rsidP="00C01926">
            <w:pPr>
              <w:pStyle w:val="tabletext"/>
            </w:pPr>
            <w:r w:rsidRPr="002C6752">
              <w:t>Means the monetary amount or value to be paid out to an insured person (the retail client) under an insurance policy, once the insured person has made a claim on the policy</w:t>
            </w:r>
          </w:p>
        </w:tc>
      </w:tr>
    </w:tbl>
    <w:p w14:paraId="5DD8072F" w14:textId="77777777" w:rsidR="00676EB3" w:rsidRPr="002C6752" w:rsidRDefault="00676EB3" w:rsidP="00642749">
      <w:pPr>
        <w:pStyle w:val="Heading1nonumber"/>
      </w:pPr>
      <w:bookmarkStart w:id="412" w:name="_Toc163488667"/>
      <w:bookmarkStart w:id="413" w:name="_Toc46844256"/>
      <w:r w:rsidRPr="002C6752">
        <w:lastRenderedPageBreak/>
        <w:t>Related information</w:t>
      </w:r>
      <w:bookmarkEnd w:id="412"/>
      <w:bookmarkEnd w:id="413"/>
    </w:p>
    <w:p w14:paraId="43988FFC" w14:textId="71DF0BE7" w:rsidR="00676EB3" w:rsidRPr="002C6752" w:rsidRDefault="00676EB3" w:rsidP="00B9535C">
      <w:pPr>
        <w:pStyle w:val="Heading2indented"/>
      </w:pPr>
      <w:r w:rsidRPr="002C6752">
        <w:t xml:space="preserve">Headnotes </w:t>
      </w:r>
    </w:p>
    <w:p w14:paraId="627336CD" w14:textId="253BE95C" w:rsidR="00FB139F" w:rsidRPr="002C6752" w:rsidRDefault="00794566" w:rsidP="00042C47">
      <w:pPr>
        <w:pStyle w:val="BodyText"/>
        <w:numPr>
          <w:ilvl w:val="0"/>
          <w:numId w:val="0"/>
        </w:numPr>
        <w:ind w:left="2268"/>
      </w:pPr>
      <w:r w:rsidRPr="002C6752">
        <w:t>AFCA,</w:t>
      </w:r>
      <w:r w:rsidR="00D70B6F" w:rsidRPr="002C6752">
        <w:t xml:space="preserve"> </w:t>
      </w:r>
      <w:r w:rsidR="00D20CBB" w:rsidRPr="002C6752">
        <w:t xml:space="preserve">AFS licence, </w:t>
      </w:r>
      <w:r w:rsidR="00FB139F" w:rsidRPr="002C6752">
        <w:t xml:space="preserve">AFS licensees, </w:t>
      </w:r>
      <w:r w:rsidR="00D70B6F" w:rsidRPr="002C6752">
        <w:t xml:space="preserve">Australian Financial Complaints Authority, </w:t>
      </w:r>
      <w:r w:rsidR="00D20CBB" w:rsidRPr="002C6752">
        <w:t xml:space="preserve">complaint, complainant, consumer, </w:t>
      </w:r>
      <w:r w:rsidR="00FB139F" w:rsidRPr="002C6752">
        <w:t>credit licensees, credit representatives, dispu</w:t>
      </w:r>
      <w:r w:rsidR="00D70B6F" w:rsidRPr="002C6752">
        <w:t xml:space="preserve">te resolution requirements, </w:t>
      </w:r>
      <w:r w:rsidR="00DF4565" w:rsidRPr="002C6752">
        <w:t xml:space="preserve">EDR, </w:t>
      </w:r>
      <w:r w:rsidR="00FB139F" w:rsidRPr="002C6752">
        <w:t xml:space="preserve">external dispute resolution, </w:t>
      </w:r>
      <w:r w:rsidR="00D70B6F" w:rsidRPr="002C6752">
        <w:t xml:space="preserve">financial firms, financial services, </w:t>
      </w:r>
      <w:r w:rsidR="00FB139F" w:rsidRPr="002C6752">
        <w:t xml:space="preserve">IDR processes, </w:t>
      </w:r>
      <w:r w:rsidR="00D20CBB" w:rsidRPr="002C6752">
        <w:t xml:space="preserve">IDR standards, IDR requirements, </w:t>
      </w:r>
      <w:r w:rsidR="00FB139F" w:rsidRPr="002C6752">
        <w:t>internal dispute resolution</w:t>
      </w:r>
      <w:r w:rsidR="00D20CBB" w:rsidRPr="002C6752">
        <w:t>, maximum timeframes, multi-tier IDR processes, remediation processes, reporting requirements, small business,</w:t>
      </w:r>
      <w:r w:rsidR="00FB139F" w:rsidRPr="002C6752">
        <w:t xml:space="preserve"> </w:t>
      </w:r>
      <w:r w:rsidR="00D70B6F" w:rsidRPr="002C6752">
        <w:t xml:space="preserve">superannuation trustees, </w:t>
      </w:r>
      <w:r w:rsidR="00D20CBB" w:rsidRPr="002C6752">
        <w:t xml:space="preserve">systemic issues, </w:t>
      </w:r>
      <w:r w:rsidR="00FB139F" w:rsidRPr="002C6752">
        <w:t xml:space="preserve">traditional trustee </w:t>
      </w:r>
    </w:p>
    <w:p w14:paraId="43BBA9F9" w14:textId="2F272C60" w:rsidR="003D5A99" w:rsidRPr="002C6752" w:rsidRDefault="00676EB3" w:rsidP="00B9535C">
      <w:pPr>
        <w:pStyle w:val="Heading2indented"/>
      </w:pPr>
      <w:r w:rsidRPr="002C6752">
        <w:t>Regulatory guides</w:t>
      </w:r>
    </w:p>
    <w:bookmarkStart w:id="414" w:name="_Hlk32229202"/>
    <w:p w14:paraId="0DC2F7AC" w14:textId="5D3844D7" w:rsidR="009150D0" w:rsidRPr="002C6752" w:rsidRDefault="00A9709F" w:rsidP="003D5A99">
      <w:pPr>
        <w:pStyle w:val="BodyText"/>
        <w:numPr>
          <w:ilvl w:val="0"/>
          <w:numId w:val="0"/>
        </w:numPr>
        <w:ind w:left="2268"/>
        <w:rPr>
          <w:i/>
        </w:rPr>
      </w:pPr>
      <w:r w:rsidRPr="002C6752">
        <w:fldChar w:fldCharType="begin"/>
      </w:r>
      <w:r w:rsidRPr="002C6752">
        <w:instrText xml:space="preserve"> HYPERLINK "https://asic.gov.au/regulatory-resources/find-a-document/regulatory-guides/rg-139-approval-and-oversight-of-external-dispute-resolution-schemes/" </w:instrText>
      </w:r>
      <w:r w:rsidRPr="002C6752">
        <w:fldChar w:fldCharType="separate"/>
      </w:r>
      <w:r w:rsidR="009150D0" w:rsidRPr="002C6752">
        <w:rPr>
          <w:rStyle w:val="Hyperlink"/>
        </w:rPr>
        <w:t>RG 139</w:t>
      </w:r>
      <w:r w:rsidRPr="002C6752">
        <w:rPr>
          <w:rStyle w:val="Hyperlink"/>
        </w:rPr>
        <w:fldChar w:fldCharType="end"/>
      </w:r>
      <w:r w:rsidR="009150D0" w:rsidRPr="002C6752">
        <w:t xml:space="preserve"> </w:t>
      </w:r>
      <w:r w:rsidR="009150D0" w:rsidRPr="002C6752">
        <w:rPr>
          <w:i/>
        </w:rPr>
        <w:t>Approval and oversight of external dispute resolution schemes</w:t>
      </w:r>
    </w:p>
    <w:p w14:paraId="39655B48" w14:textId="0AC851F4" w:rsidR="00A02403" w:rsidRPr="002C6752" w:rsidRDefault="00A02403" w:rsidP="00E5660C">
      <w:pPr>
        <w:pStyle w:val="Note"/>
      </w:pPr>
      <w:r w:rsidRPr="002C6752">
        <w:t xml:space="preserve">Note: </w:t>
      </w:r>
      <w:r w:rsidR="00D20CBB" w:rsidRPr="002C6752">
        <w:t xml:space="preserve">RG 139 has been replaced by RG 267. We will withdraw RG 139 when the last complaints made to </w:t>
      </w:r>
      <w:r w:rsidR="00372D11" w:rsidRPr="002C6752">
        <w:t xml:space="preserve">the </w:t>
      </w:r>
      <w:r w:rsidR="00D20CBB" w:rsidRPr="002C6752">
        <w:t>F</w:t>
      </w:r>
      <w:r w:rsidR="00327B93" w:rsidRPr="002C6752">
        <w:t xml:space="preserve">inancial </w:t>
      </w:r>
      <w:r w:rsidR="00D20CBB" w:rsidRPr="002C6752">
        <w:t>O</w:t>
      </w:r>
      <w:r w:rsidR="00327B93" w:rsidRPr="002C6752">
        <w:t xml:space="preserve">mbudsman </w:t>
      </w:r>
      <w:r w:rsidR="00D20CBB" w:rsidRPr="002C6752">
        <w:t>S</w:t>
      </w:r>
      <w:r w:rsidR="00327B93" w:rsidRPr="002C6752">
        <w:t>ervice (FOS)</w:t>
      </w:r>
      <w:r w:rsidR="00D20CBB" w:rsidRPr="002C6752">
        <w:t xml:space="preserve"> and C</w:t>
      </w:r>
      <w:r w:rsidR="00372D11" w:rsidRPr="002C6752">
        <w:t xml:space="preserve">redit </w:t>
      </w:r>
      <w:r w:rsidR="00F81CE9" w:rsidRPr="002C6752">
        <w:t xml:space="preserve">and </w:t>
      </w:r>
      <w:r w:rsidR="00D20CBB" w:rsidRPr="002C6752">
        <w:t>I</w:t>
      </w:r>
      <w:r w:rsidR="00372D11" w:rsidRPr="002C6752">
        <w:t xml:space="preserve">nvestments </w:t>
      </w:r>
      <w:r w:rsidR="00D20CBB" w:rsidRPr="002C6752">
        <w:t>O</w:t>
      </w:r>
      <w:r w:rsidR="00372D11" w:rsidRPr="002C6752">
        <w:t>mbudsman (CIO)</w:t>
      </w:r>
      <w:r w:rsidR="00D20CBB" w:rsidRPr="002C6752">
        <w:t xml:space="preserve"> are closed. </w:t>
      </w:r>
    </w:p>
    <w:p w14:paraId="41FCB769" w14:textId="52B5CE56" w:rsidR="00C46C53" w:rsidRPr="002C6752" w:rsidRDefault="00DD52BD" w:rsidP="00C46C53">
      <w:pPr>
        <w:pStyle w:val="Bodytextplain"/>
      </w:pPr>
      <w:hyperlink r:id="rId44" w:history="1">
        <w:r w:rsidR="00C46C53" w:rsidRPr="0026168E">
          <w:rPr>
            <w:rStyle w:val="Hyperlink"/>
          </w:rPr>
          <w:t>RG 165</w:t>
        </w:r>
      </w:hyperlink>
      <w:r w:rsidR="00C46C53" w:rsidRPr="002C6752">
        <w:t xml:space="preserve"> </w:t>
      </w:r>
      <w:r w:rsidR="00C46C53" w:rsidRPr="002C6752">
        <w:rPr>
          <w:i/>
        </w:rPr>
        <w:t>Licensing: Internal and external dispute resolution</w:t>
      </w:r>
    </w:p>
    <w:p w14:paraId="4332413E" w14:textId="79D83A42" w:rsidR="00C46C53" w:rsidRPr="002C6752" w:rsidRDefault="00C46C53" w:rsidP="00C46C53">
      <w:pPr>
        <w:pStyle w:val="Note"/>
      </w:pPr>
      <w:r w:rsidRPr="00C31FD2">
        <w:t xml:space="preserve">Note: RG 165 </w:t>
      </w:r>
      <w:r w:rsidR="00700163">
        <w:t xml:space="preserve">applies </w:t>
      </w:r>
      <w:r w:rsidR="00D41259">
        <w:t xml:space="preserve">to complaints received by financial firms </w:t>
      </w:r>
      <w:r w:rsidR="006A6678">
        <w:t>before</w:t>
      </w:r>
      <w:r w:rsidR="00D41259">
        <w:t xml:space="preserve"> </w:t>
      </w:r>
      <w:r w:rsidRPr="00C31FD2">
        <w:t>5 </w:t>
      </w:r>
      <w:r w:rsidR="000214FF">
        <w:t>October</w:t>
      </w:r>
      <w:r w:rsidR="00853859">
        <w:t xml:space="preserve"> </w:t>
      </w:r>
      <w:r w:rsidRPr="00C31FD2">
        <w:t>2021</w:t>
      </w:r>
      <w:r w:rsidR="00700163">
        <w:t>,</w:t>
      </w:r>
      <w:r w:rsidRPr="00C31FD2">
        <w:t xml:space="preserve"> </w:t>
      </w:r>
      <w:r w:rsidR="00700163">
        <w:t>when</w:t>
      </w:r>
      <w:r w:rsidRPr="00C31FD2">
        <w:t xml:space="preserve"> RG </w:t>
      </w:r>
      <w:r w:rsidR="007F4539" w:rsidRPr="00C31FD2">
        <w:t>271</w:t>
      </w:r>
      <w:r w:rsidRPr="00C31FD2">
        <w:t xml:space="preserve"> </w:t>
      </w:r>
      <w:r w:rsidR="00700163">
        <w:t>comes into effect</w:t>
      </w:r>
      <w:r w:rsidR="00FB1B6E" w:rsidRPr="00C31FD2">
        <w:t>.</w:t>
      </w:r>
      <w:r w:rsidRPr="00C31FD2">
        <w:t xml:space="preserve"> </w:t>
      </w:r>
      <w:r w:rsidR="00FB1B6E" w:rsidRPr="00C31FD2">
        <w:t xml:space="preserve">We </w:t>
      </w:r>
      <w:r w:rsidRPr="00C31FD2">
        <w:t>will withdraw RG 165</w:t>
      </w:r>
      <w:r w:rsidR="00FB1B6E" w:rsidRPr="00C31FD2">
        <w:t xml:space="preserve"> on 5 </w:t>
      </w:r>
      <w:r w:rsidR="000214FF">
        <w:t>October</w:t>
      </w:r>
      <w:r w:rsidR="00FB1B6E" w:rsidRPr="00C31FD2">
        <w:t xml:space="preserve"> 2022</w:t>
      </w:r>
      <w:r w:rsidRPr="00C31FD2">
        <w:t>.</w:t>
      </w:r>
      <w:r w:rsidR="00700163">
        <w:t xml:space="preserve"> </w:t>
      </w:r>
    </w:p>
    <w:bookmarkEnd w:id="414"/>
    <w:p w14:paraId="3FE7C84A" w14:textId="75D66D26" w:rsidR="003D5A99" w:rsidRPr="002C6752" w:rsidRDefault="00A9709F" w:rsidP="003D5A99">
      <w:pPr>
        <w:pStyle w:val="BodyText"/>
        <w:numPr>
          <w:ilvl w:val="0"/>
          <w:numId w:val="0"/>
        </w:numPr>
        <w:ind w:left="2268"/>
        <w:rPr>
          <w:i/>
        </w:rPr>
      </w:pPr>
      <w:r w:rsidRPr="002C6752">
        <w:fldChar w:fldCharType="begin"/>
      </w:r>
      <w:r w:rsidR="005F1D74">
        <w:instrText>HYPERLINK "https://asic.gov.au/regulatory-resources/credit/credit-general-conduct-obligations/rg-205-credit-licensing-general-conduct-obligations/"</w:instrText>
      </w:r>
      <w:r w:rsidRPr="002C6752">
        <w:fldChar w:fldCharType="separate"/>
      </w:r>
      <w:r w:rsidR="003D5A99" w:rsidRPr="002C6752">
        <w:rPr>
          <w:rStyle w:val="Hyperlink"/>
        </w:rPr>
        <w:t>RG 205</w:t>
      </w:r>
      <w:r w:rsidRPr="002C6752">
        <w:rPr>
          <w:rStyle w:val="Hyperlink"/>
        </w:rPr>
        <w:fldChar w:fldCharType="end"/>
      </w:r>
      <w:r w:rsidR="003D5A99" w:rsidRPr="002C6752">
        <w:t xml:space="preserve"> </w:t>
      </w:r>
      <w:r w:rsidR="003D5A99" w:rsidRPr="002C6752">
        <w:rPr>
          <w:i/>
        </w:rPr>
        <w:t>Credit licensing: General conduct obligations</w:t>
      </w:r>
    </w:p>
    <w:p w14:paraId="25D4EB18" w14:textId="530B0044" w:rsidR="00A02403" w:rsidRPr="002C6752" w:rsidRDefault="00DD52BD" w:rsidP="003D5A99">
      <w:pPr>
        <w:pStyle w:val="BodyText"/>
        <w:numPr>
          <w:ilvl w:val="0"/>
          <w:numId w:val="0"/>
        </w:numPr>
        <w:ind w:left="2268"/>
        <w:rPr>
          <w:i/>
        </w:rPr>
      </w:pPr>
      <w:hyperlink r:id="rId45" w:history="1">
        <w:r w:rsidR="00A02403" w:rsidRPr="002C6752">
          <w:rPr>
            <w:rStyle w:val="Hyperlink"/>
          </w:rPr>
          <w:t>RG 206</w:t>
        </w:r>
      </w:hyperlink>
      <w:r w:rsidR="00A02403" w:rsidRPr="002C6752">
        <w:t xml:space="preserve"> </w:t>
      </w:r>
      <w:r w:rsidR="00A02403" w:rsidRPr="002C6752">
        <w:rPr>
          <w:i/>
        </w:rPr>
        <w:t>Credit licensing: Competence and training</w:t>
      </w:r>
    </w:p>
    <w:p w14:paraId="64B2DDE5" w14:textId="4FB931E5" w:rsidR="00A02403" w:rsidRPr="002C6752" w:rsidRDefault="00DD52BD" w:rsidP="003D5A99">
      <w:pPr>
        <w:pStyle w:val="BodyText"/>
        <w:numPr>
          <w:ilvl w:val="0"/>
          <w:numId w:val="0"/>
        </w:numPr>
        <w:ind w:left="2268"/>
        <w:rPr>
          <w:i/>
        </w:rPr>
      </w:pPr>
      <w:hyperlink r:id="rId46" w:history="1">
        <w:r w:rsidR="00A02403" w:rsidRPr="002C6752">
          <w:rPr>
            <w:rStyle w:val="Hyperlink"/>
          </w:rPr>
          <w:t>RG 207</w:t>
        </w:r>
      </w:hyperlink>
      <w:r w:rsidR="00A02403" w:rsidRPr="002C6752">
        <w:t xml:space="preserve"> </w:t>
      </w:r>
      <w:r w:rsidR="00A02403" w:rsidRPr="002C6752">
        <w:rPr>
          <w:i/>
        </w:rPr>
        <w:t>Credit licensing: Financial requirements</w:t>
      </w:r>
    </w:p>
    <w:p w14:paraId="6E12A762" w14:textId="31827F10" w:rsidR="00A02403" w:rsidRPr="002C6752" w:rsidRDefault="00DD52BD" w:rsidP="003D5A99">
      <w:pPr>
        <w:pStyle w:val="BodyText"/>
        <w:numPr>
          <w:ilvl w:val="0"/>
          <w:numId w:val="0"/>
        </w:numPr>
        <w:ind w:left="2268"/>
      </w:pPr>
      <w:hyperlink r:id="rId47" w:history="1">
        <w:r w:rsidR="00A02403" w:rsidRPr="002C6752">
          <w:rPr>
            <w:rStyle w:val="Hyperlink"/>
          </w:rPr>
          <w:t>RG 257</w:t>
        </w:r>
      </w:hyperlink>
      <w:r w:rsidR="00A02403" w:rsidRPr="002C6752">
        <w:t xml:space="preserve"> </w:t>
      </w:r>
      <w:r w:rsidR="00A02403" w:rsidRPr="002C6752">
        <w:rPr>
          <w:i/>
        </w:rPr>
        <w:t>Testing fintech products and services without holding an AFS or credit licence</w:t>
      </w:r>
    </w:p>
    <w:p w14:paraId="4E8AD270" w14:textId="7EDD87AD" w:rsidR="00A02403" w:rsidRPr="002C6752" w:rsidRDefault="00DD52BD" w:rsidP="00A02403">
      <w:pPr>
        <w:pStyle w:val="BodyText"/>
        <w:numPr>
          <w:ilvl w:val="0"/>
          <w:numId w:val="0"/>
        </w:numPr>
        <w:ind w:left="2268"/>
      </w:pPr>
      <w:hyperlink r:id="rId48" w:history="1">
        <w:r w:rsidR="00A02403" w:rsidRPr="002C6752">
          <w:rPr>
            <w:rStyle w:val="Hyperlink"/>
          </w:rPr>
          <w:t>RG 267</w:t>
        </w:r>
      </w:hyperlink>
      <w:r w:rsidR="00A02403" w:rsidRPr="002C6752">
        <w:t xml:space="preserve"> </w:t>
      </w:r>
      <w:r w:rsidR="00A02403" w:rsidRPr="002C6752">
        <w:rPr>
          <w:i/>
        </w:rPr>
        <w:t>Oversight of the Australian Financial Complaints Authority</w:t>
      </w:r>
    </w:p>
    <w:p w14:paraId="0FF6371B" w14:textId="3858B04B" w:rsidR="00FD1886" w:rsidRPr="002C6752" w:rsidRDefault="003D5A99" w:rsidP="00B9535C">
      <w:pPr>
        <w:pStyle w:val="Heading2indented"/>
      </w:pPr>
      <w:r w:rsidRPr="002C6752">
        <w:t>Information sheets</w:t>
      </w:r>
    </w:p>
    <w:p w14:paraId="73ACC5F8" w14:textId="04D877F0" w:rsidR="003D5A99" w:rsidRPr="002C6752" w:rsidRDefault="00DD52BD" w:rsidP="003D5A99">
      <w:pPr>
        <w:pStyle w:val="BodyText"/>
        <w:numPr>
          <w:ilvl w:val="0"/>
          <w:numId w:val="0"/>
        </w:numPr>
        <w:ind w:left="2268"/>
      </w:pPr>
      <w:hyperlink r:id="rId49" w:history="1">
        <w:r w:rsidR="003D5A99" w:rsidRPr="002C6752">
          <w:rPr>
            <w:rStyle w:val="Hyperlink"/>
          </w:rPr>
          <w:t>INFO 105</w:t>
        </w:r>
      </w:hyperlink>
      <w:r w:rsidR="003D5A99" w:rsidRPr="002C6752">
        <w:t xml:space="preserve"> </w:t>
      </w:r>
      <w:r w:rsidR="001138C4" w:rsidRPr="002C6752">
        <w:rPr>
          <w:i/>
        </w:rPr>
        <w:t>FAQs—</w:t>
      </w:r>
      <w:r w:rsidR="003D5A99" w:rsidRPr="002C6752">
        <w:rPr>
          <w:i/>
        </w:rPr>
        <w:t>Dealing with consumers and credit</w:t>
      </w:r>
    </w:p>
    <w:p w14:paraId="4633C004" w14:textId="4D120543" w:rsidR="00676EB3" w:rsidRPr="002C6752" w:rsidRDefault="00DD52BD" w:rsidP="003D5A99">
      <w:pPr>
        <w:pStyle w:val="BodyText"/>
        <w:numPr>
          <w:ilvl w:val="0"/>
          <w:numId w:val="0"/>
        </w:numPr>
        <w:ind w:left="2268"/>
      </w:pPr>
      <w:hyperlink r:id="rId50" w:history="1">
        <w:r w:rsidR="003D5A99" w:rsidRPr="002C6752">
          <w:rPr>
            <w:rStyle w:val="Hyperlink"/>
          </w:rPr>
          <w:t>INFO 110</w:t>
        </w:r>
      </w:hyperlink>
      <w:r w:rsidR="003D5A99" w:rsidRPr="002C6752">
        <w:t xml:space="preserve"> </w:t>
      </w:r>
      <w:r w:rsidR="003D5A99" w:rsidRPr="002C6752">
        <w:rPr>
          <w:i/>
        </w:rPr>
        <w:t>Lenders with carried over instruments</w:t>
      </w:r>
    </w:p>
    <w:p w14:paraId="6C551B68" w14:textId="78723279" w:rsidR="006A55E8" w:rsidRPr="002C6752" w:rsidRDefault="006A55E8" w:rsidP="00B9535C">
      <w:pPr>
        <w:pStyle w:val="Heading2indented"/>
      </w:pPr>
      <w:r w:rsidRPr="002C6752">
        <w:t>Consultation papers</w:t>
      </w:r>
    </w:p>
    <w:p w14:paraId="586F1C87" w14:textId="1DF7FD4F" w:rsidR="006A55E8" w:rsidRPr="002C6752" w:rsidRDefault="00DD52BD" w:rsidP="006A55E8">
      <w:pPr>
        <w:pStyle w:val="Bodytextplain"/>
        <w:spacing w:before="160"/>
        <w:rPr>
          <w:rFonts w:ascii="Arial" w:hAnsi="Arial" w:cs="Arial"/>
          <w:b/>
          <w:sz w:val="24"/>
          <w:szCs w:val="24"/>
        </w:rPr>
      </w:pPr>
      <w:hyperlink r:id="rId51" w:history="1">
        <w:r w:rsidR="006A55E8" w:rsidRPr="002C6752">
          <w:rPr>
            <w:rStyle w:val="Hyperlink"/>
          </w:rPr>
          <w:t>CP 311</w:t>
        </w:r>
      </w:hyperlink>
      <w:r w:rsidR="006A55E8" w:rsidRPr="002C6752">
        <w:t xml:space="preserve"> </w:t>
      </w:r>
      <w:r w:rsidR="006A55E8" w:rsidRPr="002C6752">
        <w:rPr>
          <w:i/>
        </w:rPr>
        <w:t>Internal dispute resolution: Update to RG 165</w:t>
      </w:r>
      <w:r w:rsidR="006A55E8" w:rsidRPr="002C6752">
        <w:rPr>
          <w:rFonts w:ascii="Arial" w:hAnsi="Arial" w:cs="Arial"/>
          <w:b/>
          <w:sz w:val="24"/>
          <w:szCs w:val="24"/>
        </w:rPr>
        <w:t xml:space="preserve"> </w:t>
      </w:r>
    </w:p>
    <w:p w14:paraId="5CEC46B1" w14:textId="670CACFC" w:rsidR="00BA66B0" w:rsidRPr="002C6752" w:rsidRDefault="00E30515" w:rsidP="00B9535C">
      <w:pPr>
        <w:pStyle w:val="Heading2indented"/>
      </w:pPr>
      <w:r w:rsidRPr="002C6752">
        <w:lastRenderedPageBreak/>
        <w:t>R</w:t>
      </w:r>
      <w:r w:rsidR="00676EB3" w:rsidRPr="002C6752">
        <w:t>eports</w:t>
      </w:r>
    </w:p>
    <w:p w14:paraId="78DA0015" w14:textId="4DBD9198" w:rsidR="002211F7" w:rsidRPr="0022623E" w:rsidRDefault="00DD52BD" w:rsidP="0022623E">
      <w:pPr>
        <w:pStyle w:val="BodyText"/>
        <w:numPr>
          <w:ilvl w:val="0"/>
          <w:numId w:val="0"/>
        </w:numPr>
        <w:ind w:left="2268"/>
        <w:rPr>
          <w:i/>
          <w:color w:val="000000"/>
        </w:rPr>
      </w:pPr>
      <w:hyperlink r:id="rId52" w:history="1">
        <w:r w:rsidR="00EE1007" w:rsidRPr="002C6752">
          <w:rPr>
            <w:rStyle w:val="Hyperlink"/>
          </w:rPr>
          <w:t>REP 603</w:t>
        </w:r>
      </w:hyperlink>
      <w:r w:rsidR="00EE1007" w:rsidRPr="002C6752">
        <w:rPr>
          <w:color w:val="000000"/>
        </w:rPr>
        <w:t xml:space="preserve"> </w:t>
      </w:r>
      <w:r w:rsidR="00EE1007" w:rsidRPr="002C6752">
        <w:rPr>
          <w:i/>
          <w:color w:val="000000"/>
        </w:rPr>
        <w:t>The consumer journey through the Internal Dispute Resolution process of financial service providers</w:t>
      </w:r>
    </w:p>
    <w:p w14:paraId="77A3C98C" w14:textId="77777777" w:rsidR="006A55E8" w:rsidRPr="002C6752" w:rsidRDefault="006A55E8" w:rsidP="006A55E8">
      <w:pPr>
        <w:pStyle w:val="Heading2indented"/>
      </w:pPr>
      <w:r w:rsidRPr="002C6752">
        <w:t>Legislative instruments</w:t>
      </w:r>
    </w:p>
    <w:p w14:paraId="6177E8E8" w14:textId="2F7F8AF5" w:rsidR="006A55E8" w:rsidRPr="002C6752" w:rsidRDefault="00DD52BD" w:rsidP="006A55E8">
      <w:pPr>
        <w:pStyle w:val="Bodytextplain"/>
      </w:pPr>
      <w:hyperlink r:id="rId53" w:history="1">
        <w:r w:rsidR="006A55E8" w:rsidRPr="002C6752">
          <w:rPr>
            <w:rStyle w:val="Hyperlink"/>
          </w:rPr>
          <w:t>ASIC Corporations (Concept Validation Licensing Exemption) Instrument 2016/1175</w:t>
        </w:r>
      </w:hyperlink>
    </w:p>
    <w:p w14:paraId="502EFF98" w14:textId="70DB23D0" w:rsidR="006A55E8" w:rsidRPr="002C6752" w:rsidRDefault="00DD52BD" w:rsidP="006A55E8">
      <w:pPr>
        <w:pStyle w:val="Bodytextplain"/>
      </w:pPr>
      <w:hyperlink r:id="rId54" w:anchor="instrument-2020-98" w:history="1">
        <w:r w:rsidR="006A55E8" w:rsidRPr="00AD44A6">
          <w:rPr>
            <w:rStyle w:val="Hyperlink"/>
          </w:rPr>
          <w:t>ASIC Corporations, Credit and Superannuation (Internal Dispute Resolution) Instrument 2020/98</w:t>
        </w:r>
      </w:hyperlink>
    </w:p>
    <w:p w14:paraId="361058F7" w14:textId="3857B040" w:rsidR="006A55E8" w:rsidRDefault="00DD52BD" w:rsidP="006A55E8">
      <w:pPr>
        <w:pStyle w:val="Bodytextplain"/>
        <w:rPr>
          <w:rStyle w:val="Hyperlink"/>
        </w:rPr>
      </w:pPr>
      <w:hyperlink r:id="rId55" w:history="1">
        <w:r w:rsidR="006A55E8" w:rsidRPr="002C6752">
          <w:rPr>
            <w:rStyle w:val="Hyperlink"/>
          </w:rPr>
          <w:t>ASIC Corporations</w:t>
        </w:r>
        <w:r w:rsidR="0031196A">
          <w:rPr>
            <w:rStyle w:val="Hyperlink"/>
          </w:rPr>
          <w:t>,</w:t>
        </w:r>
        <w:r w:rsidR="006A55E8" w:rsidRPr="002C6752">
          <w:rPr>
            <w:rStyle w:val="Hyperlink"/>
          </w:rPr>
          <w:t xml:space="preserve"> Credit</w:t>
        </w:r>
        <w:r w:rsidR="0031196A">
          <w:rPr>
            <w:rStyle w:val="Hyperlink"/>
          </w:rPr>
          <w:t xml:space="preserve"> and Superannuation</w:t>
        </w:r>
        <w:r w:rsidR="006A55E8" w:rsidRPr="002C6752">
          <w:rPr>
            <w:rStyle w:val="Hyperlink"/>
          </w:rPr>
          <w:t xml:space="preserve"> (Internal Dispute Resolution—Transitional) Instrument 2019/965</w:t>
        </w:r>
      </w:hyperlink>
    </w:p>
    <w:p w14:paraId="2C31C10A" w14:textId="01AFB886" w:rsidR="006A55E8" w:rsidRPr="002C6752" w:rsidRDefault="006A55E8" w:rsidP="006A55E8">
      <w:pPr>
        <w:pStyle w:val="Bodytextplain"/>
        <w:rPr>
          <w:rStyle w:val="Hyperlink"/>
        </w:rPr>
      </w:pPr>
      <w:r w:rsidRPr="002C6752">
        <w:fldChar w:fldCharType="begin"/>
      </w:r>
      <w:r w:rsidR="008F4908">
        <w:instrText>HYPERLINK "https://www.legislation.gov.au/current/F2019C00080"</w:instrText>
      </w:r>
      <w:r w:rsidRPr="002C6752">
        <w:fldChar w:fldCharType="separate"/>
      </w:r>
      <w:r w:rsidRPr="002C6752">
        <w:rPr>
          <w:rStyle w:val="Hyperlink"/>
        </w:rPr>
        <w:t>ASIC Credit (Concept Validation Licensing Exemption) Instrument 2016/1176</w:t>
      </w:r>
    </w:p>
    <w:p w14:paraId="75316310" w14:textId="7D9FB36F" w:rsidR="008F4908" w:rsidRDefault="006A55E8" w:rsidP="008F4908">
      <w:pPr>
        <w:pStyle w:val="Bodytextplain"/>
      </w:pPr>
      <w:r w:rsidRPr="002C6752">
        <w:fldChar w:fldCharType="end"/>
      </w:r>
      <w:hyperlink r:id="rId56" w:history="1">
        <w:r w:rsidR="008F4908">
          <w:rPr>
            <w:rStyle w:val="Hyperlink"/>
          </w:rPr>
          <w:t>[CO 14/41]</w:t>
        </w:r>
      </w:hyperlink>
      <w:r w:rsidR="008F4908">
        <w:t xml:space="preserve"> </w:t>
      </w:r>
      <w:r w:rsidR="008F4908">
        <w:rPr>
          <w:i/>
          <w:iCs/>
        </w:rPr>
        <w:t>Extension of transitional credit hardship provisions</w:t>
      </w:r>
    </w:p>
    <w:p w14:paraId="23217AF3" w14:textId="4A7E9545" w:rsidR="006A55E8" w:rsidRPr="002C6752" w:rsidRDefault="006A55E8" w:rsidP="006A55E8">
      <w:pPr>
        <w:pStyle w:val="Heading2indented"/>
      </w:pPr>
      <w:r w:rsidRPr="002C6752">
        <w:t>Legislation</w:t>
      </w:r>
    </w:p>
    <w:p w14:paraId="1AD4D7D4" w14:textId="2AD38733" w:rsidR="006A55E8" w:rsidRPr="002C6752" w:rsidRDefault="00D54825" w:rsidP="006A55E8">
      <w:pPr>
        <w:pStyle w:val="Bodytextplain"/>
        <w:spacing w:before="180"/>
      </w:pPr>
      <w:r w:rsidRPr="002C6752">
        <w:rPr>
          <w:i/>
        </w:rPr>
        <w:t>Australian Securities and Investments Commission Act 2001</w:t>
      </w:r>
      <w:r w:rsidR="006A55E8" w:rsidRPr="002C6752">
        <w:t>, s1</w:t>
      </w:r>
      <w:r w:rsidR="00E30BEE">
        <w:t xml:space="preserve"> and 12A(2)</w:t>
      </w:r>
    </w:p>
    <w:p w14:paraId="72689D4E" w14:textId="0B7311BF" w:rsidR="006A55E8" w:rsidRPr="002C6752" w:rsidRDefault="006A55E8" w:rsidP="006A55E8">
      <w:pPr>
        <w:pStyle w:val="Bodytextplain"/>
        <w:spacing w:before="160"/>
      </w:pPr>
      <w:r w:rsidRPr="002C6752">
        <w:rPr>
          <w:iCs/>
        </w:rPr>
        <w:t>Corporations Act</w:t>
      </w:r>
      <w:r w:rsidRPr="002C6752">
        <w:t xml:space="preserve">, Ch 7; s601RAB, 601RAC, 760A, 761G, 912A, </w:t>
      </w:r>
      <w:r w:rsidR="00C65314">
        <w:t xml:space="preserve">912D, </w:t>
      </w:r>
      <w:r w:rsidRPr="002C6752">
        <w:t>1012C, 1017G</w:t>
      </w:r>
      <w:r w:rsidR="00C65314">
        <w:t>, 1053, 1053A, 1056</w:t>
      </w:r>
      <w:r w:rsidRPr="002C6752">
        <w:t xml:space="preserve"> </w:t>
      </w:r>
    </w:p>
    <w:p w14:paraId="3267A981" w14:textId="77777777" w:rsidR="006A55E8" w:rsidRPr="002C6752" w:rsidRDefault="006A55E8" w:rsidP="006A55E8">
      <w:pPr>
        <w:pStyle w:val="Bodytextplain"/>
        <w:spacing w:before="160"/>
      </w:pPr>
      <w:r w:rsidRPr="002C6752">
        <w:t xml:space="preserve">Corporations Regulations, regs 5D.2.01, 5D.2.02, 7.1.28A, 7.6.02, 7.9.77 </w:t>
      </w:r>
    </w:p>
    <w:p w14:paraId="4DDE908E" w14:textId="77777777" w:rsidR="006A55E8" w:rsidRPr="002C6752" w:rsidRDefault="006A55E8" w:rsidP="006A55E8">
      <w:pPr>
        <w:pStyle w:val="Bodytextplain"/>
        <w:spacing w:before="160"/>
        <w:rPr>
          <w:i/>
        </w:rPr>
      </w:pPr>
      <w:r w:rsidRPr="002C6752">
        <w:rPr>
          <w:i/>
        </w:rPr>
        <w:t>Family Law Act 1975</w:t>
      </w:r>
    </w:p>
    <w:p w14:paraId="6E5C777E" w14:textId="77777777" w:rsidR="006A55E8" w:rsidRPr="002C6752" w:rsidRDefault="006A55E8" w:rsidP="006A55E8">
      <w:pPr>
        <w:pStyle w:val="Bodytextplain"/>
        <w:spacing w:before="160"/>
        <w:rPr>
          <w:iCs/>
        </w:rPr>
      </w:pPr>
      <w:r w:rsidRPr="002C6752">
        <w:rPr>
          <w:i/>
          <w:iCs/>
        </w:rPr>
        <w:t>Income Tax Assessment Act 1997</w:t>
      </w:r>
      <w:r w:rsidRPr="002C6752">
        <w:rPr>
          <w:iCs/>
        </w:rPr>
        <w:t>, s995.1(1)</w:t>
      </w:r>
    </w:p>
    <w:p w14:paraId="6C6109CB" w14:textId="77777777" w:rsidR="006A55E8" w:rsidRPr="002C6752" w:rsidRDefault="006A55E8" w:rsidP="006A55E8">
      <w:pPr>
        <w:pStyle w:val="Bodytextplain"/>
        <w:spacing w:before="160"/>
        <w:rPr>
          <w:iCs/>
        </w:rPr>
      </w:pPr>
      <w:r w:rsidRPr="002C6752">
        <w:rPr>
          <w:iCs/>
        </w:rPr>
        <w:t xml:space="preserve">National Credit Act, s5, 47, 64, 65; National Credit Code, s72, 73, 88, 94, 95, 177B, 177C, 179H, 179J, 208; </w:t>
      </w:r>
      <w:r w:rsidRPr="002C6752">
        <w:rPr>
          <w:i/>
        </w:rPr>
        <w:t>National Consumer Credit Protection (</w:t>
      </w:r>
      <w:r w:rsidRPr="002C6752">
        <w:rPr>
          <w:i/>
          <w:iCs/>
        </w:rPr>
        <w:t xml:space="preserve">Transitional </w:t>
      </w:r>
      <w:r w:rsidRPr="002C6752">
        <w:rPr>
          <w:i/>
        </w:rPr>
        <w:t xml:space="preserve">and Consequential Provisions) </w:t>
      </w:r>
      <w:r w:rsidRPr="002C6752">
        <w:rPr>
          <w:i/>
          <w:iCs/>
        </w:rPr>
        <w:t>Act 2009</w:t>
      </w:r>
      <w:r w:rsidRPr="002C6752">
        <w:rPr>
          <w:iCs/>
        </w:rPr>
        <w:t>, s4(1).</w:t>
      </w:r>
    </w:p>
    <w:p w14:paraId="61C195AC" w14:textId="76C160C3" w:rsidR="006A55E8" w:rsidRPr="002C6752" w:rsidRDefault="006A55E8" w:rsidP="006A55E8">
      <w:pPr>
        <w:pStyle w:val="Bodytextplain"/>
        <w:spacing w:before="160"/>
        <w:rPr>
          <w:iCs/>
        </w:rPr>
      </w:pPr>
      <w:r w:rsidRPr="002C6752">
        <w:rPr>
          <w:iCs/>
        </w:rPr>
        <w:t>National Credit Regulations, regs 3, 6, 10, 16, 23B, 23C,</w:t>
      </w:r>
      <w:r w:rsidR="00C65314">
        <w:rPr>
          <w:iCs/>
        </w:rPr>
        <w:t xml:space="preserve"> 25E,</w:t>
      </w:r>
      <w:r w:rsidRPr="002C6752">
        <w:rPr>
          <w:iCs/>
        </w:rPr>
        <w:t xml:space="preserve"> 86</w:t>
      </w:r>
      <w:r w:rsidR="00B52CA4">
        <w:rPr>
          <w:iCs/>
        </w:rPr>
        <w:t>, 105K;</w:t>
      </w:r>
      <w:r w:rsidRPr="002C6752">
        <w:rPr>
          <w:iCs/>
        </w:rPr>
        <w:t xml:space="preserve"> Schs 2 and</w:t>
      </w:r>
      <w:r w:rsidR="006748DE">
        <w:rPr>
          <w:iCs/>
        </w:rPr>
        <w:t> </w:t>
      </w:r>
      <w:r w:rsidRPr="002C6752">
        <w:rPr>
          <w:iCs/>
        </w:rPr>
        <w:t>3</w:t>
      </w:r>
      <w:r w:rsidR="00B52CA4">
        <w:rPr>
          <w:iCs/>
        </w:rPr>
        <w:t>;</w:t>
      </w:r>
      <w:r w:rsidRPr="002C6752">
        <w:rPr>
          <w:iCs/>
        </w:rPr>
        <w:t xml:space="preserve"> Forms 12, 12A, 18A</w:t>
      </w:r>
      <w:r w:rsidR="00B52CA4">
        <w:rPr>
          <w:iCs/>
        </w:rPr>
        <w:t>;</w:t>
      </w:r>
      <w:r w:rsidRPr="002C6752">
        <w:rPr>
          <w:iCs/>
        </w:rPr>
        <w:t xml:space="preserve"> </w:t>
      </w:r>
      <w:r w:rsidRPr="002C6752">
        <w:t xml:space="preserve">National Consumer Credit Protection Amendment Regulation 2013 (No. 1) </w:t>
      </w:r>
    </w:p>
    <w:p w14:paraId="5A97DB19" w14:textId="77777777" w:rsidR="006A55E8" w:rsidRPr="002C6752" w:rsidRDefault="006A55E8" w:rsidP="006A55E8">
      <w:pPr>
        <w:pStyle w:val="Bodytextplain"/>
        <w:spacing w:before="160"/>
      </w:pPr>
      <w:r w:rsidRPr="002C6752">
        <w:rPr>
          <w:iCs/>
        </w:rPr>
        <w:t>RSA Act</w:t>
      </w:r>
      <w:r w:rsidRPr="002C6752">
        <w:t>, s47</w:t>
      </w:r>
    </w:p>
    <w:p w14:paraId="0EBD3257" w14:textId="24FF5CCB" w:rsidR="006A55E8" w:rsidRDefault="006A55E8" w:rsidP="006A55E8">
      <w:pPr>
        <w:pStyle w:val="Bodytextplain"/>
        <w:spacing w:before="160"/>
      </w:pPr>
      <w:r w:rsidRPr="002C6752">
        <w:rPr>
          <w:iCs/>
        </w:rPr>
        <w:t>SIS Act</w:t>
      </w:r>
      <w:r w:rsidRPr="002C6752">
        <w:t>, s101</w:t>
      </w:r>
    </w:p>
    <w:p w14:paraId="73979064" w14:textId="188B3275" w:rsidR="00D54825" w:rsidRPr="002C6752" w:rsidRDefault="00D54825" w:rsidP="006A55E8">
      <w:pPr>
        <w:pStyle w:val="Bodytextplain"/>
        <w:spacing w:before="160"/>
      </w:pPr>
      <w:r w:rsidRPr="002C6752">
        <w:rPr>
          <w:i/>
        </w:rPr>
        <w:t>Treasury Laws Amendment (Putting Consumers First—Establishment of the Australian Financial Complaints Authority) Act 2018</w:t>
      </w:r>
    </w:p>
    <w:p w14:paraId="47753777" w14:textId="550AE5F0" w:rsidR="00676EB3" w:rsidRPr="002C6752" w:rsidRDefault="00676EB3" w:rsidP="006A55E8">
      <w:pPr>
        <w:pStyle w:val="Heading2indented"/>
      </w:pPr>
      <w:r w:rsidRPr="002C6752">
        <w:lastRenderedPageBreak/>
        <w:t>Media and other releases</w:t>
      </w:r>
    </w:p>
    <w:p w14:paraId="2F5BE2F7" w14:textId="6C620770" w:rsidR="00042C47" w:rsidRPr="002C6752" w:rsidRDefault="00DD52BD" w:rsidP="00F15377">
      <w:pPr>
        <w:pStyle w:val="Bodytextplain"/>
        <w:spacing w:before="160"/>
        <w:rPr>
          <w:i/>
        </w:rPr>
      </w:pPr>
      <w:hyperlink r:id="rId57" w:history="1">
        <w:r w:rsidR="00042C47" w:rsidRPr="002C6752">
          <w:rPr>
            <w:rStyle w:val="Hyperlink"/>
          </w:rPr>
          <w:t>18-371MR</w:t>
        </w:r>
      </w:hyperlink>
      <w:r w:rsidR="00042C47" w:rsidRPr="002C6752">
        <w:t xml:space="preserve"> </w:t>
      </w:r>
      <w:r w:rsidR="00042C47" w:rsidRPr="002C6752">
        <w:rPr>
          <w:i/>
        </w:rPr>
        <w:t>ASIC research highlights need for improved consumer complaints experience</w:t>
      </w:r>
    </w:p>
    <w:p w14:paraId="3D52356E" w14:textId="07C45072" w:rsidR="0067129E" w:rsidRPr="002C6752" w:rsidRDefault="00DD52BD" w:rsidP="00F15377">
      <w:pPr>
        <w:pStyle w:val="Bodytextplain"/>
        <w:spacing w:before="160"/>
        <w:rPr>
          <w:i/>
        </w:rPr>
      </w:pPr>
      <w:hyperlink r:id="rId58" w:history="1">
        <w:r w:rsidR="0067129E" w:rsidRPr="002C6752">
          <w:rPr>
            <w:rStyle w:val="Hyperlink"/>
          </w:rPr>
          <w:t>19-115MR</w:t>
        </w:r>
      </w:hyperlink>
      <w:r w:rsidR="0067129E" w:rsidRPr="002C6752">
        <w:t xml:space="preserve"> </w:t>
      </w:r>
      <w:r w:rsidR="0067129E" w:rsidRPr="002C6752">
        <w:rPr>
          <w:i/>
        </w:rPr>
        <w:t>Doing the right thing by your customers: ASIC consults on lifting standards and transparency of complaints handling</w:t>
      </w:r>
    </w:p>
    <w:p w14:paraId="789386D8" w14:textId="752BD08D" w:rsidR="00BA66B0" w:rsidRPr="002C6752" w:rsidRDefault="00AD0A85" w:rsidP="00B9535C">
      <w:pPr>
        <w:pStyle w:val="Heading2indented"/>
      </w:pPr>
      <w:r w:rsidRPr="002C6752">
        <w:t>Other documents</w:t>
      </w:r>
    </w:p>
    <w:p w14:paraId="0945AF90" w14:textId="114EE987" w:rsidR="009615E9" w:rsidRPr="002C6752" w:rsidRDefault="009615E9" w:rsidP="009C6132">
      <w:pPr>
        <w:pStyle w:val="BodyText"/>
        <w:numPr>
          <w:ilvl w:val="0"/>
          <w:numId w:val="0"/>
        </w:numPr>
        <w:ind w:left="2268"/>
      </w:pPr>
      <w:r w:rsidRPr="002C6752">
        <w:t xml:space="preserve">AFCA, </w:t>
      </w:r>
      <w:hyperlink r:id="rId59" w:history="1">
        <w:r w:rsidR="00714D7E" w:rsidRPr="002C6752">
          <w:rPr>
            <w:rStyle w:val="Hyperlink"/>
          </w:rPr>
          <w:t>Complaint Resolution Scheme Rules</w:t>
        </w:r>
      </w:hyperlink>
    </w:p>
    <w:p w14:paraId="52695BA7" w14:textId="5ABFD440" w:rsidR="009615E9" w:rsidRPr="002C6752" w:rsidRDefault="009615E9" w:rsidP="009C6132">
      <w:pPr>
        <w:pStyle w:val="BodyText"/>
        <w:numPr>
          <w:ilvl w:val="0"/>
          <w:numId w:val="0"/>
        </w:numPr>
        <w:ind w:left="2268"/>
        <w:rPr>
          <w:color w:val="000000"/>
        </w:rPr>
      </w:pPr>
      <w:r w:rsidRPr="002C6752">
        <w:t xml:space="preserve">Australian Standard </w:t>
      </w:r>
      <w:hyperlink r:id="rId60" w:history="1">
        <w:r w:rsidRPr="002C6752">
          <w:rPr>
            <w:rStyle w:val="Hyperlink"/>
          </w:rPr>
          <w:t>AS/NZS 10002:2014</w:t>
        </w:r>
      </w:hyperlink>
      <w:r w:rsidRPr="002C6752">
        <w:t xml:space="preserve"> </w:t>
      </w:r>
      <w:r w:rsidRPr="002C6752">
        <w:rPr>
          <w:i/>
        </w:rPr>
        <w:t>Guidelines for complaint management in organizations</w:t>
      </w:r>
      <w:r w:rsidRPr="002C6752">
        <w:rPr>
          <w:color w:val="000000"/>
        </w:rPr>
        <w:t xml:space="preserve"> </w:t>
      </w:r>
    </w:p>
    <w:p w14:paraId="194582F8" w14:textId="0A08FF9F" w:rsidR="00676EB3" w:rsidRPr="002C6752" w:rsidRDefault="00BA66B0" w:rsidP="00582267">
      <w:pPr>
        <w:pStyle w:val="Bodytextplain"/>
      </w:pPr>
      <w:r w:rsidRPr="002C6752">
        <w:rPr>
          <w:color w:val="000000"/>
        </w:rPr>
        <w:t xml:space="preserve">Ramsay Review, </w:t>
      </w:r>
      <w:hyperlink r:id="rId61" w:history="1">
        <w:r w:rsidRPr="002C6752">
          <w:rPr>
            <w:rStyle w:val="Hyperlink"/>
            <w:i/>
            <w:iCs/>
          </w:rPr>
          <w:t>Final report: Review of the financial system external dispute resolution and complaints framework</w:t>
        </w:r>
      </w:hyperlink>
      <w:r w:rsidRPr="002C6752">
        <w:rPr>
          <w:color w:val="000000"/>
        </w:rPr>
        <w:t>, May 2017</w:t>
      </w:r>
    </w:p>
    <w:sectPr w:rsidR="00676EB3" w:rsidRPr="002C6752" w:rsidSect="00BF38B0">
      <w:headerReference w:type="even" r:id="rId62"/>
      <w:headerReference w:type="default" r:id="rId63"/>
      <w:footerReference w:type="even" r:id="rId64"/>
      <w:footerReference w:type="default" r:id="rId65"/>
      <w:headerReference w:type="first" r:id="rId66"/>
      <w:pgSz w:w="11906" w:h="16838" w:code="9"/>
      <w:pgMar w:top="1644" w:right="1416" w:bottom="1418" w:left="1418"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11660" w14:textId="77777777" w:rsidR="00E12C7C" w:rsidRDefault="00E12C7C">
      <w:r>
        <w:separator/>
      </w:r>
    </w:p>
  </w:endnote>
  <w:endnote w:type="continuationSeparator" w:id="0">
    <w:p w14:paraId="3A65D4CF" w14:textId="77777777" w:rsidR="00E12C7C" w:rsidRDefault="00E12C7C">
      <w:r>
        <w:continuationSeparator/>
      </w:r>
    </w:p>
  </w:endnote>
  <w:endnote w:type="continuationNotice" w:id="1">
    <w:p w14:paraId="2FBB11E0" w14:textId="77777777" w:rsidR="00E12C7C" w:rsidRDefault="00E12C7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Lucida Grande">
    <w:altName w:val="Franklin Gothic Medium Cond"/>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MS PMincho">
    <w:panose1 w:val="02020600040205080304"/>
    <w:charset w:val="80"/>
    <w:family w:val="roman"/>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HelveticaNeue LT 55 Roman">
    <w:altName w:val="Arial"/>
    <w:charset w:val="00"/>
    <w:family w:val="auto"/>
    <w:pitch w:val="variable"/>
    <w:sig w:usb0="80000027"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9AC3B" w14:textId="77777777" w:rsidR="00E12C7C" w:rsidRDefault="00E12C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BC144E1" w14:textId="77777777" w:rsidR="00E12C7C" w:rsidRDefault="00E12C7C">
    <w:pPr>
      <w:pStyle w:val="Footer"/>
      <w:ind w:right="360"/>
    </w:pPr>
  </w:p>
  <w:p w14:paraId="107C1F5E" w14:textId="77777777" w:rsidR="00E12C7C" w:rsidRDefault="00E12C7C"/>
  <w:p w14:paraId="04CC1266" w14:textId="77777777" w:rsidR="00E12C7C" w:rsidRDefault="00E12C7C"/>
  <w:p w14:paraId="23EA7DD7" w14:textId="77777777" w:rsidR="00E12C7C" w:rsidRDefault="00E12C7C"/>
  <w:p w14:paraId="75EA7014" w14:textId="77777777" w:rsidR="00E12C7C" w:rsidRDefault="00E12C7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FC4D0" w14:textId="465ADC76" w:rsidR="00E12C7C" w:rsidRDefault="00E12C7C">
    <w:pPr>
      <w:pStyle w:val="Footer"/>
      <w:pBdr>
        <w:top w:val="single" w:sz="4" w:space="1" w:color="117DC7"/>
      </w:pBdr>
      <w:rPr>
        <w:b/>
        <w:color w:val="117DC7"/>
      </w:rPr>
    </w:pPr>
    <w:r>
      <w:rPr>
        <w:noProof/>
        <w:color w:val="117DC7"/>
      </w:rPr>
      <mc:AlternateContent>
        <mc:Choice Requires="wps">
          <w:drawing>
            <wp:anchor distT="0" distB="0" distL="114300" distR="114300" simplePos="0" relativeHeight="251658240" behindDoc="0" locked="1" layoutInCell="1" allowOverlap="1" wp14:anchorId="0986CC5A" wp14:editId="135A55EA">
              <wp:simplePos x="0" y="0"/>
              <wp:positionH relativeFrom="page">
                <wp:posOffset>-648335</wp:posOffset>
              </wp:positionH>
              <wp:positionV relativeFrom="page">
                <wp:posOffset>36195</wp:posOffset>
              </wp:positionV>
              <wp:extent cx="657860" cy="158750"/>
              <wp:effectExtent l="0" t="0"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15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044870" w14:textId="77777777" w:rsidR="00E12C7C" w:rsidRPr="008F541E" w:rsidRDefault="00E12C7C" w:rsidP="00433ED0">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Pr>
                              <w:rStyle w:val="PageNumber"/>
                              <w:rFonts w:ascii="Arial" w:hAnsi="Arial" w:cs="Arial"/>
                              <w:noProof/>
                              <w:color w:val="117DC7"/>
                              <w:sz w:val="16"/>
                              <w:szCs w:val="16"/>
                            </w:rPr>
                            <w:t>10</w:t>
                          </w:r>
                          <w:r w:rsidRPr="008F541E">
                            <w:rPr>
                              <w:rStyle w:val="PageNumber"/>
                              <w:rFonts w:ascii="Arial" w:hAnsi="Arial" w:cs="Arial"/>
                              <w:color w:val="117DC7"/>
                              <w:sz w:val="16"/>
                              <w:szCs w:val="16"/>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86CC5A" id="_x0000_t202" coordsize="21600,21600" o:spt="202" path="m,l,21600r21600,l21600,xe">
              <v:stroke joinstyle="miter"/>
              <v:path gradientshapeok="t" o:connecttype="rect"/>
            </v:shapetype>
            <v:shape id="Text Box 13" o:spid="_x0000_s1026" type="#_x0000_t202" style="position:absolute;margin-left:-51.05pt;margin-top:2.85pt;width:51.8pt;height:1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9JFewIAAP8EAAAOAAAAZHJzL2Uyb0RvYy54bWysVF1v0zAUfUfiP1h+75KU9CPR0mlrKUIa&#10;H9LGD3Btp7FwbGO7TQbiv3PtNN0YICFEH9Ib+/r43HvOzeVV30p05NYJrSqcXaQYcUU1E2pf4U/3&#10;28kSI+eJYkRqxSv8wB2+Wr18cdmZkk91oyXjFgGIcmVnKtx4b8okcbThLXEX2nAFm7W2LfHwavcJ&#10;s6QD9FYm0zSdJ522zFhNuXOwuhk28Sri1zWn/kNdO+6RrDBw8/Fp43MXnsnqkpR7S0wj6IkG+QcW&#10;LREKLj1DbYgn6GDFL1CtoFY7XfsLqttE17WgPNYA1WTps2ruGmJ4rAWa48y5Te7/wdL3x48WCVbh&#10;KUaKtCDRPe89utE9yl6F9nTGlZB1ZyDP97AOMsdSnbnV9LNDSq8bovb82lrdNZwwoJeFk8mTowOO&#10;CyC77p1mcA85eB2B+tq2oXfQDQToINPDWZrAhcLifLZYzmGHwlY2Wy5mUbqElONhY51/w3WLQlBh&#10;C8pHcHK8dT6QIeWYEu5yWgq2FVLGF7vfraVFRwIu2cZf5P8sTaqQrHQ4NiAOK8AR7gh7gW1U/VuR&#10;TfP0ZlpMtvPlYpJv89mkWKTLSZoVN8U8zYt8s/0eCGZ52QjGuLoVio8OzPK/U/g0C4N3ogdRV+Fi&#10;Np0NCv2xyDT+fldkKzwMpBRthZfnJFIGXV8rBmWT0hMhhzj5mX7sMvRg/I9diS4Iwg8W8P2uB5Rg&#10;jZ1mD+AHq0EvkBa+IhA02n7FqIOJrLD7ciCWYyTfKvBUGN8xsGOwGwOiKBytsMdoCNd+GPODsWLf&#10;APLgWqWvwXe1iJ54ZHFyK0xZJH/6IoQxfvoesx6/W6sfAAAA//8DAFBLAwQUAAYACAAAACEA/Gw8&#10;NdwAAAAHAQAADwAAAGRycy9kb3ducmV2LnhtbEyOwU7DMBBE70j8g7VIXFBrJ6gtCnEqaOEGh5aq&#10;5228JBHxOoqdJv173BMcR/M08/L1ZFtxpt43jjUkcwWCuHSm4UrD4et99gTCB2SDrWPScCEP6+L2&#10;JsfMuJF3dN6HSsQR9hlqqEPoMil9WZNFP3cdcey+XW8xxNhX0vQ4xnHbylSppbTYcHyosaNNTeXP&#10;frAaltt+GHe8edge3j7ws6vS4+vlqPX93fTyDCLQFP5guOpHdSii08kNbLxoNcwSlSaR1bBYgbgC&#10;CxAnDY9qBbLI5X//4hcAAP//AwBQSwECLQAUAAYACAAAACEAtoM4kv4AAADhAQAAEwAAAAAAAAAA&#10;AAAAAAAAAAAAW0NvbnRlbnRfVHlwZXNdLnhtbFBLAQItABQABgAIAAAAIQA4/SH/1gAAAJQBAAAL&#10;AAAAAAAAAAAAAAAAAC8BAABfcmVscy8ucmVsc1BLAQItABQABgAIAAAAIQCCV9JFewIAAP8EAAAO&#10;AAAAAAAAAAAAAAAAAC4CAABkcnMvZTJvRG9jLnhtbFBLAQItABQABgAIAAAAIQD8bDw13AAAAAcB&#10;AAAPAAAAAAAAAAAAAAAAANUEAABkcnMvZG93bnJldi54bWxQSwUGAAAAAAQABADzAAAA3gUAAAAA&#10;" stroked="f">
              <v:textbox inset="0,0,0,0">
                <w:txbxContent>
                  <w:p w14:paraId="3B044870" w14:textId="77777777" w:rsidR="00E12C7C" w:rsidRPr="008F541E" w:rsidRDefault="00E12C7C" w:rsidP="00433ED0">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Pr>
                        <w:rStyle w:val="PageNumber"/>
                        <w:rFonts w:ascii="Arial" w:hAnsi="Arial" w:cs="Arial"/>
                        <w:noProof/>
                        <w:color w:val="117DC7"/>
                        <w:sz w:val="16"/>
                        <w:szCs w:val="16"/>
                      </w:rPr>
                      <w:t>10</w:t>
                    </w:r>
                    <w:r w:rsidRPr="008F541E">
                      <w:rPr>
                        <w:rStyle w:val="PageNumber"/>
                        <w:rFonts w:ascii="Arial" w:hAnsi="Arial" w:cs="Arial"/>
                        <w:color w:val="117DC7"/>
                        <w:sz w:val="16"/>
                        <w:szCs w:val="16"/>
                      </w:rPr>
                      <w:fldChar w:fldCharType="end"/>
                    </w:r>
                  </w:p>
                </w:txbxContent>
              </v:textbox>
              <w10:wrap anchorx="page" anchory="page"/>
              <w10:anchorlock/>
            </v:shape>
          </w:pict>
        </mc:Fallback>
      </mc:AlternateContent>
    </w:r>
    <w:r>
      <w:rPr>
        <w:color w:val="117DC7"/>
      </w:rPr>
      <w:t xml:space="preserve">© Australian Securities and Investments Commission </w:t>
    </w:r>
    <w:fldSimple w:instr=" DOCPROPERTY  &quot;Issue date&quot;  \* MERGEFORMAT ">
      <w:r w:rsidR="00DE6E77" w:rsidRPr="00DE6E77">
        <w:rPr>
          <w:color w:val="117DC7"/>
        </w:rPr>
        <w:t>July 2020</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7AB00" w14:textId="77777777" w:rsidR="00E12C7C" w:rsidRDefault="00E12C7C">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4583D" w14:textId="77777777" w:rsidR="00E12C7C" w:rsidRDefault="00E12C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1D8A0596" w14:textId="77777777" w:rsidR="00E12C7C" w:rsidRDefault="00E12C7C">
    <w:pPr>
      <w:pStyle w:val="Footer"/>
      <w:ind w:right="360"/>
    </w:pPr>
  </w:p>
  <w:p w14:paraId="530514D9" w14:textId="77777777" w:rsidR="00E12C7C" w:rsidRDefault="00E12C7C"/>
  <w:p w14:paraId="04FD9C02" w14:textId="77777777" w:rsidR="00E12C7C" w:rsidRDefault="00E12C7C"/>
  <w:p w14:paraId="10569DAB" w14:textId="77777777" w:rsidR="00E12C7C" w:rsidRDefault="00E12C7C"/>
  <w:p w14:paraId="65EB71A6" w14:textId="77777777" w:rsidR="00E12C7C" w:rsidRDefault="00E12C7C"/>
  <w:p w14:paraId="28CCDB78" w14:textId="77777777" w:rsidR="00E12C7C" w:rsidRDefault="00E12C7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E7148" w14:textId="5A1E678D" w:rsidR="00E12C7C" w:rsidRDefault="00E12C7C">
    <w:pPr>
      <w:pStyle w:val="Footer"/>
      <w:pBdr>
        <w:top w:val="single" w:sz="4" w:space="1" w:color="117DC7"/>
      </w:pBdr>
      <w:rPr>
        <w:b/>
        <w:color w:val="117DC7"/>
      </w:rPr>
    </w:pPr>
    <w:r>
      <w:rPr>
        <w:color w:val="117DC7"/>
      </w:rPr>
      <w:t xml:space="preserve">© Australian Securities and Investments Commission </w:t>
    </w:r>
    <w:r>
      <w:rPr>
        <w:color w:val="117DC7"/>
      </w:rPr>
      <w:fldChar w:fldCharType="begin"/>
    </w:r>
    <w:r>
      <w:rPr>
        <w:color w:val="117DC7"/>
      </w:rPr>
      <w:instrText xml:space="preserve"> DOCPROPERTY  "Issue date" </w:instrText>
    </w:r>
    <w:r>
      <w:rPr>
        <w:color w:val="117DC7"/>
      </w:rPr>
      <w:fldChar w:fldCharType="separate"/>
    </w:r>
    <w:r w:rsidR="00DE6E77">
      <w:rPr>
        <w:color w:val="117DC7"/>
      </w:rPr>
      <w:t>July 2020</w:t>
    </w:r>
    <w:r>
      <w:rPr>
        <w:color w:val="117DC7"/>
      </w:rPr>
      <w:fldChar w:fldCharType="end"/>
    </w:r>
    <w:r>
      <w:rPr>
        <w:color w:val="117DC7"/>
      </w:rPr>
      <w:tab/>
      <w:t xml:space="preserve">Page </w:t>
    </w:r>
    <w:r w:rsidRPr="00642749">
      <w:rPr>
        <w:b/>
        <w:color w:val="117DC7"/>
      </w:rPr>
      <w:fldChar w:fldCharType="begin"/>
    </w:r>
    <w:r w:rsidRPr="00642749">
      <w:rPr>
        <w:b/>
        <w:color w:val="117DC7"/>
      </w:rPr>
      <w:instrText xml:space="preserve"> PAGE  \* Arabic  \* MERGEFORMAT </w:instrText>
    </w:r>
    <w:r w:rsidRPr="00642749">
      <w:rPr>
        <w:b/>
        <w:color w:val="117DC7"/>
      </w:rPr>
      <w:fldChar w:fldCharType="separate"/>
    </w:r>
    <w:r w:rsidRPr="00642749">
      <w:rPr>
        <w:b/>
        <w:noProof/>
        <w:color w:val="117DC7"/>
      </w:rPr>
      <w:t>4</w:t>
    </w:r>
    <w:r w:rsidRPr="00642749">
      <w:rPr>
        <w:b/>
        <w:color w:val="117DC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3FC97" w14:textId="77777777" w:rsidR="00E12C7C" w:rsidRDefault="00E12C7C">
      <w:r>
        <w:separator/>
      </w:r>
    </w:p>
  </w:footnote>
  <w:footnote w:type="continuationSeparator" w:id="0">
    <w:p w14:paraId="5351EA95" w14:textId="77777777" w:rsidR="00E12C7C" w:rsidRDefault="00E12C7C">
      <w:r>
        <w:continuationSeparator/>
      </w:r>
    </w:p>
  </w:footnote>
  <w:footnote w:type="continuationNotice" w:id="1">
    <w:p w14:paraId="2A723200" w14:textId="77777777" w:rsidR="00E12C7C" w:rsidRDefault="00E12C7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D97C5" w14:textId="77777777" w:rsidR="00E12C7C" w:rsidRDefault="00E12C7C"/>
  <w:p w14:paraId="20042C52" w14:textId="77777777" w:rsidR="00E12C7C" w:rsidRDefault="00E12C7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76D16" w14:textId="1AB13906" w:rsidR="00E12C7C" w:rsidRDefault="00E12C7C">
    <w:pPr>
      <w:pStyle w:val="Footer"/>
      <w:pBdr>
        <w:bottom w:val="single" w:sz="4" w:space="1" w:color="117DC7"/>
      </w:pBdr>
      <w:jc w:val="right"/>
      <w:rPr>
        <w:color w:val="117DC7"/>
      </w:rPr>
    </w:pPr>
    <w:r>
      <w:tab/>
    </w:r>
    <w:fldSimple w:instr=" DOCPROPERTY  &quot;Document type&quot;  \* MERGEFORMAT ">
      <w:r w:rsidR="00DE6E77" w:rsidRPr="00DE6E77">
        <w:rPr>
          <w:caps/>
          <w:color w:val="117DC7"/>
        </w:rPr>
        <w:t>REGULATORY GUIDE</w:t>
      </w:r>
    </w:fldSimple>
    <w:r>
      <w:rPr>
        <w:color w:val="117DC7"/>
      </w:rPr>
      <w:t xml:space="preserve"> </w:t>
    </w:r>
    <w:fldSimple w:instr=" DOCPROPERTY  &quot;Document num&quot;  \* MERGEFORMAT ">
      <w:r w:rsidR="00DE6E77" w:rsidRPr="00DE6E77">
        <w:rPr>
          <w:color w:val="117DC7"/>
        </w:rPr>
        <w:t>271</w:t>
      </w:r>
    </w:fldSimple>
    <w:r>
      <w:rPr>
        <w:color w:val="117DC7"/>
      </w:rPr>
      <w:t xml:space="preserve">: </w:t>
    </w:r>
    <w:fldSimple w:instr=" DOCPROPERTY  &quot;Document title&quot;  \* MERGEFORMAT ">
      <w:r w:rsidR="00DE6E77" w:rsidRPr="00DE6E77">
        <w:rPr>
          <w:color w:val="117DC7"/>
        </w:rPr>
        <w:t>Internal dispute</w:t>
      </w:r>
      <w:r w:rsidR="00DE6E77">
        <w:t xml:space="preserve"> resolution</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679A7" w14:textId="776F00A1" w:rsidR="00E12C7C" w:rsidRPr="00642749" w:rsidRDefault="00E12C7C" w:rsidP="00310CA1">
    <w:pPr>
      <w:pStyle w:val="Header"/>
      <w:pBdr>
        <w:bottom w:val="none" w:sz="0" w:space="0" w:color="auto"/>
      </w:pBdr>
      <w:tabs>
        <w:tab w:val="clear" w:pos="9356"/>
        <w:tab w:val="right" w:pos="9070"/>
      </w:tabs>
      <w:jc w:val="center"/>
      <w:rPr>
        <w:b/>
        <w:bCs/>
        <w:caps w:val="0"/>
        <w:color w:val="C0C0C0"/>
        <w:sz w:val="40"/>
        <w:szCs w:val="40"/>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3B1E0" w14:textId="77777777" w:rsidR="00E12C7C" w:rsidRDefault="00E12C7C"/>
  <w:p w14:paraId="5CAB893C" w14:textId="77777777" w:rsidR="00E12C7C" w:rsidRDefault="00E12C7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194A9" w14:textId="799F5BB0" w:rsidR="00E12C7C" w:rsidRDefault="00E12C7C" w:rsidP="005550D2">
    <w:pPr>
      <w:pStyle w:val="Footer"/>
      <w:pBdr>
        <w:bottom w:val="single" w:sz="4" w:space="1" w:color="117DC7"/>
      </w:pBdr>
      <w:jc w:val="right"/>
    </w:pPr>
    <w:r>
      <w:tab/>
    </w:r>
    <w:fldSimple w:instr=" DOCPROPERTY  &quot;Document type&quot;  \* MERGEFORMAT ">
      <w:r w:rsidR="00DE6E77" w:rsidRPr="00DE6E77">
        <w:rPr>
          <w:caps/>
          <w:color w:val="117DC7"/>
        </w:rPr>
        <w:t>REGULATORY GUIDE</w:t>
      </w:r>
    </w:fldSimple>
    <w:r>
      <w:rPr>
        <w:color w:val="117DC7"/>
      </w:rPr>
      <w:t xml:space="preserve"> </w:t>
    </w:r>
    <w:fldSimple w:instr=" DOCPROPERTY  &quot;Document num&quot;  \* MERGEFORMAT ">
      <w:r w:rsidR="00DE6E77" w:rsidRPr="00DE6E77">
        <w:rPr>
          <w:color w:val="117DC7"/>
        </w:rPr>
        <w:t>271</w:t>
      </w:r>
    </w:fldSimple>
    <w:r>
      <w:rPr>
        <w:color w:val="117DC7"/>
      </w:rPr>
      <w:t xml:space="preserve">: </w:t>
    </w:r>
    <w:r>
      <w:fldChar w:fldCharType="begin"/>
    </w:r>
    <w:r>
      <w:instrText xml:space="preserve"> </w:instrText>
    </w:r>
    <w:r w:rsidRPr="003746C7">
      <w:rPr>
        <w:color w:val="117DC7"/>
      </w:rPr>
      <w:instrText>D</w:instrText>
    </w:r>
    <w:r>
      <w:instrText xml:space="preserve">OCPROPERTY  "Document title"  \* charformat </w:instrText>
    </w:r>
    <w:r>
      <w:fldChar w:fldCharType="separate"/>
    </w:r>
    <w:r w:rsidR="00DE6E77">
      <w:rPr>
        <w:color w:val="117DC7"/>
      </w:rPr>
      <w:t>Internal dispute resolution</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8DD4D" w14:textId="77777777" w:rsidR="00E12C7C" w:rsidRDefault="00E12C7C">
    <w:pPr>
      <w:pStyle w:val="Header"/>
      <w:pBdr>
        <w:bottom w:val="none" w:sz="0" w:space="0" w:color="auto"/>
      </w:pBdr>
      <w:jc w:val="center"/>
      <w:rPr>
        <w:b/>
        <w:bCs/>
        <w:color w:val="C0C0C0"/>
        <w:sz w:val="48"/>
        <w:lang w:val="en-US"/>
      </w:rPr>
    </w:pPr>
    <w:r>
      <w:rPr>
        <w:b/>
        <w:bCs/>
        <w:color w:val="C0C0C0"/>
        <w:sz w:val="48"/>
        <w:lang w:val="en-US"/>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160AD04"/>
    <w:lvl w:ilvl="0">
      <w:start w:val="1"/>
      <w:numFmt w:val="decimal"/>
      <w:lvlText w:val="%1."/>
      <w:lvlJc w:val="left"/>
      <w:pPr>
        <w:tabs>
          <w:tab w:val="num" w:pos="360"/>
        </w:tabs>
        <w:ind w:left="360" w:hanging="360"/>
      </w:pPr>
    </w:lvl>
  </w:abstractNum>
  <w:abstractNum w:abstractNumId="1" w15:restartNumberingAfterBreak="0">
    <w:nsid w:val="03A50056"/>
    <w:multiLevelType w:val="multilevel"/>
    <w:tmpl w:val="C270C05C"/>
    <w:numStyleLink w:val="ZZNumbersLowerAlpha"/>
  </w:abstractNum>
  <w:abstractNum w:abstractNumId="2" w15:restartNumberingAfterBreak="0">
    <w:nsid w:val="04B833EF"/>
    <w:multiLevelType w:val="hybridMultilevel"/>
    <w:tmpl w:val="1E085E60"/>
    <w:lvl w:ilvl="0" w:tplc="246223CE">
      <w:start w:val="1"/>
      <w:numFmt w:val="bullet"/>
      <w:pStyle w:val="boxbullet"/>
      <w:lvlText w:val=""/>
      <w:lvlJc w:val="left"/>
      <w:pPr>
        <w:tabs>
          <w:tab w:val="num" w:pos="425"/>
        </w:tabs>
        <w:ind w:left="425" w:hanging="425"/>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7569D7"/>
    <w:multiLevelType w:val="hybridMultilevel"/>
    <w:tmpl w:val="6620323A"/>
    <w:lvl w:ilvl="0" w:tplc="AAD2B1CE">
      <w:start w:val="1"/>
      <w:numFmt w:val="bullet"/>
      <w:pStyle w:val="tabledash"/>
      <w:lvlText w:val=""/>
      <w:lvlJc w:val="left"/>
      <w:pPr>
        <w:tabs>
          <w:tab w:val="num" w:pos="340"/>
        </w:tabs>
        <w:ind w:left="340" w:hanging="17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50AAF"/>
    <w:multiLevelType w:val="multilevel"/>
    <w:tmpl w:val="34E6B782"/>
    <w:lvl w:ilvl="0">
      <w:start w:val="1"/>
      <w:numFmt w:val="decimal"/>
      <w:lvlText w:val="%1"/>
      <w:lvlJc w:val="left"/>
      <w:pPr>
        <w:tabs>
          <w:tab w:val="num" w:pos="425"/>
        </w:tabs>
        <w:ind w:left="425" w:hanging="425"/>
      </w:pPr>
      <w:rPr>
        <w:rFonts w:hint="default"/>
        <w:sz w:val="22"/>
      </w:rPr>
    </w:lvl>
    <w:lvl w:ilvl="1">
      <w:start w:val="1"/>
      <w:numFmt w:val="decimal"/>
      <w:lvlText w:val="%1.%2"/>
      <w:lvlJc w:val="left"/>
      <w:pPr>
        <w:tabs>
          <w:tab w:val="num" w:pos="851"/>
        </w:tabs>
        <w:ind w:left="851" w:hanging="851"/>
      </w:pPr>
      <w:rPr>
        <w:rFonts w:hint="default"/>
      </w:rPr>
    </w:lvl>
    <w:lvl w:ilvl="2">
      <w:start w:val="1"/>
      <w:numFmt w:val="decimal"/>
      <w:lvlText w:val="%1.%3.%2"/>
      <w:lvlJc w:val="left"/>
      <w:pPr>
        <w:tabs>
          <w:tab w:val="num" w:pos="993"/>
        </w:tabs>
        <w:ind w:left="993" w:hanging="1418"/>
      </w:pPr>
      <w:rPr>
        <w:rFonts w:hint="default"/>
      </w:rPr>
    </w:lvl>
    <w:lvl w:ilvl="3">
      <w:start w:val="1"/>
      <w:numFmt w:val="decimal"/>
      <w:lvlText w:val="%1.%2.%3.%4."/>
      <w:lvlJc w:val="left"/>
      <w:pPr>
        <w:tabs>
          <w:tab w:val="num" w:pos="2095"/>
        </w:tabs>
        <w:ind w:left="1303" w:hanging="648"/>
      </w:pPr>
      <w:rPr>
        <w:rFonts w:hint="default"/>
      </w:rPr>
    </w:lvl>
    <w:lvl w:ilvl="4">
      <w:start w:val="1"/>
      <w:numFmt w:val="decimal"/>
      <w:lvlText w:val="%1.%2.%3.%4.%5."/>
      <w:lvlJc w:val="left"/>
      <w:pPr>
        <w:tabs>
          <w:tab w:val="num" w:pos="2815"/>
        </w:tabs>
        <w:ind w:left="1807" w:hanging="792"/>
      </w:pPr>
      <w:rPr>
        <w:rFonts w:hint="default"/>
      </w:rPr>
    </w:lvl>
    <w:lvl w:ilvl="5">
      <w:start w:val="1"/>
      <w:numFmt w:val="decimal"/>
      <w:lvlText w:val="%1.%2.%3.%4.%5.%6."/>
      <w:lvlJc w:val="left"/>
      <w:pPr>
        <w:tabs>
          <w:tab w:val="num" w:pos="3535"/>
        </w:tabs>
        <w:ind w:left="2311" w:hanging="936"/>
      </w:pPr>
      <w:rPr>
        <w:rFonts w:hint="default"/>
      </w:rPr>
    </w:lvl>
    <w:lvl w:ilvl="6">
      <w:start w:val="1"/>
      <w:numFmt w:val="decimal"/>
      <w:lvlText w:val="%1.%2.%3.%4.%5.%6.%7."/>
      <w:lvlJc w:val="left"/>
      <w:pPr>
        <w:tabs>
          <w:tab w:val="num" w:pos="3895"/>
        </w:tabs>
        <w:ind w:left="2815" w:hanging="1080"/>
      </w:pPr>
      <w:rPr>
        <w:rFonts w:hint="default"/>
      </w:rPr>
    </w:lvl>
    <w:lvl w:ilvl="7">
      <w:start w:val="1"/>
      <w:numFmt w:val="decimal"/>
      <w:lvlText w:val="%1.%2.%3.%4.%5.%6.%7.%8."/>
      <w:lvlJc w:val="left"/>
      <w:pPr>
        <w:tabs>
          <w:tab w:val="num" w:pos="4615"/>
        </w:tabs>
        <w:ind w:left="3319" w:hanging="1224"/>
      </w:pPr>
      <w:rPr>
        <w:rFonts w:hint="default"/>
      </w:rPr>
    </w:lvl>
    <w:lvl w:ilvl="8">
      <w:start w:val="1"/>
      <w:numFmt w:val="decimal"/>
      <w:lvlText w:val="%1.%2.%3.%4.%5.%6.%7.%8.%9."/>
      <w:lvlJc w:val="left"/>
      <w:pPr>
        <w:tabs>
          <w:tab w:val="num" w:pos="5335"/>
        </w:tabs>
        <w:ind w:left="3895" w:hanging="1440"/>
      </w:pPr>
      <w:rPr>
        <w:rFonts w:hint="default"/>
      </w:rPr>
    </w:lvl>
  </w:abstractNum>
  <w:abstractNum w:abstractNumId="5" w15:restartNumberingAfterBreak="0">
    <w:nsid w:val="0BAD2E30"/>
    <w:multiLevelType w:val="multilevel"/>
    <w:tmpl w:val="C270C05C"/>
    <w:styleLink w:val="ZZNumbersLowerAlpha"/>
    <w:lvl w:ilvl="0">
      <w:start w:val="1"/>
      <w:numFmt w:val="lowerLetter"/>
      <w:pStyle w:val="DHHSnumberloweralpha"/>
      <w:lvlText w:val="(%1)"/>
      <w:lvlJc w:val="left"/>
      <w:pPr>
        <w:tabs>
          <w:tab w:val="num" w:pos="397"/>
        </w:tabs>
        <w:ind w:left="397" w:hanging="397"/>
      </w:pPr>
      <w:rPr>
        <w:rFonts w:hint="default"/>
      </w:rPr>
    </w:lvl>
    <w:lvl w:ilvl="1">
      <w:start w:val="1"/>
      <w:numFmt w:val="lowerLetter"/>
      <w:pStyle w:val="DHH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lowerRoman"/>
      <w:lvlRestart w:val="0"/>
      <w:lvlText w:val="%9"/>
      <w:lvlJc w:val="left"/>
      <w:pPr>
        <w:ind w:left="0" w:firstLine="0"/>
      </w:pPr>
      <w:rPr>
        <w:rFonts w:hint="default"/>
      </w:rPr>
    </w:lvl>
  </w:abstractNum>
  <w:abstractNum w:abstractNumId="6" w15:restartNumberingAfterBreak="0">
    <w:nsid w:val="0DA769B0"/>
    <w:multiLevelType w:val="hybridMultilevel"/>
    <w:tmpl w:val="22429344"/>
    <w:lvl w:ilvl="0" w:tplc="E3364E6E">
      <w:start w:val="1"/>
      <w:numFmt w:val="bullet"/>
      <w:pStyle w:val="Responsebullet"/>
      <w:lvlText w:val=""/>
      <w:lvlJc w:val="left"/>
      <w:pPr>
        <w:ind w:left="3952" w:hanging="360"/>
      </w:pPr>
      <w:rPr>
        <w:rFonts w:ascii="Symbol" w:hAnsi="Symbol" w:hint="default"/>
      </w:rPr>
    </w:lvl>
    <w:lvl w:ilvl="1" w:tplc="0C090003" w:tentative="1">
      <w:start w:val="1"/>
      <w:numFmt w:val="bullet"/>
      <w:lvlText w:val="o"/>
      <w:lvlJc w:val="left"/>
      <w:pPr>
        <w:ind w:left="4672" w:hanging="360"/>
      </w:pPr>
      <w:rPr>
        <w:rFonts w:ascii="Courier New" w:hAnsi="Courier New" w:cs="Courier New" w:hint="default"/>
      </w:rPr>
    </w:lvl>
    <w:lvl w:ilvl="2" w:tplc="0C090005" w:tentative="1">
      <w:start w:val="1"/>
      <w:numFmt w:val="bullet"/>
      <w:lvlText w:val=""/>
      <w:lvlJc w:val="left"/>
      <w:pPr>
        <w:ind w:left="5392" w:hanging="360"/>
      </w:pPr>
      <w:rPr>
        <w:rFonts w:ascii="Wingdings" w:hAnsi="Wingdings" w:hint="default"/>
      </w:rPr>
    </w:lvl>
    <w:lvl w:ilvl="3" w:tplc="0C090001" w:tentative="1">
      <w:start w:val="1"/>
      <w:numFmt w:val="bullet"/>
      <w:lvlText w:val=""/>
      <w:lvlJc w:val="left"/>
      <w:pPr>
        <w:ind w:left="6112" w:hanging="360"/>
      </w:pPr>
      <w:rPr>
        <w:rFonts w:ascii="Symbol" w:hAnsi="Symbol" w:hint="default"/>
      </w:rPr>
    </w:lvl>
    <w:lvl w:ilvl="4" w:tplc="0C090003" w:tentative="1">
      <w:start w:val="1"/>
      <w:numFmt w:val="bullet"/>
      <w:lvlText w:val="o"/>
      <w:lvlJc w:val="left"/>
      <w:pPr>
        <w:ind w:left="6832" w:hanging="360"/>
      </w:pPr>
      <w:rPr>
        <w:rFonts w:ascii="Courier New" w:hAnsi="Courier New" w:cs="Courier New" w:hint="default"/>
      </w:rPr>
    </w:lvl>
    <w:lvl w:ilvl="5" w:tplc="0C090005" w:tentative="1">
      <w:start w:val="1"/>
      <w:numFmt w:val="bullet"/>
      <w:lvlText w:val=""/>
      <w:lvlJc w:val="left"/>
      <w:pPr>
        <w:ind w:left="7552" w:hanging="360"/>
      </w:pPr>
      <w:rPr>
        <w:rFonts w:ascii="Wingdings" w:hAnsi="Wingdings" w:hint="default"/>
      </w:rPr>
    </w:lvl>
    <w:lvl w:ilvl="6" w:tplc="0C090001" w:tentative="1">
      <w:start w:val="1"/>
      <w:numFmt w:val="bullet"/>
      <w:lvlText w:val=""/>
      <w:lvlJc w:val="left"/>
      <w:pPr>
        <w:ind w:left="8272" w:hanging="360"/>
      </w:pPr>
      <w:rPr>
        <w:rFonts w:ascii="Symbol" w:hAnsi="Symbol" w:hint="default"/>
      </w:rPr>
    </w:lvl>
    <w:lvl w:ilvl="7" w:tplc="0C090003" w:tentative="1">
      <w:start w:val="1"/>
      <w:numFmt w:val="bullet"/>
      <w:lvlText w:val="o"/>
      <w:lvlJc w:val="left"/>
      <w:pPr>
        <w:ind w:left="8992" w:hanging="360"/>
      </w:pPr>
      <w:rPr>
        <w:rFonts w:ascii="Courier New" w:hAnsi="Courier New" w:cs="Courier New" w:hint="default"/>
      </w:rPr>
    </w:lvl>
    <w:lvl w:ilvl="8" w:tplc="0C090005" w:tentative="1">
      <w:start w:val="1"/>
      <w:numFmt w:val="bullet"/>
      <w:lvlText w:val=""/>
      <w:lvlJc w:val="left"/>
      <w:pPr>
        <w:ind w:left="9712" w:hanging="360"/>
      </w:pPr>
      <w:rPr>
        <w:rFonts w:ascii="Wingdings" w:hAnsi="Wingdings" w:hint="default"/>
      </w:rPr>
    </w:lvl>
  </w:abstractNum>
  <w:abstractNum w:abstractNumId="7" w15:restartNumberingAfterBreak="0">
    <w:nsid w:val="0FF02AA5"/>
    <w:multiLevelType w:val="multilevel"/>
    <w:tmpl w:val="391E8732"/>
    <w:styleLink w:val="ZZKeyMessagesBullets"/>
    <w:lvl w:ilvl="0">
      <w:start w:val="1"/>
      <w:numFmt w:val="bullet"/>
      <w:pStyle w:val="DHHSkeymessagesbullet"/>
      <w:lvlText w:val="•"/>
      <w:lvlJc w:val="left"/>
      <w:pPr>
        <w:ind w:left="284" w:hanging="284"/>
      </w:pPr>
      <w:rPr>
        <w:rFonts w:ascii="Calibri" w:hAnsi="Calibri"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1E0C6808"/>
    <w:multiLevelType w:val="multilevel"/>
    <w:tmpl w:val="94A64D2C"/>
    <w:lvl w:ilvl="0">
      <w:start w:val="1"/>
      <w:numFmt w:val="decimal"/>
      <w:pStyle w:val="BodyText"/>
      <w:lvlText w:val="RG 271.%1"/>
      <w:lvlJc w:val="left"/>
      <w:pPr>
        <w:tabs>
          <w:tab w:val="num" w:pos="3686"/>
        </w:tabs>
        <w:ind w:left="3686" w:hanging="1134"/>
      </w:pPr>
      <w:rPr>
        <w:rFonts w:hint="default"/>
        <w:b w:val="0"/>
        <w:i w:val="0"/>
        <w:color w:val="auto"/>
        <w:sz w:val="18"/>
        <w:szCs w:val="18"/>
      </w:rPr>
    </w:lvl>
    <w:lvl w:ilvl="1">
      <w:start w:val="1"/>
      <w:numFmt w:val="lowerLetter"/>
      <w:pStyle w:val="subparaa"/>
      <w:lvlText w:val="(%2)"/>
      <w:lvlJc w:val="left"/>
      <w:pPr>
        <w:tabs>
          <w:tab w:val="num" w:pos="2693"/>
        </w:tabs>
        <w:ind w:left="2693" w:hanging="425"/>
      </w:pPr>
      <w:rPr>
        <w:rFonts w:hint="default"/>
        <w:b w:val="0"/>
        <w:i w:val="0"/>
        <w:color w:val="auto"/>
        <w:sz w:val="18"/>
        <w:szCs w:val="18"/>
      </w:rPr>
    </w:lvl>
    <w:lvl w:ilvl="2">
      <w:start w:val="1"/>
      <w:numFmt w:val="lowerRoman"/>
      <w:pStyle w:val="subsubparai"/>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sub3paraA"/>
      <w:lvlText w:val="(%4)"/>
      <w:lvlJc w:val="left"/>
      <w:pPr>
        <w:tabs>
          <w:tab w:val="num" w:pos="3544"/>
        </w:tabs>
        <w:ind w:left="3544" w:hanging="425"/>
      </w:pPr>
      <w:rPr>
        <w:rFonts w:hint="default"/>
        <w:sz w:val="16"/>
        <w:szCs w:val="16"/>
      </w:rPr>
    </w:lvl>
    <w:lvl w:ilvl="4">
      <w:start w:val="1"/>
      <w:numFmt w:val="upperRoman"/>
      <w:pStyle w:val="sub4paraI"/>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9" w15:restartNumberingAfterBreak="0">
    <w:nsid w:val="1F88500E"/>
    <w:multiLevelType w:val="singleLevel"/>
    <w:tmpl w:val="286E529C"/>
    <w:lvl w:ilvl="0">
      <w:start w:val="1"/>
      <w:numFmt w:val="bullet"/>
      <w:lvlText w:val=""/>
      <w:lvlJc w:val="left"/>
      <w:pPr>
        <w:tabs>
          <w:tab w:val="num" w:pos="425"/>
        </w:tabs>
        <w:ind w:left="425" w:hanging="425"/>
      </w:pPr>
      <w:rPr>
        <w:rFonts w:ascii="Symbol" w:hAnsi="Symbol" w:hint="default"/>
      </w:rPr>
    </w:lvl>
  </w:abstractNum>
  <w:abstractNum w:abstractNumId="10" w15:restartNumberingAfterBreak="0">
    <w:nsid w:val="20435333"/>
    <w:multiLevelType w:val="multilevel"/>
    <w:tmpl w:val="2BF2360A"/>
    <w:lvl w:ilvl="0">
      <w:start w:val="1"/>
      <w:numFmt w:val="upperLetter"/>
      <w:lvlText w:val="%1"/>
      <w:lvlJc w:val="left"/>
      <w:pPr>
        <w:tabs>
          <w:tab w:val="num" w:pos="851"/>
        </w:tabs>
        <w:ind w:left="851" w:hanging="851"/>
      </w:pPr>
      <w:rPr>
        <w:rFonts w:hint="default"/>
        <w:b/>
        <w:i w:val="0"/>
        <w:color w:val="117DC7"/>
        <w:sz w:val="36"/>
        <w:szCs w:val="72"/>
      </w:rPr>
    </w:lvl>
    <w:lvl w:ilvl="1">
      <w:start w:val="1"/>
      <w:numFmt w:val="decimal"/>
      <w:lvlText w:val="%1%2"/>
      <w:lvlJc w:val="left"/>
      <w:pPr>
        <w:tabs>
          <w:tab w:val="num" w:pos="2693"/>
        </w:tabs>
        <w:ind w:left="2693" w:hanging="425"/>
      </w:pPr>
      <w:rPr>
        <w:rFonts w:hint="default"/>
        <w:b/>
        <w:i w:val="0"/>
        <w:color w:val="auto"/>
        <w:sz w:val="16"/>
        <w:szCs w:val="16"/>
      </w:rPr>
    </w:lvl>
    <w:lvl w:ilvl="2">
      <w:start w:val="1"/>
      <w:numFmt w:val="lowerLetter"/>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544"/>
        </w:tabs>
        <w:ind w:left="3544" w:hanging="425"/>
      </w:pPr>
      <w:rPr>
        <w:rFonts w:hint="default"/>
        <w:sz w:val="18"/>
        <w:szCs w:val="18"/>
      </w:rPr>
    </w:lvl>
    <w:lvl w:ilvl="4">
      <w:start w:val="1"/>
      <w:numFmt w:val="decimal"/>
      <w:lvlText w:val="%1%2Q%5"/>
      <w:lvlJc w:val="left"/>
      <w:pPr>
        <w:tabs>
          <w:tab w:val="num" w:pos="3799"/>
        </w:tabs>
        <w:ind w:left="3799" w:hanging="567"/>
      </w:pPr>
      <w:rPr>
        <w:rFonts w:hint="default"/>
        <w:sz w:val="16"/>
        <w:szCs w:val="16"/>
      </w:rPr>
    </w:lvl>
    <w:lvl w:ilvl="5">
      <w:start w:val="1"/>
      <w:numFmt w:val="lowerLetter"/>
      <w:lvlText w:val="             (%6)"/>
      <w:lvlJc w:val="left"/>
      <w:pPr>
        <w:tabs>
          <w:tab w:val="num" w:pos="4139"/>
        </w:tabs>
        <w:ind w:left="4139" w:hanging="907"/>
      </w:pPr>
      <w:rPr>
        <w:rFonts w:hint="default"/>
        <w:sz w:val="16"/>
        <w:szCs w:val="16"/>
      </w:rPr>
    </w:lvl>
    <w:lvl w:ilvl="6">
      <w:start w:val="1"/>
      <w:numFmt w:val="lowerRoman"/>
      <w:lvlText w:val="                    (%7)"/>
      <w:lvlJc w:val="left"/>
      <w:pPr>
        <w:tabs>
          <w:tab w:val="num" w:pos="4423"/>
        </w:tabs>
        <w:ind w:left="4423" w:hanging="1191"/>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1" w15:restartNumberingAfterBreak="0">
    <w:nsid w:val="22D62565"/>
    <w:multiLevelType w:val="multilevel"/>
    <w:tmpl w:val="D43CAEE8"/>
    <w:lvl w:ilvl="0">
      <w:start w:val="1"/>
      <w:numFmt w:val="decimal"/>
      <w:lvlText w:val="RG 000.%1"/>
      <w:lvlJc w:val="left"/>
      <w:pPr>
        <w:tabs>
          <w:tab w:val="num" w:pos="2268"/>
        </w:tabs>
        <w:ind w:left="2268" w:hanging="1134"/>
      </w:pPr>
      <w:rPr>
        <w:rFonts w:hint="default"/>
        <w:b w:val="0"/>
        <w:i w:val="0"/>
        <w:color w:val="auto"/>
        <w:sz w:val="18"/>
        <w:szCs w:val="18"/>
      </w:rPr>
    </w:lvl>
    <w:lvl w:ilvl="1">
      <w:start w:val="1"/>
      <w:numFmt w:val="lowerLetter"/>
      <w:lvlText w:val="(%2)"/>
      <w:lvlJc w:val="left"/>
      <w:pPr>
        <w:tabs>
          <w:tab w:val="num" w:pos="2693"/>
        </w:tabs>
        <w:ind w:left="2693"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544"/>
        </w:tabs>
        <w:ind w:left="3544" w:hanging="425"/>
      </w:pPr>
      <w:rPr>
        <w:rFonts w:hint="default"/>
        <w:sz w:val="16"/>
        <w:szCs w:val="16"/>
      </w:rPr>
    </w:lvl>
    <w:lvl w:ilvl="4">
      <w:start w:val="1"/>
      <w:numFmt w:val="upperRoman"/>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2" w15:restartNumberingAfterBreak="0">
    <w:nsid w:val="243B1A7D"/>
    <w:multiLevelType w:val="multilevel"/>
    <w:tmpl w:val="D292D8DE"/>
    <w:name w:val="ASIC proposal"/>
    <w:lvl w:ilvl="0">
      <w:start w:val="1"/>
      <w:numFmt w:val="upperLetter"/>
      <w:pStyle w:val="Heading1"/>
      <w:lvlText w:val="%1"/>
      <w:lvlJc w:val="left"/>
      <w:pPr>
        <w:tabs>
          <w:tab w:val="num" w:pos="851"/>
        </w:tabs>
        <w:ind w:left="851" w:hanging="851"/>
      </w:pPr>
      <w:rPr>
        <w:rFonts w:hint="default"/>
        <w:b/>
        <w:i w:val="0"/>
        <w:color w:val="0072CE"/>
        <w:sz w:val="36"/>
        <w:szCs w:val="72"/>
      </w:rPr>
    </w:lvl>
    <w:lvl w:ilvl="1">
      <w:start w:val="1"/>
      <w:numFmt w:val="decimal"/>
      <w:pStyle w:val="Proposaltext"/>
      <w:lvlText w:val="%1%2"/>
      <w:lvlJc w:val="left"/>
      <w:pPr>
        <w:tabs>
          <w:tab w:val="num" w:pos="2693"/>
        </w:tabs>
        <w:ind w:left="2693" w:hanging="425"/>
      </w:pPr>
      <w:rPr>
        <w:rFonts w:hint="default"/>
        <w:b/>
        <w:i w:val="0"/>
        <w:color w:val="auto"/>
        <w:sz w:val="16"/>
        <w:szCs w:val="16"/>
      </w:rPr>
    </w:lvl>
    <w:lvl w:ilvl="2">
      <w:start w:val="1"/>
      <w:numFmt w:val="lowerLetter"/>
      <w:pStyle w:val="Proposalsubpara"/>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Proposalsubsubpara"/>
      <w:lvlText w:val="(%4)"/>
      <w:lvlJc w:val="left"/>
      <w:pPr>
        <w:tabs>
          <w:tab w:val="num" w:pos="3544"/>
        </w:tabs>
        <w:ind w:left="3544" w:hanging="425"/>
      </w:pPr>
      <w:rPr>
        <w:rFonts w:hint="default"/>
        <w:sz w:val="18"/>
        <w:szCs w:val="18"/>
      </w:rPr>
    </w:lvl>
    <w:lvl w:ilvl="4">
      <w:start w:val="1"/>
      <w:numFmt w:val="decimal"/>
      <w:pStyle w:val="Feedbackquestion"/>
      <w:lvlText w:val="%1%2Q%5"/>
      <w:lvlJc w:val="left"/>
      <w:pPr>
        <w:tabs>
          <w:tab w:val="num" w:pos="3799"/>
        </w:tabs>
        <w:ind w:left="3799" w:hanging="567"/>
      </w:pPr>
      <w:rPr>
        <w:rFonts w:hint="default"/>
        <w:sz w:val="16"/>
        <w:szCs w:val="16"/>
      </w:rPr>
    </w:lvl>
    <w:lvl w:ilvl="5">
      <w:start w:val="1"/>
      <w:numFmt w:val="lowerLetter"/>
      <w:pStyle w:val="Feedbacksubquestion"/>
      <w:lvlText w:val="             (%6)"/>
      <w:lvlJc w:val="left"/>
      <w:pPr>
        <w:tabs>
          <w:tab w:val="num" w:pos="4139"/>
        </w:tabs>
        <w:ind w:left="4139" w:hanging="907"/>
      </w:pPr>
      <w:rPr>
        <w:rFonts w:hint="default"/>
        <w:sz w:val="16"/>
        <w:szCs w:val="16"/>
      </w:rPr>
    </w:lvl>
    <w:lvl w:ilvl="6">
      <w:start w:val="1"/>
      <w:numFmt w:val="lowerRoman"/>
      <w:pStyle w:val="Feedbacksubsubquestion"/>
      <w:lvlText w:val="                    (%7)"/>
      <w:lvlJc w:val="left"/>
      <w:pPr>
        <w:tabs>
          <w:tab w:val="num" w:pos="4423"/>
        </w:tabs>
        <w:ind w:left="4423" w:hanging="1191"/>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3" w15:restartNumberingAfterBreak="0">
    <w:nsid w:val="2C7D73DE"/>
    <w:multiLevelType w:val="hybridMultilevel"/>
    <w:tmpl w:val="46EAF5A6"/>
    <w:lvl w:ilvl="0" w:tplc="AB988280">
      <w:start w:val="1"/>
      <w:numFmt w:val="bullet"/>
      <w:pStyle w:val="tablebullet"/>
      <w:lvlText w:val=""/>
      <w:lvlJc w:val="left"/>
      <w:pPr>
        <w:tabs>
          <w:tab w:val="num" w:pos="170"/>
        </w:tabs>
        <w:ind w:left="170" w:hanging="17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B96CDA"/>
    <w:multiLevelType w:val="multilevel"/>
    <w:tmpl w:val="115427AC"/>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bullet"/>
      <w:lvlRestart w:val="0"/>
      <w:pStyle w:val="DHHSbulletafternumbers1"/>
      <w:lvlText w:val="•"/>
      <w:lvlJc w:val="left"/>
      <w:pPr>
        <w:tabs>
          <w:tab w:val="num" w:pos="794"/>
        </w:tabs>
        <w:ind w:left="794" w:hanging="397"/>
      </w:pPr>
      <w:rPr>
        <w:rFonts w:ascii="Calibri" w:hAnsi="Calibri" w:hint="default"/>
      </w:rPr>
    </w:lvl>
    <w:lvl w:ilvl="3">
      <w:start w:val="1"/>
      <w:numFmt w:val="bullet"/>
      <w:lvlRestart w:val="0"/>
      <w:pStyle w:val="DHHSbulletafternumbers2"/>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5" w15:restartNumberingAfterBreak="0">
    <w:nsid w:val="3C041993"/>
    <w:multiLevelType w:val="multilevel"/>
    <w:tmpl w:val="4680F51A"/>
    <w:name w:val="ASIC para nos"/>
    <w:lvl w:ilvl="0">
      <w:start w:val="1"/>
      <w:numFmt w:val="decimal"/>
      <w:lvlText w:val="%1"/>
      <w:lvlJc w:val="left"/>
      <w:pPr>
        <w:tabs>
          <w:tab w:val="num" w:pos="2693"/>
        </w:tabs>
        <w:ind w:left="2693" w:hanging="425"/>
      </w:pPr>
      <w:rPr>
        <w:rFonts w:hint="default"/>
        <w:sz w:val="22"/>
      </w:rPr>
    </w:lvl>
    <w:lvl w:ilvl="1">
      <w:start w:val="1"/>
      <w:numFmt w:val="decimal"/>
      <w:lvlText w:val="%1.%2"/>
      <w:lvlJc w:val="left"/>
      <w:pPr>
        <w:tabs>
          <w:tab w:val="num" w:pos="3119"/>
        </w:tabs>
        <w:ind w:left="3119" w:hanging="426"/>
      </w:pPr>
      <w:rPr>
        <w:rFonts w:hint="default"/>
      </w:rPr>
    </w:lvl>
    <w:lvl w:ilvl="2">
      <w:start w:val="1"/>
      <w:numFmt w:val="none"/>
      <w:lvlText w:val=""/>
      <w:lvlJc w:val="left"/>
      <w:pPr>
        <w:tabs>
          <w:tab w:val="num" w:pos="4370"/>
        </w:tabs>
        <w:ind w:left="4370" w:hanging="425"/>
      </w:pPr>
      <w:rPr>
        <w:rFonts w:hint="default"/>
      </w:rPr>
    </w:lvl>
    <w:lvl w:ilvl="3">
      <w:start w:val="1"/>
      <w:numFmt w:val="none"/>
      <w:lvlText w:val=""/>
      <w:lvlJc w:val="left"/>
      <w:pPr>
        <w:tabs>
          <w:tab w:val="num" w:pos="4197"/>
        </w:tabs>
        <w:ind w:left="3405" w:hanging="648"/>
      </w:pPr>
      <w:rPr>
        <w:rFonts w:hint="default"/>
      </w:rPr>
    </w:lvl>
    <w:lvl w:ilvl="4">
      <w:start w:val="1"/>
      <w:numFmt w:val="decimal"/>
      <w:lvlText w:val="%1.%2.%3.%4.%5."/>
      <w:lvlJc w:val="left"/>
      <w:pPr>
        <w:tabs>
          <w:tab w:val="num" w:pos="4917"/>
        </w:tabs>
        <w:ind w:left="3909" w:hanging="792"/>
      </w:pPr>
      <w:rPr>
        <w:rFonts w:hint="default"/>
      </w:rPr>
    </w:lvl>
    <w:lvl w:ilvl="5">
      <w:start w:val="1"/>
      <w:numFmt w:val="decimal"/>
      <w:lvlText w:val="%1.%2.%3.%4.%5.%6."/>
      <w:lvlJc w:val="left"/>
      <w:pPr>
        <w:tabs>
          <w:tab w:val="num" w:pos="5637"/>
        </w:tabs>
        <w:ind w:left="4413" w:hanging="936"/>
      </w:pPr>
      <w:rPr>
        <w:rFonts w:hint="default"/>
      </w:rPr>
    </w:lvl>
    <w:lvl w:ilvl="6">
      <w:start w:val="1"/>
      <w:numFmt w:val="decimal"/>
      <w:lvlText w:val="%1.%2.%3.%4.%5.%6.%7."/>
      <w:lvlJc w:val="left"/>
      <w:pPr>
        <w:tabs>
          <w:tab w:val="num" w:pos="5997"/>
        </w:tabs>
        <w:ind w:left="4917" w:hanging="1080"/>
      </w:pPr>
      <w:rPr>
        <w:rFonts w:hint="default"/>
      </w:rPr>
    </w:lvl>
    <w:lvl w:ilvl="7">
      <w:start w:val="1"/>
      <w:numFmt w:val="decimal"/>
      <w:lvlText w:val="%1.%2.%3.%4.%5.%6.%7.%8."/>
      <w:lvlJc w:val="left"/>
      <w:pPr>
        <w:tabs>
          <w:tab w:val="num" w:pos="6717"/>
        </w:tabs>
        <w:ind w:left="5421" w:hanging="1224"/>
      </w:pPr>
      <w:rPr>
        <w:rFonts w:hint="default"/>
      </w:rPr>
    </w:lvl>
    <w:lvl w:ilvl="8">
      <w:start w:val="1"/>
      <w:numFmt w:val="decimal"/>
      <w:lvlText w:val="%1.%2.%3.%4.%5.%6.%7.%8.%9."/>
      <w:lvlJc w:val="left"/>
      <w:pPr>
        <w:tabs>
          <w:tab w:val="num" w:pos="7437"/>
        </w:tabs>
        <w:ind w:left="5997" w:hanging="1440"/>
      </w:pPr>
      <w:rPr>
        <w:rFonts w:hint="default"/>
      </w:rPr>
    </w:lvl>
  </w:abstractNum>
  <w:abstractNum w:abstractNumId="16" w15:restartNumberingAfterBreak="0">
    <w:nsid w:val="3CFC4ACA"/>
    <w:multiLevelType w:val="hybridMultilevel"/>
    <w:tmpl w:val="0EF2AE00"/>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6C68D4"/>
    <w:multiLevelType w:val="multilevel"/>
    <w:tmpl w:val="8BB8ADBA"/>
    <w:styleLink w:val="ZZNumbersDigit"/>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FBAC941E"/>
    <w:styleLink w:val="ZZNumbersLowerRoman"/>
    <w:lvl w:ilvl="0">
      <w:start w:val="1"/>
      <w:numFmt w:val="lowerRoman"/>
      <w:pStyle w:val="DHHSnumberlowerroman"/>
      <w:lvlText w:val="(%1)"/>
      <w:lvlJc w:val="left"/>
      <w:pPr>
        <w:tabs>
          <w:tab w:val="num" w:pos="397"/>
        </w:tabs>
        <w:ind w:left="397" w:hanging="397"/>
      </w:pPr>
      <w:rPr>
        <w:rFonts w:hint="default"/>
      </w:rPr>
    </w:lvl>
    <w:lvl w:ilvl="1">
      <w:start w:val="1"/>
      <w:numFmt w:val="lowerRoman"/>
      <w:pStyle w:val="DHHSnumberlowerromanindent"/>
      <w:lvlText w:val="(%2)"/>
      <w:lvlJc w:val="left"/>
      <w:pPr>
        <w:tabs>
          <w:tab w:val="num" w:pos="3091"/>
        </w:tabs>
        <w:ind w:left="3091"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63176A4"/>
    <w:multiLevelType w:val="multilevel"/>
    <w:tmpl w:val="DD3007F6"/>
    <w:lvl w:ilvl="0">
      <w:start w:val="1"/>
      <w:numFmt w:val="decimal"/>
      <w:lvlText w:val="%1)"/>
      <w:lvlJc w:val="left"/>
      <w:pPr>
        <w:ind w:left="425" w:hanging="425"/>
      </w:pPr>
      <w:rPr>
        <w:rFonts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upperRoman"/>
      <w:lvlText w:val="%4)"/>
      <w:lvlJc w:val="left"/>
      <w:pPr>
        <w:tabs>
          <w:tab w:val="num" w:pos="1701"/>
        </w:tabs>
        <w:ind w:left="1701" w:hanging="425"/>
      </w:pPr>
      <w:rPr>
        <w:rFonts w:hint="default"/>
      </w:rPr>
    </w:lvl>
    <w:lvl w:ilvl="4">
      <w:start w:val="1"/>
      <w:numFmt w:val="decimal"/>
      <w:lvlText w:val="%5)"/>
      <w:lvlJc w:val="left"/>
      <w:pPr>
        <w:ind w:left="2126" w:hanging="425"/>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36B65CD"/>
    <w:multiLevelType w:val="hybridMultilevel"/>
    <w:tmpl w:val="C8F0255E"/>
    <w:lvl w:ilvl="0" w:tplc="E63C2630">
      <w:start w:val="1"/>
      <w:numFmt w:val="bullet"/>
      <w:lvlText w:val=""/>
      <w:lvlJc w:val="left"/>
      <w:pPr>
        <w:tabs>
          <w:tab w:val="num" w:pos="2693"/>
        </w:tabs>
        <w:ind w:left="2693" w:hanging="425"/>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D5E6804C">
      <w:start w:val="1"/>
      <w:numFmt w:val="bullet"/>
      <w:pStyle w:val="Frontbullet"/>
      <w:lvlText w:val=""/>
      <w:lvlJc w:val="left"/>
      <w:pPr>
        <w:tabs>
          <w:tab w:val="num" w:pos="2693"/>
        </w:tabs>
        <w:ind w:left="2693" w:hanging="425"/>
      </w:pPr>
      <w:rPr>
        <w:rFonts w:ascii="Wingdings" w:hAnsi="Wingdings" w:hint="default"/>
        <w:color w:val="auto"/>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1611C2"/>
    <w:multiLevelType w:val="multilevel"/>
    <w:tmpl w:val="A15E1390"/>
    <w:styleLink w:val="ZZTableBullets"/>
    <w:lvl w:ilvl="0">
      <w:start w:val="1"/>
      <w:numFmt w:val="bullet"/>
      <w:pStyle w:val="DHHStablebullet1"/>
      <w:lvlText w:val="•"/>
      <w:lvlJc w:val="left"/>
      <w:pPr>
        <w:ind w:left="227" w:hanging="227"/>
      </w:pPr>
      <w:rPr>
        <w:rFonts w:ascii="Calibri" w:hAnsi="Calibri" w:hint="default"/>
      </w:rPr>
    </w:lvl>
    <w:lvl w:ilvl="1">
      <w:start w:val="1"/>
      <w:numFmt w:val="bullet"/>
      <w:lvlRestart w:val="0"/>
      <w:pStyle w:val="DHH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BC626AC8"/>
    <w:styleLink w:val="ZZBullets"/>
    <w:lvl w:ilvl="0">
      <w:start w:val="1"/>
      <w:numFmt w:val="bullet"/>
      <w:pStyle w:val="Bulletlist"/>
      <w:lvlText w:val="•"/>
      <w:lvlJc w:val="left"/>
      <w:pPr>
        <w:ind w:left="284" w:hanging="284"/>
      </w:pPr>
      <w:rPr>
        <w:rFonts w:ascii="Calibri" w:hAnsi="Calibri" w:hint="default"/>
      </w:rPr>
    </w:lvl>
    <w:lvl w:ilvl="1">
      <w:start w:val="1"/>
      <w:numFmt w:val="bullet"/>
      <w:lvlRestart w:val="0"/>
      <w:pStyle w:val="DHH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BC14F7E"/>
    <w:multiLevelType w:val="hybridMultilevel"/>
    <w:tmpl w:val="B904640E"/>
    <w:lvl w:ilvl="0" w:tplc="DB5E2A70">
      <w:start w:val="1"/>
      <w:numFmt w:val="bullet"/>
      <w:pStyle w:val="ListBullet2"/>
      <w:lvlText w:val=""/>
      <w:lvlJc w:val="left"/>
      <w:pPr>
        <w:tabs>
          <w:tab w:val="num" w:pos="851"/>
        </w:tabs>
        <w:ind w:left="851"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756F33"/>
    <w:multiLevelType w:val="hybridMultilevel"/>
    <w:tmpl w:val="76EE0A6E"/>
    <w:lvl w:ilvl="0" w:tplc="C700BE30">
      <w:start w:val="1"/>
      <w:numFmt w:val="bullet"/>
      <w:pStyle w:val="KPbullet"/>
      <w:lvlText w:val=""/>
      <w:lvlJc w:val="left"/>
      <w:pPr>
        <w:tabs>
          <w:tab w:val="num" w:pos="2807"/>
        </w:tabs>
        <w:ind w:left="2807" w:hanging="426"/>
      </w:pPr>
      <w:rPr>
        <w:rFonts w:ascii="Symbol" w:hAnsi="Symbol" w:hint="default"/>
        <w:b w:val="0"/>
        <w:i w:val="0"/>
        <w:color w:val="auto"/>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09259F"/>
    <w:multiLevelType w:val="multilevel"/>
    <w:tmpl w:val="3354876C"/>
    <w:styleLink w:val="ZZQuoteBullets"/>
    <w:lvl w:ilvl="0">
      <w:start w:val="1"/>
      <w:numFmt w:val="bullet"/>
      <w:pStyle w:val="DHHSquotebullet1"/>
      <w:lvlText w:val="•"/>
      <w:lvlJc w:val="left"/>
      <w:pPr>
        <w:ind w:left="794" w:hanging="397"/>
      </w:pPr>
      <w:rPr>
        <w:rFonts w:ascii="Calibri" w:hAnsi="Calibri" w:hint="default"/>
        <w:color w:val="auto"/>
      </w:rPr>
    </w:lvl>
    <w:lvl w:ilvl="1">
      <w:start w:val="1"/>
      <w:numFmt w:val="bullet"/>
      <w:lvlRestart w:val="0"/>
      <w:pStyle w:val="DHHSquotebullet2"/>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9E365C4"/>
    <w:multiLevelType w:val="hybridMultilevel"/>
    <w:tmpl w:val="413E4FAA"/>
    <w:lvl w:ilvl="0" w:tplc="8E62C916">
      <w:start w:val="1"/>
      <w:numFmt w:val="bullet"/>
      <w:pStyle w:val="ListBullet"/>
      <w:lvlText w:val=""/>
      <w:lvlJc w:val="left"/>
      <w:pPr>
        <w:tabs>
          <w:tab w:val="num" w:pos="1418"/>
        </w:tabs>
        <w:ind w:left="1418" w:firstLine="85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F4407C"/>
    <w:multiLevelType w:val="multilevel"/>
    <w:tmpl w:val="F14EEEC6"/>
    <w:name w:val="CEI legal numbering"/>
    <w:lvl w:ilvl="0">
      <w:start w:val="1"/>
      <w:numFmt w:val="decimal"/>
      <w:isLgl/>
      <w:lvlText w:val="CEI %1"/>
      <w:lvlJc w:val="left"/>
      <w:pPr>
        <w:tabs>
          <w:tab w:val="num" w:pos="851"/>
        </w:tabs>
        <w:ind w:left="851" w:hanging="851"/>
      </w:pPr>
      <w:rPr>
        <w:rFonts w:hint="default"/>
        <w:sz w:val="20"/>
        <w:szCs w:val="20"/>
        <w:lang w:val="en-ZW"/>
      </w:rPr>
    </w:lvl>
    <w:lvl w:ilvl="1">
      <w:start w:val="1"/>
      <w:numFmt w:val="lowerLetter"/>
      <w:lvlText w:val="(%2)"/>
      <w:lvlJc w:val="left"/>
      <w:pPr>
        <w:tabs>
          <w:tab w:val="num" w:pos="1276"/>
        </w:tabs>
        <w:ind w:left="1276" w:hanging="425"/>
      </w:pPr>
      <w:rPr>
        <w:rFonts w:hint="default"/>
      </w:rPr>
    </w:lvl>
    <w:lvl w:ilvl="2">
      <w:start w:val="1"/>
      <w:numFmt w:val="lowerRoman"/>
      <w:lvlText w:val="(%3)"/>
      <w:lvlJc w:val="left"/>
      <w:pPr>
        <w:tabs>
          <w:tab w:val="num" w:pos="1701"/>
        </w:tabs>
        <w:ind w:left="1701" w:hanging="425"/>
      </w:pPr>
      <w:rPr>
        <w:rFonts w:hint="default"/>
      </w:rPr>
    </w:lvl>
    <w:lvl w:ilvl="3">
      <w:start w:val="1"/>
      <w:numFmt w:val="decimal"/>
      <w:lvlText w:val="%1.%2.%3.%4."/>
      <w:lvlJc w:val="left"/>
      <w:pPr>
        <w:tabs>
          <w:tab w:val="num" w:pos="2095"/>
        </w:tabs>
        <w:ind w:left="1303" w:hanging="648"/>
      </w:pPr>
      <w:rPr>
        <w:rFonts w:hint="default"/>
      </w:rPr>
    </w:lvl>
    <w:lvl w:ilvl="4">
      <w:start w:val="1"/>
      <w:numFmt w:val="decimal"/>
      <w:lvlText w:val="%1.%2.%3.%4.%5."/>
      <w:lvlJc w:val="left"/>
      <w:pPr>
        <w:tabs>
          <w:tab w:val="num" w:pos="2815"/>
        </w:tabs>
        <w:ind w:left="1807" w:hanging="792"/>
      </w:pPr>
      <w:rPr>
        <w:rFonts w:hint="default"/>
      </w:rPr>
    </w:lvl>
    <w:lvl w:ilvl="5">
      <w:start w:val="1"/>
      <w:numFmt w:val="decimal"/>
      <w:lvlText w:val="%1.%2.%3.%4.%5.%6."/>
      <w:lvlJc w:val="left"/>
      <w:pPr>
        <w:tabs>
          <w:tab w:val="num" w:pos="3535"/>
        </w:tabs>
        <w:ind w:left="2311" w:hanging="936"/>
      </w:pPr>
      <w:rPr>
        <w:rFonts w:hint="default"/>
      </w:rPr>
    </w:lvl>
    <w:lvl w:ilvl="6">
      <w:start w:val="1"/>
      <w:numFmt w:val="decimal"/>
      <w:lvlText w:val="%1.%2.%3.%4.%5.%6.%7."/>
      <w:lvlJc w:val="left"/>
      <w:pPr>
        <w:tabs>
          <w:tab w:val="num" w:pos="3895"/>
        </w:tabs>
        <w:ind w:left="2815" w:hanging="1080"/>
      </w:pPr>
      <w:rPr>
        <w:rFonts w:hint="default"/>
      </w:rPr>
    </w:lvl>
    <w:lvl w:ilvl="7">
      <w:start w:val="1"/>
      <w:numFmt w:val="decimal"/>
      <w:lvlText w:val="%1.%2.%3.%4.%5.%6.%7.%8."/>
      <w:lvlJc w:val="left"/>
      <w:pPr>
        <w:tabs>
          <w:tab w:val="num" w:pos="4615"/>
        </w:tabs>
        <w:ind w:left="3319" w:hanging="1224"/>
      </w:pPr>
      <w:rPr>
        <w:rFonts w:hint="default"/>
      </w:rPr>
    </w:lvl>
    <w:lvl w:ilvl="8">
      <w:start w:val="1"/>
      <w:numFmt w:val="decimal"/>
      <w:lvlText w:val="%1.%2.%3.%4.%5.%6.%7.%8.%9."/>
      <w:lvlJc w:val="left"/>
      <w:pPr>
        <w:tabs>
          <w:tab w:val="num" w:pos="5335"/>
        </w:tabs>
        <w:ind w:left="3895" w:hanging="1440"/>
      </w:pPr>
      <w:rPr>
        <w:rFonts w:hint="default"/>
      </w:rPr>
    </w:lvl>
  </w:abstractNum>
  <w:abstractNum w:abstractNumId="28" w15:restartNumberingAfterBreak="0">
    <w:nsid w:val="771E79D3"/>
    <w:multiLevelType w:val="multilevel"/>
    <w:tmpl w:val="6D5A78E8"/>
    <w:styleLink w:val="Style1"/>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7A04370D"/>
    <w:multiLevelType w:val="hybridMultilevel"/>
    <w:tmpl w:val="94749C48"/>
    <w:lvl w:ilvl="0" w:tplc="21A06F82">
      <w:start w:val="1"/>
      <w:numFmt w:val="bullet"/>
      <w:lvlText w:val=""/>
      <w:lvlJc w:val="left"/>
      <w:pPr>
        <w:tabs>
          <w:tab w:val="num" w:pos="3119"/>
        </w:tabs>
        <w:ind w:left="3119"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3"/>
  </w:num>
  <w:num w:numId="3">
    <w:abstractNumId w:val="26"/>
  </w:num>
  <w:num w:numId="4">
    <w:abstractNumId w:val="3"/>
  </w:num>
  <w:num w:numId="5">
    <w:abstractNumId w:val="24"/>
  </w:num>
  <w:num w:numId="6">
    <w:abstractNumId w:val="12"/>
  </w:num>
  <w:num w:numId="7">
    <w:abstractNumId w:val="8"/>
  </w:num>
  <w:num w:numId="8">
    <w:abstractNumId w:val="20"/>
  </w:num>
  <w:num w:numId="9">
    <w:abstractNumId w:val="23"/>
  </w:num>
  <w:num w:numId="10">
    <w:abstractNumId w:val="2"/>
  </w:num>
  <w:num w:numId="11">
    <w:abstractNumId w:val="8"/>
  </w:num>
  <w:num w:numId="12">
    <w:abstractNumId w:val="17"/>
  </w:num>
  <w:num w:numId="13">
    <w:abstractNumId w:val="22"/>
  </w:num>
  <w:num w:numId="14">
    <w:abstractNumId w:val="14"/>
  </w:num>
  <w:num w:numId="15">
    <w:abstractNumId w:val="21"/>
  </w:num>
  <w:num w:numId="16">
    <w:abstractNumId w:val="25"/>
  </w:num>
  <w:num w:numId="17">
    <w:abstractNumId w:val="18"/>
  </w:num>
  <w:num w:numId="18">
    <w:abstractNumId w:val="28"/>
  </w:num>
  <w:num w:numId="19">
    <w:abstractNumId w:val="5"/>
  </w:num>
  <w:num w:numId="20">
    <w:abstractNumId w:val="1"/>
  </w:num>
  <w:num w:numId="21">
    <w:abstractNumId w:val="7"/>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29"/>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10"/>
  </w:num>
  <w:num w:numId="28">
    <w:abstractNumId w:val="19"/>
  </w:num>
  <w:num w:numId="29">
    <w:abstractNumId w:val="0"/>
  </w:num>
  <w:num w:numId="30">
    <w:abstractNumId w:val="6"/>
  </w:num>
  <w:num w:numId="31">
    <w:abstractNumId w:val="9"/>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24"/>
  </w:num>
  <w:num w:numId="35">
    <w:abstractNumId w:val="24"/>
  </w:num>
  <w:num w:numId="36">
    <w:abstractNumId w:val="24"/>
  </w:num>
  <w:num w:numId="37">
    <w:abstractNumId w:val="24"/>
  </w:num>
  <w:num w:numId="38">
    <w:abstractNumId w:val="24"/>
  </w:num>
  <w:num w:numId="39">
    <w:abstractNumId w:val="24"/>
  </w:num>
  <w:num w:numId="40">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hideGrammatical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425"/>
  <w:displayHorizontalDrawingGridEvery w:val="0"/>
  <w:displayVerticalDrawingGridEvery w:val="0"/>
  <w:doNotUseMarginsForDrawingGridOrigin/>
  <w:noPunctuationKerning/>
  <w:characterSpacingControl w:val="doNotCompress"/>
  <w:hdrShapeDefaults>
    <o:shapedefaults v:ext="edit" spidmax="264193">
      <o:colormru v:ext="edit" colors="#00a8d0,#008eb0,#1492e8,#1287d6,#117dc7,#c2e3f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EB3"/>
    <w:rsid w:val="00000336"/>
    <w:rsid w:val="0000578B"/>
    <w:rsid w:val="0000687D"/>
    <w:rsid w:val="000124A3"/>
    <w:rsid w:val="0001283F"/>
    <w:rsid w:val="00012A43"/>
    <w:rsid w:val="0001398B"/>
    <w:rsid w:val="00017DF4"/>
    <w:rsid w:val="0002093A"/>
    <w:rsid w:val="000214FF"/>
    <w:rsid w:val="000244D7"/>
    <w:rsid w:val="00024D62"/>
    <w:rsid w:val="0002560B"/>
    <w:rsid w:val="0002590B"/>
    <w:rsid w:val="000277E7"/>
    <w:rsid w:val="000301B3"/>
    <w:rsid w:val="00031964"/>
    <w:rsid w:val="00032992"/>
    <w:rsid w:val="000333C7"/>
    <w:rsid w:val="0003406E"/>
    <w:rsid w:val="00034DF0"/>
    <w:rsid w:val="000353FD"/>
    <w:rsid w:val="00036198"/>
    <w:rsid w:val="00037A97"/>
    <w:rsid w:val="00041AEB"/>
    <w:rsid w:val="000424F1"/>
    <w:rsid w:val="00042721"/>
    <w:rsid w:val="00042C47"/>
    <w:rsid w:val="000431FD"/>
    <w:rsid w:val="000448E0"/>
    <w:rsid w:val="00044998"/>
    <w:rsid w:val="0004665A"/>
    <w:rsid w:val="00046C3F"/>
    <w:rsid w:val="0005018D"/>
    <w:rsid w:val="00051547"/>
    <w:rsid w:val="00051D11"/>
    <w:rsid w:val="00052923"/>
    <w:rsid w:val="000530A4"/>
    <w:rsid w:val="0005414D"/>
    <w:rsid w:val="00055C67"/>
    <w:rsid w:val="000569E1"/>
    <w:rsid w:val="0006104A"/>
    <w:rsid w:val="00061795"/>
    <w:rsid w:val="000622CD"/>
    <w:rsid w:val="00062814"/>
    <w:rsid w:val="00064F0A"/>
    <w:rsid w:val="00065603"/>
    <w:rsid w:val="000659F3"/>
    <w:rsid w:val="00067037"/>
    <w:rsid w:val="000671C0"/>
    <w:rsid w:val="000671D1"/>
    <w:rsid w:val="000672FF"/>
    <w:rsid w:val="000721A1"/>
    <w:rsid w:val="00072579"/>
    <w:rsid w:val="000729C0"/>
    <w:rsid w:val="000733E8"/>
    <w:rsid w:val="00073DEC"/>
    <w:rsid w:val="00076262"/>
    <w:rsid w:val="00076CF4"/>
    <w:rsid w:val="00076F97"/>
    <w:rsid w:val="00077D0C"/>
    <w:rsid w:val="00080041"/>
    <w:rsid w:val="000802A1"/>
    <w:rsid w:val="000803F3"/>
    <w:rsid w:val="0008041E"/>
    <w:rsid w:val="00081376"/>
    <w:rsid w:val="00082D6A"/>
    <w:rsid w:val="0008327E"/>
    <w:rsid w:val="0008379E"/>
    <w:rsid w:val="00083C40"/>
    <w:rsid w:val="00084093"/>
    <w:rsid w:val="00084B74"/>
    <w:rsid w:val="00084FBC"/>
    <w:rsid w:val="00086639"/>
    <w:rsid w:val="0008749F"/>
    <w:rsid w:val="000875A6"/>
    <w:rsid w:val="00090308"/>
    <w:rsid w:val="000903D1"/>
    <w:rsid w:val="0009182A"/>
    <w:rsid w:val="00091F92"/>
    <w:rsid w:val="00093A74"/>
    <w:rsid w:val="00094B49"/>
    <w:rsid w:val="00094BF3"/>
    <w:rsid w:val="00096294"/>
    <w:rsid w:val="00096B20"/>
    <w:rsid w:val="000970F1"/>
    <w:rsid w:val="00097723"/>
    <w:rsid w:val="000977FE"/>
    <w:rsid w:val="00097838"/>
    <w:rsid w:val="00097918"/>
    <w:rsid w:val="000A03AA"/>
    <w:rsid w:val="000A1A80"/>
    <w:rsid w:val="000A229F"/>
    <w:rsid w:val="000A28E6"/>
    <w:rsid w:val="000A31D1"/>
    <w:rsid w:val="000A3C1C"/>
    <w:rsid w:val="000A4283"/>
    <w:rsid w:val="000A5507"/>
    <w:rsid w:val="000A61D7"/>
    <w:rsid w:val="000A7E01"/>
    <w:rsid w:val="000B0C4B"/>
    <w:rsid w:val="000B0F5E"/>
    <w:rsid w:val="000B1136"/>
    <w:rsid w:val="000B13B7"/>
    <w:rsid w:val="000B23FE"/>
    <w:rsid w:val="000B2573"/>
    <w:rsid w:val="000B34D3"/>
    <w:rsid w:val="000B555F"/>
    <w:rsid w:val="000B6978"/>
    <w:rsid w:val="000B700A"/>
    <w:rsid w:val="000C08CC"/>
    <w:rsid w:val="000C08D6"/>
    <w:rsid w:val="000C0DA9"/>
    <w:rsid w:val="000C27E1"/>
    <w:rsid w:val="000C36E0"/>
    <w:rsid w:val="000C4544"/>
    <w:rsid w:val="000C4EB8"/>
    <w:rsid w:val="000C6955"/>
    <w:rsid w:val="000C699A"/>
    <w:rsid w:val="000C77F7"/>
    <w:rsid w:val="000C7915"/>
    <w:rsid w:val="000D023A"/>
    <w:rsid w:val="000D14F7"/>
    <w:rsid w:val="000D1937"/>
    <w:rsid w:val="000D2A4C"/>
    <w:rsid w:val="000D316A"/>
    <w:rsid w:val="000D367F"/>
    <w:rsid w:val="000D46B8"/>
    <w:rsid w:val="000D4B50"/>
    <w:rsid w:val="000D4E8D"/>
    <w:rsid w:val="000D50AE"/>
    <w:rsid w:val="000D59A9"/>
    <w:rsid w:val="000D5D08"/>
    <w:rsid w:val="000E07D7"/>
    <w:rsid w:val="000E286D"/>
    <w:rsid w:val="000E2894"/>
    <w:rsid w:val="000E2F99"/>
    <w:rsid w:val="000E3233"/>
    <w:rsid w:val="000E3D93"/>
    <w:rsid w:val="000E4C4C"/>
    <w:rsid w:val="000E5B46"/>
    <w:rsid w:val="000F1CCC"/>
    <w:rsid w:val="000F1EFA"/>
    <w:rsid w:val="000F57CB"/>
    <w:rsid w:val="000F7021"/>
    <w:rsid w:val="000F73DB"/>
    <w:rsid w:val="000F7819"/>
    <w:rsid w:val="000F7A9F"/>
    <w:rsid w:val="000F7EB0"/>
    <w:rsid w:val="00100A5E"/>
    <w:rsid w:val="00101DB8"/>
    <w:rsid w:val="001020D8"/>
    <w:rsid w:val="00103214"/>
    <w:rsid w:val="0010355D"/>
    <w:rsid w:val="0010362C"/>
    <w:rsid w:val="00103635"/>
    <w:rsid w:val="00103669"/>
    <w:rsid w:val="00103AB6"/>
    <w:rsid w:val="00104D91"/>
    <w:rsid w:val="001058D4"/>
    <w:rsid w:val="00105949"/>
    <w:rsid w:val="00106910"/>
    <w:rsid w:val="00106D92"/>
    <w:rsid w:val="00107FD7"/>
    <w:rsid w:val="0011041D"/>
    <w:rsid w:val="00110BD5"/>
    <w:rsid w:val="0011105D"/>
    <w:rsid w:val="00111072"/>
    <w:rsid w:val="001119BD"/>
    <w:rsid w:val="00111DAD"/>
    <w:rsid w:val="00112D64"/>
    <w:rsid w:val="001138C4"/>
    <w:rsid w:val="00115862"/>
    <w:rsid w:val="0011588C"/>
    <w:rsid w:val="00115A59"/>
    <w:rsid w:val="00116EAF"/>
    <w:rsid w:val="0011716A"/>
    <w:rsid w:val="001204B6"/>
    <w:rsid w:val="0012166B"/>
    <w:rsid w:val="00121791"/>
    <w:rsid w:val="001238D6"/>
    <w:rsid w:val="00123D7E"/>
    <w:rsid w:val="001244D9"/>
    <w:rsid w:val="00124735"/>
    <w:rsid w:val="00130110"/>
    <w:rsid w:val="00130F38"/>
    <w:rsid w:val="00132028"/>
    <w:rsid w:val="001325FF"/>
    <w:rsid w:val="00132802"/>
    <w:rsid w:val="00133C4D"/>
    <w:rsid w:val="00137BC9"/>
    <w:rsid w:val="00137D10"/>
    <w:rsid w:val="00140FB8"/>
    <w:rsid w:val="0014131C"/>
    <w:rsid w:val="0014144F"/>
    <w:rsid w:val="001416C2"/>
    <w:rsid w:val="001425B1"/>
    <w:rsid w:val="0014267E"/>
    <w:rsid w:val="00142DC1"/>
    <w:rsid w:val="0014445A"/>
    <w:rsid w:val="00144534"/>
    <w:rsid w:val="00144DFA"/>
    <w:rsid w:val="0014528C"/>
    <w:rsid w:val="001461EC"/>
    <w:rsid w:val="00146F85"/>
    <w:rsid w:val="00147F0F"/>
    <w:rsid w:val="00150680"/>
    <w:rsid w:val="00150DE0"/>
    <w:rsid w:val="00150FBF"/>
    <w:rsid w:val="001510C0"/>
    <w:rsid w:val="00151205"/>
    <w:rsid w:val="00153E5E"/>
    <w:rsid w:val="00154D87"/>
    <w:rsid w:val="00155341"/>
    <w:rsid w:val="001565AC"/>
    <w:rsid w:val="001613DB"/>
    <w:rsid w:val="00161D53"/>
    <w:rsid w:val="00161D72"/>
    <w:rsid w:val="001625F0"/>
    <w:rsid w:val="00163442"/>
    <w:rsid w:val="00164224"/>
    <w:rsid w:val="001674B9"/>
    <w:rsid w:val="00167891"/>
    <w:rsid w:val="00170C24"/>
    <w:rsid w:val="001731CB"/>
    <w:rsid w:val="001735A1"/>
    <w:rsid w:val="00173E0B"/>
    <w:rsid w:val="00173E45"/>
    <w:rsid w:val="001742B8"/>
    <w:rsid w:val="0017452C"/>
    <w:rsid w:val="001745E0"/>
    <w:rsid w:val="001771FB"/>
    <w:rsid w:val="001800E1"/>
    <w:rsid w:val="00180EC3"/>
    <w:rsid w:val="00183032"/>
    <w:rsid w:val="0018304F"/>
    <w:rsid w:val="001832AC"/>
    <w:rsid w:val="00183429"/>
    <w:rsid w:val="001839F3"/>
    <w:rsid w:val="00184353"/>
    <w:rsid w:val="00185E3D"/>
    <w:rsid w:val="001866E2"/>
    <w:rsid w:val="001904F6"/>
    <w:rsid w:val="00191061"/>
    <w:rsid w:val="001915F8"/>
    <w:rsid w:val="00191694"/>
    <w:rsid w:val="001921ED"/>
    <w:rsid w:val="001925B1"/>
    <w:rsid w:val="001927A2"/>
    <w:rsid w:val="0019301F"/>
    <w:rsid w:val="001943EF"/>
    <w:rsid w:val="001948FE"/>
    <w:rsid w:val="0019518D"/>
    <w:rsid w:val="001951B4"/>
    <w:rsid w:val="001957EB"/>
    <w:rsid w:val="00196131"/>
    <w:rsid w:val="001963D3"/>
    <w:rsid w:val="00196434"/>
    <w:rsid w:val="00196E7D"/>
    <w:rsid w:val="001A02F9"/>
    <w:rsid w:val="001A0800"/>
    <w:rsid w:val="001A0B04"/>
    <w:rsid w:val="001A1EBF"/>
    <w:rsid w:val="001A5125"/>
    <w:rsid w:val="001A5EC5"/>
    <w:rsid w:val="001A60F2"/>
    <w:rsid w:val="001B00DD"/>
    <w:rsid w:val="001B15BB"/>
    <w:rsid w:val="001B1E77"/>
    <w:rsid w:val="001B1E8D"/>
    <w:rsid w:val="001B25AF"/>
    <w:rsid w:val="001B270E"/>
    <w:rsid w:val="001B2F74"/>
    <w:rsid w:val="001B3C5E"/>
    <w:rsid w:val="001B4085"/>
    <w:rsid w:val="001B4399"/>
    <w:rsid w:val="001B5079"/>
    <w:rsid w:val="001B5A51"/>
    <w:rsid w:val="001B5D43"/>
    <w:rsid w:val="001B6455"/>
    <w:rsid w:val="001B727D"/>
    <w:rsid w:val="001C20D3"/>
    <w:rsid w:val="001C379C"/>
    <w:rsid w:val="001C42CB"/>
    <w:rsid w:val="001C4AAD"/>
    <w:rsid w:val="001C557C"/>
    <w:rsid w:val="001C6DB2"/>
    <w:rsid w:val="001C7523"/>
    <w:rsid w:val="001D0249"/>
    <w:rsid w:val="001D0949"/>
    <w:rsid w:val="001D2892"/>
    <w:rsid w:val="001D35AB"/>
    <w:rsid w:val="001D3727"/>
    <w:rsid w:val="001D4229"/>
    <w:rsid w:val="001D45BE"/>
    <w:rsid w:val="001D4C5D"/>
    <w:rsid w:val="001D4E49"/>
    <w:rsid w:val="001D5001"/>
    <w:rsid w:val="001D6810"/>
    <w:rsid w:val="001D6DAA"/>
    <w:rsid w:val="001D7A07"/>
    <w:rsid w:val="001E2B1E"/>
    <w:rsid w:val="001E3329"/>
    <w:rsid w:val="001E3848"/>
    <w:rsid w:val="001E3D83"/>
    <w:rsid w:val="001E5B2F"/>
    <w:rsid w:val="001F2605"/>
    <w:rsid w:val="001F27CC"/>
    <w:rsid w:val="001F2E1B"/>
    <w:rsid w:val="001F2E8B"/>
    <w:rsid w:val="001F307C"/>
    <w:rsid w:val="001F3763"/>
    <w:rsid w:val="001F412C"/>
    <w:rsid w:val="001F413C"/>
    <w:rsid w:val="001F483B"/>
    <w:rsid w:val="001F5875"/>
    <w:rsid w:val="001F6A1C"/>
    <w:rsid w:val="001F6A47"/>
    <w:rsid w:val="0020109E"/>
    <w:rsid w:val="00201592"/>
    <w:rsid w:val="00203F02"/>
    <w:rsid w:val="00204926"/>
    <w:rsid w:val="00204AB9"/>
    <w:rsid w:val="00204EFE"/>
    <w:rsid w:val="00206280"/>
    <w:rsid w:val="002103F8"/>
    <w:rsid w:val="00210867"/>
    <w:rsid w:val="00211017"/>
    <w:rsid w:val="00211155"/>
    <w:rsid w:val="00212D2A"/>
    <w:rsid w:val="002133EB"/>
    <w:rsid w:val="00213B43"/>
    <w:rsid w:val="00213D60"/>
    <w:rsid w:val="00214704"/>
    <w:rsid w:val="00215726"/>
    <w:rsid w:val="00215E73"/>
    <w:rsid w:val="00216189"/>
    <w:rsid w:val="00216A91"/>
    <w:rsid w:val="00216ED1"/>
    <w:rsid w:val="00217E34"/>
    <w:rsid w:val="0022008C"/>
    <w:rsid w:val="002202E7"/>
    <w:rsid w:val="00220B4E"/>
    <w:rsid w:val="002211F7"/>
    <w:rsid w:val="00222465"/>
    <w:rsid w:val="002233EF"/>
    <w:rsid w:val="00223687"/>
    <w:rsid w:val="00223A85"/>
    <w:rsid w:val="002243B4"/>
    <w:rsid w:val="00224638"/>
    <w:rsid w:val="0022623E"/>
    <w:rsid w:val="00226BF4"/>
    <w:rsid w:val="00227AC9"/>
    <w:rsid w:val="0023180D"/>
    <w:rsid w:val="0023222F"/>
    <w:rsid w:val="002336F5"/>
    <w:rsid w:val="002336F7"/>
    <w:rsid w:val="00234BC1"/>
    <w:rsid w:val="00234D93"/>
    <w:rsid w:val="0023581E"/>
    <w:rsid w:val="002362BF"/>
    <w:rsid w:val="0023638B"/>
    <w:rsid w:val="0024211A"/>
    <w:rsid w:val="002422BC"/>
    <w:rsid w:val="00242316"/>
    <w:rsid w:val="00242E33"/>
    <w:rsid w:val="002435AD"/>
    <w:rsid w:val="00245DFA"/>
    <w:rsid w:val="0024717E"/>
    <w:rsid w:val="0024743A"/>
    <w:rsid w:val="00247712"/>
    <w:rsid w:val="002479EC"/>
    <w:rsid w:val="00251775"/>
    <w:rsid w:val="00251827"/>
    <w:rsid w:val="00253435"/>
    <w:rsid w:val="00253AE5"/>
    <w:rsid w:val="00255A57"/>
    <w:rsid w:val="00256383"/>
    <w:rsid w:val="0025714D"/>
    <w:rsid w:val="00257321"/>
    <w:rsid w:val="002579A0"/>
    <w:rsid w:val="002606EC"/>
    <w:rsid w:val="0026168E"/>
    <w:rsid w:val="00263977"/>
    <w:rsid w:val="0026484B"/>
    <w:rsid w:val="00264AD4"/>
    <w:rsid w:val="00264EAF"/>
    <w:rsid w:val="00265CCC"/>
    <w:rsid w:val="0026602C"/>
    <w:rsid w:val="002664EA"/>
    <w:rsid w:val="0026681E"/>
    <w:rsid w:val="00266F99"/>
    <w:rsid w:val="00267799"/>
    <w:rsid w:val="002704C4"/>
    <w:rsid w:val="002712AD"/>
    <w:rsid w:val="00271408"/>
    <w:rsid w:val="00271580"/>
    <w:rsid w:val="002725EA"/>
    <w:rsid w:val="00273BFA"/>
    <w:rsid w:val="00274E6E"/>
    <w:rsid w:val="002774A0"/>
    <w:rsid w:val="00280E9A"/>
    <w:rsid w:val="002817D4"/>
    <w:rsid w:val="00282E63"/>
    <w:rsid w:val="002835F3"/>
    <w:rsid w:val="00285685"/>
    <w:rsid w:val="002856AC"/>
    <w:rsid w:val="0028641A"/>
    <w:rsid w:val="002875A4"/>
    <w:rsid w:val="00287727"/>
    <w:rsid w:val="00291F4A"/>
    <w:rsid w:val="00292BC9"/>
    <w:rsid w:val="00293E49"/>
    <w:rsid w:val="00294458"/>
    <w:rsid w:val="00296FF4"/>
    <w:rsid w:val="00297D21"/>
    <w:rsid w:val="002A214B"/>
    <w:rsid w:val="002A2577"/>
    <w:rsid w:val="002A298C"/>
    <w:rsid w:val="002A39B7"/>
    <w:rsid w:val="002A4464"/>
    <w:rsid w:val="002A5194"/>
    <w:rsid w:val="002A5496"/>
    <w:rsid w:val="002A57B0"/>
    <w:rsid w:val="002A5814"/>
    <w:rsid w:val="002A5860"/>
    <w:rsid w:val="002A68D4"/>
    <w:rsid w:val="002A7218"/>
    <w:rsid w:val="002B0146"/>
    <w:rsid w:val="002B03D7"/>
    <w:rsid w:val="002B43B4"/>
    <w:rsid w:val="002B4471"/>
    <w:rsid w:val="002B4F11"/>
    <w:rsid w:val="002B4F56"/>
    <w:rsid w:val="002B572C"/>
    <w:rsid w:val="002B5DE2"/>
    <w:rsid w:val="002B6478"/>
    <w:rsid w:val="002B6DE1"/>
    <w:rsid w:val="002B74F1"/>
    <w:rsid w:val="002B764F"/>
    <w:rsid w:val="002C08E6"/>
    <w:rsid w:val="002C0A2B"/>
    <w:rsid w:val="002C1D86"/>
    <w:rsid w:val="002C3549"/>
    <w:rsid w:val="002C667E"/>
    <w:rsid w:val="002C6752"/>
    <w:rsid w:val="002C756D"/>
    <w:rsid w:val="002C7910"/>
    <w:rsid w:val="002D052F"/>
    <w:rsid w:val="002D05F9"/>
    <w:rsid w:val="002D3839"/>
    <w:rsid w:val="002D3F93"/>
    <w:rsid w:val="002D40D6"/>
    <w:rsid w:val="002D4BB9"/>
    <w:rsid w:val="002D6743"/>
    <w:rsid w:val="002D6E41"/>
    <w:rsid w:val="002E0589"/>
    <w:rsid w:val="002E2E55"/>
    <w:rsid w:val="002E3A3A"/>
    <w:rsid w:val="002E4D55"/>
    <w:rsid w:val="002E503D"/>
    <w:rsid w:val="002E5382"/>
    <w:rsid w:val="002E562D"/>
    <w:rsid w:val="002E5B66"/>
    <w:rsid w:val="002E7CDF"/>
    <w:rsid w:val="002F00B7"/>
    <w:rsid w:val="002F06BF"/>
    <w:rsid w:val="002F1325"/>
    <w:rsid w:val="002F1702"/>
    <w:rsid w:val="002F1831"/>
    <w:rsid w:val="002F3D0B"/>
    <w:rsid w:val="002F471D"/>
    <w:rsid w:val="002F513F"/>
    <w:rsid w:val="002F7B82"/>
    <w:rsid w:val="00300045"/>
    <w:rsid w:val="00301522"/>
    <w:rsid w:val="00301F63"/>
    <w:rsid w:val="003020F3"/>
    <w:rsid w:val="0030211C"/>
    <w:rsid w:val="003024F0"/>
    <w:rsid w:val="003026AF"/>
    <w:rsid w:val="00302B48"/>
    <w:rsid w:val="00302EA4"/>
    <w:rsid w:val="003036F7"/>
    <w:rsid w:val="00303A63"/>
    <w:rsid w:val="00304AEC"/>
    <w:rsid w:val="00304D93"/>
    <w:rsid w:val="00305D9D"/>
    <w:rsid w:val="0030737A"/>
    <w:rsid w:val="003103DC"/>
    <w:rsid w:val="00310B19"/>
    <w:rsid w:val="00310CA1"/>
    <w:rsid w:val="00311546"/>
    <w:rsid w:val="0031167A"/>
    <w:rsid w:val="0031196A"/>
    <w:rsid w:val="003130CE"/>
    <w:rsid w:val="003133B7"/>
    <w:rsid w:val="00313481"/>
    <w:rsid w:val="00314340"/>
    <w:rsid w:val="003143F0"/>
    <w:rsid w:val="00316FCE"/>
    <w:rsid w:val="00317BEB"/>
    <w:rsid w:val="00317F7D"/>
    <w:rsid w:val="00321EE6"/>
    <w:rsid w:val="003229E3"/>
    <w:rsid w:val="00323D5C"/>
    <w:rsid w:val="00323EE4"/>
    <w:rsid w:val="00324596"/>
    <w:rsid w:val="00324CB5"/>
    <w:rsid w:val="00325DCA"/>
    <w:rsid w:val="0032613B"/>
    <w:rsid w:val="003264D9"/>
    <w:rsid w:val="0032662F"/>
    <w:rsid w:val="00326F75"/>
    <w:rsid w:val="00327B93"/>
    <w:rsid w:val="003300CB"/>
    <w:rsid w:val="00330727"/>
    <w:rsid w:val="00330D54"/>
    <w:rsid w:val="00330F52"/>
    <w:rsid w:val="003313CB"/>
    <w:rsid w:val="00331435"/>
    <w:rsid w:val="0033155D"/>
    <w:rsid w:val="00331AAA"/>
    <w:rsid w:val="00333440"/>
    <w:rsid w:val="00335D86"/>
    <w:rsid w:val="00335F36"/>
    <w:rsid w:val="00336E0C"/>
    <w:rsid w:val="0033710A"/>
    <w:rsid w:val="00340A3F"/>
    <w:rsid w:val="00340DC3"/>
    <w:rsid w:val="00341709"/>
    <w:rsid w:val="003421E4"/>
    <w:rsid w:val="00342919"/>
    <w:rsid w:val="003429E3"/>
    <w:rsid w:val="00342A9F"/>
    <w:rsid w:val="00343439"/>
    <w:rsid w:val="00343890"/>
    <w:rsid w:val="00343A15"/>
    <w:rsid w:val="00343BB5"/>
    <w:rsid w:val="00345A00"/>
    <w:rsid w:val="00345FF2"/>
    <w:rsid w:val="00347556"/>
    <w:rsid w:val="003477D7"/>
    <w:rsid w:val="00347F6C"/>
    <w:rsid w:val="003523D4"/>
    <w:rsid w:val="0035311A"/>
    <w:rsid w:val="003538D3"/>
    <w:rsid w:val="00353D11"/>
    <w:rsid w:val="00355C82"/>
    <w:rsid w:val="00355E29"/>
    <w:rsid w:val="003573EA"/>
    <w:rsid w:val="00357A4C"/>
    <w:rsid w:val="00357DAA"/>
    <w:rsid w:val="00357F69"/>
    <w:rsid w:val="00360221"/>
    <w:rsid w:val="00360688"/>
    <w:rsid w:val="00361943"/>
    <w:rsid w:val="00362941"/>
    <w:rsid w:val="00364B19"/>
    <w:rsid w:val="00365D80"/>
    <w:rsid w:val="003672E2"/>
    <w:rsid w:val="003673D8"/>
    <w:rsid w:val="003702B1"/>
    <w:rsid w:val="00372B34"/>
    <w:rsid w:val="00372D11"/>
    <w:rsid w:val="003746C7"/>
    <w:rsid w:val="00374912"/>
    <w:rsid w:val="003762E7"/>
    <w:rsid w:val="0037679B"/>
    <w:rsid w:val="00377040"/>
    <w:rsid w:val="00380761"/>
    <w:rsid w:val="003808E3"/>
    <w:rsid w:val="00382C62"/>
    <w:rsid w:val="00387595"/>
    <w:rsid w:val="00387B4D"/>
    <w:rsid w:val="0039105B"/>
    <w:rsid w:val="00392B9D"/>
    <w:rsid w:val="00393450"/>
    <w:rsid w:val="0039622D"/>
    <w:rsid w:val="003963E5"/>
    <w:rsid w:val="00396558"/>
    <w:rsid w:val="00396984"/>
    <w:rsid w:val="00396C59"/>
    <w:rsid w:val="003977E3"/>
    <w:rsid w:val="0039781C"/>
    <w:rsid w:val="00397D70"/>
    <w:rsid w:val="003A16B0"/>
    <w:rsid w:val="003A48D9"/>
    <w:rsid w:val="003A6974"/>
    <w:rsid w:val="003A69FF"/>
    <w:rsid w:val="003A6F15"/>
    <w:rsid w:val="003A71ED"/>
    <w:rsid w:val="003A770E"/>
    <w:rsid w:val="003B130C"/>
    <w:rsid w:val="003B234E"/>
    <w:rsid w:val="003B2389"/>
    <w:rsid w:val="003B4209"/>
    <w:rsid w:val="003B5326"/>
    <w:rsid w:val="003B582C"/>
    <w:rsid w:val="003B595C"/>
    <w:rsid w:val="003B5EEE"/>
    <w:rsid w:val="003B7ED4"/>
    <w:rsid w:val="003C1F84"/>
    <w:rsid w:val="003C296B"/>
    <w:rsid w:val="003C3719"/>
    <w:rsid w:val="003C49D5"/>
    <w:rsid w:val="003C5111"/>
    <w:rsid w:val="003C7C33"/>
    <w:rsid w:val="003C7C4E"/>
    <w:rsid w:val="003C7EEA"/>
    <w:rsid w:val="003D0B22"/>
    <w:rsid w:val="003D13E9"/>
    <w:rsid w:val="003D3198"/>
    <w:rsid w:val="003D3550"/>
    <w:rsid w:val="003D4BEA"/>
    <w:rsid w:val="003D5583"/>
    <w:rsid w:val="003D56DB"/>
    <w:rsid w:val="003D5A99"/>
    <w:rsid w:val="003D66F7"/>
    <w:rsid w:val="003D7C93"/>
    <w:rsid w:val="003E0225"/>
    <w:rsid w:val="003E133F"/>
    <w:rsid w:val="003E14ED"/>
    <w:rsid w:val="003E154E"/>
    <w:rsid w:val="003E549E"/>
    <w:rsid w:val="003E6AA0"/>
    <w:rsid w:val="003F06FD"/>
    <w:rsid w:val="003F08EB"/>
    <w:rsid w:val="003F0EF0"/>
    <w:rsid w:val="003F1D62"/>
    <w:rsid w:val="003F30B6"/>
    <w:rsid w:val="003F35C5"/>
    <w:rsid w:val="003F3E6E"/>
    <w:rsid w:val="003F4466"/>
    <w:rsid w:val="003F44B0"/>
    <w:rsid w:val="003F479B"/>
    <w:rsid w:val="003F5AE6"/>
    <w:rsid w:val="003F778C"/>
    <w:rsid w:val="004002CD"/>
    <w:rsid w:val="0040169C"/>
    <w:rsid w:val="004016DB"/>
    <w:rsid w:val="004017CF"/>
    <w:rsid w:val="004019CD"/>
    <w:rsid w:val="00403365"/>
    <w:rsid w:val="004061ED"/>
    <w:rsid w:val="004074C5"/>
    <w:rsid w:val="00411185"/>
    <w:rsid w:val="004113EC"/>
    <w:rsid w:val="0041210E"/>
    <w:rsid w:val="004137A4"/>
    <w:rsid w:val="00413C96"/>
    <w:rsid w:val="004163E1"/>
    <w:rsid w:val="00416400"/>
    <w:rsid w:val="004173CF"/>
    <w:rsid w:val="00417B10"/>
    <w:rsid w:val="00421055"/>
    <w:rsid w:val="00421FD9"/>
    <w:rsid w:val="00422AEE"/>
    <w:rsid w:val="004231CD"/>
    <w:rsid w:val="004247E7"/>
    <w:rsid w:val="00425051"/>
    <w:rsid w:val="004252C0"/>
    <w:rsid w:val="00426BE0"/>
    <w:rsid w:val="004273DD"/>
    <w:rsid w:val="00430447"/>
    <w:rsid w:val="00430EAA"/>
    <w:rsid w:val="00431199"/>
    <w:rsid w:val="00433ED0"/>
    <w:rsid w:val="00434072"/>
    <w:rsid w:val="00434BC7"/>
    <w:rsid w:val="00437EBF"/>
    <w:rsid w:val="00441A93"/>
    <w:rsid w:val="00441A96"/>
    <w:rsid w:val="00442B5E"/>
    <w:rsid w:val="00443019"/>
    <w:rsid w:val="004437C1"/>
    <w:rsid w:val="00446317"/>
    <w:rsid w:val="00446BF1"/>
    <w:rsid w:val="00447655"/>
    <w:rsid w:val="0045078F"/>
    <w:rsid w:val="004516D7"/>
    <w:rsid w:val="00451AED"/>
    <w:rsid w:val="004524B0"/>
    <w:rsid w:val="004524ED"/>
    <w:rsid w:val="00452E5D"/>
    <w:rsid w:val="0045344C"/>
    <w:rsid w:val="00453B57"/>
    <w:rsid w:val="00454719"/>
    <w:rsid w:val="00455144"/>
    <w:rsid w:val="004555C3"/>
    <w:rsid w:val="004601D9"/>
    <w:rsid w:val="00460305"/>
    <w:rsid w:val="00460CDE"/>
    <w:rsid w:val="004611DD"/>
    <w:rsid w:val="0046162A"/>
    <w:rsid w:val="004616F8"/>
    <w:rsid w:val="00463F33"/>
    <w:rsid w:val="004645F4"/>
    <w:rsid w:val="00465894"/>
    <w:rsid w:val="00465F07"/>
    <w:rsid w:val="0046742D"/>
    <w:rsid w:val="0046797C"/>
    <w:rsid w:val="00467B47"/>
    <w:rsid w:val="0047517E"/>
    <w:rsid w:val="00475801"/>
    <w:rsid w:val="00475D32"/>
    <w:rsid w:val="00475E48"/>
    <w:rsid w:val="00476405"/>
    <w:rsid w:val="004769C1"/>
    <w:rsid w:val="00476B7A"/>
    <w:rsid w:val="00477A3F"/>
    <w:rsid w:val="004800DE"/>
    <w:rsid w:val="00480B6D"/>
    <w:rsid w:val="00481360"/>
    <w:rsid w:val="00481861"/>
    <w:rsid w:val="00481D86"/>
    <w:rsid w:val="00481FB7"/>
    <w:rsid w:val="00483838"/>
    <w:rsid w:val="00483B56"/>
    <w:rsid w:val="00484FD6"/>
    <w:rsid w:val="00486220"/>
    <w:rsid w:val="00486567"/>
    <w:rsid w:val="00487A8B"/>
    <w:rsid w:val="00490A87"/>
    <w:rsid w:val="004911D3"/>
    <w:rsid w:val="00491B82"/>
    <w:rsid w:val="00492250"/>
    <w:rsid w:val="004929AC"/>
    <w:rsid w:val="00492E54"/>
    <w:rsid w:val="00493D03"/>
    <w:rsid w:val="0049452F"/>
    <w:rsid w:val="00495803"/>
    <w:rsid w:val="00495B06"/>
    <w:rsid w:val="00496C02"/>
    <w:rsid w:val="00496EE7"/>
    <w:rsid w:val="00497A11"/>
    <w:rsid w:val="004A0498"/>
    <w:rsid w:val="004A09D6"/>
    <w:rsid w:val="004A0BDB"/>
    <w:rsid w:val="004A0FD0"/>
    <w:rsid w:val="004A2DCB"/>
    <w:rsid w:val="004A360A"/>
    <w:rsid w:val="004A3742"/>
    <w:rsid w:val="004A38F8"/>
    <w:rsid w:val="004A50B4"/>
    <w:rsid w:val="004A6C65"/>
    <w:rsid w:val="004A7683"/>
    <w:rsid w:val="004B0011"/>
    <w:rsid w:val="004B1029"/>
    <w:rsid w:val="004B18EB"/>
    <w:rsid w:val="004B1B8B"/>
    <w:rsid w:val="004B4705"/>
    <w:rsid w:val="004B4A6F"/>
    <w:rsid w:val="004B6BEF"/>
    <w:rsid w:val="004B6D6E"/>
    <w:rsid w:val="004B7362"/>
    <w:rsid w:val="004C577F"/>
    <w:rsid w:val="004C5861"/>
    <w:rsid w:val="004C6A18"/>
    <w:rsid w:val="004C6F57"/>
    <w:rsid w:val="004C72A9"/>
    <w:rsid w:val="004D0EA1"/>
    <w:rsid w:val="004D1EF7"/>
    <w:rsid w:val="004D364C"/>
    <w:rsid w:val="004D4C34"/>
    <w:rsid w:val="004D6516"/>
    <w:rsid w:val="004D6C5B"/>
    <w:rsid w:val="004D7EAE"/>
    <w:rsid w:val="004E1349"/>
    <w:rsid w:val="004E33FA"/>
    <w:rsid w:val="004E490B"/>
    <w:rsid w:val="004E50D2"/>
    <w:rsid w:val="004E61FB"/>
    <w:rsid w:val="004E687A"/>
    <w:rsid w:val="004F055C"/>
    <w:rsid w:val="004F127D"/>
    <w:rsid w:val="004F1976"/>
    <w:rsid w:val="004F237F"/>
    <w:rsid w:val="004F2879"/>
    <w:rsid w:val="004F3A01"/>
    <w:rsid w:val="004F3FEE"/>
    <w:rsid w:val="004F4ECE"/>
    <w:rsid w:val="004F544C"/>
    <w:rsid w:val="004F5B68"/>
    <w:rsid w:val="004F5B88"/>
    <w:rsid w:val="004F62E8"/>
    <w:rsid w:val="004F6680"/>
    <w:rsid w:val="004F6873"/>
    <w:rsid w:val="004F7AF3"/>
    <w:rsid w:val="004F7B80"/>
    <w:rsid w:val="005007E6"/>
    <w:rsid w:val="00500826"/>
    <w:rsid w:val="005014F8"/>
    <w:rsid w:val="0050236F"/>
    <w:rsid w:val="00502472"/>
    <w:rsid w:val="00502FD5"/>
    <w:rsid w:val="00504DC0"/>
    <w:rsid w:val="0050565D"/>
    <w:rsid w:val="00506331"/>
    <w:rsid w:val="00507716"/>
    <w:rsid w:val="0051089A"/>
    <w:rsid w:val="00510BDE"/>
    <w:rsid w:val="00510E13"/>
    <w:rsid w:val="005126CE"/>
    <w:rsid w:val="00512E76"/>
    <w:rsid w:val="005138EF"/>
    <w:rsid w:val="005153AF"/>
    <w:rsid w:val="00516727"/>
    <w:rsid w:val="005167AB"/>
    <w:rsid w:val="00516835"/>
    <w:rsid w:val="0051744E"/>
    <w:rsid w:val="005205B9"/>
    <w:rsid w:val="0052280B"/>
    <w:rsid w:val="00522BFB"/>
    <w:rsid w:val="00523D8B"/>
    <w:rsid w:val="005241F8"/>
    <w:rsid w:val="0052443A"/>
    <w:rsid w:val="00524EDC"/>
    <w:rsid w:val="0052504E"/>
    <w:rsid w:val="00525D5D"/>
    <w:rsid w:val="0052651B"/>
    <w:rsid w:val="00526691"/>
    <w:rsid w:val="00526795"/>
    <w:rsid w:val="00526D2A"/>
    <w:rsid w:val="00527FB2"/>
    <w:rsid w:val="00531429"/>
    <w:rsid w:val="00531502"/>
    <w:rsid w:val="00531B13"/>
    <w:rsid w:val="005325B3"/>
    <w:rsid w:val="0053412F"/>
    <w:rsid w:val="00534E21"/>
    <w:rsid w:val="0053611B"/>
    <w:rsid w:val="0054184C"/>
    <w:rsid w:val="00542486"/>
    <w:rsid w:val="00542FEA"/>
    <w:rsid w:val="005433AE"/>
    <w:rsid w:val="00543DCE"/>
    <w:rsid w:val="0054469F"/>
    <w:rsid w:val="00544A69"/>
    <w:rsid w:val="00544BEB"/>
    <w:rsid w:val="00545AF3"/>
    <w:rsid w:val="00546EFF"/>
    <w:rsid w:val="00551736"/>
    <w:rsid w:val="005523E1"/>
    <w:rsid w:val="00552A9E"/>
    <w:rsid w:val="00553058"/>
    <w:rsid w:val="0055308D"/>
    <w:rsid w:val="005550D2"/>
    <w:rsid w:val="00556951"/>
    <w:rsid w:val="00556BC3"/>
    <w:rsid w:val="00557728"/>
    <w:rsid w:val="00560A9D"/>
    <w:rsid w:val="0056115C"/>
    <w:rsid w:val="005611A0"/>
    <w:rsid w:val="00561BC2"/>
    <w:rsid w:val="00561EF4"/>
    <w:rsid w:val="00562AB4"/>
    <w:rsid w:val="00562F0D"/>
    <w:rsid w:val="00563B21"/>
    <w:rsid w:val="00565710"/>
    <w:rsid w:val="00567085"/>
    <w:rsid w:val="00567A7C"/>
    <w:rsid w:val="00570203"/>
    <w:rsid w:val="00570F0F"/>
    <w:rsid w:val="005715C8"/>
    <w:rsid w:val="00572D16"/>
    <w:rsid w:val="00573041"/>
    <w:rsid w:val="00573F9C"/>
    <w:rsid w:val="0057417B"/>
    <w:rsid w:val="00575B21"/>
    <w:rsid w:val="00576C1B"/>
    <w:rsid w:val="00576FBC"/>
    <w:rsid w:val="005805EC"/>
    <w:rsid w:val="00581340"/>
    <w:rsid w:val="0058186E"/>
    <w:rsid w:val="00582267"/>
    <w:rsid w:val="00582851"/>
    <w:rsid w:val="0058301A"/>
    <w:rsid w:val="005832DD"/>
    <w:rsid w:val="005838E3"/>
    <w:rsid w:val="005841A4"/>
    <w:rsid w:val="00584AB8"/>
    <w:rsid w:val="00585166"/>
    <w:rsid w:val="00585DAC"/>
    <w:rsid w:val="005872B8"/>
    <w:rsid w:val="00587684"/>
    <w:rsid w:val="00587854"/>
    <w:rsid w:val="00590062"/>
    <w:rsid w:val="00591695"/>
    <w:rsid w:val="00592CE7"/>
    <w:rsid w:val="0059371B"/>
    <w:rsid w:val="00594079"/>
    <w:rsid w:val="00595BFC"/>
    <w:rsid w:val="0059746D"/>
    <w:rsid w:val="00597F97"/>
    <w:rsid w:val="005A05E7"/>
    <w:rsid w:val="005A212C"/>
    <w:rsid w:val="005A2624"/>
    <w:rsid w:val="005A28A1"/>
    <w:rsid w:val="005A2A3D"/>
    <w:rsid w:val="005A308C"/>
    <w:rsid w:val="005A33BC"/>
    <w:rsid w:val="005A371D"/>
    <w:rsid w:val="005A457D"/>
    <w:rsid w:val="005A5236"/>
    <w:rsid w:val="005B15C5"/>
    <w:rsid w:val="005B177F"/>
    <w:rsid w:val="005B2121"/>
    <w:rsid w:val="005B2925"/>
    <w:rsid w:val="005B2954"/>
    <w:rsid w:val="005B3DA9"/>
    <w:rsid w:val="005B48AE"/>
    <w:rsid w:val="005B5B5F"/>
    <w:rsid w:val="005B6579"/>
    <w:rsid w:val="005B6717"/>
    <w:rsid w:val="005C03FD"/>
    <w:rsid w:val="005C15DB"/>
    <w:rsid w:val="005C1B9A"/>
    <w:rsid w:val="005C23A2"/>
    <w:rsid w:val="005C2F1F"/>
    <w:rsid w:val="005C3785"/>
    <w:rsid w:val="005C6121"/>
    <w:rsid w:val="005C67BA"/>
    <w:rsid w:val="005C6BCE"/>
    <w:rsid w:val="005C7184"/>
    <w:rsid w:val="005C74CF"/>
    <w:rsid w:val="005C78B0"/>
    <w:rsid w:val="005C7E90"/>
    <w:rsid w:val="005D0173"/>
    <w:rsid w:val="005D054A"/>
    <w:rsid w:val="005D0992"/>
    <w:rsid w:val="005D1CE9"/>
    <w:rsid w:val="005D4CAE"/>
    <w:rsid w:val="005D50D9"/>
    <w:rsid w:val="005D5A79"/>
    <w:rsid w:val="005D5E8E"/>
    <w:rsid w:val="005D69E5"/>
    <w:rsid w:val="005D773F"/>
    <w:rsid w:val="005E0F8E"/>
    <w:rsid w:val="005E1095"/>
    <w:rsid w:val="005E10C4"/>
    <w:rsid w:val="005E154E"/>
    <w:rsid w:val="005E19E1"/>
    <w:rsid w:val="005E45D1"/>
    <w:rsid w:val="005E50B7"/>
    <w:rsid w:val="005E50D7"/>
    <w:rsid w:val="005E67AE"/>
    <w:rsid w:val="005E6BFB"/>
    <w:rsid w:val="005E7C34"/>
    <w:rsid w:val="005F073C"/>
    <w:rsid w:val="005F1D74"/>
    <w:rsid w:val="005F3E4A"/>
    <w:rsid w:val="005F418E"/>
    <w:rsid w:val="005F552B"/>
    <w:rsid w:val="005F5E1D"/>
    <w:rsid w:val="005F633B"/>
    <w:rsid w:val="005F7718"/>
    <w:rsid w:val="005F7B6C"/>
    <w:rsid w:val="005F7FF8"/>
    <w:rsid w:val="00600941"/>
    <w:rsid w:val="00600A59"/>
    <w:rsid w:val="00601526"/>
    <w:rsid w:val="00601648"/>
    <w:rsid w:val="0060172C"/>
    <w:rsid w:val="00601804"/>
    <w:rsid w:val="00601A8E"/>
    <w:rsid w:val="00602495"/>
    <w:rsid w:val="00603055"/>
    <w:rsid w:val="0060375A"/>
    <w:rsid w:val="00604049"/>
    <w:rsid w:val="00605287"/>
    <w:rsid w:val="00607202"/>
    <w:rsid w:val="0061014F"/>
    <w:rsid w:val="0061081C"/>
    <w:rsid w:val="0061090C"/>
    <w:rsid w:val="00610EC0"/>
    <w:rsid w:val="00611751"/>
    <w:rsid w:val="00612029"/>
    <w:rsid w:val="0061330F"/>
    <w:rsid w:val="006133DD"/>
    <w:rsid w:val="00614E82"/>
    <w:rsid w:val="00616165"/>
    <w:rsid w:val="00616B57"/>
    <w:rsid w:val="00616CAF"/>
    <w:rsid w:val="006170FC"/>
    <w:rsid w:val="0061782E"/>
    <w:rsid w:val="006228BD"/>
    <w:rsid w:val="00622C35"/>
    <w:rsid w:val="006242DF"/>
    <w:rsid w:val="006244CE"/>
    <w:rsid w:val="00625660"/>
    <w:rsid w:val="006259E0"/>
    <w:rsid w:val="00626C08"/>
    <w:rsid w:val="00626F3F"/>
    <w:rsid w:val="00627D09"/>
    <w:rsid w:val="00630006"/>
    <w:rsid w:val="006309C5"/>
    <w:rsid w:val="00630AD1"/>
    <w:rsid w:val="00631151"/>
    <w:rsid w:val="00631B6F"/>
    <w:rsid w:val="00631BF3"/>
    <w:rsid w:val="00632051"/>
    <w:rsid w:val="00632513"/>
    <w:rsid w:val="0063299B"/>
    <w:rsid w:val="00632EA1"/>
    <w:rsid w:val="006351B1"/>
    <w:rsid w:val="0063614F"/>
    <w:rsid w:val="00637C93"/>
    <w:rsid w:val="00640189"/>
    <w:rsid w:val="006410D5"/>
    <w:rsid w:val="00642749"/>
    <w:rsid w:val="00642F42"/>
    <w:rsid w:val="006432A5"/>
    <w:rsid w:val="00643362"/>
    <w:rsid w:val="00643527"/>
    <w:rsid w:val="00643863"/>
    <w:rsid w:val="0064545F"/>
    <w:rsid w:val="00646597"/>
    <w:rsid w:val="00651FF0"/>
    <w:rsid w:val="006555F2"/>
    <w:rsid w:val="00655B75"/>
    <w:rsid w:val="00656339"/>
    <w:rsid w:val="0065691C"/>
    <w:rsid w:val="00657346"/>
    <w:rsid w:val="00661D17"/>
    <w:rsid w:val="0066222A"/>
    <w:rsid w:val="00663C35"/>
    <w:rsid w:val="006644F5"/>
    <w:rsid w:val="0066499E"/>
    <w:rsid w:val="00665118"/>
    <w:rsid w:val="00666C3F"/>
    <w:rsid w:val="00667952"/>
    <w:rsid w:val="00667B80"/>
    <w:rsid w:val="00670BF9"/>
    <w:rsid w:val="006711C5"/>
    <w:rsid w:val="0067129E"/>
    <w:rsid w:val="006717AC"/>
    <w:rsid w:val="00671AFD"/>
    <w:rsid w:val="0067401D"/>
    <w:rsid w:val="00674149"/>
    <w:rsid w:val="006748DE"/>
    <w:rsid w:val="00675261"/>
    <w:rsid w:val="0067565A"/>
    <w:rsid w:val="00675F1A"/>
    <w:rsid w:val="00676EB3"/>
    <w:rsid w:val="0068251F"/>
    <w:rsid w:val="0068350A"/>
    <w:rsid w:val="0068436E"/>
    <w:rsid w:val="00686C0A"/>
    <w:rsid w:val="0068755B"/>
    <w:rsid w:val="00687675"/>
    <w:rsid w:val="0069077A"/>
    <w:rsid w:val="00690F97"/>
    <w:rsid w:val="00692553"/>
    <w:rsid w:val="00693115"/>
    <w:rsid w:val="006937AA"/>
    <w:rsid w:val="00697995"/>
    <w:rsid w:val="006A12A0"/>
    <w:rsid w:val="006A3055"/>
    <w:rsid w:val="006A3B93"/>
    <w:rsid w:val="006A507E"/>
    <w:rsid w:val="006A534F"/>
    <w:rsid w:val="006A5422"/>
    <w:rsid w:val="006A55E8"/>
    <w:rsid w:val="006A6678"/>
    <w:rsid w:val="006A67BA"/>
    <w:rsid w:val="006A7261"/>
    <w:rsid w:val="006A72FB"/>
    <w:rsid w:val="006A73EC"/>
    <w:rsid w:val="006A7A81"/>
    <w:rsid w:val="006B0225"/>
    <w:rsid w:val="006B04D5"/>
    <w:rsid w:val="006B0EA8"/>
    <w:rsid w:val="006B1E1D"/>
    <w:rsid w:val="006B2395"/>
    <w:rsid w:val="006B2A80"/>
    <w:rsid w:val="006B475C"/>
    <w:rsid w:val="006B4C33"/>
    <w:rsid w:val="006B4F0B"/>
    <w:rsid w:val="006B5FFF"/>
    <w:rsid w:val="006B6436"/>
    <w:rsid w:val="006C0060"/>
    <w:rsid w:val="006C04AD"/>
    <w:rsid w:val="006C051B"/>
    <w:rsid w:val="006C1586"/>
    <w:rsid w:val="006C2AEE"/>
    <w:rsid w:val="006C3539"/>
    <w:rsid w:val="006C3DF2"/>
    <w:rsid w:val="006C4413"/>
    <w:rsid w:val="006C4871"/>
    <w:rsid w:val="006C6557"/>
    <w:rsid w:val="006C701C"/>
    <w:rsid w:val="006C71FA"/>
    <w:rsid w:val="006D0EEF"/>
    <w:rsid w:val="006D10AA"/>
    <w:rsid w:val="006D13AF"/>
    <w:rsid w:val="006D15C1"/>
    <w:rsid w:val="006D1EE5"/>
    <w:rsid w:val="006D2262"/>
    <w:rsid w:val="006D260B"/>
    <w:rsid w:val="006D27C2"/>
    <w:rsid w:val="006D3A2A"/>
    <w:rsid w:val="006D49FE"/>
    <w:rsid w:val="006D4DE9"/>
    <w:rsid w:val="006D5384"/>
    <w:rsid w:val="006D5741"/>
    <w:rsid w:val="006D5A4B"/>
    <w:rsid w:val="006D630F"/>
    <w:rsid w:val="006D72AE"/>
    <w:rsid w:val="006D752E"/>
    <w:rsid w:val="006D7883"/>
    <w:rsid w:val="006D7E24"/>
    <w:rsid w:val="006E0744"/>
    <w:rsid w:val="006E1C0F"/>
    <w:rsid w:val="006E3266"/>
    <w:rsid w:val="006E427F"/>
    <w:rsid w:val="006E5E0B"/>
    <w:rsid w:val="006E6272"/>
    <w:rsid w:val="006F01E3"/>
    <w:rsid w:val="006F1367"/>
    <w:rsid w:val="006F370A"/>
    <w:rsid w:val="006F4588"/>
    <w:rsid w:val="006F491D"/>
    <w:rsid w:val="006F5DC8"/>
    <w:rsid w:val="006F5DD4"/>
    <w:rsid w:val="006F7446"/>
    <w:rsid w:val="00700163"/>
    <w:rsid w:val="00700631"/>
    <w:rsid w:val="0070093C"/>
    <w:rsid w:val="00700EE4"/>
    <w:rsid w:val="0070106D"/>
    <w:rsid w:val="00701E5A"/>
    <w:rsid w:val="00701F18"/>
    <w:rsid w:val="0070206C"/>
    <w:rsid w:val="00703E48"/>
    <w:rsid w:val="00704153"/>
    <w:rsid w:val="00705F9D"/>
    <w:rsid w:val="0070691F"/>
    <w:rsid w:val="007073F5"/>
    <w:rsid w:val="007101BF"/>
    <w:rsid w:val="00711BF5"/>
    <w:rsid w:val="0071224A"/>
    <w:rsid w:val="007139F0"/>
    <w:rsid w:val="00713FA0"/>
    <w:rsid w:val="00714CE8"/>
    <w:rsid w:val="00714D7E"/>
    <w:rsid w:val="00715AE4"/>
    <w:rsid w:val="00715C95"/>
    <w:rsid w:val="00715EB2"/>
    <w:rsid w:val="00716750"/>
    <w:rsid w:val="0072052E"/>
    <w:rsid w:val="00720E18"/>
    <w:rsid w:val="007217D5"/>
    <w:rsid w:val="00721A68"/>
    <w:rsid w:val="00722DC0"/>
    <w:rsid w:val="007232E7"/>
    <w:rsid w:val="0072344E"/>
    <w:rsid w:val="00724320"/>
    <w:rsid w:val="00725E22"/>
    <w:rsid w:val="00725FB1"/>
    <w:rsid w:val="007274AB"/>
    <w:rsid w:val="00730CFF"/>
    <w:rsid w:val="00730E71"/>
    <w:rsid w:val="007313CA"/>
    <w:rsid w:val="007316CE"/>
    <w:rsid w:val="00731949"/>
    <w:rsid w:val="00732EB5"/>
    <w:rsid w:val="00733285"/>
    <w:rsid w:val="00734400"/>
    <w:rsid w:val="00734424"/>
    <w:rsid w:val="007344FF"/>
    <w:rsid w:val="007352CD"/>
    <w:rsid w:val="00736ABE"/>
    <w:rsid w:val="007376E8"/>
    <w:rsid w:val="00740512"/>
    <w:rsid w:val="00740BA4"/>
    <w:rsid w:val="00742751"/>
    <w:rsid w:val="00742DB6"/>
    <w:rsid w:val="00744154"/>
    <w:rsid w:val="00745073"/>
    <w:rsid w:val="00745127"/>
    <w:rsid w:val="00745833"/>
    <w:rsid w:val="007461D8"/>
    <w:rsid w:val="0074771B"/>
    <w:rsid w:val="00747F34"/>
    <w:rsid w:val="00750848"/>
    <w:rsid w:val="00751BDF"/>
    <w:rsid w:val="00752C02"/>
    <w:rsid w:val="007541A6"/>
    <w:rsid w:val="0075434C"/>
    <w:rsid w:val="00755553"/>
    <w:rsid w:val="00755787"/>
    <w:rsid w:val="00756A32"/>
    <w:rsid w:val="00756F27"/>
    <w:rsid w:val="00757572"/>
    <w:rsid w:val="007577AD"/>
    <w:rsid w:val="00757ACD"/>
    <w:rsid w:val="00757D64"/>
    <w:rsid w:val="007615D3"/>
    <w:rsid w:val="00761CC1"/>
    <w:rsid w:val="00762E19"/>
    <w:rsid w:val="0076375B"/>
    <w:rsid w:val="0076381B"/>
    <w:rsid w:val="00765A18"/>
    <w:rsid w:val="00770327"/>
    <w:rsid w:val="007727F8"/>
    <w:rsid w:val="0077535C"/>
    <w:rsid w:val="00775AF4"/>
    <w:rsid w:val="007767B5"/>
    <w:rsid w:val="00776A7A"/>
    <w:rsid w:val="0077724D"/>
    <w:rsid w:val="00781499"/>
    <w:rsid w:val="007827C3"/>
    <w:rsid w:val="00782B13"/>
    <w:rsid w:val="00785F67"/>
    <w:rsid w:val="00786F50"/>
    <w:rsid w:val="00790CCD"/>
    <w:rsid w:val="00790E57"/>
    <w:rsid w:val="00794566"/>
    <w:rsid w:val="007946BF"/>
    <w:rsid w:val="007976F8"/>
    <w:rsid w:val="007A0226"/>
    <w:rsid w:val="007A097D"/>
    <w:rsid w:val="007A0DAA"/>
    <w:rsid w:val="007A2413"/>
    <w:rsid w:val="007A4649"/>
    <w:rsid w:val="007A4DB1"/>
    <w:rsid w:val="007A55A2"/>
    <w:rsid w:val="007A5D2C"/>
    <w:rsid w:val="007A601B"/>
    <w:rsid w:val="007A653A"/>
    <w:rsid w:val="007A792B"/>
    <w:rsid w:val="007A7D11"/>
    <w:rsid w:val="007B0B8E"/>
    <w:rsid w:val="007B1B44"/>
    <w:rsid w:val="007B2B33"/>
    <w:rsid w:val="007B2D55"/>
    <w:rsid w:val="007B49C7"/>
    <w:rsid w:val="007B59A2"/>
    <w:rsid w:val="007B72E8"/>
    <w:rsid w:val="007B74FD"/>
    <w:rsid w:val="007B7855"/>
    <w:rsid w:val="007C0664"/>
    <w:rsid w:val="007C08A3"/>
    <w:rsid w:val="007C08CD"/>
    <w:rsid w:val="007C09B0"/>
    <w:rsid w:val="007C0B8A"/>
    <w:rsid w:val="007C2947"/>
    <w:rsid w:val="007C2A83"/>
    <w:rsid w:val="007C2E8B"/>
    <w:rsid w:val="007C350B"/>
    <w:rsid w:val="007C375E"/>
    <w:rsid w:val="007C4C84"/>
    <w:rsid w:val="007C4CFC"/>
    <w:rsid w:val="007C5C8D"/>
    <w:rsid w:val="007C7C47"/>
    <w:rsid w:val="007D530A"/>
    <w:rsid w:val="007D5930"/>
    <w:rsid w:val="007D64E8"/>
    <w:rsid w:val="007D664A"/>
    <w:rsid w:val="007D67D2"/>
    <w:rsid w:val="007D773A"/>
    <w:rsid w:val="007D7887"/>
    <w:rsid w:val="007E1679"/>
    <w:rsid w:val="007E1A75"/>
    <w:rsid w:val="007E386A"/>
    <w:rsid w:val="007E38DB"/>
    <w:rsid w:val="007E7B60"/>
    <w:rsid w:val="007E7E21"/>
    <w:rsid w:val="007F0127"/>
    <w:rsid w:val="007F03ED"/>
    <w:rsid w:val="007F0FB3"/>
    <w:rsid w:val="007F12B7"/>
    <w:rsid w:val="007F1728"/>
    <w:rsid w:val="007F1870"/>
    <w:rsid w:val="007F2F15"/>
    <w:rsid w:val="007F3247"/>
    <w:rsid w:val="007F436B"/>
    <w:rsid w:val="007F4539"/>
    <w:rsid w:val="007F463E"/>
    <w:rsid w:val="007F5CE2"/>
    <w:rsid w:val="007F60D3"/>
    <w:rsid w:val="007F6903"/>
    <w:rsid w:val="007F7926"/>
    <w:rsid w:val="008007FD"/>
    <w:rsid w:val="00800BBD"/>
    <w:rsid w:val="0080168C"/>
    <w:rsid w:val="00802039"/>
    <w:rsid w:val="00802F46"/>
    <w:rsid w:val="008036F3"/>
    <w:rsid w:val="00804314"/>
    <w:rsid w:val="00805204"/>
    <w:rsid w:val="00806500"/>
    <w:rsid w:val="0080693C"/>
    <w:rsid w:val="00807847"/>
    <w:rsid w:val="008078AD"/>
    <w:rsid w:val="00807A8F"/>
    <w:rsid w:val="00811472"/>
    <w:rsid w:val="00811776"/>
    <w:rsid w:val="008131EC"/>
    <w:rsid w:val="00815CCF"/>
    <w:rsid w:val="00816003"/>
    <w:rsid w:val="008166B3"/>
    <w:rsid w:val="00816E36"/>
    <w:rsid w:val="008177F8"/>
    <w:rsid w:val="00817B63"/>
    <w:rsid w:val="008201A5"/>
    <w:rsid w:val="008215E0"/>
    <w:rsid w:val="00821CD7"/>
    <w:rsid w:val="00822788"/>
    <w:rsid w:val="00823086"/>
    <w:rsid w:val="00823C01"/>
    <w:rsid w:val="00824128"/>
    <w:rsid w:val="008242F7"/>
    <w:rsid w:val="008245A6"/>
    <w:rsid w:val="00825008"/>
    <w:rsid w:val="00825270"/>
    <w:rsid w:val="008257FA"/>
    <w:rsid w:val="00825C6F"/>
    <w:rsid w:val="00826AA3"/>
    <w:rsid w:val="00826AEC"/>
    <w:rsid w:val="008304A0"/>
    <w:rsid w:val="00831006"/>
    <w:rsid w:val="00833B23"/>
    <w:rsid w:val="00833B63"/>
    <w:rsid w:val="00834C62"/>
    <w:rsid w:val="00834D1F"/>
    <w:rsid w:val="008353BB"/>
    <w:rsid w:val="00836D50"/>
    <w:rsid w:val="00837193"/>
    <w:rsid w:val="00837598"/>
    <w:rsid w:val="008410D8"/>
    <w:rsid w:val="00841EE0"/>
    <w:rsid w:val="00842119"/>
    <w:rsid w:val="0084306C"/>
    <w:rsid w:val="008432B5"/>
    <w:rsid w:val="00843E0E"/>
    <w:rsid w:val="008441A1"/>
    <w:rsid w:val="008454CC"/>
    <w:rsid w:val="00846A0A"/>
    <w:rsid w:val="008479DF"/>
    <w:rsid w:val="00847C32"/>
    <w:rsid w:val="008514F6"/>
    <w:rsid w:val="00852DF5"/>
    <w:rsid w:val="00853237"/>
    <w:rsid w:val="00853859"/>
    <w:rsid w:val="00853AF5"/>
    <w:rsid w:val="00853CFA"/>
    <w:rsid w:val="00856727"/>
    <w:rsid w:val="00857001"/>
    <w:rsid w:val="0085701A"/>
    <w:rsid w:val="0086076B"/>
    <w:rsid w:val="00860F7E"/>
    <w:rsid w:val="00862A1F"/>
    <w:rsid w:val="00863255"/>
    <w:rsid w:val="00864843"/>
    <w:rsid w:val="0086575E"/>
    <w:rsid w:val="008672AF"/>
    <w:rsid w:val="008716E5"/>
    <w:rsid w:val="00872E50"/>
    <w:rsid w:val="008744F3"/>
    <w:rsid w:val="00875598"/>
    <w:rsid w:val="00876F95"/>
    <w:rsid w:val="008802A3"/>
    <w:rsid w:val="00880AEB"/>
    <w:rsid w:val="00881C00"/>
    <w:rsid w:val="008825F6"/>
    <w:rsid w:val="00884AC8"/>
    <w:rsid w:val="00884D43"/>
    <w:rsid w:val="0088532A"/>
    <w:rsid w:val="008859AF"/>
    <w:rsid w:val="008871B8"/>
    <w:rsid w:val="00887866"/>
    <w:rsid w:val="00891B1B"/>
    <w:rsid w:val="008928E2"/>
    <w:rsid w:val="008928F5"/>
    <w:rsid w:val="0089362B"/>
    <w:rsid w:val="00894611"/>
    <w:rsid w:val="0089474E"/>
    <w:rsid w:val="00895057"/>
    <w:rsid w:val="00896D91"/>
    <w:rsid w:val="008A20B7"/>
    <w:rsid w:val="008A32D1"/>
    <w:rsid w:val="008A32F4"/>
    <w:rsid w:val="008A3951"/>
    <w:rsid w:val="008A3C3D"/>
    <w:rsid w:val="008A4009"/>
    <w:rsid w:val="008A403B"/>
    <w:rsid w:val="008A4282"/>
    <w:rsid w:val="008A45F6"/>
    <w:rsid w:val="008A4752"/>
    <w:rsid w:val="008A5C05"/>
    <w:rsid w:val="008B1565"/>
    <w:rsid w:val="008B4014"/>
    <w:rsid w:val="008B5BA9"/>
    <w:rsid w:val="008C02AE"/>
    <w:rsid w:val="008C07AB"/>
    <w:rsid w:val="008C1A15"/>
    <w:rsid w:val="008C2057"/>
    <w:rsid w:val="008C34DB"/>
    <w:rsid w:val="008C4884"/>
    <w:rsid w:val="008C5E07"/>
    <w:rsid w:val="008C6F62"/>
    <w:rsid w:val="008C77F6"/>
    <w:rsid w:val="008C7F40"/>
    <w:rsid w:val="008D05EE"/>
    <w:rsid w:val="008D09DA"/>
    <w:rsid w:val="008D12A8"/>
    <w:rsid w:val="008D41AE"/>
    <w:rsid w:val="008D4AB0"/>
    <w:rsid w:val="008D4E74"/>
    <w:rsid w:val="008D73E8"/>
    <w:rsid w:val="008E32A5"/>
    <w:rsid w:val="008E34F3"/>
    <w:rsid w:val="008E40A6"/>
    <w:rsid w:val="008E4860"/>
    <w:rsid w:val="008E52C7"/>
    <w:rsid w:val="008E5957"/>
    <w:rsid w:val="008E6A6D"/>
    <w:rsid w:val="008F0AFE"/>
    <w:rsid w:val="008F1A83"/>
    <w:rsid w:val="008F369E"/>
    <w:rsid w:val="008F4908"/>
    <w:rsid w:val="008F4FBF"/>
    <w:rsid w:val="008F5601"/>
    <w:rsid w:val="008F77BF"/>
    <w:rsid w:val="008F7DBA"/>
    <w:rsid w:val="00902869"/>
    <w:rsid w:val="00902944"/>
    <w:rsid w:val="00903059"/>
    <w:rsid w:val="0090379E"/>
    <w:rsid w:val="00905562"/>
    <w:rsid w:val="00906027"/>
    <w:rsid w:val="009067D3"/>
    <w:rsid w:val="00907014"/>
    <w:rsid w:val="00907E6A"/>
    <w:rsid w:val="00910F84"/>
    <w:rsid w:val="00914F38"/>
    <w:rsid w:val="009150D0"/>
    <w:rsid w:val="009168D4"/>
    <w:rsid w:val="00920327"/>
    <w:rsid w:val="00921C1B"/>
    <w:rsid w:val="00921E68"/>
    <w:rsid w:val="00922538"/>
    <w:rsid w:val="0092384E"/>
    <w:rsid w:val="00923A0E"/>
    <w:rsid w:val="00924260"/>
    <w:rsid w:val="0092552D"/>
    <w:rsid w:val="00925A82"/>
    <w:rsid w:val="00925CE9"/>
    <w:rsid w:val="00926410"/>
    <w:rsid w:val="00926B5C"/>
    <w:rsid w:val="00926EB2"/>
    <w:rsid w:val="00927EF8"/>
    <w:rsid w:val="009306E9"/>
    <w:rsid w:val="00932DA1"/>
    <w:rsid w:val="0093471D"/>
    <w:rsid w:val="00935785"/>
    <w:rsid w:val="009365BA"/>
    <w:rsid w:val="009368E6"/>
    <w:rsid w:val="00936F74"/>
    <w:rsid w:val="0093719F"/>
    <w:rsid w:val="0093759A"/>
    <w:rsid w:val="009378FB"/>
    <w:rsid w:val="00941380"/>
    <w:rsid w:val="00941A51"/>
    <w:rsid w:val="00941A88"/>
    <w:rsid w:val="00941F92"/>
    <w:rsid w:val="0094512B"/>
    <w:rsid w:val="00946B2C"/>
    <w:rsid w:val="0094723D"/>
    <w:rsid w:val="0095077A"/>
    <w:rsid w:val="009522C3"/>
    <w:rsid w:val="0095288E"/>
    <w:rsid w:val="00952A86"/>
    <w:rsid w:val="009533DB"/>
    <w:rsid w:val="00953913"/>
    <w:rsid w:val="00954C70"/>
    <w:rsid w:val="0095576E"/>
    <w:rsid w:val="0095678A"/>
    <w:rsid w:val="00957952"/>
    <w:rsid w:val="00960960"/>
    <w:rsid w:val="009615E9"/>
    <w:rsid w:val="00961C3B"/>
    <w:rsid w:val="00961E5C"/>
    <w:rsid w:val="009626E5"/>
    <w:rsid w:val="0096277E"/>
    <w:rsid w:val="0096345C"/>
    <w:rsid w:val="00963B33"/>
    <w:rsid w:val="00965070"/>
    <w:rsid w:val="00966D68"/>
    <w:rsid w:val="00966EE7"/>
    <w:rsid w:val="0096776B"/>
    <w:rsid w:val="009703C1"/>
    <w:rsid w:val="00970F22"/>
    <w:rsid w:val="00971B69"/>
    <w:rsid w:val="00972B39"/>
    <w:rsid w:val="00973208"/>
    <w:rsid w:val="0097333A"/>
    <w:rsid w:val="00973A5E"/>
    <w:rsid w:val="00973AC7"/>
    <w:rsid w:val="00974144"/>
    <w:rsid w:val="00975F6C"/>
    <w:rsid w:val="00977C1C"/>
    <w:rsid w:val="00977F56"/>
    <w:rsid w:val="00980175"/>
    <w:rsid w:val="009803C2"/>
    <w:rsid w:val="00981417"/>
    <w:rsid w:val="009829CC"/>
    <w:rsid w:val="00982A6D"/>
    <w:rsid w:val="0098321E"/>
    <w:rsid w:val="00983BC6"/>
    <w:rsid w:val="00984124"/>
    <w:rsid w:val="00984ECE"/>
    <w:rsid w:val="00985D3F"/>
    <w:rsid w:val="00985D77"/>
    <w:rsid w:val="00986569"/>
    <w:rsid w:val="009913D0"/>
    <w:rsid w:val="00991E0D"/>
    <w:rsid w:val="00992AB4"/>
    <w:rsid w:val="009935C1"/>
    <w:rsid w:val="009935E9"/>
    <w:rsid w:val="00993688"/>
    <w:rsid w:val="00994B97"/>
    <w:rsid w:val="009A0762"/>
    <w:rsid w:val="009A2562"/>
    <w:rsid w:val="009A2660"/>
    <w:rsid w:val="009A271F"/>
    <w:rsid w:val="009A3D9E"/>
    <w:rsid w:val="009A3DA9"/>
    <w:rsid w:val="009A4EFA"/>
    <w:rsid w:val="009A6461"/>
    <w:rsid w:val="009A6619"/>
    <w:rsid w:val="009A6E95"/>
    <w:rsid w:val="009A6F0A"/>
    <w:rsid w:val="009A71B1"/>
    <w:rsid w:val="009A7EBB"/>
    <w:rsid w:val="009B2949"/>
    <w:rsid w:val="009B2E35"/>
    <w:rsid w:val="009B36F7"/>
    <w:rsid w:val="009B453F"/>
    <w:rsid w:val="009B48FD"/>
    <w:rsid w:val="009B4FEE"/>
    <w:rsid w:val="009B5C01"/>
    <w:rsid w:val="009B7059"/>
    <w:rsid w:val="009C1C41"/>
    <w:rsid w:val="009C2203"/>
    <w:rsid w:val="009C249B"/>
    <w:rsid w:val="009C327C"/>
    <w:rsid w:val="009C3CCD"/>
    <w:rsid w:val="009C3D98"/>
    <w:rsid w:val="009C401F"/>
    <w:rsid w:val="009C4101"/>
    <w:rsid w:val="009C4455"/>
    <w:rsid w:val="009C44CE"/>
    <w:rsid w:val="009C4659"/>
    <w:rsid w:val="009C4D1E"/>
    <w:rsid w:val="009C4FDD"/>
    <w:rsid w:val="009C53D1"/>
    <w:rsid w:val="009C60E6"/>
    <w:rsid w:val="009C6132"/>
    <w:rsid w:val="009C640A"/>
    <w:rsid w:val="009C6D78"/>
    <w:rsid w:val="009C761E"/>
    <w:rsid w:val="009C7C4A"/>
    <w:rsid w:val="009C7F7F"/>
    <w:rsid w:val="009D09F4"/>
    <w:rsid w:val="009D0CF0"/>
    <w:rsid w:val="009D0D42"/>
    <w:rsid w:val="009D4FE6"/>
    <w:rsid w:val="009D55AD"/>
    <w:rsid w:val="009D5F41"/>
    <w:rsid w:val="009D66DB"/>
    <w:rsid w:val="009D691D"/>
    <w:rsid w:val="009D6A82"/>
    <w:rsid w:val="009D7D15"/>
    <w:rsid w:val="009E0164"/>
    <w:rsid w:val="009E0947"/>
    <w:rsid w:val="009E0BE8"/>
    <w:rsid w:val="009E12E8"/>
    <w:rsid w:val="009E142C"/>
    <w:rsid w:val="009E2EC8"/>
    <w:rsid w:val="009E53BE"/>
    <w:rsid w:val="009E5877"/>
    <w:rsid w:val="009E5FEF"/>
    <w:rsid w:val="009F0B6B"/>
    <w:rsid w:val="009F1C28"/>
    <w:rsid w:val="009F1FC4"/>
    <w:rsid w:val="009F2618"/>
    <w:rsid w:val="009F29F9"/>
    <w:rsid w:val="009F44AB"/>
    <w:rsid w:val="009F4C03"/>
    <w:rsid w:val="009F4DE3"/>
    <w:rsid w:val="009F4EBF"/>
    <w:rsid w:val="009F57C0"/>
    <w:rsid w:val="009F5B2E"/>
    <w:rsid w:val="009F648F"/>
    <w:rsid w:val="009F65AE"/>
    <w:rsid w:val="009F7061"/>
    <w:rsid w:val="009F7389"/>
    <w:rsid w:val="009F7C00"/>
    <w:rsid w:val="00A0166E"/>
    <w:rsid w:val="00A018D9"/>
    <w:rsid w:val="00A02403"/>
    <w:rsid w:val="00A02833"/>
    <w:rsid w:val="00A03E03"/>
    <w:rsid w:val="00A06CEF"/>
    <w:rsid w:val="00A077E2"/>
    <w:rsid w:val="00A10671"/>
    <w:rsid w:val="00A12A84"/>
    <w:rsid w:val="00A12EC3"/>
    <w:rsid w:val="00A138E3"/>
    <w:rsid w:val="00A14F64"/>
    <w:rsid w:val="00A1521A"/>
    <w:rsid w:val="00A15F7E"/>
    <w:rsid w:val="00A1688B"/>
    <w:rsid w:val="00A16AF9"/>
    <w:rsid w:val="00A1751A"/>
    <w:rsid w:val="00A258E0"/>
    <w:rsid w:val="00A26A90"/>
    <w:rsid w:val="00A26D09"/>
    <w:rsid w:val="00A27A03"/>
    <w:rsid w:val="00A27A1F"/>
    <w:rsid w:val="00A31A36"/>
    <w:rsid w:val="00A326F7"/>
    <w:rsid w:val="00A3301A"/>
    <w:rsid w:val="00A33173"/>
    <w:rsid w:val="00A3346A"/>
    <w:rsid w:val="00A34CA3"/>
    <w:rsid w:val="00A35023"/>
    <w:rsid w:val="00A3573E"/>
    <w:rsid w:val="00A36925"/>
    <w:rsid w:val="00A40D88"/>
    <w:rsid w:val="00A412AE"/>
    <w:rsid w:val="00A4309C"/>
    <w:rsid w:val="00A43B7F"/>
    <w:rsid w:val="00A4441E"/>
    <w:rsid w:val="00A44A39"/>
    <w:rsid w:val="00A44BA2"/>
    <w:rsid w:val="00A46AFC"/>
    <w:rsid w:val="00A50B1E"/>
    <w:rsid w:val="00A513D2"/>
    <w:rsid w:val="00A51DAA"/>
    <w:rsid w:val="00A52695"/>
    <w:rsid w:val="00A56109"/>
    <w:rsid w:val="00A577B0"/>
    <w:rsid w:val="00A5796F"/>
    <w:rsid w:val="00A607E8"/>
    <w:rsid w:val="00A6369F"/>
    <w:rsid w:val="00A6472B"/>
    <w:rsid w:val="00A64936"/>
    <w:rsid w:val="00A65851"/>
    <w:rsid w:val="00A65B87"/>
    <w:rsid w:val="00A6601A"/>
    <w:rsid w:val="00A66434"/>
    <w:rsid w:val="00A665F1"/>
    <w:rsid w:val="00A6770C"/>
    <w:rsid w:val="00A678D5"/>
    <w:rsid w:val="00A67F2F"/>
    <w:rsid w:val="00A706E9"/>
    <w:rsid w:val="00A70E72"/>
    <w:rsid w:val="00A725FC"/>
    <w:rsid w:val="00A72880"/>
    <w:rsid w:val="00A7336D"/>
    <w:rsid w:val="00A7470C"/>
    <w:rsid w:val="00A75207"/>
    <w:rsid w:val="00A75559"/>
    <w:rsid w:val="00A82898"/>
    <w:rsid w:val="00A82D9C"/>
    <w:rsid w:val="00A82DFA"/>
    <w:rsid w:val="00A835BF"/>
    <w:rsid w:val="00A83930"/>
    <w:rsid w:val="00A84816"/>
    <w:rsid w:val="00A8548E"/>
    <w:rsid w:val="00A85759"/>
    <w:rsid w:val="00A860C8"/>
    <w:rsid w:val="00A90592"/>
    <w:rsid w:val="00A9094A"/>
    <w:rsid w:val="00A90CB1"/>
    <w:rsid w:val="00A91B1C"/>
    <w:rsid w:val="00A91DDC"/>
    <w:rsid w:val="00A92A4F"/>
    <w:rsid w:val="00A92CAD"/>
    <w:rsid w:val="00A934D6"/>
    <w:rsid w:val="00A94DBC"/>
    <w:rsid w:val="00A957A9"/>
    <w:rsid w:val="00A958E5"/>
    <w:rsid w:val="00A9709F"/>
    <w:rsid w:val="00A97DEA"/>
    <w:rsid w:val="00AA0E39"/>
    <w:rsid w:val="00AA2034"/>
    <w:rsid w:val="00AA2EE3"/>
    <w:rsid w:val="00AA40B7"/>
    <w:rsid w:val="00AA4C13"/>
    <w:rsid w:val="00AA59EE"/>
    <w:rsid w:val="00AA608F"/>
    <w:rsid w:val="00AA7695"/>
    <w:rsid w:val="00AA7EDA"/>
    <w:rsid w:val="00AB05D9"/>
    <w:rsid w:val="00AB0C9B"/>
    <w:rsid w:val="00AB1366"/>
    <w:rsid w:val="00AB2F23"/>
    <w:rsid w:val="00AB3C83"/>
    <w:rsid w:val="00AB4110"/>
    <w:rsid w:val="00AB5046"/>
    <w:rsid w:val="00AB6384"/>
    <w:rsid w:val="00AC04CE"/>
    <w:rsid w:val="00AC15F4"/>
    <w:rsid w:val="00AC1842"/>
    <w:rsid w:val="00AC5563"/>
    <w:rsid w:val="00AC6483"/>
    <w:rsid w:val="00AC65D7"/>
    <w:rsid w:val="00AC6971"/>
    <w:rsid w:val="00AC7C1A"/>
    <w:rsid w:val="00AD0413"/>
    <w:rsid w:val="00AD0A85"/>
    <w:rsid w:val="00AD18C5"/>
    <w:rsid w:val="00AD1EB9"/>
    <w:rsid w:val="00AD22BA"/>
    <w:rsid w:val="00AD3118"/>
    <w:rsid w:val="00AD3787"/>
    <w:rsid w:val="00AD44A6"/>
    <w:rsid w:val="00AD492C"/>
    <w:rsid w:val="00AD5A8F"/>
    <w:rsid w:val="00AD5C27"/>
    <w:rsid w:val="00AE018D"/>
    <w:rsid w:val="00AE0D00"/>
    <w:rsid w:val="00AE12AE"/>
    <w:rsid w:val="00AE39B0"/>
    <w:rsid w:val="00AE3A3D"/>
    <w:rsid w:val="00AE44CD"/>
    <w:rsid w:val="00AE524F"/>
    <w:rsid w:val="00AE5E30"/>
    <w:rsid w:val="00AF0EC7"/>
    <w:rsid w:val="00AF1BA2"/>
    <w:rsid w:val="00AF2025"/>
    <w:rsid w:val="00AF31EB"/>
    <w:rsid w:val="00AF40E5"/>
    <w:rsid w:val="00AF4811"/>
    <w:rsid w:val="00AF4B53"/>
    <w:rsid w:val="00AF505D"/>
    <w:rsid w:val="00AF6F5B"/>
    <w:rsid w:val="00AF76C5"/>
    <w:rsid w:val="00B003F5"/>
    <w:rsid w:val="00B00461"/>
    <w:rsid w:val="00B004C4"/>
    <w:rsid w:val="00B00C2D"/>
    <w:rsid w:val="00B01002"/>
    <w:rsid w:val="00B0186C"/>
    <w:rsid w:val="00B021E4"/>
    <w:rsid w:val="00B02854"/>
    <w:rsid w:val="00B02FE2"/>
    <w:rsid w:val="00B033B5"/>
    <w:rsid w:val="00B050EA"/>
    <w:rsid w:val="00B05272"/>
    <w:rsid w:val="00B05306"/>
    <w:rsid w:val="00B05D8B"/>
    <w:rsid w:val="00B05E71"/>
    <w:rsid w:val="00B07156"/>
    <w:rsid w:val="00B10D97"/>
    <w:rsid w:val="00B10EFE"/>
    <w:rsid w:val="00B121F9"/>
    <w:rsid w:val="00B13528"/>
    <w:rsid w:val="00B1396B"/>
    <w:rsid w:val="00B15A53"/>
    <w:rsid w:val="00B15ED0"/>
    <w:rsid w:val="00B16446"/>
    <w:rsid w:val="00B16A9C"/>
    <w:rsid w:val="00B207BD"/>
    <w:rsid w:val="00B20914"/>
    <w:rsid w:val="00B20B88"/>
    <w:rsid w:val="00B211E1"/>
    <w:rsid w:val="00B211FD"/>
    <w:rsid w:val="00B21242"/>
    <w:rsid w:val="00B249DE"/>
    <w:rsid w:val="00B25592"/>
    <w:rsid w:val="00B26062"/>
    <w:rsid w:val="00B26AAB"/>
    <w:rsid w:val="00B2771A"/>
    <w:rsid w:val="00B3232C"/>
    <w:rsid w:val="00B32EC1"/>
    <w:rsid w:val="00B32F7E"/>
    <w:rsid w:val="00B33781"/>
    <w:rsid w:val="00B34CDB"/>
    <w:rsid w:val="00B34DA8"/>
    <w:rsid w:val="00B34E2E"/>
    <w:rsid w:val="00B35DE8"/>
    <w:rsid w:val="00B35E25"/>
    <w:rsid w:val="00B36111"/>
    <w:rsid w:val="00B36F17"/>
    <w:rsid w:val="00B373C4"/>
    <w:rsid w:val="00B37D68"/>
    <w:rsid w:val="00B411FC"/>
    <w:rsid w:val="00B41D37"/>
    <w:rsid w:val="00B42AA7"/>
    <w:rsid w:val="00B43990"/>
    <w:rsid w:val="00B443A7"/>
    <w:rsid w:val="00B4499D"/>
    <w:rsid w:val="00B45DCB"/>
    <w:rsid w:val="00B47688"/>
    <w:rsid w:val="00B502AC"/>
    <w:rsid w:val="00B508D6"/>
    <w:rsid w:val="00B513C7"/>
    <w:rsid w:val="00B514B2"/>
    <w:rsid w:val="00B52670"/>
    <w:rsid w:val="00B52CA4"/>
    <w:rsid w:val="00B53D13"/>
    <w:rsid w:val="00B54C57"/>
    <w:rsid w:val="00B5588E"/>
    <w:rsid w:val="00B55A49"/>
    <w:rsid w:val="00B57351"/>
    <w:rsid w:val="00B57843"/>
    <w:rsid w:val="00B57D4D"/>
    <w:rsid w:val="00B6036C"/>
    <w:rsid w:val="00B61672"/>
    <w:rsid w:val="00B62C51"/>
    <w:rsid w:val="00B63739"/>
    <w:rsid w:val="00B63F9E"/>
    <w:rsid w:val="00B64638"/>
    <w:rsid w:val="00B65240"/>
    <w:rsid w:val="00B657D8"/>
    <w:rsid w:val="00B66447"/>
    <w:rsid w:val="00B66BEE"/>
    <w:rsid w:val="00B676AB"/>
    <w:rsid w:val="00B67C78"/>
    <w:rsid w:val="00B71444"/>
    <w:rsid w:val="00B75140"/>
    <w:rsid w:val="00B752DC"/>
    <w:rsid w:val="00B7743A"/>
    <w:rsid w:val="00B775AA"/>
    <w:rsid w:val="00B80D0B"/>
    <w:rsid w:val="00B8489F"/>
    <w:rsid w:val="00B857E3"/>
    <w:rsid w:val="00B87168"/>
    <w:rsid w:val="00B90445"/>
    <w:rsid w:val="00B90EEB"/>
    <w:rsid w:val="00B91647"/>
    <w:rsid w:val="00B918F5"/>
    <w:rsid w:val="00B92055"/>
    <w:rsid w:val="00B9535C"/>
    <w:rsid w:val="00BA1272"/>
    <w:rsid w:val="00BA242A"/>
    <w:rsid w:val="00BA2885"/>
    <w:rsid w:val="00BA4C6B"/>
    <w:rsid w:val="00BA4D70"/>
    <w:rsid w:val="00BA66B0"/>
    <w:rsid w:val="00BA6BCC"/>
    <w:rsid w:val="00BA6FEA"/>
    <w:rsid w:val="00BA7253"/>
    <w:rsid w:val="00BA7913"/>
    <w:rsid w:val="00BA79DD"/>
    <w:rsid w:val="00BB1523"/>
    <w:rsid w:val="00BB1ABF"/>
    <w:rsid w:val="00BB3AA2"/>
    <w:rsid w:val="00BB48C7"/>
    <w:rsid w:val="00BB5266"/>
    <w:rsid w:val="00BC048C"/>
    <w:rsid w:val="00BC0860"/>
    <w:rsid w:val="00BC1233"/>
    <w:rsid w:val="00BC1A59"/>
    <w:rsid w:val="00BC233F"/>
    <w:rsid w:val="00BC24E4"/>
    <w:rsid w:val="00BC3170"/>
    <w:rsid w:val="00BC497D"/>
    <w:rsid w:val="00BC6E48"/>
    <w:rsid w:val="00BC72C6"/>
    <w:rsid w:val="00BC72E1"/>
    <w:rsid w:val="00BC7673"/>
    <w:rsid w:val="00BC7D41"/>
    <w:rsid w:val="00BD0248"/>
    <w:rsid w:val="00BD098D"/>
    <w:rsid w:val="00BD0F29"/>
    <w:rsid w:val="00BD443D"/>
    <w:rsid w:val="00BD6371"/>
    <w:rsid w:val="00BD65AE"/>
    <w:rsid w:val="00BD6944"/>
    <w:rsid w:val="00BE0074"/>
    <w:rsid w:val="00BE0123"/>
    <w:rsid w:val="00BE132E"/>
    <w:rsid w:val="00BE1A1F"/>
    <w:rsid w:val="00BE3F48"/>
    <w:rsid w:val="00BE4B92"/>
    <w:rsid w:val="00BE59D6"/>
    <w:rsid w:val="00BE5F25"/>
    <w:rsid w:val="00BE76E0"/>
    <w:rsid w:val="00BE778C"/>
    <w:rsid w:val="00BF189F"/>
    <w:rsid w:val="00BF1EBD"/>
    <w:rsid w:val="00BF26AA"/>
    <w:rsid w:val="00BF38B0"/>
    <w:rsid w:val="00BF3A85"/>
    <w:rsid w:val="00BF3F5B"/>
    <w:rsid w:val="00BF5680"/>
    <w:rsid w:val="00BF5BB6"/>
    <w:rsid w:val="00BF6678"/>
    <w:rsid w:val="00BF6738"/>
    <w:rsid w:val="00BF72E5"/>
    <w:rsid w:val="00C00082"/>
    <w:rsid w:val="00C0036C"/>
    <w:rsid w:val="00C01926"/>
    <w:rsid w:val="00C019BB"/>
    <w:rsid w:val="00C02961"/>
    <w:rsid w:val="00C0357D"/>
    <w:rsid w:val="00C0358F"/>
    <w:rsid w:val="00C04A31"/>
    <w:rsid w:val="00C07D79"/>
    <w:rsid w:val="00C10CBD"/>
    <w:rsid w:val="00C15B60"/>
    <w:rsid w:val="00C15BC7"/>
    <w:rsid w:val="00C17BBA"/>
    <w:rsid w:val="00C21BC7"/>
    <w:rsid w:val="00C21F5A"/>
    <w:rsid w:val="00C26F03"/>
    <w:rsid w:val="00C2743E"/>
    <w:rsid w:val="00C307FA"/>
    <w:rsid w:val="00C31FD2"/>
    <w:rsid w:val="00C32CDD"/>
    <w:rsid w:val="00C338E6"/>
    <w:rsid w:val="00C34E15"/>
    <w:rsid w:val="00C34EBE"/>
    <w:rsid w:val="00C3603C"/>
    <w:rsid w:val="00C409DF"/>
    <w:rsid w:val="00C40D33"/>
    <w:rsid w:val="00C411EA"/>
    <w:rsid w:val="00C41701"/>
    <w:rsid w:val="00C42463"/>
    <w:rsid w:val="00C42A28"/>
    <w:rsid w:val="00C433C2"/>
    <w:rsid w:val="00C45C06"/>
    <w:rsid w:val="00C46C53"/>
    <w:rsid w:val="00C47BE5"/>
    <w:rsid w:val="00C5093E"/>
    <w:rsid w:val="00C51272"/>
    <w:rsid w:val="00C51E88"/>
    <w:rsid w:val="00C52ED4"/>
    <w:rsid w:val="00C560EC"/>
    <w:rsid w:val="00C56372"/>
    <w:rsid w:val="00C57B9D"/>
    <w:rsid w:val="00C600F4"/>
    <w:rsid w:val="00C62AD4"/>
    <w:rsid w:val="00C63A3D"/>
    <w:rsid w:val="00C64622"/>
    <w:rsid w:val="00C65314"/>
    <w:rsid w:val="00C65619"/>
    <w:rsid w:val="00C65C0C"/>
    <w:rsid w:val="00C65F6D"/>
    <w:rsid w:val="00C66D04"/>
    <w:rsid w:val="00C7094C"/>
    <w:rsid w:val="00C717F2"/>
    <w:rsid w:val="00C74919"/>
    <w:rsid w:val="00C752D0"/>
    <w:rsid w:val="00C760E6"/>
    <w:rsid w:val="00C7612F"/>
    <w:rsid w:val="00C76492"/>
    <w:rsid w:val="00C767FE"/>
    <w:rsid w:val="00C778E4"/>
    <w:rsid w:val="00C779B2"/>
    <w:rsid w:val="00C808BC"/>
    <w:rsid w:val="00C82670"/>
    <w:rsid w:val="00C8333D"/>
    <w:rsid w:val="00C847D5"/>
    <w:rsid w:val="00C90F27"/>
    <w:rsid w:val="00C94139"/>
    <w:rsid w:val="00C95A06"/>
    <w:rsid w:val="00C95D32"/>
    <w:rsid w:val="00C96E23"/>
    <w:rsid w:val="00CA08C9"/>
    <w:rsid w:val="00CA12DE"/>
    <w:rsid w:val="00CA246C"/>
    <w:rsid w:val="00CA24CE"/>
    <w:rsid w:val="00CA4898"/>
    <w:rsid w:val="00CA6276"/>
    <w:rsid w:val="00CA7485"/>
    <w:rsid w:val="00CA77CC"/>
    <w:rsid w:val="00CA7905"/>
    <w:rsid w:val="00CA7A6E"/>
    <w:rsid w:val="00CA7F0D"/>
    <w:rsid w:val="00CB1DA2"/>
    <w:rsid w:val="00CB2163"/>
    <w:rsid w:val="00CB2CF2"/>
    <w:rsid w:val="00CB3367"/>
    <w:rsid w:val="00CB3F69"/>
    <w:rsid w:val="00CB5CC2"/>
    <w:rsid w:val="00CB6BCD"/>
    <w:rsid w:val="00CC0E2E"/>
    <w:rsid w:val="00CC0E40"/>
    <w:rsid w:val="00CC2787"/>
    <w:rsid w:val="00CC2DD6"/>
    <w:rsid w:val="00CC3D78"/>
    <w:rsid w:val="00CC3E64"/>
    <w:rsid w:val="00CC3FA2"/>
    <w:rsid w:val="00CC40B2"/>
    <w:rsid w:val="00CC4230"/>
    <w:rsid w:val="00CC4800"/>
    <w:rsid w:val="00CC4E68"/>
    <w:rsid w:val="00CC6710"/>
    <w:rsid w:val="00CD1040"/>
    <w:rsid w:val="00CD287B"/>
    <w:rsid w:val="00CD2CD7"/>
    <w:rsid w:val="00CD416E"/>
    <w:rsid w:val="00CD4F58"/>
    <w:rsid w:val="00CD513C"/>
    <w:rsid w:val="00CD6048"/>
    <w:rsid w:val="00CD7ED8"/>
    <w:rsid w:val="00CE0AEB"/>
    <w:rsid w:val="00CE1D5E"/>
    <w:rsid w:val="00CE1F98"/>
    <w:rsid w:val="00CE2048"/>
    <w:rsid w:val="00CE21E2"/>
    <w:rsid w:val="00CE3424"/>
    <w:rsid w:val="00CE3455"/>
    <w:rsid w:val="00CE4288"/>
    <w:rsid w:val="00CE5319"/>
    <w:rsid w:val="00CE5BF8"/>
    <w:rsid w:val="00CF12F9"/>
    <w:rsid w:val="00CF26AF"/>
    <w:rsid w:val="00CF2F99"/>
    <w:rsid w:val="00CF4400"/>
    <w:rsid w:val="00CF7613"/>
    <w:rsid w:val="00CF7903"/>
    <w:rsid w:val="00D0026A"/>
    <w:rsid w:val="00D00CF6"/>
    <w:rsid w:val="00D012F2"/>
    <w:rsid w:val="00D01501"/>
    <w:rsid w:val="00D020F4"/>
    <w:rsid w:val="00D02839"/>
    <w:rsid w:val="00D03101"/>
    <w:rsid w:val="00D0332B"/>
    <w:rsid w:val="00D03568"/>
    <w:rsid w:val="00D04270"/>
    <w:rsid w:val="00D04525"/>
    <w:rsid w:val="00D0539B"/>
    <w:rsid w:val="00D05460"/>
    <w:rsid w:val="00D056C4"/>
    <w:rsid w:val="00D05D9E"/>
    <w:rsid w:val="00D05ED3"/>
    <w:rsid w:val="00D064A5"/>
    <w:rsid w:val="00D06C47"/>
    <w:rsid w:val="00D06DD8"/>
    <w:rsid w:val="00D07474"/>
    <w:rsid w:val="00D07949"/>
    <w:rsid w:val="00D1018B"/>
    <w:rsid w:val="00D101F5"/>
    <w:rsid w:val="00D10942"/>
    <w:rsid w:val="00D10BCF"/>
    <w:rsid w:val="00D11FE0"/>
    <w:rsid w:val="00D133DB"/>
    <w:rsid w:val="00D13637"/>
    <w:rsid w:val="00D143B5"/>
    <w:rsid w:val="00D14FF3"/>
    <w:rsid w:val="00D158AE"/>
    <w:rsid w:val="00D1660E"/>
    <w:rsid w:val="00D16904"/>
    <w:rsid w:val="00D20CBB"/>
    <w:rsid w:val="00D20DD9"/>
    <w:rsid w:val="00D21756"/>
    <w:rsid w:val="00D22F1C"/>
    <w:rsid w:val="00D267D5"/>
    <w:rsid w:val="00D271F9"/>
    <w:rsid w:val="00D273EE"/>
    <w:rsid w:val="00D27776"/>
    <w:rsid w:val="00D301B3"/>
    <w:rsid w:val="00D30AF4"/>
    <w:rsid w:val="00D3141D"/>
    <w:rsid w:val="00D31871"/>
    <w:rsid w:val="00D31DA0"/>
    <w:rsid w:val="00D31DF2"/>
    <w:rsid w:val="00D31E41"/>
    <w:rsid w:val="00D3275E"/>
    <w:rsid w:val="00D34828"/>
    <w:rsid w:val="00D34A65"/>
    <w:rsid w:val="00D34D7F"/>
    <w:rsid w:val="00D35156"/>
    <w:rsid w:val="00D35454"/>
    <w:rsid w:val="00D360C6"/>
    <w:rsid w:val="00D40247"/>
    <w:rsid w:val="00D408B3"/>
    <w:rsid w:val="00D40E1F"/>
    <w:rsid w:val="00D41259"/>
    <w:rsid w:val="00D41CB2"/>
    <w:rsid w:val="00D42439"/>
    <w:rsid w:val="00D4484B"/>
    <w:rsid w:val="00D44E43"/>
    <w:rsid w:val="00D4594A"/>
    <w:rsid w:val="00D4663F"/>
    <w:rsid w:val="00D4696F"/>
    <w:rsid w:val="00D47671"/>
    <w:rsid w:val="00D52325"/>
    <w:rsid w:val="00D523F2"/>
    <w:rsid w:val="00D52A85"/>
    <w:rsid w:val="00D52D9F"/>
    <w:rsid w:val="00D53856"/>
    <w:rsid w:val="00D539B4"/>
    <w:rsid w:val="00D54825"/>
    <w:rsid w:val="00D54F22"/>
    <w:rsid w:val="00D5667A"/>
    <w:rsid w:val="00D5757F"/>
    <w:rsid w:val="00D575D2"/>
    <w:rsid w:val="00D6022C"/>
    <w:rsid w:val="00D61163"/>
    <w:rsid w:val="00D61E19"/>
    <w:rsid w:val="00D622D0"/>
    <w:rsid w:val="00D62B56"/>
    <w:rsid w:val="00D62DF1"/>
    <w:rsid w:val="00D6373B"/>
    <w:rsid w:val="00D63B2F"/>
    <w:rsid w:val="00D6478B"/>
    <w:rsid w:val="00D64978"/>
    <w:rsid w:val="00D650BF"/>
    <w:rsid w:val="00D65631"/>
    <w:rsid w:val="00D67091"/>
    <w:rsid w:val="00D708F8"/>
    <w:rsid w:val="00D70B6F"/>
    <w:rsid w:val="00D71C24"/>
    <w:rsid w:val="00D72371"/>
    <w:rsid w:val="00D72F6D"/>
    <w:rsid w:val="00D72FB0"/>
    <w:rsid w:val="00D745D4"/>
    <w:rsid w:val="00D74F7D"/>
    <w:rsid w:val="00D75D70"/>
    <w:rsid w:val="00D76611"/>
    <w:rsid w:val="00D76818"/>
    <w:rsid w:val="00D76BB9"/>
    <w:rsid w:val="00D76CA2"/>
    <w:rsid w:val="00D771F0"/>
    <w:rsid w:val="00D7774E"/>
    <w:rsid w:val="00D777E0"/>
    <w:rsid w:val="00D8196E"/>
    <w:rsid w:val="00D83286"/>
    <w:rsid w:val="00D83F9B"/>
    <w:rsid w:val="00D84068"/>
    <w:rsid w:val="00D845E9"/>
    <w:rsid w:val="00D86198"/>
    <w:rsid w:val="00D86218"/>
    <w:rsid w:val="00D8777D"/>
    <w:rsid w:val="00D87C3A"/>
    <w:rsid w:val="00D87D7D"/>
    <w:rsid w:val="00D91E82"/>
    <w:rsid w:val="00D92842"/>
    <w:rsid w:val="00D92B20"/>
    <w:rsid w:val="00D93596"/>
    <w:rsid w:val="00D93F6A"/>
    <w:rsid w:val="00D96B8B"/>
    <w:rsid w:val="00D970CF"/>
    <w:rsid w:val="00D97C35"/>
    <w:rsid w:val="00DA054D"/>
    <w:rsid w:val="00DA2604"/>
    <w:rsid w:val="00DA34F6"/>
    <w:rsid w:val="00DA5561"/>
    <w:rsid w:val="00DA61DF"/>
    <w:rsid w:val="00DA6D94"/>
    <w:rsid w:val="00DA7707"/>
    <w:rsid w:val="00DB2C36"/>
    <w:rsid w:val="00DB2D22"/>
    <w:rsid w:val="00DB53F8"/>
    <w:rsid w:val="00DB541B"/>
    <w:rsid w:val="00DB597E"/>
    <w:rsid w:val="00DB6778"/>
    <w:rsid w:val="00DB68B4"/>
    <w:rsid w:val="00DB69A5"/>
    <w:rsid w:val="00DB6F47"/>
    <w:rsid w:val="00DB768E"/>
    <w:rsid w:val="00DB7B3F"/>
    <w:rsid w:val="00DC1C9A"/>
    <w:rsid w:val="00DC20B9"/>
    <w:rsid w:val="00DC2226"/>
    <w:rsid w:val="00DC2F49"/>
    <w:rsid w:val="00DC417B"/>
    <w:rsid w:val="00DC5A8A"/>
    <w:rsid w:val="00DC729B"/>
    <w:rsid w:val="00DC7D78"/>
    <w:rsid w:val="00DD041A"/>
    <w:rsid w:val="00DD05B5"/>
    <w:rsid w:val="00DD0729"/>
    <w:rsid w:val="00DD0AB9"/>
    <w:rsid w:val="00DD1738"/>
    <w:rsid w:val="00DD25CA"/>
    <w:rsid w:val="00DD2A34"/>
    <w:rsid w:val="00DD3961"/>
    <w:rsid w:val="00DD3E61"/>
    <w:rsid w:val="00DD4117"/>
    <w:rsid w:val="00DD52BD"/>
    <w:rsid w:val="00DD58FB"/>
    <w:rsid w:val="00DE1540"/>
    <w:rsid w:val="00DE1830"/>
    <w:rsid w:val="00DE1E04"/>
    <w:rsid w:val="00DE2187"/>
    <w:rsid w:val="00DE6B58"/>
    <w:rsid w:val="00DE6E77"/>
    <w:rsid w:val="00DE7222"/>
    <w:rsid w:val="00DE77A4"/>
    <w:rsid w:val="00DF1ED2"/>
    <w:rsid w:val="00DF2F84"/>
    <w:rsid w:val="00DF4565"/>
    <w:rsid w:val="00DF698E"/>
    <w:rsid w:val="00DF77A4"/>
    <w:rsid w:val="00E00074"/>
    <w:rsid w:val="00E0011A"/>
    <w:rsid w:val="00E03394"/>
    <w:rsid w:val="00E0391D"/>
    <w:rsid w:val="00E0396B"/>
    <w:rsid w:val="00E04D32"/>
    <w:rsid w:val="00E04DB5"/>
    <w:rsid w:val="00E057D4"/>
    <w:rsid w:val="00E06665"/>
    <w:rsid w:val="00E06759"/>
    <w:rsid w:val="00E06F0B"/>
    <w:rsid w:val="00E0729A"/>
    <w:rsid w:val="00E076C2"/>
    <w:rsid w:val="00E1062E"/>
    <w:rsid w:val="00E10A10"/>
    <w:rsid w:val="00E10FF5"/>
    <w:rsid w:val="00E116F2"/>
    <w:rsid w:val="00E1189C"/>
    <w:rsid w:val="00E1230C"/>
    <w:rsid w:val="00E12BF4"/>
    <w:rsid w:val="00E12C58"/>
    <w:rsid w:val="00E12C7C"/>
    <w:rsid w:val="00E12E1E"/>
    <w:rsid w:val="00E1330B"/>
    <w:rsid w:val="00E1383E"/>
    <w:rsid w:val="00E169B7"/>
    <w:rsid w:val="00E20853"/>
    <w:rsid w:val="00E21029"/>
    <w:rsid w:val="00E21F54"/>
    <w:rsid w:val="00E221AC"/>
    <w:rsid w:val="00E23D2D"/>
    <w:rsid w:val="00E23E48"/>
    <w:rsid w:val="00E2427D"/>
    <w:rsid w:val="00E24A59"/>
    <w:rsid w:val="00E25640"/>
    <w:rsid w:val="00E25C10"/>
    <w:rsid w:val="00E25C38"/>
    <w:rsid w:val="00E2655A"/>
    <w:rsid w:val="00E26E86"/>
    <w:rsid w:val="00E27418"/>
    <w:rsid w:val="00E277E0"/>
    <w:rsid w:val="00E30515"/>
    <w:rsid w:val="00E3076D"/>
    <w:rsid w:val="00E30BEE"/>
    <w:rsid w:val="00E31202"/>
    <w:rsid w:val="00E31A0C"/>
    <w:rsid w:val="00E343C8"/>
    <w:rsid w:val="00E35847"/>
    <w:rsid w:val="00E36819"/>
    <w:rsid w:val="00E368C0"/>
    <w:rsid w:val="00E407C2"/>
    <w:rsid w:val="00E40D2F"/>
    <w:rsid w:val="00E40E11"/>
    <w:rsid w:val="00E4237C"/>
    <w:rsid w:val="00E4253F"/>
    <w:rsid w:val="00E433A5"/>
    <w:rsid w:val="00E4355C"/>
    <w:rsid w:val="00E43B05"/>
    <w:rsid w:val="00E43FAF"/>
    <w:rsid w:val="00E43FDC"/>
    <w:rsid w:val="00E44CBE"/>
    <w:rsid w:val="00E45092"/>
    <w:rsid w:val="00E46A20"/>
    <w:rsid w:val="00E47003"/>
    <w:rsid w:val="00E47131"/>
    <w:rsid w:val="00E507D2"/>
    <w:rsid w:val="00E532F6"/>
    <w:rsid w:val="00E547D2"/>
    <w:rsid w:val="00E55211"/>
    <w:rsid w:val="00E55B27"/>
    <w:rsid w:val="00E5660C"/>
    <w:rsid w:val="00E577A8"/>
    <w:rsid w:val="00E57CA3"/>
    <w:rsid w:val="00E604F1"/>
    <w:rsid w:val="00E61A83"/>
    <w:rsid w:val="00E62C9B"/>
    <w:rsid w:val="00E6318D"/>
    <w:rsid w:val="00E63923"/>
    <w:rsid w:val="00E63B81"/>
    <w:rsid w:val="00E64133"/>
    <w:rsid w:val="00E64241"/>
    <w:rsid w:val="00E662BB"/>
    <w:rsid w:val="00E663DB"/>
    <w:rsid w:val="00E66480"/>
    <w:rsid w:val="00E66A61"/>
    <w:rsid w:val="00E66B24"/>
    <w:rsid w:val="00E670C8"/>
    <w:rsid w:val="00E67EF9"/>
    <w:rsid w:val="00E7016B"/>
    <w:rsid w:val="00E70268"/>
    <w:rsid w:val="00E70851"/>
    <w:rsid w:val="00E71041"/>
    <w:rsid w:val="00E7133F"/>
    <w:rsid w:val="00E721CC"/>
    <w:rsid w:val="00E7235A"/>
    <w:rsid w:val="00E7285B"/>
    <w:rsid w:val="00E72C03"/>
    <w:rsid w:val="00E72E59"/>
    <w:rsid w:val="00E730F0"/>
    <w:rsid w:val="00E73543"/>
    <w:rsid w:val="00E73750"/>
    <w:rsid w:val="00E73FB3"/>
    <w:rsid w:val="00E75A16"/>
    <w:rsid w:val="00E76679"/>
    <w:rsid w:val="00E76BC0"/>
    <w:rsid w:val="00E800D1"/>
    <w:rsid w:val="00E82011"/>
    <w:rsid w:val="00E845E8"/>
    <w:rsid w:val="00E851AF"/>
    <w:rsid w:val="00E8562C"/>
    <w:rsid w:val="00E85B9C"/>
    <w:rsid w:val="00E85D31"/>
    <w:rsid w:val="00E869B5"/>
    <w:rsid w:val="00E875FB"/>
    <w:rsid w:val="00E8771C"/>
    <w:rsid w:val="00E90FF0"/>
    <w:rsid w:val="00E91048"/>
    <w:rsid w:val="00E91759"/>
    <w:rsid w:val="00E93DB8"/>
    <w:rsid w:val="00E96553"/>
    <w:rsid w:val="00E96FC9"/>
    <w:rsid w:val="00E979B9"/>
    <w:rsid w:val="00E97D78"/>
    <w:rsid w:val="00EA0833"/>
    <w:rsid w:val="00EA1932"/>
    <w:rsid w:val="00EA206C"/>
    <w:rsid w:val="00EA263B"/>
    <w:rsid w:val="00EA3455"/>
    <w:rsid w:val="00EA4111"/>
    <w:rsid w:val="00EA4D50"/>
    <w:rsid w:val="00EA53C1"/>
    <w:rsid w:val="00EA5CE5"/>
    <w:rsid w:val="00EA6542"/>
    <w:rsid w:val="00EB21FF"/>
    <w:rsid w:val="00EB23B2"/>
    <w:rsid w:val="00EB40DA"/>
    <w:rsid w:val="00EB4CC4"/>
    <w:rsid w:val="00EB5790"/>
    <w:rsid w:val="00EB5DF9"/>
    <w:rsid w:val="00EB63A0"/>
    <w:rsid w:val="00EC0540"/>
    <w:rsid w:val="00EC1587"/>
    <w:rsid w:val="00EC15F1"/>
    <w:rsid w:val="00EC265B"/>
    <w:rsid w:val="00EC2D17"/>
    <w:rsid w:val="00EC2EA9"/>
    <w:rsid w:val="00EC35AF"/>
    <w:rsid w:val="00EC39F5"/>
    <w:rsid w:val="00EC4C75"/>
    <w:rsid w:val="00EC4C9A"/>
    <w:rsid w:val="00EC574A"/>
    <w:rsid w:val="00EC6D49"/>
    <w:rsid w:val="00EC794C"/>
    <w:rsid w:val="00EC7F51"/>
    <w:rsid w:val="00ED0098"/>
    <w:rsid w:val="00ED0A79"/>
    <w:rsid w:val="00ED2EC3"/>
    <w:rsid w:val="00ED3E2D"/>
    <w:rsid w:val="00ED402C"/>
    <w:rsid w:val="00ED464F"/>
    <w:rsid w:val="00ED4B5C"/>
    <w:rsid w:val="00ED59C8"/>
    <w:rsid w:val="00ED6C34"/>
    <w:rsid w:val="00ED6DFC"/>
    <w:rsid w:val="00ED7545"/>
    <w:rsid w:val="00ED75E3"/>
    <w:rsid w:val="00EE051F"/>
    <w:rsid w:val="00EE0819"/>
    <w:rsid w:val="00EE1007"/>
    <w:rsid w:val="00EE1113"/>
    <w:rsid w:val="00EE41F2"/>
    <w:rsid w:val="00EE4368"/>
    <w:rsid w:val="00EE50C7"/>
    <w:rsid w:val="00EE5C59"/>
    <w:rsid w:val="00EE6730"/>
    <w:rsid w:val="00EE6C83"/>
    <w:rsid w:val="00EF03CA"/>
    <w:rsid w:val="00EF0CB6"/>
    <w:rsid w:val="00EF178D"/>
    <w:rsid w:val="00EF225E"/>
    <w:rsid w:val="00EF3F06"/>
    <w:rsid w:val="00EF4F05"/>
    <w:rsid w:val="00EF5011"/>
    <w:rsid w:val="00EF51A8"/>
    <w:rsid w:val="00EF6B56"/>
    <w:rsid w:val="00EF6BF9"/>
    <w:rsid w:val="00EF7B06"/>
    <w:rsid w:val="00EF7B99"/>
    <w:rsid w:val="00F001D9"/>
    <w:rsid w:val="00F00727"/>
    <w:rsid w:val="00F0258D"/>
    <w:rsid w:val="00F03755"/>
    <w:rsid w:val="00F05A2D"/>
    <w:rsid w:val="00F0776D"/>
    <w:rsid w:val="00F077D4"/>
    <w:rsid w:val="00F07B34"/>
    <w:rsid w:val="00F1015F"/>
    <w:rsid w:val="00F10887"/>
    <w:rsid w:val="00F10F71"/>
    <w:rsid w:val="00F10FCF"/>
    <w:rsid w:val="00F1229C"/>
    <w:rsid w:val="00F141C2"/>
    <w:rsid w:val="00F15377"/>
    <w:rsid w:val="00F15B5E"/>
    <w:rsid w:val="00F16000"/>
    <w:rsid w:val="00F16A19"/>
    <w:rsid w:val="00F20B86"/>
    <w:rsid w:val="00F21D20"/>
    <w:rsid w:val="00F23D12"/>
    <w:rsid w:val="00F25CE0"/>
    <w:rsid w:val="00F25F1E"/>
    <w:rsid w:val="00F30051"/>
    <w:rsid w:val="00F30874"/>
    <w:rsid w:val="00F30E26"/>
    <w:rsid w:val="00F31154"/>
    <w:rsid w:val="00F31CA4"/>
    <w:rsid w:val="00F3307A"/>
    <w:rsid w:val="00F33137"/>
    <w:rsid w:val="00F3483A"/>
    <w:rsid w:val="00F35F53"/>
    <w:rsid w:val="00F37840"/>
    <w:rsid w:val="00F4020A"/>
    <w:rsid w:val="00F410A6"/>
    <w:rsid w:val="00F411AB"/>
    <w:rsid w:val="00F41EF5"/>
    <w:rsid w:val="00F4226E"/>
    <w:rsid w:val="00F42879"/>
    <w:rsid w:val="00F43A34"/>
    <w:rsid w:val="00F43AF7"/>
    <w:rsid w:val="00F44F71"/>
    <w:rsid w:val="00F45F17"/>
    <w:rsid w:val="00F46932"/>
    <w:rsid w:val="00F472E3"/>
    <w:rsid w:val="00F47F6F"/>
    <w:rsid w:val="00F47FDF"/>
    <w:rsid w:val="00F503E3"/>
    <w:rsid w:val="00F509B0"/>
    <w:rsid w:val="00F51972"/>
    <w:rsid w:val="00F52693"/>
    <w:rsid w:val="00F528A5"/>
    <w:rsid w:val="00F53E95"/>
    <w:rsid w:val="00F548AA"/>
    <w:rsid w:val="00F54B49"/>
    <w:rsid w:val="00F54B6D"/>
    <w:rsid w:val="00F56ECF"/>
    <w:rsid w:val="00F637FA"/>
    <w:rsid w:val="00F63846"/>
    <w:rsid w:val="00F64BD2"/>
    <w:rsid w:val="00F66540"/>
    <w:rsid w:val="00F66ACD"/>
    <w:rsid w:val="00F66F33"/>
    <w:rsid w:val="00F67AC8"/>
    <w:rsid w:val="00F67F56"/>
    <w:rsid w:val="00F701A0"/>
    <w:rsid w:val="00F72037"/>
    <w:rsid w:val="00F72118"/>
    <w:rsid w:val="00F73464"/>
    <w:rsid w:val="00F73C09"/>
    <w:rsid w:val="00F74D22"/>
    <w:rsid w:val="00F750C6"/>
    <w:rsid w:val="00F752D1"/>
    <w:rsid w:val="00F777C1"/>
    <w:rsid w:val="00F81CE9"/>
    <w:rsid w:val="00F81FA7"/>
    <w:rsid w:val="00F830A3"/>
    <w:rsid w:val="00F83ACE"/>
    <w:rsid w:val="00F83C6F"/>
    <w:rsid w:val="00F85B3D"/>
    <w:rsid w:val="00F876EF"/>
    <w:rsid w:val="00F902FA"/>
    <w:rsid w:val="00F93024"/>
    <w:rsid w:val="00F9341C"/>
    <w:rsid w:val="00F93941"/>
    <w:rsid w:val="00F93F5A"/>
    <w:rsid w:val="00F94336"/>
    <w:rsid w:val="00F947DD"/>
    <w:rsid w:val="00F97EF9"/>
    <w:rsid w:val="00FA06DE"/>
    <w:rsid w:val="00FA0CF0"/>
    <w:rsid w:val="00FA1C3C"/>
    <w:rsid w:val="00FA2291"/>
    <w:rsid w:val="00FA280B"/>
    <w:rsid w:val="00FA2CCF"/>
    <w:rsid w:val="00FA3517"/>
    <w:rsid w:val="00FA3A92"/>
    <w:rsid w:val="00FA3B0C"/>
    <w:rsid w:val="00FA3F51"/>
    <w:rsid w:val="00FA4425"/>
    <w:rsid w:val="00FA5D35"/>
    <w:rsid w:val="00FA655D"/>
    <w:rsid w:val="00FA78DF"/>
    <w:rsid w:val="00FA7B5A"/>
    <w:rsid w:val="00FB031B"/>
    <w:rsid w:val="00FB0414"/>
    <w:rsid w:val="00FB04A7"/>
    <w:rsid w:val="00FB0B66"/>
    <w:rsid w:val="00FB139F"/>
    <w:rsid w:val="00FB1B6E"/>
    <w:rsid w:val="00FB3018"/>
    <w:rsid w:val="00FB467A"/>
    <w:rsid w:val="00FB600D"/>
    <w:rsid w:val="00FB6F78"/>
    <w:rsid w:val="00FC0CAC"/>
    <w:rsid w:val="00FC12E6"/>
    <w:rsid w:val="00FC1849"/>
    <w:rsid w:val="00FC1DB9"/>
    <w:rsid w:val="00FC28E2"/>
    <w:rsid w:val="00FC5C2D"/>
    <w:rsid w:val="00FC613B"/>
    <w:rsid w:val="00FC62A6"/>
    <w:rsid w:val="00FC72FA"/>
    <w:rsid w:val="00FD04C1"/>
    <w:rsid w:val="00FD04E3"/>
    <w:rsid w:val="00FD0A71"/>
    <w:rsid w:val="00FD1886"/>
    <w:rsid w:val="00FD5835"/>
    <w:rsid w:val="00FD5C7A"/>
    <w:rsid w:val="00FD60DD"/>
    <w:rsid w:val="00FE05FC"/>
    <w:rsid w:val="00FE1840"/>
    <w:rsid w:val="00FE1947"/>
    <w:rsid w:val="00FE1A3E"/>
    <w:rsid w:val="00FE3B6C"/>
    <w:rsid w:val="00FE6CA1"/>
    <w:rsid w:val="00FE6D09"/>
    <w:rsid w:val="00FE77FC"/>
    <w:rsid w:val="00FE7BD2"/>
    <w:rsid w:val="00FE7D4A"/>
    <w:rsid w:val="00FF34FE"/>
    <w:rsid w:val="00FF49A5"/>
    <w:rsid w:val="00FF4D9A"/>
    <w:rsid w:val="00FF57ED"/>
    <w:rsid w:val="00FF69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4193">
      <o:colormru v:ext="edit" colors="#00a8d0,#008eb0,#1492e8,#1287d6,#117dc7,#c2e3fa"/>
    </o:shapedefaults>
    <o:shapelayout v:ext="edit">
      <o:idmap v:ext="edit" data="1"/>
    </o:shapelayout>
  </w:shapeDefaults>
  <w:decimalSymbol w:val="."/>
  <w:listSeparator w:val=","/>
  <w14:docId w14:val="35D44974"/>
  <w15:docId w15:val="{FC7827D1-A56E-4A81-B315-D5083F68D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45833"/>
    <w:pPr>
      <w:spacing w:after="240"/>
    </w:pPr>
    <w:rPr>
      <w:sz w:val="22"/>
    </w:rPr>
  </w:style>
  <w:style w:type="paragraph" w:styleId="Heading1">
    <w:name w:val="heading 1"/>
    <w:basedOn w:val="Normal"/>
    <w:next w:val="BodyText"/>
    <w:link w:val="Heading1Char"/>
    <w:qFormat/>
    <w:rsid w:val="00825C6F"/>
    <w:pPr>
      <w:keepNext/>
      <w:pageBreakBefore/>
      <w:numPr>
        <w:numId w:val="6"/>
      </w:numPr>
      <w:spacing w:after="720" w:line="280" w:lineRule="atLeast"/>
      <w:outlineLvl w:val="0"/>
    </w:pPr>
    <w:rPr>
      <w:rFonts w:ascii="Arial" w:hAnsi="Arial" w:cs="Arial"/>
      <w:b/>
      <w:kern w:val="28"/>
      <w:sz w:val="36"/>
      <w:szCs w:val="36"/>
    </w:rPr>
  </w:style>
  <w:style w:type="paragraph" w:styleId="Heading2">
    <w:name w:val="heading 2"/>
    <w:basedOn w:val="Normal"/>
    <w:next w:val="BodyText"/>
    <w:link w:val="Heading2Char"/>
    <w:qFormat/>
    <w:rsid w:val="00825C6F"/>
    <w:pPr>
      <w:keepNext/>
      <w:spacing w:before="720" w:after="0" w:line="280" w:lineRule="atLeast"/>
      <w:outlineLvl w:val="1"/>
    </w:pPr>
    <w:rPr>
      <w:rFonts w:ascii="Arial" w:hAnsi="Arial" w:cs="Arial"/>
      <w:b/>
      <w:sz w:val="28"/>
      <w:szCs w:val="28"/>
    </w:rPr>
  </w:style>
  <w:style w:type="paragraph" w:styleId="Heading3">
    <w:name w:val="heading 3"/>
    <w:basedOn w:val="Normal"/>
    <w:next w:val="BodyText"/>
    <w:link w:val="Heading3Char"/>
    <w:qFormat/>
    <w:rsid w:val="00825C6F"/>
    <w:pPr>
      <w:keepNext/>
      <w:spacing w:before="400" w:after="0" w:line="280" w:lineRule="atLeast"/>
      <w:ind w:left="2268"/>
      <w:outlineLvl w:val="2"/>
    </w:pPr>
    <w:rPr>
      <w:rFonts w:ascii="Arial" w:hAnsi="Arial" w:cs="Arial"/>
      <w:b/>
      <w:sz w:val="24"/>
      <w:szCs w:val="24"/>
    </w:rPr>
  </w:style>
  <w:style w:type="paragraph" w:styleId="Heading4">
    <w:name w:val="heading 4"/>
    <w:basedOn w:val="Normal"/>
    <w:next w:val="BodyText"/>
    <w:link w:val="Heading4Char"/>
    <w:qFormat/>
    <w:rsid w:val="00825C6F"/>
    <w:pPr>
      <w:keepNext/>
      <w:spacing w:before="280" w:after="0" w:line="280" w:lineRule="atLeast"/>
      <w:ind w:left="2268"/>
      <w:outlineLvl w:val="3"/>
    </w:pPr>
    <w:rPr>
      <w:rFonts w:ascii="Arial" w:hAnsi="Arial" w:cs="Arial"/>
      <w:b/>
      <w:sz w:val="20"/>
      <w:szCs w:val="22"/>
    </w:rPr>
  </w:style>
  <w:style w:type="paragraph" w:styleId="Heading5">
    <w:name w:val="heading 5"/>
    <w:basedOn w:val="Normal"/>
    <w:next w:val="BodyText"/>
    <w:link w:val="Heading5Char"/>
    <w:qFormat/>
    <w:rsid w:val="00825C6F"/>
    <w:pPr>
      <w:keepNext/>
      <w:spacing w:before="280" w:after="0" w:line="280" w:lineRule="atLeast"/>
      <w:ind w:left="2268"/>
      <w:outlineLvl w:val="4"/>
    </w:pPr>
    <w:rPr>
      <w:rFonts w:ascii="Arial" w:hAnsi="Arial" w:cs="Arial"/>
      <w:i/>
      <w:sz w:val="20"/>
    </w:rPr>
  </w:style>
  <w:style w:type="paragraph" w:styleId="Heading6">
    <w:name w:val="heading 6"/>
    <w:basedOn w:val="Normal"/>
    <w:next w:val="Bodytextplain"/>
    <w:link w:val="Heading6Char"/>
    <w:unhideWhenUsed/>
    <w:qFormat/>
    <w:rsid w:val="00825C6F"/>
    <w:pPr>
      <w:keepNext/>
      <w:pageBreakBefore/>
      <w:spacing w:after="400" w:line="280" w:lineRule="atLeast"/>
      <w:outlineLvl w:val="5"/>
    </w:pPr>
    <w:rPr>
      <w:rFonts w:ascii="Arial" w:hAnsi="Arial" w:cs="Arial"/>
      <w:b/>
      <w:kern w:val="28"/>
      <w:sz w:val="36"/>
      <w:szCs w:val="36"/>
    </w:rPr>
  </w:style>
  <w:style w:type="paragraph" w:styleId="Heading7">
    <w:name w:val="heading 7"/>
    <w:basedOn w:val="Normal"/>
    <w:next w:val="Bodytextplain"/>
    <w:unhideWhenUsed/>
    <w:qFormat/>
    <w:rsid w:val="00825C6F"/>
    <w:pPr>
      <w:spacing w:before="720" w:after="0" w:line="300" w:lineRule="atLeast"/>
      <w:outlineLvl w:val="6"/>
    </w:pPr>
    <w:rPr>
      <w:rFonts w:ascii="Arial"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25C6F"/>
    <w:pPr>
      <w:numPr>
        <w:numId w:val="7"/>
      </w:numPr>
      <w:tabs>
        <w:tab w:val="clear" w:pos="3686"/>
        <w:tab w:val="num" w:pos="2268"/>
      </w:tabs>
      <w:spacing w:before="200" w:after="0" w:line="300" w:lineRule="atLeast"/>
      <w:ind w:left="2268"/>
    </w:pPr>
    <w:rPr>
      <w:szCs w:val="22"/>
    </w:rPr>
  </w:style>
  <w:style w:type="paragraph" w:customStyle="1" w:styleId="sourcenotefullwidth">
    <w:name w:val="source note full width"/>
    <w:rsid w:val="00825C6F"/>
    <w:pPr>
      <w:spacing w:before="120"/>
    </w:pPr>
    <w:rPr>
      <w:rFonts w:ascii="Arial" w:hAnsi="Arial"/>
      <w:sz w:val="16"/>
      <w:szCs w:val="22"/>
    </w:rPr>
  </w:style>
  <w:style w:type="paragraph" w:styleId="Footer">
    <w:name w:val="footer"/>
    <w:basedOn w:val="Normal"/>
    <w:link w:val="FooterChar"/>
    <w:rsid w:val="00825C6F"/>
    <w:pPr>
      <w:tabs>
        <w:tab w:val="right" w:pos="9070"/>
      </w:tabs>
      <w:spacing w:after="0"/>
    </w:pPr>
    <w:rPr>
      <w:rFonts w:ascii="Arial" w:hAnsi="Arial"/>
      <w:sz w:val="16"/>
      <w:szCs w:val="16"/>
    </w:rPr>
  </w:style>
  <w:style w:type="character" w:styleId="PageNumber">
    <w:name w:val="page number"/>
    <w:basedOn w:val="DefaultParagraphFont"/>
    <w:rsid w:val="00825C6F"/>
    <w:rPr>
      <w:b/>
      <w:sz w:val="20"/>
    </w:rPr>
  </w:style>
  <w:style w:type="paragraph" w:styleId="Header">
    <w:name w:val="header"/>
    <w:basedOn w:val="Normal"/>
    <w:rsid w:val="00825C6F"/>
    <w:pPr>
      <w:pBdr>
        <w:bottom w:val="single" w:sz="4" w:space="1" w:color="008291"/>
      </w:pBdr>
      <w:tabs>
        <w:tab w:val="right" w:pos="9356"/>
      </w:tabs>
      <w:spacing w:after="0"/>
      <w:ind w:left="-85"/>
    </w:pPr>
    <w:rPr>
      <w:rFonts w:ascii="Arial" w:hAnsi="Arial" w:cs="Arial"/>
      <w:caps/>
      <w:color w:val="008291"/>
      <w:sz w:val="16"/>
      <w:szCs w:val="16"/>
    </w:rPr>
  </w:style>
  <w:style w:type="paragraph" w:styleId="ListBullet">
    <w:name w:val="List Bullet"/>
    <w:basedOn w:val="Normal"/>
    <w:rsid w:val="00825C6F"/>
    <w:pPr>
      <w:numPr>
        <w:numId w:val="3"/>
      </w:numPr>
      <w:tabs>
        <w:tab w:val="clear" w:pos="1418"/>
        <w:tab w:val="num" w:pos="2694"/>
      </w:tabs>
      <w:spacing w:before="100" w:after="0" w:line="300" w:lineRule="atLeast"/>
      <w:ind w:left="2693" w:hanging="425"/>
    </w:pPr>
    <w:rPr>
      <w:szCs w:val="22"/>
    </w:rPr>
  </w:style>
  <w:style w:type="paragraph" w:customStyle="1" w:styleId="listsubnumber">
    <w:name w:val="list sub number"/>
    <w:basedOn w:val="ListNumber1"/>
    <w:rsid w:val="00B36F17"/>
  </w:style>
  <w:style w:type="paragraph" w:customStyle="1" w:styleId="ListNumber1">
    <w:name w:val="List Number1"/>
    <w:basedOn w:val="Normal"/>
    <w:rsid w:val="00B36F17"/>
    <w:pPr>
      <w:tabs>
        <w:tab w:val="num" w:pos="2693"/>
      </w:tabs>
      <w:spacing w:before="100" w:after="0" w:line="300" w:lineRule="atLeast"/>
      <w:ind w:left="2693" w:hanging="425"/>
    </w:pPr>
    <w:rPr>
      <w:szCs w:val="24"/>
    </w:rPr>
  </w:style>
  <w:style w:type="paragraph" w:customStyle="1" w:styleId="figuretitleindented">
    <w:name w:val="figure title indented"/>
    <w:basedOn w:val="figuretitlefullwidth"/>
    <w:rsid w:val="00825C6F"/>
    <w:pPr>
      <w:ind w:left="3260"/>
    </w:pPr>
  </w:style>
  <w:style w:type="paragraph" w:customStyle="1" w:styleId="figuretitlefullwidth">
    <w:name w:val="figure title full width"/>
    <w:basedOn w:val="tabletitlefullwidth"/>
    <w:next w:val="figuretext"/>
    <w:rsid w:val="00825C6F"/>
    <w:rPr>
      <w:szCs w:val="22"/>
    </w:rPr>
  </w:style>
  <w:style w:type="paragraph" w:customStyle="1" w:styleId="tabletitlefullwidth">
    <w:name w:val="table title full width"/>
    <w:basedOn w:val="Normal"/>
    <w:rsid w:val="00825C6F"/>
    <w:pPr>
      <w:keepNext/>
      <w:spacing w:before="360" w:after="120" w:line="240" w:lineRule="atLeast"/>
      <w:ind w:left="992" w:hanging="992"/>
    </w:pPr>
    <w:rPr>
      <w:rFonts w:ascii="Arial" w:hAnsi="Arial" w:cs="Arial"/>
      <w:b/>
      <w:sz w:val="20"/>
    </w:rPr>
  </w:style>
  <w:style w:type="paragraph" w:customStyle="1" w:styleId="figuretext">
    <w:name w:val="figure text"/>
    <w:basedOn w:val="Normal"/>
    <w:rsid w:val="00825C6F"/>
    <w:pPr>
      <w:widowControl w:val="0"/>
      <w:spacing w:after="0" w:line="240" w:lineRule="atLeast"/>
    </w:pPr>
    <w:rPr>
      <w:rFonts w:ascii="Arial" w:hAnsi="Arial" w:cs="Arial"/>
      <w:sz w:val="18"/>
      <w:szCs w:val="18"/>
    </w:rPr>
  </w:style>
  <w:style w:type="paragraph" w:customStyle="1" w:styleId="tbltext">
    <w:name w:val="tbl text"/>
    <w:basedOn w:val="Bodytextplain"/>
    <w:link w:val="tbltextChar"/>
    <w:rsid w:val="00825C6F"/>
    <w:pPr>
      <w:widowControl w:val="0"/>
      <w:spacing w:before="120" w:line="240" w:lineRule="atLeast"/>
      <w:ind w:left="0"/>
    </w:pPr>
    <w:rPr>
      <w:rFonts w:ascii="Arial" w:hAnsi="Arial" w:cs="Arial"/>
      <w:sz w:val="18"/>
      <w:szCs w:val="18"/>
    </w:rPr>
  </w:style>
  <w:style w:type="paragraph" w:customStyle="1" w:styleId="Bodytextplain">
    <w:name w:val="Body text plain"/>
    <w:basedOn w:val="BodyText"/>
    <w:link w:val="BodytextplainChar"/>
    <w:rsid w:val="00825C6F"/>
    <w:pPr>
      <w:numPr>
        <w:numId w:val="0"/>
      </w:numPr>
      <w:ind w:left="2268"/>
    </w:pPr>
  </w:style>
  <w:style w:type="paragraph" w:customStyle="1" w:styleId="tablehead">
    <w:name w:val="table head"/>
    <w:basedOn w:val="Normal"/>
    <w:rsid w:val="00825C6F"/>
    <w:pPr>
      <w:keepNext/>
      <w:spacing w:before="120" w:after="0" w:line="240" w:lineRule="atLeast"/>
    </w:pPr>
    <w:rPr>
      <w:rFonts w:ascii="Arial" w:hAnsi="Arial" w:cs="Arial"/>
      <w:b/>
      <w:sz w:val="18"/>
      <w:szCs w:val="18"/>
    </w:rPr>
  </w:style>
  <w:style w:type="paragraph" w:styleId="ListBullet2">
    <w:name w:val="List Bullet 2"/>
    <w:basedOn w:val="Normal"/>
    <w:rsid w:val="00825C6F"/>
    <w:pPr>
      <w:numPr>
        <w:numId w:val="9"/>
      </w:numPr>
      <w:tabs>
        <w:tab w:val="clear" w:pos="851"/>
        <w:tab w:val="left" w:pos="3119"/>
      </w:tabs>
      <w:spacing w:before="100" w:after="0" w:line="300" w:lineRule="atLeast"/>
      <w:ind w:left="3118" w:hanging="425"/>
    </w:pPr>
  </w:style>
  <w:style w:type="character" w:styleId="Hyperlink">
    <w:name w:val="Hyperlink"/>
    <w:basedOn w:val="DefaultParagraphFont"/>
    <w:uiPriority w:val="99"/>
    <w:rsid w:val="00825C6F"/>
    <w:rPr>
      <w:color w:val="0000FF"/>
      <w:u w:val="single"/>
    </w:rPr>
  </w:style>
  <w:style w:type="paragraph" w:customStyle="1" w:styleId="tablebullet">
    <w:name w:val="table bullet"/>
    <w:basedOn w:val="Normal"/>
    <w:rsid w:val="00825C6F"/>
    <w:pPr>
      <w:widowControl w:val="0"/>
      <w:numPr>
        <w:numId w:val="2"/>
      </w:numPr>
      <w:spacing w:before="60" w:after="0" w:line="240" w:lineRule="atLeast"/>
    </w:pPr>
    <w:rPr>
      <w:rFonts w:ascii="Arial" w:hAnsi="Arial" w:cs="Arial"/>
      <w:sz w:val="18"/>
      <w:szCs w:val="18"/>
    </w:rPr>
  </w:style>
  <w:style w:type="paragraph" w:styleId="FootnoteText">
    <w:name w:val="footnote text"/>
    <w:basedOn w:val="Normal"/>
    <w:link w:val="FootnoteTextChar"/>
    <w:rsid w:val="00825C6F"/>
    <w:pPr>
      <w:spacing w:after="0"/>
    </w:pPr>
    <w:rPr>
      <w:sz w:val="18"/>
    </w:rPr>
  </w:style>
  <w:style w:type="character" w:styleId="FootnoteReference">
    <w:name w:val="footnote reference"/>
    <w:basedOn w:val="DefaultParagraphFont"/>
    <w:rsid w:val="00825C6F"/>
    <w:rPr>
      <w:vertAlign w:val="superscript"/>
    </w:rPr>
  </w:style>
  <w:style w:type="paragraph" w:styleId="TOC1">
    <w:name w:val="toc 1"/>
    <w:basedOn w:val="Normal"/>
    <w:next w:val="Normal"/>
    <w:autoRedefine/>
    <w:uiPriority w:val="39"/>
    <w:rsid w:val="00825C6F"/>
    <w:pPr>
      <w:tabs>
        <w:tab w:val="left" w:pos="2694"/>
        <w:tab w:val="right" w:leader="dot" w:pos="9072"/>
      </w:tabs>
      <w:spacing w:before="100" w:after="0"/>
      <w:ind w:left="2694" w:right="284" w:hanging="425"/>
    </w:pPr>
    <w:rPr>
      <w:rFonts w:ascii="Arial" w:hAnsi="Arial" w:cs="Arial"/>
      <w:b/>
      <w:noProof/>
      <w:sz w:val="20"/>
    </w:rPr>
  </w:style>
  <w:style w:type="paragraph" w:styleId="TOC2">
    <w:name w:val="toc 2"/>
    <w:basedOn w:val="Normal"/>
    <w:next w:val="Normal"/>
    <w:autoRedefine/>
    <w:uiPriority w:val="39"/>
    <w:rsid w:val="00825C6F"/>
    <w:pPr>
      <w:tabs>
        <w:tab w:val="left" w:pos="2694"/>
        <w:tab w:val="right" w:leader="dot" w:pos="9072"/>
      </w:tabs>
      <w:spacing w:before="20" w:after="0"/>
      <w:ind w:left="2693" w:right="284" w:firstLine="1"/>
    </w:pPr>
    <w:rPr>
      <w:rFonts w:ascii="Arial" w:hAnsi="Arial" w:cs="Arial"/>
      <w:noProof/>
      <w:sz w:val="20"/>
    </w:rPr>
  </w:style>
  <w:style w:type="paragraph" w:styleId="TOC3">
    <w:name w:val="toc 3"/>
    <w:basedOn w:val="Normal"/>
    <w:next w:val="Normal"/>
    <w:autoRedefine/>
    <w:rsid w:val="00825C6F"/>
    <w:pPr>
      <w:tabs>
        <w:tab w:val="left" w:pos="3261"/>
        <w:tab w:val="right" w:leader="dot" w:pos="9072"/>
      </w:tabs>
      <w:spacing w:after="0"/>
      <w:ind w:left="3260" w:right="284" w:hanging="567"/>
    </w:pPr>
    <w:rPr>
      <w:rFonts w:ascii="Arial" w:hAnsi="Arial" w:cs="Arial"/>
      <w:noProof/>
      <w:sz w:val="18"/>
      <w:szCs w:val="18"/>
    </w:rPr>
  </w:style>
  <w:style w:type="paragraph" w:styleId="TOC4">
    <w:name w:val="toc 4"/>
    <w:basedOn w:val="Normal"/>
    <w:next w:val="Normal"/>
    <w:autoRedefine/>
    <w:semiHidden/>
    <w:rsid w:val="00825C6F"/>
    <w:pPr>
      <w:tabs>
        <w:tab w:val="right" w:leader="dot" w:pos="8364"/>
      </w:tabs>
      <w:spacing w:after="0"/>
      <w:ind w:left="1134" w:right="565"/>
    </w:pPr>
    <w:rPr>
      <w:rFonts w:ascii="Arial" w:hAnsi="Arial" w:cs="Arial"/>
      <w:noProof/>
      <w:sz w:val="18"/>
      <w:szCs w:val="18"/>
      <w:lang w:val="en-ZW"/>
    </w:rPr>
  </w:style>
  <w:style w:type="paragraph" w:customStyle="1" w:styleId="tabletitleindented">
    <w:name w:val="table title indented"/>
    <w:basedOn w:val="tabletitlefullwidth"/>
    <w:rsid w:val="00825C6F"/>
    <w:pPr>
      <w:ind w:left="3260"/>
    </w:pPr>
  </w:style>
  <w:style w:type="paragraph" w:styleId="Caption">
    <w:name w:val="caption"/>
    <w:basedOn w:val="Normal"/>
    <w:next w:val="Normal"/>
    <w:uiPriority w:val="35"/>
    <w:qFormat/>
    <w:rsid w:val="00B36F17"/>
    <w:pPr>
      <w:spacing w:before="120" w:after="120"/>
    </w:pPr>
    <w:rPr>
      <w:b/>
      <w:bCs/>
      <w:sz w:val="20"/>
    </w:rPr>
  </w:style>
  <w:style w:type="paragraph" w:customStyle="1" w:styleId="tabledash">
    <w:name w:val="table dash"/>
    <w:basedOn w:val="tablebullet"/>
    <w:rsid w:val="00825C6F"/>
    <w:pPr>
      <w:numPr>
        <w:numId w:val="4"/>
      </w:numPr>
    </w:pPr>
  </w:style>
  <w:style w:type="paragraph" w:customStyle="1" w:styleId="Tablebody">
    <w:name w:val="Table body"/>
    <w:basedOn w:val="Normal"/>
    <w:semiHidden/>
    <w:rsid w:val="00825C6F"/>
    <w:pPr>
      <w:overflowPunct w:val="0"/>
      <w:autoSpaceDE w:val="0"/>
      <w:autoSpaceDN w:val="0"/>
      <w:adjustRightInd w:val="0"/>
      <w:spacing w:before="40" w:after="120" w:line="260" w:lineRule="atLeast"/>
      <w:textAlignment w:val="baseline"/>
    </w:pPr>
    <w:rPr>
      <w:rFonts w:ascii="Arial" w:hAnsi="Arial" w:cs="Arial"/>
      <w:sz w:val="20"/>
      <w:lang w:eastAsia="en-US"/>
    </w:rPr>
  </w:style>
  <w:style w:type="paragraph" w:customStyle="1" w:styleId="KPbold">
    <w:name w:val="KP bold"/>
    <w:basedOn w:val="KPhead"/>
    <w:next w:val="Normal"/>
    <w:link w:val="KPboldChar"/>
    <w:rsid w:val="00825C6F"/>
    <w:pPr>
      <w:keepNext w:val="0"/>
      <w:pBdr>
        <w:top w:val="none" w:sz="0" w:space="0" w:color="auto"/>
        <w:bottom w:val="none" w:sz="0" w:space="0" w:color="auto"/>
        <w:right w:val="none" w:sz="0" w:space="0" w:color="auto"/>
      </w:pBdr>
      <w:shd w:val="clear" w:color="auto" w:fill="auto"/>
      <w:spacing w:before="160" w:line="260" w:lineRule="atLeast"/>
      <w:ind w:right="0"/>
    </w:pPr>
    <w:rPr>
      <w:color w:val="auto"/>
    </w:rPr>
  </w:style>
  <w:style w:type="paragraph" w:customStyle="1" w:styleId="KPhead">
    <w:name w:val="KP head"/>
    <w:basedOn w:val="Normal"/>
    <w:next w:val="KPtext"/>
    <w:link w:val="KPheadChar"/>
    <w:rsid w:val="00825C6F"/>
    <w:pPr>
      <w:keepNext/>
      <w:pBdr>
        <w:top w:val="single" w:sz="6" w:space="1" w:color="0072CE"/>
        <w:left w:val="single" w:sz="6" w:space="4" w:color="0072CE"/>
        <w:bottom w:val="single" w:sz="6" w:space="3" w:color="0072CE"/>
        <w:right w:val="single" w:sz="6" w:space="4" w:color="0072CE"/>
      </w:pBdr>
      <w:shd w:val="clear" w:color="auto" w:fill="0072CE"/>
      <w:spacing w:before="240" w:after="0"/>
      <w:ind w:left="2381" w:right="5613"/>
    </w:pPr>
    <w:rPr>
      <w:rFonts w:ascii="Arial" w:hAnsi="Arial" w:cs="Arial"/>
      <w:b/>
      <w:color w:val="FFFFFF"/>
      <w:sz w:val="20"/>
    </w:rPr>
  </w:style>
  <w:style w:type="paragraph" w:customStyle="1" w:styleId="KPtext">
    <w:name w:val="KP text"/>
    <w:basedOn w:val="KPbold"/>
    <w:link w:val="KPtextChar"/>
    <w:rsid w:val="00825C6F"/>
    <w:rPr>
      <w:b w:val="0"/>
    </w:rPr>
  </w:style>
  <w:style w:type="paragraph" w:customStyle="1" w:styleId="KPbullet">
    <w:name w:val="KP bullet"/>
    <w:basedOn w:val="KPtext"/>
    <w:link w:val="KPbulletChar"/>
    <w:rsid w:val="00F37840"/>
    <w:pPr>
      <w:numPr>
        <w:numId w:val="5"/>
      </w:numPr>
      <w:tabs>
        <w:tab w:val="clear" w:pos="2807"/>
        <w:tab w:val="left" w:pos="2665"/>
      </w:tabs>
      <w:spacing w:before="100"/>
      <w:ind w:left="2665" w:hanging="284"/>
    </w:pPr>
  </w:style>
  <w:style w:type="paragraph" w:customStyle="1" w:styleId="Note">
    <w:name w:val="Note"/>
    <w:basedOn w:val="BodyText"/>
    <w:next w:val="BodyText"/>
    <w:link w:val="NoteChar"/>
    <w:rsid w:val="00825C6F"/>
    <w:pPr>
      <w:numPr>
        <w:numId w:val="0"/>
      </w:numPr>
      <w:spacing w:line="240" w:lineRule="atLeast"/>
      <w:ind w:left="2693"/>
    </w:pPr>
    <w:rPr>
      <w:sz w:val="18"/>
    </w:rPr>
  </w:style>
  <w:style w:type="paragraph" w:customStyle="1" w:styleId="subparaa">
    <w:name w:val="sub para (a)"/>
    <w:basedOn w:val="BodyText"/>
    <w:link w:val="subparaaChar"/>
    <w:rsid w:val="00825C6F"/>
    <w:pPr>
      <w:numPr>
        <w:ilvl w:val="1"/>
      </w:numPr>
      <w:spacing w:before="100"/>
    </w:pPr>
  </w:style>
  <w:style w:type="paragraph" w:customStyle="1" w:styleId="Feedbackhead">
    <w:name w:val="Feedback head"/>
    <w:basedOn w:val="KPhead"/>
    <w:next w:val="Feedbackquestion"/>
    <w:rsid w:val="00825C6F"/>
    <w:pPr>
      <w:pBdr>
        <w:left w:val="single" w:sz="6" w:space="2" w:color="0072CE"/>
        <w:bottom w:val="none" w:sz="0" w:space="0" w:color="auto"/>
        <w:right w:val="none" w:sz="0" w:space="0" w:color="auto"/>
      </w:pBdr>
      <w:shd w:val="clear" w:color="auto" w:fill="auto"/>
      <w:spacing w:before="200"/>
      <w:ind w:left="3232" w:right="4536"/>
    </w:pPr>
    <w:rPr>
      <w:b w:val="0"/>
      <w:i/>
      <w:color w:val="auto"/>
    </w:rPr>
  </w:style>
  <w:style w:type="paragraph" w:customStyle="1" w:styleId="Feedbackquestion">
    <w:name w:val="Feedback question"/>
    <w:basedOn w:val="Feedbackhead"/>
    <w:rsid w:val="00825C6F"/>
    <w:pPr>
      <w:keepNext w:val="0"/>
      <w:keepLines/>
      <w:numPr>
        <w:ilvl w:val="4"/>
        <w:numId w:val="6"/>
      </w:numPr>
      <w:pBdr>
        <w:top w:val="none" w:sz="0" w:space="0" w:color="auto"/>
      </w:pBdr>
      <w:spacing w:before="100" w:line="260" w:lineRule="atLeast"/>
      <w:ind w:right="0"/>
    </w:pPr>
    <w:rPr>
      <w:i w:val="0"/>
    </w:rPr>
  </w:style>
  <w:style w:type="paragraph" w:customStyle="1" w:styleId="Feedbacksubquestion">
    <w:name w:val="Feedback subquestion"/>
    <w:basedOn w:val="Feedbackquestion"/>
    <w:rsid w:val="00825C6F"/>
    <w:pPr>
      <w:numPr>
        <w:ilvl w:val="5"/>
      </w:numPr>
    </w:pPr>
  </w:style>
  <w:style w:type="paragraph" w:customStyle="1" w:styleId="subsubparai">
    <w:name w:val="sub sub para (i)"/>
    <w:basedOn w:val="subparaa"/>
    <w:link w:val="subsubparaiChar"/>
    <w:rsid w:val="00825C6F"/>
    <w:pPr>
      <w:numPr>
        <w:ilvl w:val="2"/>
      </w:numPr>
    </w:pPr>
  </w:style>
  <w:style w:type="paragraph" w:customStyle="1" w:styleId="DescriptorRG">
    <w:name w:val="Descriptor RG"/>
    <w:basedOn w:val="Normal"/>
    <w:next w:val="Normal"/>
    <w:rsid w:val="00825C6F"/>
    <w:pPr>
      <w:pBdr>
        <w:top w:val="single" w:sz="4" w:space="4" w:color="0072CE"/>
        <w:left w:val="single" w:sz="4" w:space="4" w:color="0072CE"/>
        <w:bottom w:val="single" w:sz="4" w:space="4" w:color="0072CE"/>
        <w:right w:val="single" w:sz="4" w:space="4" w:color="0072CE"/>
      </w:pBdr>
      <w:shd w:val="clear" w:color="auto" w:fill="0072CE"/>
      <w:spacing w:before="960"/>
      <w:ind w:left="2268"/>
    </w:pPr>
    <w:rPr>
      <w:rFonts w:ascii="Arial" w:hAnsi="Arial" w:cs="Arial"/>
      <w:caps/>
      <w:color w:val="FFFFFF"/>
      <w:sz w:val="28"/>
      <w:szCs w:val="28"/>
    </w:rPr>
  </w:style>
  <w:style w:type="paragraph" w:customStyle="1" w:styleId="DescriptorCP">
    <w:name w:val="Descriptor CP"/>
    <w:basedOn w:val="DescriptorRG"/>
    <w:next w:val="Normal"/>
    <w:rsid w:val="00825C6F"/>
    <w:pPr>
      <w:pBdr>
        <w:top w:val="single" w:sz="4" w:space="4" w:color="C2E3FA"/>
        <w:left w:val="single" w:sz="4" w:space="4" w:color="C2E3FA"/>
        <w:bottom w:val="single" w:sz="4" w:space="4" w:color="C2E3FA"/>
        <w:right w:val="single" w:sz="4" w:space="4" w:color="C2E3FA"/>
      </w:pBdr>
      <w:shd w:val="clear" w:color="auto" w:fill="C2E3FA"/>
    </w:pPr>
    <w:rPr>
      <w:color w:val="auto"/>
    </w:rPr>
  </w:style>
  <w:style w:type="paragraph" w:customStyle="1" w:styleId="Fronttext">
    <w:name w:val="Front text"/>
    <w:basedOn w:val="Bodytextplain"/>
    <w:rsid w:val="00825C6F"/>
    <w:pPr>
      <w:spacing w:line="260" w:lineRule="atLeast"/>
    </w:pPr>
    <w:rPr>
      <w:rFonts w:ascii="Arial" w:hAnsi="Arial" w:cs="Arial"/>
      <w:sz w:val="20"/>
      <w:szCs w:val="20"/>
    </w:rPr>
  </w:style>
  <w:style w:type="paragraph" w:customStyle="1" w:styleId="Frontbullet">
    <w:name w:val="Front bullet"/>
    <w:basedOn w:val="Fronttext"/>
    <w:rsid w:val="00825C6F"/>
    <w:pPr>
      <w:numPr>
        <w:ilvl w:val="5"/>
        <w:numId w:val="8"/>
      </w:numPr>
      <w:spacing w:before="120"/>
    </w:pPr>
  </w:style>
  <w:style w:type="paragraph" w:customStyle="1" w:styleId="Frontheading">
    <w:name w:val="Front heading"/>
    <w:basedOn w:val="Heading3"/>
    <w:next w:val="Fronttext"/>
    <w:rsid w:val="00825C6F"/>
    <w:pPr>
      <w:outlineLvl w:val="0"/>
    </w:pPr>
  </w:style>
  <w:style w:type="paragraph" w:customStyle="1" w:styleId="Blockquote">
    <w:name w:val="Block quote"/>
    <w:basedOn w:val="Bodytextplain"/>
    <w:link w:val="BlockquoteChar"/>
    <w:rsid w:val="00825C6F"/>
    <w:pPr>
      <w:spacing w:before="100" w:line="240" w:lineRule="auto"/>
      <w:ind w:left="2693"/>
    </w:pPr>
    <w:rPr>
      <w:sz w:val="21"/>
      <w:szCs w:val="21"/>
    </w:rPr>
  </w:style>
  <w:style w:type="paragraph" w:customStyle="1" w:styleId="Proposalhead">
    <w:name w:val="Proposal head"/>
    <w:basedOn w:val="Bodytextplain"/>
    <w:next w:val="Proposaltext"/>
    <w:rsid w:val="00825C6F"/>
    <w:pPr>
      <w:keepNext/>
      <w:pBdr>
        <w:top w:val="single" w:sz="18" w:space="1" w:color="0072CE"/>
        <w:left w:val="single" w:sz="4" w:space="4" w:color="0072CE"/>
      </w:pBdr>
      <w:spacing w:line="240" w:lineRule="auto"/>
      <w:ind w:right="5812"/>
    </w:pPr>
    <w:rPr>
      <w:rFonts w:ascii="Arial" w:hAnsi="Arial" w:cs="Arial"/>
      <w:b/>
    </w:rPr>
  </w:style>
  <w:style w:type="paragraph" w:customStyle="1" w:styleId="Proposaltext">
    <w:name w:val="Proposal text"/>
    <w:basedOn w:val="Bodytextplain"/>
    <w:rsid w:val="00825C6F"/>
    <w:pPr>
      <w:numPr>
        <w:ilvl w:val="1"/>
        <w:numId w:val="6"/>
      </w:numPr>
      <w:spacing w:line="260" w:lineRule="atLeast"/>
    </w:pPr>
    <w:rPr>
      <w:rFonts w:ascii="Arial" w:hAnsi="Arial" w:cs="Arial"/>
      <w:sz w:val="20"/>
      <w:szCs w:val="20"/>
    </w:rPr>
  </w:style>
  <w:style w:type="paragraph" w:customStyle="1" w:styleId="Proposalsubpara">
    <w:name w:val="Proposal sub para"/>
    <w:basedOn w:val="Proposaltext"/>
    <w:rsid w:val="00825C6F"/>
    <w:pPr>
      <w:numPr>
        <w:ilvl w:val="2"/>
      </w:numPr>
      <w:spacing w:before="100"/>
    </w:pPr>
  </w:style>
  <w:style w:type="paragraph" w:customStyle="1" w:styleId="Proposalsubsubpara">
    <w:name w:val="Proposal sub sub para"/>
    <w:basedOn w:val="Proposaltext"/>
    <w:rsid w:val="00825C6F"/>
    <w:pPr>
      <w:numPr>
        <w:ilvl w:val="3"/>
      </w:numPr>
      <w:spacing w:before="100"/>
    </w:pPr>
  </w:style>
  <w:style w:type="paragraph" w:customStyle="1" w:styleId="Proposalnote">
    <w:name w:val="Proposal note"/>
    <w:basedOn w:val="Note"/>
    <w:rsid w:val="00825C6F"/>
    <w:pPr>
      <w:spacing w:before="100"/>
      <w:ind w:left="3119"/>
    </w:pPr>
    <w:rPr>
      <w:rFonts w:ascii="Arial" w:hAnsi="Arial" w:cs="Arial"/>
      <w:sz w:val="16"/>
      <w:szCs w:val="16"/>
    </w:rPr>
  </w:style>
  <w:style w:type="character" w:styleId="CommentReference">
    <w:name w:val="annotation reference"/>
    <w:basedOn w:val="DefaultParagraphFont"/>
    <w:semiHidden/>
    <w:rsid w:val="00825C6F"/>
    <w:rPr>
      <w:sz w:val="16"/>
      <w:szCs w:val="16"/>
    </w:rPr>
  </w:style>
  <w:style w:type="paragraph" w:styleId="CommentText">
    <w:name w:val="annotation text"/>
    <w:basedOn w:val="Normal"/>
    <w:link w:val="CommentTextChar"/>
    <w:rsid w:val="00825C6F"/>
    <w:rPr>
      <w:sz w:val="20"/>
    </w:rPr>
  </w:style>
  <w:style w:type="paragraph" w:styleId="BalloonText">
    <w:name w:val="Balloon Text"/>
    <w:basedOn w:val="Normal"/>
    <w:link w:val="BalloonTextChar"/>
    <w:semiHidden/>
    <w:rsid w:val="00825C6F"/>
    <w:rPr>
      <w:rFonts w:ascii="Tahoma" w:hAnsi="Tahoma" w:cs="Tahoma"/>
      <w:sz w:val="16"/>
      <w:szCs w:val="16"/>
    </w:rPr>
  </w:style>
  <w:style w:type="paragraph" w:customStyle="1" w:styleId="boxbullet">
    <w:name w:val="box bullet"/>
    <w:basedOn w:val="Frontbullet"/>
    <w:rsid w:val="00825C6F"/>
    <w:pPr>
      <w:numPr>
        <w:ilvl w:val="0"/>
        <w:numId w:val="10"/>
      </w:numPr>
      <w:spacing w:before="60"/>
    </w:pPr>
  </w:style>
  <w:style w:type="paragraph" w:customStyle="1" w:styleId="boxtext">
    <w:name w:val="box text"/>
    <w:basedOn w:val="Fronttext"/>
    <w:rsid w:val="00825C6F"/>
    <w:pPr>
      <w:spacing w:before="120"/>
      <w:ind w:left="0"/>
    </w:pPr>
  </w:style>
  <w:style w:type="paragraph" w:customStyle="1" w:styleId="sub3paraA">
    <w:name w:val="sub3para (A)"/>
    <w:basedOn w:val="subsubparai"/>
    <w:qFormat/>
    <w:rsid w:val="00825C6F"/>
    <w:pPr>
      <w:numPr>
        <w:ilvl w:val="3"/>
      </w:numPr>
    </w:pPr>
  </w:style>
  <w:style w:type="paragraph" w:customStyle="1" w:styleId="sub4paraI">
    <w:name w:val="sub4para (I)"/>
    <w:basedOn w:val="subsubparai"/>
    <w:qFormat/>
    <w:rsid w:val="00825C6F"/>
    <w:pPr>
      <w:numPr>
        <w:ilvl w:val="4"/>
      </w:numPr>
    </w:pPr>
  </w:style>
  <w:style w:type="paragraph" w:customStyle="1" w:styleId="Feedbacksubsubquestion">
    <w:name w:val="Feedback subsubquestion"/>
    <w:basedOn w:val="Feedbacksubquestion"/>
    <w:qFormat/>
    <w:rsid w:val="00825C6F"/>
    <w:pPr>
      <w:numPr>
        <w:ilvl w:val="6"/>
      </w:numPr>
    </w:pPr>
  </w:style>
  <w:style w:type="paragraph" w:customStyle="1" w:styleId="sourcenoteindented">
    <w:name w:val="source note indented"/>
    <w:basedOn w:val="sourcenotefullwidth"/>
    <w:qFormat/>
    <w:rsid w:val="00825C6F"/>
    <w:pPr>
      <w:ind w:left="2268"/>
    </w:pPr>
  </w:style>
  <w:style w:type="paragraph" w:customStyle="1" w:styleId="tblnote">
    <w:name w:val="tbl note"/>
    <w:basedOn w:val="sourcenotefullwidth"/>
    <w:next w:val="tbltext"/>
    <w:qFormat/>
    <w:rsid w:val="00825C6F"/>
    <w:pPr>
      <w:ind w:left="170"/>
    </w:pPr>
  </w:style>
  <w:style w:type="paragraph" w:customStyle="1" w:styleId="tblProposalsubpara">
    <w:name w:val="tbl Proposal sub para"/>
    <w:basedOn w:val="tbltext"/>
    <w:qFormat/>
    <w:rsid w:val="00825C6F"/>
    <w:pPr>
      <w:ind w:left="885" w:hanging="425"/>
    </w:pPr>
  </w:style>
  <w:style w:type="paragraph" w:customStyle="1" w:styleId="tblProposalsubsubpara">
    <w:name w:val="tbl Proposal sub sub para"/>
    <w:basedOn w:val="tbltext"/>
    <w:qFormat/>
    <w:rsid w:val="00825C6F"/>
    <w:pPr>
      <w:ind w:left="1310" w:hanging="425"/>
    </w:pPr>
  </w:style>
  <w:style w:type="paragraph" w:customStyle="1" w:styleId="tblProposaltext">
    <w:name w:val="tbl Proposal text"/>
    <w:basedOn w:val="tbltext"/>
    <w:qFormat/>
    <w:rsid w:val="00825C6F"/>
    <w:pPr>
      <w:ind w:left="425" w:hanging="425"/>
    </w:pPr>
  </w:style>
  <w:style w:type="paragraph" w:customStyle="1" w:styleId="tblProposaltextnonumber">
    <w:name w:val="tbl Proposal text no number"/>
    <w:basedOn w:val="tbltext"/>
    <w:qFormat/>
    <w:rsid w:val="00825C6F"/>
    <w:pPr>
      <w:ind w:left="425"/>
    </w:pPr>
  </w:style>
  <w:style w:type="paragraph" w:customStyle="1" w:styleId="tblFeedbackquestion">
    <w:name w:val="tbl Feedback question"/>
    <w:basedOn w:val="Proposaltext"/>
    <w:qFormat/>
    <w:rsid w:val="00825C6F"/>
    <w:pPr>
      <w:numPr>
        <w:ilvl w:val="0"/>
        <w:numId w:val="0"/>
      </w:numPr>
      <w:spacing w:before="120" w:line="240" w:lineRule="atLeast"/>
      <w:ind w:left="624" w:hanging="624"/>
    </w:pPr>
    <w:rPr>
      <w:sz w:val="18"/>
      <w:szCs w:val="18"/>
    </w:rPr>
  </w:style>
  <w:style w:type="paragraph" w:customStyle="1" w:styleId="tblProposalnotenonumber">
    <w:name w:val="tbl Proposal note no number"/>
    <w:basedOn w:val="tblProposalsubsubpara"/>
    <w:qFormat/>
    <w:rsid w:val="00825C6F"/>
    <w:rPr>
      <w:sz w:val="16"/>
      <w:szCs w:val="16"/>
    </w:rPr>
  </w:style>
  <w:style w:type="paragraph" w:customStyle="1" w:styleId="tblFeedbacksubquestion">
    <w:name w:val="tbl Feedback subquestion"/>
    <w:basedOn w:val="tblProposalsubpara"/>
    <w:rsid w:val="00825C6F"/>
    <w:pPr>
      <w:ind w:left="964" w:hanging="340"/>
    </w:pPr>
  </w:style>
  <w:style w:type="paragraph" w:customStyle="1" w:styleId="tblFeedbacksubsubquestion">
    <w:name w:val="tbl Feedback subsubquestion"/>
    <w:basedOn w:val="tblProposalsubsubpara"/>
    <w:qFormat/>
    <w:rsid w:val="00825C6F"/>
    <w:pPr>
      <w:ind w:left="1304" w:hanging="340"/>
    </w:pPr>
  </w:style>
  <w:style w:type="paragraph" w:customStyle="1" w:styleId="tabletext">
    <w:name w:val="table text"/>
    <w:basedOn w:val="tablehead"/>
    <w:rsid w:val="00676EB3"/>
    <w:pPr>
      <w:keepNext w:val="0"/>
    </w:pPr>
    <w:rPr>
      <w:b w:val="0"/>
    </w:rPr>
  </w:style>
  <w:style w:type="paragraph" w:styleId="CommentSubject">
    <w:name w:val="annotation subject"/>
    <w:basedOn w:val="CommentText"/>
    <w:next w:val="CommentText"/>
    <w:link w:val="CommentSubjectChar"/>
    <w:uiPriority w:val="99"/>
    <w:semiHidden/>
    <w:unhideWhenUsed/>
    <w:rsid w:val="001925B1"/>
    <w:rPr>
      <w:b/>
      <w:bCs/>
    </w:rPr>
  </w:style>
  <w:style w:type="character" w:customStyle="1" w:styleId="CommentTextChar">
    <w:name w:val="Comment Text Char"/>
    <w:basedOn w:val="DefaultParagraphFont"/>
    <w:link w:val="CommentText"/>
    <w:rsid w:val="001925B1"/>
  </w:style>
  <w:style w:type="character" w:customStyle="1" w:styleId="CommentSubjectChar">
    <w:name w:val="Comment Subject Char"/>
    <w:basedOn w:val="CommentTextChar"/>
    <w:link w:val="CommentSubject"/>
    <w:uiPriority w:val="99"/>
    <w:semiHidden/>
    <w:rsid w:val="001925B1"/>
    <w:rPr>
      <w:b/>
      <w:bCs/>
    </w:rPr>
  </w:style>
  <w:style w:type="paragraph" w:styleId="ListParagraph">
    <w:name w:val="List Paragraph"/>
    <w:basedOn w:val="Normal"/>
    <w:uiPriority w:val="72"/>
    <w:qFormat/>
    <w:rsid w:val="00730CFF"/>
    <w:pPr>
      <w:ind w:left="720"/>
      <w:contextualSpacing/>
    </w:pPr>
  </w:style>
  <w:style w:type="paragraph" w:styleId="NormalWeb">
    <w:name w:val="Normal (Web)"/>
    <w:basedOn w:val="Normal"/>
    <w:uiPriority w:val="99"/>
    <w:semiHidden/>
    <w:unhideWhenUsed/>
    <w:rsid w:val="00100A5E"/>
    <w:pPr>
      <w:spacing w:before="100" w:beforeAutospacing="1" w:after="100" w:afterAutospacing="1"/>
    </w:pPr>
    <w:rPr>
      <w:rFonts w:eastAsiaTheme="minorEastAsia"/>
      <w:sz w:val="24"/>
      <w:szCs w:val="24"/>
    </w:rPr>
  </w:style>
  <w:style w:type="table" w:styleId="TableGrid">
    <w:name w:val="Table Grid"/>
    <w:basedOn w:val="TableNormal"/>
    <w:uiPriority w:val="59"/>
    <w:rsid w:val="00282E6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0A85"/>
    <w:pPr>
      <w:autoSpaceDE w:val="0"/>
      <w:autoSpaceDN w:val="0"/>
      <w:adjustRightInd w:val="0"/>
    </w:pPr>
    <w:rPr>
      <w:rFonts w:ascii="Arial" w:hAnsi="Arial" w:cs="Arial"/>
      <w:color w:val="000000"/>
      <w:sz w:val="24"/>
      <w:szCs w:val="24"/>
    </w:rPr>
  </w:style>
  <w:style w:type="paragraph" w:styleId="EndnoteText">
    <w:name w:val="endnote text"/>
    <w:basedOn w:val="Normal"/>
    <w:link w:val="EndnoteTextChar"/>
    <w:semiHidden/>
    <w:unhideWhenUsed/>
    <w:rsid w:val="00EA0833"/>
    <w:pPr>
      <w:spacing w:after="0"/>
    </w:pPr>
    <w:rPr>
      <w:sz w:val="20"/>
    </w:rPr>
  </w:style>
  <w:style w:type="character" w:customStyle="1" w:styleId="EndnoteTextChar">
    <w:name w:val="Endnote Text Char"/>
    <w:basedOn w:val="DefaultParagraphFont"/>
    <w:link w:val="EndnoteText"/>
    <w:semiHidden/>
    <w:rsid w:val="00EA0833"/>
  </w:style>
  <w:style w:type="character" w:styleId="EndnoteReference">
    <w:name w:val="endnote reference"/>
    <w:basedOn w:val="DefaultParagraphFont"/>
    <w:semiHidden/>
    <w:unhideWhenUsed/>
    <w:rsid w:val="00EA0833"/>
    <w:rPr>
      <w:vertAlign w:val="superscript"/>
    </w:rPr>
  </w:style>
  <w:style w:type="numbering" w:customStyle="1" w:styleId="NoList1">
    <w:name w:val="No List1"/>
    <w:next w:val="NoList"/>
    <w:uiPriority w:val="99"/>
    <w:semiHidden/>
    <w:unhideWhenUsed/>
    <w:rsid w:val="005E6BFB"/>
  </w:style>
  <w:style w:type="paragraph" w:customStyle="1" w:styleId="BodyText1">
    <w:name w:val="Body Text1"/>
    <w:link w:val="BodytextChar0"/>
    <w:uiPriority w:val="99"/>
    <w:rsid w:val="005E6BFB"/>
    <w:pPr>
      <w:spacing w:before="200" w:line="240" w:lineRule="atLeast"/>
    </w:pPr>
    <w:rPr>
      <w:rFonts w:ascii="Arial" w:eastAsia="Times" w:hAnsi="Arial"/>
      <w:lang w:eastAsia="en-US"/>
    </w:rPr>
  </w:style>
  <w:style w:type="character" w:customStyle="1" w:styleId="Heading1Char">
    <w:name w:val="Heading 1 Char"/>
    <w:link w:val="Heading1"/>
    <w:rsid w:val="005E6BFB"/>
    <w:rPr>
      <w:rFonts w:ascii="Arial" w:hAnsi="Arial" w:cs="Arial"/>
      <w:b/>
      <w:kern w:val="28"/>
      <w:sz w:val="36"/>
      <w:szCs w:val="36"/>
    </w:rPr>
  </w:style>
  <w:style w:type="character" w:customStyle="1" w:styleId="Heading2Char">
    <w:name w:val="Heading 2 Char"/>
    <w:link w:val="Heading2"/>
    <w:rsid w:val="005E6BFB"/>
    <w:rPr>
      <w:rFonts w:ascii="Arial" w:hAnsi="Arial" w:cs="Arial"/>
      <w:b/>
      <w:sz w:val="28"/>
      <w:szCs w:val="28"/>
    </w:rPr>
  </w:style>
  <w:style w:type="character" w:customStyle="1" w:styleId="Heading3Char">
    <w:name w:val="Heading 3 Char"/>
    <w:link w:val="Heading3"/>
    <w:rsid w:val="005E6BFB"/>
    <w:rPr>
      <w:rFonts w:ascii="Arial" w:hAnsi="Arial" w:cs="Arial"/>
      <w:b/>
      <w:sz w:val="24"/>
      <w:szCs w:val="24"/>
    </w:rPr>
  </w:style>
  <w:style w:type="character" w:customStyle="1" w:styleId="Heading4Char">
    <w:name w:val="Heading 4 Char"/>
    <w:link w:val="Heading4"/>
    <w:rsid w:val="005E6BFB"/>
    <w:rPr>
      <w:rFonts w:ascii="Arial" w:hAnsi="Arial" w:cs="Arial"/>
      <w:b/>
      <w:szCs w:val="22"/>
    </w:rPr>
  </w:style>
  <w:style w:type="character" w:styleId="FollowedHyperlink">
    <w:name w:val="FollowedHyperlink"/>
    <w:uiPriority w:val="99"/>
    <w:rsid w:val="005E6BFB"/>
    <w:rPr>
      <w:color w:val="6633CC"/>
      <w:u w:val="dotted"/>
    </w:rPr>
  </w:style>
  <w:style w:type="paragraph" w:customStyle="1" w:styleId="DHHStabletext6pt">
    <w:name w:val="DHHS table text + 6pt"/>
    <w:basedOn w:val="DHHStabletext"/>
    <w:rsid w:val="005E6BFB"/>
    <w:pPr>
      <w:spacing w:after="120"/>
    </w:pPr>
  </w:style>
  <w:style w:type="table" w:customStyle="1" w:styleId="TableGrid1">
    <w:name w:val="Table Grid1"/>
    <w:basedOn w:val="TableNormal"/>
    <w:next w:val="TableGrid"/>
    <w:uiPriority w:val="59"/>
    <w:rsid w:val="005E6BFB"/>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BodyText1"/>
    <w:uiPriority w:val="1"/>
    <w:rsid w:val="005E6BFB"/>
  </w:style>
  <w:style w:type="paragraph" w:customStyle="1" w:styleId="Bulletlist">
    <w:name w:val="Bullet list"/>
    <w:basedOn w:val="BodyText1"/>
    <w:uiPriority w:val="99"/>
    <w:qFormat/>
    <w:rsid w:val="005E6BFB"/>
    <w:pPr>
      <w:numPr>
        <w:numId w:val="13"/>
      </w:numPr>
      <w:tabs>
        <w:tab w:val="num" w:pos="170"/>
      </w:tabs>
      <w:spacing w:after="40"/>
      <w:ind w:left="170" w:hanging="170"/>
    </w:pPr>
  </w:style>
  <w:style w:type="paragraph" w:styleId="DocumentMap">
    <w:name w:val="Document Map"/>
    <w:basedOn w:val="Normal"/>
    <w:link w:val="DocumentMapChar"/>
    <w:uiPriority w:val="99"/>
    <w:semiHidden/>
    <w:unhideWhenUsed/>
    <w:rsid w:val="005E6BFB"/>
    <w:pPr>
      <w:spacing w:before="200" w:after="0" w:line="240" w:lineRule="atLeast"/>
    </w:pPr>
    <w:rPr>
      <w:rFonts w:ascii="Lucida Grande" w:hAnsi="Lucida Grande" w:cs="Lucida Grande"/>
      <w:sz w:val="24"/>
      <w:szCs w:val="24"/>
      <w:lang w:eastAsia="en-US"/>
    </w:rPr>
  </w:style>
  <w:style w:type="character" w:customStyle="1" w:styleId="DocumentMapChar">
    <w:name w:val="Document Map Char"/>
    <w:basedOn w:val="DefaultParagraphFont"/>
    <w:link w:val="DocumentMap"/>
    <w:uiPriority w:val="99"/>
    <w:semiHidden/>
    <w:rsid w:val="005E6BFB"/>
    <w:rPr>
      <w:rFonts w:ascii="Lucida Grande" w:hAnsi="Lucida Grande" w:cs="Lucida Grande"/>
      <w:sz w:val="24"/>
      <w:szCs w:val="24"/>
      <w:lang w:eastAsia="en-US"/>
    </w:rPr>
  </w:style>
  <w:style w:type="character" w:customStyle="1" w:styleId="Heading5Char">
    <w:name w:val="Heading 5 Char"/>
    <w:link w:val="Heading5"/>
    <w:rsid w:val="005E6BFB"/>
    <w:rPr>
      <w:rFonts w:ascii="Arial" w:hAnsi="Arial" w:cs="Arial"/>
      <w:i/>
    </w:rPr>
  </w:style>
  <w:style w:type="character" w:styleId="Strong">
    <w:name w:val="Strong"/>
    <w:uiPriority w:val="22"/>
    <w:rsid w:val="005E6BFB"/>
    <w:rPr>
      <w:b/>
      <w:bCs/>
    </w:rPr>
  </w:style>
  <w:style w:type="paragraph" w:customStyle="1" w:styleId="DHHSTOCheadingfactsheet">
    <w:name w:val="DHHS TOC heading fact sheet"/>
    <w:basedOn w:val="Heading2"/>
    <w:next w:val="BodyText1"/>
    <w:link w:val="DHHSTOCheadingfactsheetChar"/>
    <w:uiPriority w:val="4"/>
    <w:rsid w:val="005E6BFB"/>
    <w:pPr>
      <w:keepLines/>
      <w:spacing w:before="0" w:after="200" w:line="320" w:lineRule="atLeast"/>
      <w:outlineLvl w:val="9"/>
    </w:pPr>
    <w:rPr>
      <w:rFonts w:cs="Times New Roman"/>
      <w:b w:val="0"/>
      <w:lang w:eastAsia="en-US"/>
    </w:rPr>
  </w:style>
  <w:style w:type="character" w:customStyle="1" w:styleId="DHHSTOCheadingfactsheetChar">
    <w:name w:val="DHHS TOC heading fact sheet Char"/>
    <w:link w:val="DHHSTOCheadingfactsheet"/>
    <w:uiPriority w:val="4"/>
    <w:rsid w:val="005E6BFB"/>
    <w:rPr>
      <w:rFonts w:ascii="Arial" w:hAnsi="Arial"/>
      <w:sz w:val="28"/>
      <w:szCs w:val="28"/>
      <w:lang w:eastAsia="en-US"/>
    </w:rPr>
  </w:style>
  <w:style w:type="paragraph" w:styleId="TOC5">
    <w:name w:val="toc 5"/>
    <w:basedOn w:val="Normal"/>
    <w:next w:val="Normal"/>
    <w:autoRedefine/>
    <w:uiPriority w:val="39"/>
    <w:semiHidden/>
    <w:rsid w:val="005E6BFB"/>
    <w:pPr>
      <w:spacing w:before="200" w:after="0" w:line="240" w:lineRule="atLeast"/>
      <w:ind w:left="800"/>
    </w:pPr>
    <w:rPr>
      <w:rFonts w:ascii="Arial" w:hAnsi="Arial" w:cs="Arial"/>
      <w:sz w:val="20"/>
      <w:lang w:eastAsia="en-US"/>
    </w:rPr>
  </w:style>
  <w:style w:type="paragraph" w:styleId="TOC6">
    <w:name w:val="toc 6"/>
    <w:basedOn w:val="Normal"/>
    <w:next w:val="Normal"/>
    <w:autoRedefine/>
    <w:uiPriority w:val="39"/>
    <w:semiHidden/>
    <w:rsid w:val="005E6BFB"/>
    <w:pPr>
      <w:spacing w:before="200" w:after="0" w:line="240" w:lineRule="atLeast"/>
      <w:ind w:left="1000"/>
    </w:pPr>
    <w:rPr>
      <w:rFonts w:ascii="Arial" w:hAnsi="Arial" w:cs="Arial"/>
      <w:sz w:val="20"/>
      <w:lang w:eastAsia="en-US"/>
    </w:rPr>
  </w:style>
  <w:style w:type="paragraph" w:styleId="TOC7">
    <w:name w:val="toc 7"/>
    <w:basedOn w:val="Normal"/>
    <w:next w:val="Normal"/>
    <w:autoRedefine/>
    <w:uiPriority w:val="39"/>
    <w:semiHidden/>
    <w:rsid w:val="005E6BFB"/>
    <w:pPr>
      <w:spacing w:before="200" w:after="0" w:line="240" w:lineRule="atLeast"/>
      <w:ind w:left="1200"/>
    </w:pPr>
    <w:rPr>
      <w:rFonts w:ascii="Arial" w:hAnsi="Arial" w:cs="Arial"/>
      <w:sz w:val="20"/>
      <w:lang w:eastAsia="en-US"/>
    </w:rPr>
  </w:style>
  <w:style w:type="paragraph" w:styleId="TOC8">
    <w:name w:val="toc 8"/>
    <w:basedOn w:val="Normal"/>
    <w:next w:val="Normal"/>
    <w:autoRedefine/>
    <w:uiPriority w:val="39"/>
    <w:semiHidden/>
    <w:rsid w:val="005E6BFB"/>
    <w:pPr>
      <w:spacing w:before="200" w:after="0" w:line="240" w:lineRule="atLeast"/>
      <w:ind w:left="1400"/>
    </w:pPr>
    <w:rPr>
      <w:rFonts w:ascii="Arial" w:hAnsi="Arial" w:cs="Arial"/>
      <w:sz w:val="20"/>
      <w:lang w:eastAsia="en-US"/>
    </w:rPr>
  </w:style>
  <w:style w:type="paragraph" w:styleId="TOC9">
    <w:name w:val="toc 9"/>
    <w:basedOn w:val="Normal"/>
    <w:next w:val="Normal"/>
    <w:autoRedefine/>
    <w:uiPriority w:val="39"/>
    <w:semiHidden/>
    <w:rsid w:val="005E6BFB"/>
    <w:pPr>
      <w:spacing w:before="200" w:after="0" w:line="240" w:lineRule="atLeast"/>
      <w:ind w:left="1600"/>
    </w:pPr>
    <w:rPr>
      <w:rFonts w:ascii="Arial" w:hAnsi="Arial" w:cs="Arial"/>
      <w:sz w:val="20"/>
      <w:lang w:eastAsia="en-US"/>
    </w:rPr>
  </w:style>
  <w:style w:type="paragraph" w:styleId="Subtitle">
    <w:name w:val="Subtitle"/>
    <w:basedOn w:val="Normal"/>
    <w:next w:val="Normal"/>
    <w:link w:val="SubtitleChar"/>
    <w:uiPriority w:val="11"/>
    <w:qFormat/>
    <w:rsid w:val="005E6BFB"/>
    <w:pPr>
      <w:spacing w:before="200" w:after="60" w:line="240" w:lineRule="atLeast"/>
      <w:jc w:val="center"/>
    </w:pPr>
    <w:rPr>
      <w:rFonts w:ascii="Calibri Light" w:hAnsi="Calibri Light" w:cs="Arial"/>
      <w:sz w:val="24"/>
      <w:szCs w:val="24"/>
      <w:lang w:eastAsia="en-US"/>
    </w:rPr>
  </w:style>
  <w:style w:type="character" w:customStyle="1" w:styleId="SubtitleChar">
    <w:name w:val="Subtitle Char"/>
    <w:basedOn w:val="DefaultParagraphFont"/>
    <w:link w:val="Subtitle"/>
    <w:uiPriority w:val="11"/>
    <w:rsid w:val="005E6BFB"/>
    <w:rPr>
      <w:rFonts w:ascii="Calibri Light" w:hAnsi="Calibri Light" w:cs="Arial"/>
      <w:sz w:val="24"/>
      <w:szCs w:val="24"/>
      <w:lang w:eastAsia="en-US"/>
    </w:rPr>
  </w:style>
  <w:style w:type="paragraph" w:customStyle="1" w:styleId="Sectionbreakfirstpage">
    <w:name w:val="Section break first page"/>
    <w:uiPriority w:val="5"/>
    <w:rsid w:val="005E6BFB"/>
    <w:pPr>
      <w:spacing w:after="400"/>
    </w:pPr>
    <w:rPr>
      <w:rFonts w:ascii="Arial" w:hAnsi="Arial"/>
      <w:lang w:eastAsia="en-US"/>
    </w:rPr>
  </w:style>
  <w:style w:type="paragraph" w:customStyle="1" w:styleId="DHHStabletext">
    <w:name w:val="DHHS table text"/>
    <w:uiPriority w:val="3"/>
    <w:rsid w:val="005E6BFB"/>
    <w:pPr>
      <w:spacing w:before="80" w:after="60"/>
    </w:pPr>
    <w:rPr>
      <w:rFonts w:ascii="Arial" w:hAnsi="Arial"/>
      <w:lang w:eastAsia="en-US"/>
    </w:rPr>
  </w:style>
  <w:style w:type="paragraph" w:customStyle="1" w:styleId="DHHStablecaption">
    <w:name w:val="DHHS table caption"/>
    <w:next w:val="BodyText1"/>
    <w:uiPriority w:val="3"/>
    <w:rsid w:val="005E6BFB"/>
    <w:pPr>
      <w:keepNext/>
      <w:keepLines/>
      <w:spacing w:before="240" w:after="120" w:line="240" w:lineRule="atLeast"/>
    </w:pPr>
    <w:rPr>
      <w:rFonts w:ascii="Arial" w:hAnsi="Arial"/>
      <w:b/>
      <w:lang w:eastAsia="en-US"/>
    </w:rPr>
  </w:style>
  <w:style w:type="paragraph" w:customStyle="1" w:styleId="DHHSmainheading">
    <w:name w:val="DHHS main heading"/>
    <w:uiPriority w:val="8"/>
    <w:rsid w:val="005E6BFB"/>
    <w:pPr>
      <w:spacing w:line="560" w:lineRule="atLeast"/>
      <w:ind w:right="680"/>
    </w:pPr>
    <w:rPr>
      <w:rFonts w:ascii="Arial" w:hAnsi="Arial"/>
      <w:color w:val="FFFFFF"/>
      <w:sz w:val="50"/>
      <w:szCs w:val="50"/>
      <w:lang w:eastAsia="en-US"/>
    </w:rPr>
  </w:style>
  <w:style w:type="paragraph" w:customStyle="1" w:styleId="DHHSaccessibilitypara">
    <w:name w:val="DHHS accessibility para"/>
    <w:link w:val="DHHSaccessibilityparaChar"/>
    <w:uiPriority w:val="8"/>
    <w:rsid w:val="005E6BFB"/>
    <w:pPr>
      <w:spacing w:after="200" w:line="300" w:lineRule="atLeast"/>
    </w:pPr>
    <w:rPr>
      <w:rFonts w:ascii="Arial" w:eastAsia="Times" w:hAnsi="Arial"/>
      <w:sz w:val="24"/>
      <w:szCs w:val="19"/>
      <w:lang w:eastAsia="en-US"/>
    </w:rPr>
  </w:style>
  <w:style w:type="paragraph" w:customStyle="1" w:styleId="DHHSfigurecaption">
    <w:name w:val="DHHS figure caption"/>
    <w:next w:val="BodyText1"/>
    <w:rsid w:val="005E6BFB"/>
    <w:pPr>
      <w:keepNext/>
      <w:keepLines/>
      <w:spacing w:before="240" w:after="120"/>
    </w:pPr>
    <w:rPr>
      <w:rFonts w:ascii="Arial" w:hAnsi="Arial"/>
      <w:b/>
      <w:lang w:eastAsia="en-US"/>
    </w:rPr>
  </w:style>
  <w:style w:type="paragraph" w:customStyle="1" w:styleId="DHHSbullet2">
    <w:name w:val="DHHS bullet 2"/>
    <w:basedOn w:val="BodyText1"/>
    <w:uiPriority w:val="99"/>
    <w:rsid w:val="005E6BFB"/>
    <w:pPr>
      <w:numPr>
        <w:ilvl w:val="1"/>
        <w:numId w:val="13"/>
      </w:numPr>
      <w:tabs>
        <w:tab w:val="num" w:pos="1440"/>
      </w:tabs>
      <w:spacing w:after="40"/>
      <w:ind w:left="1440" w:hanging="360"/>
    </w:pPr>
  </w:style>
  <w:style w:type="paragraph" w:customStyle="1" w:styleId="DHHSbodyafterbullets">
    <w:name w:val="DHHS body after bullets"/>
    <w:basedOn w:val="BodyText1"/>
    <w:uiPriority w:val="11"/>
    <w:rsid w:val="005E6BFB"/>
    <w:pPr>
      <w:spacing w:before="120"/>
    </w:pPr>
  </w:style>
  <w:style w:type="paragraph" w:customStyle="1" w:styleId="DHHStablebullet2">
    <w:name w:val="DHHS table bullet 2"/>
    <w:basedOn w:val="DHHStabletext"/>
    <w:uiPriority w:val="11"/>
    <w:rsid w:val="005E6BFB"/>
    <w:pPr>
      <w:numPr>
        <w:ilvl w:val="1"/>
        <w:numId w:val="15"/>
      </w:numPr>
    </w:pPr>
  </w:style>
  <w:style w:type="paragraph" w:customStyle="1" w:styleId="DHHStablebullet1">
    <w:name w:val="DHHS table bullet 1"/>
    <w:basedOn w:val="DHHStabletext"/>
    <w:uiPriority w:val="3"/>
    <w:rsid w:val="005E6BFB"/>
    <w:pPr>
      <w:numPr>
        <w:numId w:val="15"/>
      </w:numPr>
    </w:pPr>
  </w:style>
  <w:style w:type="numbering" w:customStyle="1" w:styleId="ZZTableBullets">
    <w:name w:val="ZZ Table Bullets"/>
    <w:basedOn w:val="NoList"/>
    <w:rsid w:val="005E6BFB"/>
    <w:pPr>
      <w:numPr>
        <w:numId w:val="15"/>
      </w:numPr>
    </w:pPr>
  </w:style>
  <w:style w:type="numbering" w:customStyle="1" w:styleId="Style1">
    <w:name w:val="Style1"/>
    <w:basedOn w:val="ZZQuoteBullets"/>
    <w:rsid w:val="005E6BFB"/>
    <w:pPr>
      <w:numPr>
        <w:numId w:val="18"/>
      </w:numPr>
    </w:pPr>
  </w:style>
  <w:style w:type="paragraph" w:customStyle="1" w:styleId="DHHStablecolhead">
    <w:name w:val="DHHS table col head"/>
    <w:uiPriority w:val="3"/>
    <w:rsid w:val="005E6BFB"/>
    <w:pPr>
      <w:spacing w:before="80" w:after="60"/>
    </w:pPr>
    <w:rPr>
      <w:rFonts w:ascii="Arial" w:hAnsi="Arial"/>
      <w:b/>
      <w:color w:val="AF272F"/>
      <w:lang w:eastAsia="en-US"/>
    </w:rPr>
  </w:style>
  <w:style w:type="paragraph" w:customStyle="1" w:styleId="DHHSbulletafternumbers1">
    <w:name w:val="DHHS bullet after numbers 1"/>
    <w:basedOn w:val="BodyText1"/>
    <w:uiPriority w:val="4"/>
    <w:rsid w:val="005E6BFB"/>
    <w:pPr>
      <w:numPr>
        <w:ilvl w:val="2"/>
        <w:numId w:val="14"/>
      </w:numPr>
      <w:tabs>
        <w:tab w:val="clear" w:pos="794"/>
        <w:tab w:val="num" w:pos="2160"/>
      </w:tabs>
      <w:ind w:left="2160" w:hanging="360"/>
    </w:pPr>
  </w:style>
  <w:style w:type="paragraph" w:customStyle="1" w:styleId="DHHSkeymessagesbullet">
    <w:name w:val="DHHS key messages bullet"/>
    <w:uiPriority w:val="11"/>
    <w:rsid w:val="005E6BFB"/>
    <w:pPr>
      <w:numPr>
        <w:numId w:val="21"/>
      </w:numPr>
      <w:spacing w:after="80" w:line="288" w:lineRule="auto"/>
    </w:pPr>
    <w:rPr>
      <w:rFonts w:ascii="Arial" w:eastAsia="Times" w:hAnsi="Arial"/>
      <w:color w:val="424650"/>
      <w:sz w:val="24"/>
      <w:lang w:eastAsia="en-US"/>
    </w:rPr>
  </w:style>
  <w:style w:type="numbering" w:customStyle="1" w:styleId="ZZKeyMessagesBullets">
    <w:name w:val="ZZ Key Messages Bullets"/>
    <w:basedOn w:val="NoList"/>
    <w:rsid w:val="005E6BFB"/>
    <w:pPr>
      <w:numPr>
        <w:numId w:val="21"/>
      </w:numPr>
    </w:pPr>
  </w:style>
  <w:style w:type="paragraph" w:customStyle="1" w:styleId="DHHSmainsubheading">
    <w:name w:val="DHHS main subheading"/>
    <w:uiPriority w:val="8"/>
    <w:rsid w:val="005E6BFB"/>
    <w:rPr>
      <w:rFonts w:ascii="Arial" w:hAnsi="Arial"/>
      <w:color w:val="FFFFFF"/>
      <w:sz w:val="28"/>
      <w:szCs w:val="24"/>
      <w:lang w:eastAsia="en-US"/>
    </w:rPr>
  </w:style>
  <w:style w:type="character" w:customStyle="1" w:styleId="FootnoteTextChar">
    <w:name w:val="Footnote Text Char"/>
    <w:link w:val="FootnoteText"/>
    <w:rsid w:val="005E6BFB"/>
    <w:rPr>
      <w:sz w:val="18"/>
    </w:rPr>
  </w:style>
  <w:style w:type="paragraph" w:customStyle="1" w:styleId="DHHS">
    <w:name w:val="DHHS"/>
    <w:basedOn w:val="Normal"/>
    <w:rsid w:val="005E6BFB"/>
    <w:pPr>
      <w:spacing w:before="200" w:after="0" w:line="240" w:lineRule="atLeast"/>
    </w:pPr>
    <w:rPr>
      <w:rFonts w:ascii="Arial" w:hAnsi="Arial" w:cs="Arial"/>
      <w:sz w:val="20"/>
      <w:lang w:eastAsia="en-US"/>
    </w:rPr>
  </w:style>
  <w:style w:type="paragraph" w:customStyle="1" w:styleId="Spacerparatopoffirstpage">
    <w:name w:val="Spacer para top of first page"/>
    <w:basedOn w:val="DHHSbodynospace"/>
    <w:semiHidden/>
    <w:rsid w:val="005E6BFB"/>
    <w:pPr>
      <w:spacing w:line="240" w:lineRule="auto"/>
    </w:pPr>
    <w:rPr>
      <w:noProof/>
      <w:sz w:val="12"/>
    </w:rPr>
  </w:style>
  <w:style w:type="paragraph" w:styleId="Title">
    <w:name w:val="Title"/>
    <w:basedOn w:val="Normal"/>
    <w:next w:val="Normal"/>
    <w:link w:val="TitleChar"/>
    <w:uiPriority w:val="10"/>
    <w:qFormat/>
    <w:rsid w:val="005E6BFB"/>
    <w:pPr>
      <w:spacing w:before="240" w:after="60" w:line="240" w:lineRule="atLeast"/>
      <w:jc w:val="center"/>
    </w:pPr>
    <w:rPr>
      <w:rFonts w:ascii="Calibri Light" w:hAnsi="Calibri Light" w:cs="Arial"/>
      <w:b/>
      <w:bCs/>
      <w:kern w:val="28"/>
      <w:sz w:val="32"/>
      <w:szCs w:val="32"/>
      <w:lang w:eastAsia="en-US"/>
    </w:rPr>
  </w:style>
  <w:style w:type="character" w:customStyle="1" w:styleId="TitleChar">
    <w:name w:val="Title Char"/>
    <w:basedOn w:val="DefaultParagraphFont"/>
    <w:link w:val="Title"/>
    <w:uiPriority w:val="10"/>
    <w:rsid w:val="005E6BFB"/>
    <w:rPr>
      <w:rFonts w:ascii="Calibri Light" w:hAnsi="Calibri Light" w:cs="Arial"/>
      <w:b/>
      <w:bCs/>
      <w:kern w:val="28"/>
      <w:sz w:val="32"/>
      <w:szCs w:val="32"/>
      <w:lang w:eastAsia="en-US"/>
    </w:rPr>
  </w:style>
  <w:style w:type="numbering" w:customStyle="1" w:styleId="ZZBullets">
    <w:name w:val="ZZ Bullets"/>
    <w:rsid w:val="005E6BFB"/>
    <w:pPr>
      <w:numPr>
        <w:numId w:val="13"/>
      </w:numPr>
    </w:pPr>
  </w:style>
  <w:style w:type="numbering" w:customStyle="1" w:styleId="ZZNumbersDigit">
    <w:name w:val="ZZ Numbers Digit"/>
    <w:rsid w:val="005E6BFB"/>
    <w:pPr>
      <w:numPr>
        <w:numId w:val="12"/>
      </w:numPr>
    </w:pPr>
  </w:style>
  <w:style w:type="numbering" w:customStyle="1" w:styleId="ZZQuoteBullets">
    <w:name w:val="ZZ Quote Bullets"/>
    <w:basedOn w:val="ZZNumbersDigit"/>
    <w:rsid w:val="005E6BFB"/>
    <w:pPr>
      <w:numPr>
        <w:numId w:val="16"/>
      </w:numPr>
    </w:pPr>
  </w:style>
  <w:style w:type="paragraph" w:customStyle="1" w:styleId="DHHSnumberdigit">
    <w:name w:val="DHHS number digit"/>
    <w:basedOn w:val="BodyText1"/>
    <w:uiPriority w:val="2"/>
    <w:rsid w:val="005E6BFB"/>
    <w:pPr>
      <w:numPr>
        <w:numId w:val="14"/>
      </w:numPr>
      <w:tabs>
        <w:tab w:val="clear" w:pos="397"/>
        <w:tab w:val="num" w:pos="1418"/>
      </w:tabs>
      <w:ind w:left="1418" w:firstLine="850"/>
    </w:pPr>
  </w:style>
  <w:style w:type="paragraph" w:customStyle="1" w:styleId="DHHSnumberloweralphaindent">
    <w:name w:val="DHHS number lower alpha indent"/>
    <w:basedOn w:val="BodyText1"/>
    <w:uiPriority w:val="3"/>
    <w:rsid w:val="005E6BFB"/>
    <w:pPr>
      <w:numPr>
        <w:ilvl w:val="1"/>
        <w:numId w:val="20"/>
      </w:numPr>
      <w:tabs>
        <w:tab w:val="clear" w:pos="794"/>
        <w:tab w:val="num" w:pos="1440"/>
      </w:tabs>
      <w:ind w:left="1440" w:hanging="360"/>
    </w:pPr>
  </w:style>
  <w:style w:type="paragraph" w:customStyle="1" w:styleId="DHHSnumberdigitindent">
    <w:name w:val="DHHS number digit indent"/>
    <w:basedOn w:val="DHHSnumberloweralphaindent"/>
    <w:uiPriority w:val="3"/>
    <w:rsid w:val="005E6BFB"/>
    <w:pPr>
      <w:numPr>
        <w:numId w:val="14"/>
      </w:numPr>
      <w:tabs>
        <w:tab w:val="clear" w:pos="794"/>
        <w:tab w:val="num" w:pos="1440"/>
      </w:tabs>
      <w:ind w:left="1440" w:hanging="360"/>
    </w:pPr>
  </w:style>
  <w:style w:type="paragraph" w:customStyle="1" w:styleId="DHHSnumberloweralpha">
    <w:name w:val="DHHS number lower alpha"/>
    <w:basedOn w:val="BodyText1"/>
    <w:uiPriority w:val="3"/>
    <w:rsid w:val="005E6BFB"/>
    <w:pPr>
      <w:numPr>
        <w:numId w:val="20"/>
      </w:numPr>
      <w:tabs>
        <w:tab w:val="clear" w:pos="397"/>
        <w:tab w:val="num" w:pos="851"/>
      </w:tabs>
      <w:ind w:left="851" w:hanging="426"/>
    </w:pPr>
  </w:style>
  <w:style w:type="paragraph" w:customStyle="1" w:styleId="DHHSnumberlowerroman">
    <w:name w:val="DHHS number lower roman"/>
    <w:basedOn w:val="BodyText1"/>
    <w:uiPriority w:val="3"/>
    <w:rsid w:val="005E6BFB"/>
    <w:pPr>
      <w:numPr>
        <w:numId w:val="17"/>
      </w:numPr>
      <w:tabs>
        <w:tab w:val="clear" w:pos="397"/>
        <w:tab w:val="num" w:pos="851"/>
      </w:tabs>
      <w:ind w:left="851" w:hanging="851"/>
    </w:pPr>
  </w:style>
  <w:style w:type="paragraph" w:customStyle="1" w:styleId="DHHSnumberlowerromanindent">
    <w:name w:val="DHHS number lower roman indent"/>
    <w:basedOn w:val="BodyText1"/>
    <w:uiPriority w:val="3"/>
    <w:rsid w:val="005E6BFB"/>
    <w:pPr>
      <w:numPr>
        <w:ilvl w:val="1"/>
        <w:numId w:val="17"/>
      </w:numPr>
      <w:tabs>
        <w:tab w:val="clear" w:pos="3091"/>
        <w:tab w:val="num" w:pos="2693"/>
      </w:tabs>
      <w:ind w:left="2693" w:hanging="425"/>
    </w:pPr>
  </w:style>
  <w:style w:type="paragraph" w:customStyle="1" w:styleId="DHHSquote">
    <w:name w:val="DHHS quote"/>
    <w:basedOn w:val="BodyText1"/>
    <w:uiPriority w:val="4"/>
    <w:rsid w:val="005E6BFB"/>
    <w:pPr>
      <w:ind w:left="397"/>
    </w:pPr>
    <w:rPr>
      <w:szCs w:val="18"/>
    </w:rPr>
  </w:style>
  <w:style w:type="paragraph" w:customStyle="1" w:styleId="DHHStablefigurenote">
    <w:name w:val="DHHS table/figure note"/>
    <w:uiPriority w:val="4"/>
    <w:rsid w:val="005E6BFB"/>
    <w:pPr>
      <w:spacing w:before="60" w:after="60" w:line="240" w:lineRule="exact"/>
    </w:pPr>
    <w:rPr>
      <w:rFonts w:ascii="Arial" w:hAnsi="Arial"/>
      <w:sz w:val="18"/>
      <w:lang w:eastAsia="en-US"/>
    </w:rPr>
  </w:style>
  <w:style w:type="paragraph" w:customStyle="1" w:styleId="DHHSbodyaftertablefigure">
    <w:name w:val="DHHS body after table/figure"/>
    <w:basedOn w:val="BodyText1"/>
    <w:next w:val="BodyText1"/>
    <w:uiPriority w:val="1"/>
    <w:rsid w:val="005E6BFB"/>
    <w:pPr>
      <w:spacing w:before="240"/>
    </w:pPr>
  </w:style>
  <w:style w:type="paragraph" w:customStyle="1" w:styleId="DHHSfooter">
    <w:name w:val="DHHS footer"/>
    <w:uiPriority w:val="11"/>
    <w:rsid w:val="005E6BFB"/>
    <w:pPr>
      <w:tabs>
        <w:tab w:val="right" w:pos="8505"/>
      </w:tabs>
    </w:pPr>
    <w:rPr>
      <w:rFonts w:ascii="Arial" w:hAnsi="Arial" w:cs="Arial"/>
      <w:sz w:val="18"/>
      <w:szCs w:val="18"/>
      <w:lang w:eastAsia="en-US"/>
    </w:rPr>
  </w:style>
  <w:style w:type="paragraph" w:customStyle="1" w:styleId="DHHSheader">
    <w:name w:val="DHHS header"/>
    <w:basedOn w:val="DHHSfooter"/>
    <w:uiPriority w:val="11"/>
    <w:rsid w:val="005E6BFB"/>
    <w:pPr>
      <w:tabs>
        <w:tab w:val="right" w:pos="10206"/>
      </w:tabs>
    </w:pPr>
  </w:style>
  <w:style w:type="paragraph" w:customStyle="1" w:styleId="DHHSbulletafternumbers2">
    <w:name w:val="DHHS bullet after numbers 2"/>
    <w:basedOn w:val="BodyText1"/>
    <w:rsid w:val="005E6BFB"/>
    <w:pPr>
      <w:numPr>
        <w:ilvl w:val="3"/>
        <w:numId w:val="14"/>
      </w:numPr>
      <w:tabs>
        <w:tab w:val="clear" w:pos="1191"/>
        <w:tab w:val="num" w:pos="2880"/>
      </w:tabs>
      <w:ind w:left="2880" w:hanging="360"/>
    </w:pPr>
  </w:style>
  <w:style w:type="numbering" w:customStyle="1" w:styleId="ZZNumbersLowerRoman">
    <w:name w:val="ZZ Numbers Lower Roman"/>
    <w:basedOn w:val="ZZQuoteBullets"/>
    <w:rsid w:val="005E6BFB"/>
    <w:pPr>
      <w:numPr>
        <w:numId w:val="17"/>
      </w:numPr>
    </w:pPr>
  </w:style>
  <w:style w:type="numbering" w:customStyle="1" w:styleId="ZZNumbersLowerAlpha">
    <w:name w:val="ZZ Numbers Lower Alpha"/>
    <w:basedOn w:val="NoList"/>
    <w:rsid w:val="005E6BFB"/>
    <w:pPr>
      <w:numPr>
        <w:numId w:val="19"/>
      </w:numPr>
    </w:pPr>
  </w:style>
  <w:style w:type="paragraph" w:customStyle="1" w:styleId="DHHSquotebullet1">
    <w:name w:val="DHHS quote bullet 1"/>
    <w:basedOn w:val="DHHSquote"/>
    <w:rsid w:val="005E6BFB"/>
    <w:pPr>
      <w:numPr>
        <w:numId w:val="16"/>
      </w:numPr>
      <w:tabs>
        <w:tab w:val="num" w:pos="2807"/>
      </w:tabs>
      <w:ind w:left="2807" w:hanging="426"/>
    </w:pPr>
  </w:style>
  <w:style w:type="paragraph" w:customStyle="1" w:styleId="DHHSquotebullet2">
    <w:name w:val="DHHS quote bullet 2"/>
    <w:basedOn w:val="DHHSquote"/>
    <w:rsid w:val="005E6BFB"/>
    <w:pPr>
      <w:numPr>
        <w:ilvl w:val="1"/>
        <w:numId w:val="16"/>
      </w:numPr>
      <w:tabs>
        <w:tab w:val="num" w:pos="1440"/>
      </w:tabs>
      <w:ind w:left="1440" w:hanging="360"/>
    </w:pPr>
  </w:style>
  <w:style w:type="paragraph" w:customStyle="1" w:styleId="DHHStablebullet">
    <w:name w:val="DHHS table bullet"/>
    <w:basedOn w:val="DHHStabletext"/>
    <w:uiPriority w:val="99"/>
    <w:rsid w:val="005E6BFB"/>
    <w:pPr>
      <w:ind w:left="227" w:hanging="227"/>
    </w:pPr>
  </w:style>
  <w:style w:type="paragraph" w:customStyle="1" w:styleId="DHHSbulletindent">
    <w:name w:val="DHHS bullet indent"/>
    <w:basedOn w:val="BodyText1"/>
    <w:uiPriority w:val="99"/>
    <w:rsid w:val="005E6BFB"/>
    <w:pPr>
      <w:spacing w:after="40"/>
      <w:ind w:left="680" w:hanging="283"/>
    </w:pPr>
  </w:style>
  <w:style w:type="paragraph" w:customStyle="1" w:styleId="DHHSbullet1lastline">
    <w:name w:val="DHHS bullet 1 last line"/>
    <w:basedOn w:val="Bulletlist"/>
    <w:uiPriority w:val="99"/>
    <w:rsid w:val="005E6BFB"/>
    <w:pPr>
      <w:numPr>
        <w:numId w:val="0"/>
      </w:numPr>
      <w:spacing w:after="120"/>
      <w:ind w:left="284" w:hanging="284"/>
    </w:pPr>
  </w:style>
  <w:style w:type="paragraph" w:customStyle="1" w:styleId="DHHSbullet2lastline">
    <w:name w:val="DHHS bullet 2 last line"/>
    <w:basedOn w:val="DHHSbullet2"/>
    <w:uiPriority w:val="99"/>
    <w:rsid w:val="005E6BFB"/>
    <w:pPr>
      <w:numPr>
        <w:ilvl w:val="0"/>
        <w:numId w:val="0"/>
      </w:numPr>
      <w:spacing w:after="120"/>
      <w:ind w:left="567" w:hanging="283"/>
    </w:pPr>
  </w:style>
  <w:style w:type="paragraph" w:customStyle="1" w:styleId="DHHSbulletindentlastline">
    <w:name w:val="DHHS bullet indent last line"/>
    <w:basedOn w:val="BodyText1"/>
    <w:uiPriority w:val="99"/>
    <w:rsid w:val="005E6BFB"/>
    <w:pPr>
      <w:ind w:left="680" w:hanging="283"/>
    </w:pPr>
  </w:style>
  <w:style w:type="paragraph" w:customStyle="1" w:styleId="Tabletext0">
    <w:name w:val="Table text"/>
    <w:basedOn w:val="Normal"/>
    <w:qFormat/>
    <w:rsid w:val="005E6BFB"/>
    <w:pPr>
      <w:spacing w:before="200" w:after="0" w:line="200" w:lineRule="atLeast"/>
    </w:pPr>
    <w:rPr>
      <w:rFonts w:ascii="Verdana" w:eastAsia="Verdana" w:hAnsi="Verdana" w:cs="Arial"/>
      <w:sz w:val="17"/>
      <w:szCs w:val="22"/>
      <w:lang w:val="en-US" w:eastAsia="en-US"/>
    </w:rPr>
  </w:style>
  <w:style w:type="paragraph" w:customStyle="1" w:styleId="Tabletitle">
    <w:name w:val="Table title"/>
    <w:basedOn w:val="Tabletext0"/>
    <w:qFormat/>
    <w:rsid w:val="005E6BFB"/>
    <w:rPr>
      <w:b/>
      <w:color w:val="62B5E5"/>
    </w:rPr>
  </w:style>
  <w:style w:type="paragraph" w:customStyle="1" w:styleId="Guidetitle">
    <w:name w:val="Guide title"/>
    <w:basedOn w:val="Normal"/>
    <w:next w:val="Normal"/>
    <w:qFormat/>
    <w:rsid w:val="005E6BFB"/>
    <w:pPr>
      <w:spacing w:before="840" w:after="480" w:line="240" w:lineRule="atLeast"/>
    </w:pPr>
    <w:rPr>
      <w:rFonts w:ascii="Arial" w:hAnsi="Arial" w:cs="Arial"/>
      <w:b/>
      <w:color w:val="FFFFFF"/>
      <w:sz w:val="52"/>
      <w:szCs w:val="22"/>
      <w:lang w:val="en-US" w:eastAsia="en-US"/>
    </w:rPr>
  </w:style>
  <w:style w:type="paragraph" w:styleId="TOCHeading">
    <w:name w:val="TOC Heading"/>
    <w:basedOn w:val="Heading1"/>
    <w:next w:val="Normal"/>
    <w:uiPriority w:val="39"/>
    <w:qFormat/>
    <w:rsid w:val="00825C6F"/>
    <w:pPr>
      <w:numPr>
        <w:numId w:val="0"/>
      </w:numPr>
      <w:spacing w:before="200" w:line="240" w:lineRule="auto"/>
    </w:pPr>
    <w:rPr>
      <w:rFonts w:eastAsiaTheme="majorEastAsia"/>
      <w:kern w:val="0"/>
    </w:rPr>
  </w:style>
  <w:style w:type="character" w:customStyle="1" w:styleId="BalloonTextChar">
    <w:name w:val="Balloon Text Char"/>
    <w:link w:val="BalloonText"/>
    <w:semiHidden/>
    <w:rsid w:val="005E6BFB"/>
    <w:rPr>
      <w:rFonts w:ascii="Tahoma" w:hAnsi="Tahoma" w:cs="Tahoma"/>
      <w:sz w:val="16"/>
      <w:szCs w:val="16"/>
    </w:rPr>
  </w:style>
  <w:style w:type="paragraph" w:customStyle="1" w:styleId="Lettertext">
    <w:name w:val="Letter text"/>
    <w:basedOn w:val="Normal"/>
    <w:rsid w:val="005E6BFB"/>
    <w:pPr>
      <w:spacing w:before="200" w:after="0" w:line="270" w:lineRule="exact"/>
      <w:jc w:val="both"/>
    </w:pPr>
    <w:rPr>
      <w:rFonts w:ascii="Calibri" w:eastAsia="MS PMincho" w:hAnsi="Calibri" w:cs="Arial"/>
      <w:szCs w:val="22"/>
      <w:lang w:val="en-US" w:eastAsia="en-US"/>
    </w:rPr>
  </w:style>
  <w:style w:type="character" w:customStyle="1" w:styleId="BodytextChar0">
    <w:name w:val="Body text Char"/>
    <w:link w:val="BodyText1"/>
    <w:uiPriority w:val="99"/>
    <w:locked/>
    <w:rsid w:val="005E6BFB"/>
    <w:rPr>
      <w:rFonts w:ascii="Arial" w:eastAsia="Times" w:hAnsi="Arial"/>
      <w:lang w:eastAsia="en-US"/>
    </w:rPr>
  </w:style>
  <w:style w:type="character" w:customStyle="1" w:styleId="DHHSaccessibilityparaChar">
    <w:name w:val="DHHS accessibility para Char"/>
    <w:link w:val="DHHSaccessibilitypara"/>
    <w:uiPriority w:val="8"/>
    <w:locked/>
    <w:rsid w:val="005E6BFB"/>
    <w:rPr>
      <w:rFonts w:ascii="Arial" w:eastAsia="Times" w:hAnsi="Arial"/>
      <w:sz w:val="24"/>
      <w:szCs w:val="19"/>
      <w:lang w:eastAsia="en-US"/>
    </w:rPr>
  </w:style>
  <w:style w:type="table" w:customStyle="1" w:styleId="LightList-Accent11">
    <w:name w:val="Light List - Accent 11"/>
    <w:basedOn w:val="TableNormal"/>
    <w:next w:val="LightList-Accent1"/>
    <w:uiPriority w:val="66"/>
    <w:rsid w:val="005E6BF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Heading1noTOC">
    <w:name w:val="Heading 1 no TOC"/>
    <w:basedOn w:val="Heading1"/>
    <w:next w:val="BodyText"/>
    <w:link w:val="Heading1noTOCChar"/>
    <w:uiPriority w:val="11"/>
    <w:qFormat/>
    <w:rsid w:val="005E6BFB"/>
    <w:pPr>
      <w:keepLines/>
      <w:pageBreakBefore w:val="0"/>
      <w:numPr>
        <w:numId w:val="0"/>
      </w:numPr>
      <w:spacing w:before="480" w:after="120" w:line="440" w:lineRule="atLeast"/>
    </w:pPr>
    <w:rPr>
      <w:rFonts w:eastAsia="MS Gothic"/>
      <w:bCs/>
      <w:color w:val="0072CE"/>
      <w:kern w:val="32"/>
      <w:szCs w:val="40"/>
      <w:lang w:eastAsia="en-US"/>
    </w:rPr>
  </w:style>
  <w:style w:type="paragraph" w:customStyle="1" w:styleId="Calloutbox">
    <w:name w:val="Call out box"/>
    <w:basedOn w:val="BodyText1"/>
    <w:link w:val="CalloutboxChar"/>
    <w:uiPriority w:val="11"/>
    <w:qFormat/>
    <w:rsid w:val="005E6BFB"/>
    <w:pPr>
      <w:keepLines/>
      <w:pBdr>
        <w:top w:val="single" w:sz="4" w:space="4" w:color="0072CE"/>
        <w:left w:val="single" w:sz="4" w:space="4" w:color="0072CE"/>
        <w:bottom w:val="single" w:sz="4" w:space="4" w:color="0072CE"/>
        <w:right w:val="single" w:sz="4" w:space="4" w:color="0072CE"/>
      </w:pBdr>
      <w:spacing w:before="240"/>
      <w:ind w:left="1418" w:right="1418"/>
    </w:pPr>
  </w:style>
  <w:style w:type="character" w:customStyle="1" w:styleId="Heading1noTOCChar">
    <w:name w:val="Heading 1 no TOC Char"/>
    <w:basedOn w:val="Heading1Char"/>
    <w:link w:val="Heading1noTOC"/>
    <w:uiPriority w:val="11"/>
    <w:rsid w:val="005E6BFB"/>
    <w:rPr>
      <w:rFonts w:ascii="Arial" w:eastAsia="MS Gothic" w:hAnsi="Arial" w:cs="Arial"/>
      <w:b/>
      <w:bCs/>
      <w:color w:val="0072CE"/>
      <w:kern w:val="32"/>
      <w:sz w:val="36"/>
      <w:szCs w:val="40"/>
      <w:lang w:eastAsia="en-US"/>
    </w:rPr>
  </w:style>
  <w:style w:type="character" w:customStyle="1" w:styleId="CalloutboxChar">
    <w:name w:val="Call out box Char"/>
    <w:basedOn w:val="BodytextChar0"/>
    <w:link w:val="Calloutbox"/>
    <w:uiPriority w:val="11"/>
    <w:rsid w:val="005E6BFB"/>
    <w:rPr>
      <w:rFonts w:ascii="Arial" w:eastAsia="Times" w:hAnsi="Arial"/>
      <w:lang w:eastAsia="en-US"/>
    </w:rPr>
  </w:style>
  <w:style w:type="paragraph" w:styleId="Revision">
    <w:name w:val="Revision"/>
    <w:hidden/>
    <w:uiPriority w:val="71"/>
    <w:rsid w:val="005E6BFB"/>
    <w:rPr>
      <w:rFonts w:ascii="Cambria" w:hAnsi="Cambria"/>
      <w:lang w:eastAsia="en-US"/>
    </w:rPr>
  </w:style>
  <w:style w:type="character" w:customStyle="1" w:styleId="BodyTextChar">
    <w:name w:val="Body Text Char"/>
    <w:basedOn w:val="DefaultParagraphFont"/>
    <w:link w:val="BodyText"/>
    <w:rsid w:val="005E6BFB"/>
    <w:rPr>
      <w:sz w:val="22"/>
      <w:szCs w:val="22"/>
    </w:rPr>
  </w:style>
  <w:style w:type="table" w:customStyle="1" w:styleId="LightShading-Accent11">
    <w:name w:val="Light Shading - Accent 11"/>
    <w:basedOn w:val="TableNormal"/>
    <w:uiPriority w:val="60"/>
    <w:rsid w:val="005E6BFB"/>
    <w:rPr>
      <w:rFonts w:ascii="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1">
    <w:name w:val="Light List - Accent 111"/>
    <w:basedOn w:val="TableNormal"/>
    <w:uiPriority w:val="61"/>
    <w:rsid w:val="005E6BFB"/>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UnresolvedMention">
    <w:name w:val="Unresolved Mention"/>
    <w:basedOn w:val="DefaultParagraphFont"/>
    <w:uiPriority w:val="99"/>
    <w:semiHidden/>
    <w:unhideWhenUsed/>
    <w:rsid w:val="005E6BFB"/>
    <w:rPr>
      <w:color w:val="808080"/>
      <w:shd w:val="clear" w:color="auto" w:fill="E6E6E6"/>
    </w:rPr>
  </w:style>
  <w:style w:type="table" w:styleId="LightList-Accent1">
    <w:name w:val="Light List Accent 1"/>
    <w:basedOn w:val="TableNormal"/>
    <w:uiPriority w:val="61"/>
    <w:semiHidden/>
    <w:unhideWhenUsed/>
    <w:rsid w:val="005E6BF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FooterChar">
    <w:name w:val="Footer Char"/>
    <w:basedOn w:val="DefaultParagraphFont"/>
    <w:link w:val="Footer"/>
    <w:rsid w:val="003229E3"/>
    <w:rPr>
      <w:rFonts w:ascii="Arial" w:hAnsi="Arial"/>
      <w:sz w:val="16"/>
      <w:szCs w:val="16"/>
    </w:rPr>
  </w:style>
  <w:style w:type="paragraph" w:customStyle="1" w:styleId="Examplehead">
    <w:name w:val="Example head"/>
    <w:basedOn w:val="KPhead"/>
    <w:next w:val="Examplebody"/>
    <w:qFormat/>
    <w:rsid w:val="00D523F2"/>
    <w:pPr>
      <w:spacing w:before="360"/>
      <w:ind w:right="142"/>
    </w:pPr>
  </w:style>
  <w:style w:type="paragraph" w:customStyle="1" w:styleId="Examplebody">
    <w:name w:val="Example body"/>
    <w:basedOn w:val="KPtext"/>
    <w:qFormat/>
    <w:rsid w:val="00D523F2"/>
  </w:style>
  <w:style w:type="paragraph" w:customStyle="1" w:styleId="Heading1nonumber">
    <w:name w:val="Heading 1 no number"/>
    <w:basedOn w:val="Heading1"/>
    <w:next w:val="Bodytextplain"/>
    <w:link w:val="Heading1nonumberChar"/>
    <w:rsid w:val="00825C6F"/>
    <w:pPr>
      <w:numPr>
        <w:numId w:val="0"/>
      </w:numPr>
    </w:pPr>
  </w:style>
  <w:style w:type="character" w:customStyle="1" w:styleId="Heading1nonumberChar">
    <w:name w:val="Heading 1 no number Char"/>
    <w:basedOn w:val="Heading1Char"/>
    <w:link w:val="Heading1nonumber"/>
    <w:rsid w:val="0055308D"/>
    <w:rPr>
      <w:rFonts w:ascii="Arial" w:hAnsi="Arial" w:cs="Arial"/>
      <w:b/>
      <w:kern w:val="28"/>
      <w:sz w:val="36"/>
      <w:szCs w:val="36"/>
    </w:rPr>
  </w:style>
  <w:style w:type="paragraph" w:customStyle="1" w:styleId="Examplebullet">
    <w:name w:val="Example bullet"/>
    <w:basedOn w:val="KPbullet"/>
    <w:link w:val="ExamplebulletChar"/>
    <w:qFormat/>
    <w:rsid w:val="00757ACD"/>
  </w:style>
  <w:style w:type="character" w:customStyle="1" w:styleId="KPheadChar">
    <w:name w:val="KP head Char"/>
    <w:basedOn w:val="DefaultParagraphFont"/>
    <w:link w:val="KPhead"/>
    <w:rsid w:val="00757ACD"/>
    <w:rPr>
      <w:rFonts w:ascii="Arial" w:hAnsi="Arial" w:cs="Arial"/>
      <w:b/>
      <w:color w:val="FFFFFF"/>
      <w:shd w:val="clear" w:color="auto" w:fill="0072CE"/>
    </w:rPr>
  </w:style>
  <w:style w:type="character" w:customStyle="1" w:styleId="KPboldChar">
    <w:name w:val="KP bold Char"/>
    <w:basedOn w:val="KPheadChar"/>
    <w:link w:val="KPbold"/>
    <w:rsid w:val="00757ACD"/>
    <w:rPr>
      <w:rFonts w:ascii="Arial" w:hAnsi="Arial" w:cs="Arial"/>
      <w:b/>
      <w:color w:val="FFFFFF"/>
      <w:shd w:val="clear" w:color="auto" w:fill="0072CE"/>
    </w:rPr>
  </w:style>
  <w:style w:type="character" w:customStyle="1" w:styleId="KPtextChar">
    <w:name w:val="KP text Char"/>
    <w:basedOn w:val="KPboldChar"/>
    <w:link w:val="KPtext"/>
    <w:rsid w:val="00757ACD"/>
    <w:rPr>
      <w:rFonts w:ascii="Arial" w:hAnsi="Arial" w:cs="Arial"/>
      <w:b w:val="0"/>
      <w:color w:val="FFFFFF"/>
      <w:shd w:val="clear" w:color="auto" w:fill="0072CE"/>
    </w:rPr>
  </w:style>
  <w:style w:type="character" w:customStyle="1" w:styleId="KPbulletChar">
    <w:name w:val="KP bullet Char"/>
    <w:basedOn w:val="KPtextChar"/>
    <w:link w:val="KPbullet"/>
    <w:rsid w:val="00F37840"/>
    <w:rPr>
      <w:rFonts w:ascii="Arial" w:hAnsi="Arial" w:cs="Arial"/>
      <w:b w:val="0"/>
      <w:color w:val="FFFFFF"/>
      <w:shd w:val="clear" w:color="auto" w:fill="0072CE"/>
    </w:rPr>
  </w:style>
  <w:style w:type="character" w:customStyle="1" w:styleId="ExamplebulletChar">
    <w:name w:val="Example bullet Char"/>
    <w:basedOn w:val="KPbulletChar"/>
    <w:link w:val="Examplebullet"/>
    <w:rsid w:val="00757ACD"/>
    <w:rPr>
      <w:rFonts w:ascii="Arial" w:hAnsi="Arial" w:cs="Arial"/>
      <w:b w:val="0"/>
      <w:color w:val="FFFFFF"/>
      <w:shd w:val="clear" w:color="auto" w:fill="117DC7"/>
    </w:rPr>
  </w:style>
  <w:style w:type="character" w:customStyle="1" w:styleId="Heading6Char">
    <w:name w:val="Heading 6 Char"/>
    <w:basedOn w:val="DefaultParagraphFont"/>
    <w:link w:val="Heading6"/>
    <w:rsid w:val="00ED75E3"/>
    <w:rPr>
      <w:rFonts w:ascii="Arial" w:hAnsi="Arial" w:cs="Arial"/>
      <w:b/>
      <w:kern w:val="28"/>
      <w:sz w:val="36"/>
      <w:szCs w:val="36"/>
    </w:rPr>
  </w:style>
  <w:style w:type="paragraph" w:customStyle="1" w:styleId="Heading2noToC">
    <w:name w:val="Heading 2 no ToC"/>
    <w:basedOn w:val="Bodytextplain"/>
    <w:next w:val="Bodytextplain"/>
    <w:rsid w:val="00825C6F"/>
    <w:pPr>
      <w:keepNext/>
      <w:spacing w:before="720" w:line="280" w:lineRule="atLeast"/>
      <w:ind w:left="0"/>
      <w:outlineLvl w:val="1"/>
    </w:pPr>
    <w:rPr>
      <w:rFonts w:ascii="Arial" w:hAnsi="Arial" w:cs="Arial"/>
      <w:b/>
      <w:sz w:val="28"/>
      <w:szCs w:val="28"/>
    </w:rPr>
  </w:style>
  <w:style w:type="paragraph" w:customStyle="1" w:styleId="Heading2indented">
    <w:name w:val="Heading 2 indented"/>
    <w:basedOn w:val="Normal"/>
    <w:next w:val="Bodytextplain"/>
    <w:qFormat/>
    <w:rsid w:val="00825C6F"/>
    <w:pPr>
      <w:keepNext/>
      <w:spacing w:before="400" w:after="0" w:line="280" w:lineRule="atLeast"/>
      <w:ind w:left="2268"/>
      <w:outlineLvl w:val="1"/>
    </w:pPr>
    <w:rPr>
      <w:rFonts w:ascii="Arial" w:hAnsi="Arial" w:cs="Arial"/>
      <w:b/>
      <w:sz w:val="24"/>
      <w:szCs w:val="24"/>
    </w:rPr>
  </w:style>
  <w:style w:type="paragraph" w:customStyle="1" w:styleId="Frontmatternote">
    <w:name w:val="Front matter note"/>
    <w:basedOn w:val="tblnote"/>
    <w:qFormat/>
    <w:rsid w:val="00825C6F"/>
    <w:pPr>
      <w:spacing w:before="200"/>
      <w:ind w:left="2693"/>
    </w:pPr>
  </w:style>
  <w:style w:type="paragraph" w:customStyle="1" w:styleId="Responsehead">
    <w:name w:val="Response head"/>
    <w:basedOn w:val="Feedbackhead"/>
    <w:next w:val="Responsetext"/>
    <w:qFormat/>
    <w:rsid w:val="00825C6F"/>
    <w:pPr>
      <w:spacing w:before="400"/>
      <w:ind w:right="4309"/>
    </w:pPr>
  </w:style>
  <w:style w:type="paragraph" w:customStyle="1" w:styleId="Responsetext">
    <w:name w:val="Response text"/>
    <w:basedOn w:val="Responsehead"/>
    <w:qFormat/>
    <w:rsid w:val="00825C6F"/>
    <w:pPr>
      <w:keepNext w:val="0"/>
      <w:pBdr>
        <w:top w:val="none" w:sz="0" w:space="0" w:color="auto"/>
      </w:pBdr>
      <w:spacing w:before="100" w:line="260" w:lineRule="atLeast"/>
      <w:ind w:right="0"/>
    </w:pPr>
    <w:rPr>
      <w:i w:val="0"/>
    </w:rPr>
  </w:style>
  <w:style w:type="paragraph" w:customStyle="1" w:styleId="Responsebullet">
    <w:name w:val="Response bullet"/>
    <w:basedOn w:val="Responsetext"/>
    <w:qFormat/>
    <w:rsid w:val="00825C6F"/>
    <w:pPr>
      <w:numPr>
        <w:numId w:val="30"/>
      </w:numPr>
      <w:ind w:left="3572" w:hanging="340"/>
    </w:pPr>
  </w:style>
  <w:style w:type="character" w:customStyle="1" w:styleId="tbltextChar">
    <w:name w:val="tbl text Char"/>
    <w:basedOn w:val="DefaultParagraphFont"/>
    <w:link w:val="tbltext"/>
    <w:rsid w:val="009368E6"/>
    <w:rPr>
      <w:rFonts w:ascii="Arial" w:hAnsi="Arial" w:cs="Arial"/>
      <w:sz w:val="18"/>
      <w:szCs w:val="18"/>
    </w:rPr>
  </w:style>
  <w:style w:type="paragraph" w:customStyle="1" w:styleId="Enfparashead">
    <w:name w:val="Enf paras head"/>
    <w:basedOn w:val="Normal"/>
    <w:link w:val="EnfparasheadChar"/>
    <w:qFormat/>
    <w:rsid w:val="00603055"/>
    <w:pPr>
      <w:keepNext/>
      <w:pBdr>
        <w:top w:val="single" w:sz="4" w:space="1" w:color="253746"/>
        <w:left w:val="single" w:sz="4" w:space="4" w:color="253746"/>
        <w:bottom w:val="single" w:sz="4" w:space="1" w:color="253746"/>
        <w:right w:val="single" w:sz="4" w:space="4" w:color="253746"/>
      </w:pBdr>
      <w:shd w:val="clear" w:color="auto" w:fill="253746"/>
      <w:spacing w:before="200" w:after="0"/>
      <w:ind w:left="2325"/>
      <w:jc w:val="right"/>
    </w:pPr>
    <w:rPr>
      <w:rFonts w:ascii="Arial" w:hAnsi="Arial" w:cs="Arial"/>
      <w:b/>
      <w:sz w:val="20"/>
    </w:rPr>
  </w:style>
  <w:style w:type="character" w:customStyle="1" w:styleId="EnfparasheadChar">
    <w:name w:val="Enf paras head Char"/>
    <w:basedOn w:val="DefaultParagraphFont"/>
    <w:link w:val="Enfparashead"/>
    <w:rsid w:val="00603055"/>
    <w:rPr>
      <w:rFonts w:ascii="Arial" w:hAnsi="Arial" w:cs="Arial"/>
      <w:b/>
      <w:shd w:val="clear" w:color="auto" w:fill="253746"/>
    </w:rPr>
  </w:style>
  <w:style w:type="character" w:customStyle="1" w:styleId="BodytextplainChar">
    <w:name w:val="Body text plain Char"/>
    <w:basedOn w:val="DefaultParagraphFont"/>
    <w:link w:val="Bodytextplain"/>
    <w:rsid w:val="00223687"/>
    <w:rPr>
      <w:sz w:val="22"/>
      <w:szCs w:val="22"/>
    </w:rPr>
  </w:style>
  <w:style w:type="paragraph" w:customStyle="1" w:styleId="Enfparastext">
    <w:name w:val="Enf paras text"/>
    <w:basedOn w:val="BodyText"/>
    <w:link w:val="EnfparastextChar"/>
    <w:qFormat/>
    <w:rsid w:val="00183429"/>
    <w:pPr>
      <w:pBdr>
        <w:right w:val="single" w:sz="4" w:space="4" w:color="253746"/>
      </w:pBdr>
    </w:pPr>
  </w:style>
  <w:style w:type="paragraph" w:customStyle="1" w:styleId="Enfparasnote">
    <w:name w:val="Enf paras note"/>
    <w:basedOn w:val="Note"/>
    <w:link w:val="EnfparasnoteChar"/>
    <w:qFormat/>
    <w:rsid w:val="00183429"/>
    <w:pPr>
      <w:pBdr>
        <w:right w:val="single" w:sz="4" w:space="4" w:color="253746"/>
      </w:pBdr>
    </w:pPr>
  </w:style>
  <w:style w:type="character" w:customStyle="1" w:styleId="EnfparastextChar">
    <w:name w:val="Enf paras text Char"/>
    <w:basedOn w:val="BodyTextChar"/>
    <w:link w:val="Enfparastext"/>
    <w:rsid w:val="00183429"/>
    <w:rPr>
      <w:sz w:val="22"/>
      <w:szCs w:val="22"/>
    </w:rPr>
  </w:style>
  <w:style w:type="paragraph" w:customStyle="1" w:styleId="Enfparasblockquote">
    <w:name w:val="Enf paras block quote"/>
    <w:basedOn w:val="Blockquote"/>
    <w:link w:val="EnfparasblockquoteChar"/>
    <w:qFormat/>
    <w:rsid w:val="009B4FEE"/>
    <w:pPr>
      <w:pBdr>
        <w:right w:val="single" w:sz="4" w:space="4" w:color="253746"/>
      </w:pBdr>
    </w:pPr>
  </w:style>
  <w:style w:type="character" w:customStyle="1" w:styleId="NoteChar">
    <w:name w:val="Note Char"/>
    <w:basedOn w:val="BodyTextChar"/>
    <w:link w:val="Note"/>
    <w:rsid w:val="009B4FEE"/>
    <w:rPr>
      <w:sz w:val="18"/>
      <w:szCs w:val="22"/>
    </w:rPr>
  </w:style>
  <w:style w:type="character" w:customStyle="1" w:styleId="EnfparasnoteChar">
    <w:name w:val="Enf paras note Char"/>
    <w:basedOn w:val="NoteChar"/>
    <w:link w:val="Enfparasnote"/>
    <w:rsid w:val="00183429"/>
    <w:rPr>
      <w:sz w:val="18"/>
      <w:szCs w:val="22"/>
    </w:rPr>
  </w:style>
  <w:style w:type="paragraph" w:customStyle="1" w:styleId="Enfparassubparaa">
    <w:name w:val="Enf paras sub para (a)"/>
    <w:basedOn w:val="subparaa"/>
    <w:link w:val="EnfparassubparaaChar"/>
    <w:qFormat/>
    <w:rsid w:val="00183429"/>
    <w:pPr>
      <w:pBdr>
        <w:right w:val="single" w:sz="4" w:space="4" w:color="253746"/>
      </w:pBdr>
    </w:pPr>
  </w:style>
  <w:style w:type="character" w:customStyle="1" w:styleId="BlockquoteChar">
    <w:name w:val="Block quote Char"/>
    <w:basedOn w:val="BodytextplainChar"/>
    <w:link w:val="Blockquote"/>
    <w:rsid w:val="009B4FEE"/>
    <w:rPr>
      <w:sz w:val="21"/>
      <w:szCs w:val="21"/>
    </w:rPr>
  </w:style>
  <w:style w:type="character" w:customStyle="1" w:styleId="EnfparasblockquoteChar">
    <w:name w:val="Enf paras block quote Char"/>
    <w:basedOn w:val="BlockquoteChar"/>
    <w:link w:val="Enfparasblockquote"/>
    <w:rsid w:val="009B4FEE"/>
    <w:rPr>
      <w:sz w:val="21"/>
      <w:szCs w:val="21"/>
    </w:rPr>
  </w:style>
  <w:style w:type="paragraph" w:customStyle="1" w:styleId="Enfparassubparai">
    <w:name w:val="Enf paras sub para (i)"/>
    <w:basedOn w:val="subsubparai"/>
    <w:link w:val="EnfparassubparaiChar"/>
    <w:qFormat/>
    <w:rsid w:val="005B177F"/>
    <w:pPr>
      <w:pBdr>
        <w:right w:val="single" w:sz="4" w:space="4" w:color="253746"/>
      </w:pBdr>
    </w:pPr>
  </w:style>
  <w:style w:type="character" w:customStyle="1" w:styleId="subparaaChar">
    <w:name w:val="sub para (a) Char"/>
    <w:basedOn w:val="BodyTextChar"/>
    <w:link w:val="subparaa"/>
    <w:rsid w:val="00D06DD8"/>
    <w:rPr>
      <w:sz w:val="22"/>
      <w:szCs w:val="22"/>
    </w:rPr>
  </w:style>
  <w:style w:type="character" w:customStyle="1" w:styleId="EnfparassubparaaChar">
    <w:name w:val="Enf paras sub para (a) Char"/>
    <w:basedOn w:val="subparaaChar"/>
    <w:link w:val="Enfparassubparaa"/>
    <w:rsid w:val="00183429"/>
    <w:rPr>
      <w:sz w:val="22"/>
      <w:szCs w:val="22"/>
    </w:rPr>
  </w:style>
  <w:style w:type="paragraph" w:customStyle="1" w:styleId="EnfparasH5">
    <w:name w:val="Enf paras H5"/>
    <w:basedOn w:val="Heading5"/>
    <w:link w:val="EnfparasH5Char"/>
    <w:qFormat/>
    <w:rsid w:val="002243B4"/>
    <w:pPr>
      <w:pBdr>
        <w:right w:val="single" w:sz="4" w:space="4" w:color="253746"/>
      </w:pBdr>
    </w:pPr>
  </w:style>
  <w:style w:type="character" w:customStyle="1" w:styleId="subsubparaiChar">
    <w:name w:val="sub sub para (i) Char"/>
    <w:basedOn w:val="subparaaChar"/>
    <w:link w:val="subsubparai"/>
    <w:rsid w:val="005B177F"/>
    <w:rPr>
      <w:sz w:val="22"/>
      <w:szCs w:val="22"/>
    </w:rPr>
  </w:style>
  <w:style w:type="character" w:customStyle="1" w:styleId="EnfparassubparaiChar">
    <w:name w:val="Enf paras sub para (i) Char"/>
    <w:basedOn w:val="subsubparaiChar"/>
    <w:link w:val="Enfparassubparai"/>
    <w:rsid w:val="005B177F"/>
    <w:rPr>
      <w:sz w:val="22"/>
      <w:szCs w:val="22"/>
    </w:rPr>
  </w:style>
  <w:style w:type="character" w:customStyle="1" w:styleId="EnfparasH5Char">
    <w:name w:val="Enf paras H5 Char"/>
    <w:basedOn w:val="Heading5Char"/>
    <w:link w:val="EnfparasH5"/>
    <w:rsid w:val="002243B4"/>
    <w:rPr>
      <w:rFonts w:ascii="Arial" w:hAnsi="Arial" w:cs="Arial"/>
      <w:i/>
    </w:rPr>
  </w:style>
  <w:style w:type="paragraph" w:customStyle="1" w:styleId="EnfparasH4">
    <w:name w:val="Enf paras H4"/>
    <w:basedOn w:val="Heading4"/>
    <w:link w:val="EnfparasH4Char"/>
    <w:qFormat/>
    <w:rsid w:val="0093719F"/>
    <w:pPr>
      <w:pBdr>
        <w:right w:val="single" w:sz="4" w:space="4" w:color="253746"/>
      </w:pBdr>
    </w:pPr>
  </w:style>
  <w:style w:type="character" w:customStyle="1" w:styleId="EnfparasH4Char">
    <w:name w:val="Enf paras H4 Char"/>
    <w:basedOn w:val="Heading4Char"/>
    <w:link w:val="EnfparasH4"/>
    <w:rsid w:val="0093719F"/>
    <w:rPr>
      <w:rFonts w:ascii="Arial" w:hAnsi="Arial" w:cs="Arial"/>
      <w:b/>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852252">
      <w:bodyDiv w:val="1"/>
      <w:marLeft w:val="0"/>
      <w:marRight w:val="0"/>
      <w:marTop w:val="0"/>
      <w:marBottom w:val="0"/>
      <w:divBdr>
        <w:top w:val="none" w:sz="0" w:space="0" w:color="auto"/>
        <w:left w:val="none" w:sz="0" w:space="0" w:color="auto"/>
        <w:bottom w:val="none" w:sz="0" w:space="0" w:color="auto"/>
        <w:right w:val="none" w:sz="0" w:space="0" w:color="auto"/>
      </w:divBdr>
    </w:div>
    <w:div w:id="421756746">
      <w:bodyDiv w:val="1"/>
      <w:marLeft w:val="0"/>
      <w:marRight w:val="0"/>
      <w:marTop w:val="0"/>
      <w:marBottom w:val="0"/>
      <w:divBdr>
        <w:top w:val="none" w:sz="0" w:space="0" w:color="auto"/>
        <w:left w:val="none" w:sz="0" w:space="0" w:color="auto"/>
        <w:bottom w:val="none" w:sz="0" w:space="0" w:color="auto"/>
        <w:right w:val="none" w:sz="0" w:space="0" w:color="auto"/>
      </w:divBdr>
    </w:div>
    <w:div w:id="794644034">
      <w:bodyDiv w:val="1"/>
      <w:marLeft w:val="0"/>
      <w:marRight w:val="0"/>
      <w:marTop w:val="0"/>
      <w:marBottom w:val="0"/>
      <w:divBdr>
        <w:top w:val="none" w:sz="0" w:space="0" w:color="auto"/>
        <w:left w:val="none" w:sz="0" w:space="0" w:color="auto"/>
        <w:bottom w:val="none" w:sz="0" w:space="0" w:color="auto"/>
        <w:right w:val="none" w:sz="0" w:space="0" w:color="auto"/>
      </w:divBdr>
    </w:div>
    <w:div w:id="1586836794">
      <w:bodyDiv w:val="1"/>
      <w:marLeft w:val="0"/>
      <w:marRight w:val="0"/>
      <w:marTop w:val="0"/>
      <w:marBottom w:val="0"/>
      <w:divBdr>
        <w:top w:val="none" w:sz="0" w:space="0" w:color="auto"/>
        <w:left w:val="none" w:sz="0" w:space="0" w:color="auto"/>
        <w:bottom w:val="none" w:sz="0" w:space="0" w:color="auto"/>
        <w:right w:val="none" w:sz="0" w:space="0" w:color="auto"/>
      </w:divBdr>
    </w:div>
    <w:div w:id="1793205359">
      <w:bodyDiv w:val="1"/>
      <w:marLeft w:val="0"/>
      <w:marRight w:val="0"/>
      <w:marTop w:val="0"/>
      <w:marBottom w:val="0"/>
      <w:divBdr>
        <w:top w:val="none" w:sz="0" w:space="0" w:color="auto"/>
        <w:left w:val="none" w:sz="0" w:space="0" w:color="auto"/>
        <w:bottom w:val="none" w:sz="0" w:space="0" w:color="auto"/>
        <w:right w:val="none" w:sz="0" w:space="0" w:color="auto"/>
      </w:divBdr>
    </w:div>
    <w:div w:id="183772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asic.gov.au/regulatory-resources/find-a-document/regulatory-guides/rg-267-oversight-of-the-australian-financial-complaints-authority/" TargetMode="External"/><Relationship Id="rId18" Type="http://schemas.openxmlformats.org/officeDocument/2006/relationships/header" Target="header3.xml"/><Relationship Id="rId26" Type="http://schemas.openxmlformats.org/officeDocument/2006/relationships/hyperlink" Target="https://asic.gov.au/regulatory-resources/credit/credit-general-conduct-obligations/rg-207-credit-licensing-financial-requirements/" TargetMode="External"/><Relationship Id="rId39" Type="http://schemas.openxmlformats.org/officeDocument/2006/relationships/hyperlink" Target="https://www.legislation.gov.au/current/F2020C00162" TargetMode="External"/><Relationship Id="rId21" Type="http://schemas.openxmlformats.org/officeDocument/2006/relationships/hyperlink" Target="https://asic.gov.au/regulatory-resources/find-a-document/regulatory-guides/rg-267-oversight-of-the-australian-financial-complaints-authority/" TargetMode="External"/><Relationship Id="rId34" Type="http://schemas.openxmlformats.org/officeDocument/2006/relationships/hyperlink" Target="https://www.afca.org.au/about-afca/rules-and-guidelines/rules/" TargetMode="External"/><Relationship Id="rId42" Type="http://schemas.openxmlformats.org/officeDocument/2006/relationships/hyperlink" Target="https://www.legislation.gov.au/current/F2019C00080" TargetMode="External"/><Relationship Id="rId47" Type="http://schemas.openxmlformats.org/officeDocument/2006/relationships/hyperlink" Target="https://asic.gov.au/regulatory-resources/find-a-document/regulatory-guides/rg-257-testing-fintech-products-and-services-without-holding-an-afs-or-credit-licence/" TargetMode="External"/><Relationship Id="rId50" Type="http://schemas.openxmlformats.org/officeDocument/2006/relationships/hyperlink" Target="https://asic.gov.au/for-finance-professionals/credit-licensees/your-ongoing-credit-licence-obligations/lenders-with-carried-over-instruments/" TargetMode="External"/><Relationship Id="rId55" Type="http://schemas.openxmlformats.org/officeDocument/2006/relationships/hyperlink" Target="https://www.legislation.gov.au/Details/F2020C00541" TargetMode="External"/><Relationship Id="rId63" Type="http://schemas.openxmlformats.org/officeDocument/2006/relationships/header" Target="header5.xm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asic.gov.au/regulatory-resources/find-a-document/regulatory-guides/rg-257-testing-fintech-products-and-services-without-holding-an-afs-or-credit-lice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asic.gov.au/regulatory-resources/credit/credit-general-conduct-obligations/rg-205-credit-licensing-general-conduct-obligations/" TargetMode="External"/><Relationship Id="rId32" Type="http://schemas.openxmlformats.org/officeDocument/2006/relationships/hyperlink" Target="https://treasury.gov.au/publication/edr-review-final-report/" TargetMode="External"/><Relationship Id="rId37" Type="http://schemas.openxmlformats.org/officeDocument/2006/relationships/hyperlink" Target="https://asic.gov.au/regulatory-resources/credit/credit-contracts-and-disclosure/faqs-dealing-with-consumers-and-credit/" TargetMode="External"/><Relationship Id="rId40" Type="http://schemas.openxmlformats.org/officeDocument/2006/relationships/hyperlink" Target="https://www.standards.org.au/standards-catalogue/sa-snz/publicsafety/qr-015/as-slash-nzs--10002-colon-2014" TargetMode="External"/><Relationship Id="rId45" Type="http://schemas.openxmlformats.org/officeDocument/2006/relationships/hyperlink" Target="https://asic.gov.au/regulatory-resources/credit/credit-general-conduct-obligations/rg-206-credit-licensing-competence-and-training/" TargetMode="External"/><Relationship Id="rId53" Type="http://schemas.openxmlformats.org/officeDocument/2006/relationships/hyperlink" Target="https://www.legislation.gov.au/current/F2019C00076" TargetMode="External"/><Relationship Id="rId58" Type="http://schemas.openxmlformats.org/officeDocument/2006/relationships/hyperlink" Target="https://asic.gov.au/about-asic/news-centre/find-a-media-release/2019-releases/19-115mr-doing-the-right-thing-by-your-customers-asic-consults-on-lifting-standards-and-transparency-of-complaints-handling/" TargetMode="External"/><Relationship Id="rId66"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asic.gov.au/for-finance-professionals/credit-licensees/your-ongoing-credit-licence-obligations/lenders-with-carried-over-instruments/" TargetMode="External"/><Relationship Id="rId28" Type="http://schemas.openxmlformats.org/officeDocument/2006/relationships/hyperlink" Target="https://www.legislation.gov.au/Details/F2019C00080" TargetMode="External"/><Relationship Id="rId36" Type="http://schemas.openxmlformats.org/officeDocument/2006/relationships/hyperlink" Target="https://asic.gov.au/regulatory-resources/find-a-document/reports/rep-603-the-consumer-journey-through-the-internal-dispute-resolution-process-of-financial-service-providers/" TargetMode="External"/><Relationship Id="rId49" Type="http://schemas.openxmlformats.org/officeDocument/2006/relationships/hyperlink" Target="https://asic.gov.au/regulatory-resources/credit/credit-contracts-and-disclosure/faqs-dealing-with-consumers-and-credit/" TargetMode="External"/><Relationship Id="rId57" Type="http://schemas.openxmlformats.org/officeDocument/2006/relationships/hyperlink" Target="https://asic.gov.au/about-asic/news-centre/find-a-media-release/2018-releases/18-371mr-asic-research-highlights-need-for-improved-consumer-complaints-experience/" TargetMode="External"/><Relationship Id="rId61" Type="http://schemas.openxmlformats.org/officeDocument/2006/relationships/hyperlink" Target="https://treasury.gov.au/publication/edr-review-final-report/"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asic.gov.au/regulatory-resources/find-a-document/legislative-instruments/2020-legislative-instruments/" TargetMode="External"/><Relationship Id="rId44" Type="http://schemas.openxmlformats.org/officeDocument/2006/relationships/hyperlink" Target="https://asic.gov.au/regulatory-resources/find-a-document/regulatory-guides/rg-165-licensing-internal-and-external-dispute-resolution/" TargetMode="External"/><Relationship Id="rId52" Type="http://schemas.openxmlformats.org/officeDocument/2006/relationships/hyperlink" Target="https://asic.gov.au/regulatory-resources/find-a-document/reports/rep-603-the-consumer-journey-through-the-internal-dispute-resolution-process-of-financial-service-providers/" TargetMode="External"/><Relationship Id="rId60" Type="http://schemas.openxmlformats.org/officeDocument/2006/relationships/hyperlink" Target="https://www.standards.org.au/standards-catalogue/sa-snz/publicsafety/qr-015/as-slash-nzs--10002-colon-2014" TargetMode="External"/><Relationship Id="rId65"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standards.org.au/standards-catalogue/sa-snz/publicsafety/qr-015/as-slash-nzs--10002-colon-2014" TargetMode="External"/><Relationship Id="rId27" Type="http://schemas.openxmlformats.org/officeDocument/2006/relationships/hyperlink" Target="https://www.legislation.gov.au/Details/F2019C00076" TargetMode="External"/><Relationship Id="rId30" Type="http://schemas.openxmlformats.org/officeDocument/2006/relationships/hyperlink" Target="https://www.standards.org.au/standards-catalogue/sa-snz/publicsafety/qr-015/as-slash-nzs--10002-colon-2014" TargetMode="External"/><Relationship Id="rId35" Type="http://schemas.openxmlformats.org/officeDocument/2006/relationships/hyperlink" Target="https://www.afca.org.au/about-afca/rules-and-guidelines/rules/" TargetMode="External"/><Relationship Id="rId43" Type="http://schemas.openxmlformats.org/officeDocument/2006/relationships/hyperlink" Target="https://asic.gov.au/regulatory-resources/find-a-document/legislative-instruments/2020-legislative-instruments/" TargetMode="External"/><Relationship Id="rId48" Type="http://schemas.openxmlformats.org/officeDocument/2006/relationships/hyperlink" Target="https://asic.gov.au/regulatory-resources/find-a-document/regulatory-guides/rg-267-oversight-of-the-australian-financial-complaints-authority/" TargetMode="External"/><Relationship Id="rId56" Type="http://schemas.openxmlformats.org/officeDocument/2006/relationships/hyperlink" Target="https://www.legislation.gov.au/current/F2020C00162" TargetMode="External"/><Relationship Id="rId64" Type="http://schemas.openxmlformats.org/officeDocument/2006/relationships/footer" Target="footer4.xml"/><Relationship Id="rId8" Type="http://schemas.openxmlformats.org/officeDocument/2006/relationships/webSettings" Target="webSettings.xml"/><Relationship Id="rId51" Type="http://schemas.openxmlformats.org/officeDocument/2006/relationships/hyperlink" Target="https://asic.gov.au/regulatory-resources/find-a-document/consultation-papers/cp-311-internal-dispute-resolution-update-to-rg-165/" TargetMode="External"/><Relationship Id="rId3" Type="http://schemas.openxmlformats.org/officeDocument/2006/relationships/customXml" Target="../customXml/item3.xml"/><Relationship Id="rId12" Type="http://schemas.openxmlformats.org/officeDocument/2006/relationships/hyperlink" Target="https://asic.gov.au/regulatory-resources/find-a-document/regulatory-guides/rg-165-licensing-internal-and-external-dispute-resolution/" TargetMode="External"/><Relationship Id="rId17" Type="http://schemas.openxmlformats.org/officeDocument/2006/relationships/footer" Target="footer2.xml"/><Relationship Id="rId25" Type="http://schemas.openxmlformats.org/officeDocument/2006/relationships/hyperlink" Target="https://asic.gov.au/regulatory-resources/credit/credit-general-conduct-obligations/rg-206-credit-licensing-competence-and-training/" TargetMode="External"/><Relationship Id="rId33" Type="http://schemas.openxmlformats.org/officeDocument/2006/relationships/hyperlink" Target="https://asic.gov.au/regulatory-resources/find-a-document/regulatory-guides/rg-165-licensing-internal-and-external-dispute-resolution/" TargetMode="External"/><Relationship Id="rId38" Type="http://schemas.openxmlformats.org/officeDocument/2006/relationships/hyperlink" Target="https://asic.gov.au/regulatory-resources/find-a-document/regulatory-guides/rg-267-oversight-of-the-australian-financial-complaints-authority/" TargetMode="External"/><Relationship Id="rId46" Type="http://schemas.openxmlformats.org/officeDocument/2006/relationships/hyperlink" Target="https://asic.gov.au/regulatory-resources/credit/credit-general-conduct-obligations/rg-207-credit-licensing-financial-requirements/" TargetMode="External"/><Relationship Id="rId59" Type="http://schemas.openxmlformats.org/officeDocument/2006/relationships/hyperlink" Target="https://www.afca.org.au/about-afca/rules-and-guidelines/rules/" TargetMode="External"/><Relationship Id="rId67" Type="http://schemas.openxmlformats.org/officeDocument/2006/relationships/fontTable" Target="fontTable.xml"/><Relationship Id="rId20" Type="http://schemas.openxmlformats.org/officeDocument/2006/relationships/hyperlink" Target="https://asic.gov.au/regulatory-resources/find-a-document/consultation-papers/cp-311-internal-dispute-resolution-update-to-rg-165/" TargetMode="External"/><Relationship Id="rId41" Type="http://schemas.openxmlformats.org/officeDocument/2006/relationships/hyperlink" Target="https://www.legislation.gov.au/current/F2019C00076" TargetMode="External"/><Relationship Id="rId54" Type="http://schemas.openxmlformats.org/officeDocument/2006/relationships/hyperlink" Target="https://asic.gov.au/regulatory-resources/find-a-document/legislative-instruments/2020-legislative-instruments/" TargetMode="External"/><Relationship Id="rId6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a1.asic.gov.au\ds\appHome\Office%202016\ASIC%20Templates\RegDocs\ASIC%20Reg%20Docs%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cordNumber xmlns="da7a9ac0-bc47-4684-84e6-3a8e9ac80c12">R20190005414175</RecordNumber>
    <ObjectiveID xmlns="da7a9ac0-bc47-4684-84e6-3a8e9ac80c12" xsi:nil="true"/>
    <SignificantFlag xmlns="da7a9ac0-bc47-4684-84e6-3a8e9ac80c12">false</SignificantFlag>
    <SenateOrder12 xmlns="da7a9ac0-bc47-4684-84e6-3a8e9ac80c12">false</SenateOrder12>
    <ded95d7ab059406991d558011d18c177 xmlns="da7a9ac0-bc47-4684-84e6-3a8e9ac80c12" xsi:nil="true"/>
    <Reviewers xmlns="17f478ab-373e-4295-9ff0-9b833ad01319">
      <UserInfo>
        <DisplayName/>
        <AccountId xsi:nil="true"/>
        <AccountType/>
      </UserInfo>
    </Reviewers>
    <SignificantReason xmlns="da7a9ac0-bc47-4684-84e6-3a8e9ac80c12" xsi:nil="true"/>
    <NotesLinks xmlns="da7a9ac0-bc47-4684-84e6-3a8e9ac80c12" xsi:nil="true"/>
    <Approvers xmlns="da7a9ac0-bc47-4684-84e6-3a8e9ac80c12">
      <UserInfo>
        <DisplayName/>
        <AccountId xsi:nil="true"/>
        <AccountType/>
      </UserInfo>
    </Approvers>
    <TaxCatchAll xmlns="86a22471-1f5d-4f46-bded-fde7db4a3348">
      <Value>11</Value>
    </TaxCatchAll>
    <hbe12d52d4d34160aedef9a950587c48 xmlns="86a22471-1f5d-4f46-bded-fde7db4a3348">
      <Terms xmlns="http://schemas.microsoft.com/office/infopath/2007/PartnerControls">
        <TermInfo xmlns="http://schemas.microsoft.com/office/infopath/2007/PartnerControls">
          <TermName xmlns="http://schemas.microsoft.com/office/infopath/2007/PartnerControls">OFFICIAL - Sensitive</TermName>
          <TermId xmlns="http://schemas.microsoft.com/office/infopath/2007/PartnerControls">6eccc17f-024b-41b0-b6b1-faf98d2aff85</TermId>
        </TermInfo>
      </Terms>
    </hbe12d52d4d34160aedef9a950587c48>
  </documentManagement>
</p:properties>
</file>

<file path=customXml/item3.xml><?xml version="1.0" encoding="utf-8"?>
<ct:contentTypeSchema xmlns:ct="http://schemas.microsoft.com/office/2006/metadata/contentType" xmlns:ma="http://schemas.microsoft.com/office/2006/metadata/properties/metaAttributes" ct:_="" ma:_="" ma:contentTypeName="ASIC Document" ma:contentTypeID="0x010100B5F685A1365F544391EF8C813B164F3A0001DE6635E7DC80429F2A2550668C1D33" ma:contentTypeVersion="4" ma:contentTypeDescription="" ma:contentTypeScope="" ma:versionID="9cdde0467856a229b641bf896405d496">
  <xsd:schema xmlns:xsd="http://www.w3.org/2001/XMLSchema" xmlns:xs="http://www.w3.org/2001/XMLSchema" xmlns:p="http://schemas.microsoft.com/office/2006/metadata/properties" xmlns:ns2="da7a9ac0-bc47-4684-84e6-3a8e9ac80c12" xmlns:ns3="86a22471-1f5d-4f46-bded-fde7db4a3348" xmlns:ns4="17f478ab-373e-4295-9ff0-9b833ad01319" targetNamespace="http://schemas.microsoft.com/office/2006/metadata/properties" ma:root="true" ma:fieldsID="a8b856e8278f102a2adf60a0298e1ea4" ns2:_="" ns3:_="" ns4:_="">
    <xsd:import namespace="da7a9ac0-bc47-4684-84e6-3a8e9ac80c12"/>
    <xsd:import namespace="86a22471-1f5d-4f46-bded-fde7db4a3348"/>
    <xsd:import namespace="17f478ab-373e-4295-9ff0-9b833ad01319"/>
    <xsd:element name="properties">
      <xsd:complexType>
        <xsd:sequence>
          <xsd:element name="documentManagement">
            <xsd:complexType>
              <xsd:all>
                <xsd:element ref="ns2:RecordNumber" minOccurs="0"/>
                <xsd:element ref="ns2:ObjectiveID" minOccurs="0"/>
                <xsd:element ref="ns2:SenateOrder12" minOccurs="0"/>
                <xsd:element ref="ns2:SignificantFlag" minOccurs="0"/>
                <xsd:element ref="ns2:SignificantReason" minOccurs="0"/>
                <xsd:element ref="ns3:TaxCatchAll" minOccurs="0"/>
                <xsd:element ref="ns3:TaxCatchAllLabel" minOccurs="0"/>
                <xsd:element ref="ns2:ded95d7ab059406991d558011d18c177" minOccurs="0"/>
                <xsd:element ref="ns2:NotesLinks" minOccurs="0"/>
                <xsd:element ref="ns4:Reviewers" minOccurs="0"/>
                <xsd:element ref="ns2:Approvers" minOccurs="0"/>
                <xsd:element ref="ns3:hbe12d52d4d34160aedef9a950587c4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RecordNumber" ma:index="1" nillable="true" ma:displayName="Document ID" ma:hidden="true" ma:internalName="RecordNumber">
      <xsd:simpleType>
        <xsd:restriction base="dms:Text">
          <xsd:maxLength value="255"/>
        </xsd:restriction>
      </xsd:simpleType>
    </xsd:element>
    <xsd:element name="ObjectiveID" ma:index="3" nillable="true" ma:displayName="Objective ID" ma:hidden="true" ma:internalName="ObjectiveID">
      <xsd:simpleType>
        <xsd:restriction base="dms:Text">
          <xsd:maxLength value="255"/>
        </xsd:restriction>
      </xsd:simpleType>
    </xsd:element>
    <xsd:element name="SenateOrder12" ma:index="4" nillable="true" ma:displayName="Senate Order #12" ma:default="0" ma:hidden="true" ma:internalName="SenateOrder12">
      <xsd:simpleType>
        <xsd:restriction base="dms:Boolean"/>
      </xsd:simpleType>
    </xsd:element>
    <xsd:element name="SignificantFlag" ma:index="5" nillable="true" ma:displayName="Significant Flag" ma:default="0" ma:hidden="true" ma:internalName="SignificantFlag">
      <xsd:simpleType>
        <xsd:restriction base="dms:Boolean"/>
      </xsd:simpleType>
    </xsd:element>
    <xsd:element name="SignificantReason" ma:index="6" nillable="true" ma:displayName="Significant Reason" ma:hidden="true" ma:internalName="SignificantReason">
      <xsd:simpleType>
        <xsd:restriction base="dms:Text">
          <xsd:maxLength value="255"/>
        </xsd:restriction>
      </xsd:simpleType>
    </xsd:element>
    <xsd:element name="ded95d7ab059406991d558011d18c177" ma:index="15" nillable="true" ma:displayName="SecurityClassification_0" ma:hidden="true" ma:internalName="ded95d7ab059406991d558011d18c177" ma:readOnly="false">
      <xsd:simpleType>
        <xsd:restriction base="dms:Note"/>
      </xsd:simpleType>
    </xsd:element>
    <xsd:element name="NotesLinks" ma:index="17" nillable="true" ma:displayName="Notes &amp; Links" ma:description="Use this field to enter relevant document/site hyperlinks and/or notes." ma:internalName="NotesLinks">
      <xsd:simpleType>
        <xsd:restriction base="dms:Note"/>
      </xsd:simpleType>
    </xsd:element>
    <xsd:element name="Approvers" ma:index="19"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a22471-1f5d-4f46-bded-fde7db4a3348"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f167406d-5cef-4d7a-b5e0-db659baca2f1}" ma:internalName="TaxCatchAll" ma:showField="CatchAllData" ma:web="86a22471-1f5d-4f46-bded-fde7db4a3348">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f167406d-5cef-4d7a-b5e0-db659baca2f1}" ma:internalName="TaxCatchAllLabel" ma:readOnly="true" ma:showField="CatchAllDataLabel" ma:web="86a22471-1f5d-4f46-bded-fde7db4a3348">
      <xsd:complexType>
        <xsd:complexContent>
          <xsd:extension base="dms:MultiChoiceLookup">
            <xsd:sequence>
              <xsd:element name="Value" type="dms:Lookup" maxOccurs="unbounded" minOccurs="0" nillable="true"/>
            </xsd:sequence>
          </xsd:extension>
        </xsd:complexContent>
      </xsd:complexType>
    </xsd:element>
    <xsd:element name="hbe12d52d4d34160aedef9a950587c48" ma:index="20" ma:taxonomy="true" ma:internalName="hbe12d52d4d34160aedef9a950587c48" ma:taxonomyFieldName="SecurityClassification" ma:displayName="Security Classification" ma:default="-1;#OFFICIAL - Sensitive|6eccc17f-024b-41b0-b6b1-faf98d2aff85" ma:fieldId="{1be12d52-d4d3-4160-aede-f9a950587c48}" ma:sspId="b38671ba-7d76-46f8-b8a5-5fc3a7d6229d" ma:termSetId="1d2f2699-c9ac-44b7-aa84-d64945e6f0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18" nillable="true" ma:displayName="Reviewers"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88CD7-37A1-4950-955F-72F42DC4129C}">
  <ds:schemaRefs>
    <ds:schemaRef ds:uri="http://schemas.microsoft.com/sharepoint/v3/contenttype/forms"/>
  </ds:schemaRefs>
</ds:datastoreItem>
</file>

<file path=customXml/itemProps2.xml><?xml version="1.0" encoding="utf-8"?>
<ds:datastoreItem xmlns:ds="http://schemas.openxmlformats.org/officeDocument/2006/customXml" ds:itemID="{2791F57A-1E04-40CD-BC6E-03E57E26E483}">
  <ds:schemaRefs>
    <ds:schemaRef ds:uri="http://purl.org/dc/elements/1.1/"/>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 ds:uri="da7a9ac0-bc47-4684-84e6-3a8e9ac80c12"/>
    <ds:schemaRef ds:uri="http://schemas.microsoft.com/office/infopath/2007/PartnerControls"/>
    <ds:schemaRef ds:uri="17f478ab-373e-4295-9ff0-9b833ad01319"/>
    <ds:schemaRef ds:uri="86a22471-1f5d-4f46-bded-fde7db4a3348"/>
  </ds:schemaRefs>
</ds:datastoreItem>
</file>

<file path=customXml/itemProps3.xml><?xml version="1.0" encoding="utf-8"?>
<ds:datastoreItem xmlns:ds="http://schemas.openxmlformats.org/officeDocument/2006/customXml" ds:itemID="{7C2689B3-4AE7-4E23-91DD-6241EBD70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a9ac0-bc47-4684-84e6-3a8e9ac80c12"/>
    <ds:schemaRef ds:uri="86a22471-1f5d-4f46-bded-fde7db4a3348"/>
    <ds:schemaRef ds:uri="17f478ab-373e-4295-9ff0-9b833ad013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66EFBB-0F9D-4A29-98A7-540108112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ASIC Reg Docs Template.dotm</Template>
  <TotalTime>1</TotalTime>
  <Pages>57</Pages>
  <Words>17135</Words>
  <Characters>105310</Characters>
  <Application>Microsoft Office Word</Application>
  <DocSecurity>4</DocSecurity>
  <Lines>877</Lines>
  <Paragraphs>244</Paragraphs>
  <ScaleCrop>false</ScaleCrop>
  <HeadingPairs>
    <vt:vector size="2" baseType="variant">
      <vt:variant>
        <vt:lpstr>Title</vt:lpstr>
      </vt:variant>
      <vt:variant>
        <vt:i4>1</vt:i4>
      </vt:variant>
    </vt:vector>
  </HeadingPairs>
  <TitlesOfParts>
    <vt:vector size="1" baseType="lpstr">
      <vt:lpstr>Regulatory Guide RG 271 Internal dispute resolution</vt:lpstr>
    </vt:vector>
  </TitlesOfParts>
  <Company/>
  <LinksUpToDate>false</LinksUpToDate>
  <CharactersWithSpaces>122201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Regulatory Guide RG 271 Internal dispute resolution</dc:title>
  <dc:subject>Regulatory Guide RG 271 Internal dispute resolution</dc:subject>
  <dc:creator>ASIC</dc:creator>
  <cp:keywords>Regulatory Guide RG 271 Internal dispute resolution</cp:keywords>
  <cp:lastModifiedBy>Jacqueline Rush</cp:lastModifiedBy>
  <cp:revision>2</cp:revision>
  <cp:lastPrinted>2020-07-28T04:04:00Z</cp:lastPrinted>
  <dcterms:created xsi:type="dcterms:W3CDTF">2020-07-30T00:29:00Z</dcterms:created>
  <dcterms:modified xsi:type="dcterms:W3CDTF">2020-07-30T00:29:00Z</dcterms:modified>
  <cp:category>regulatory guide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REGULATORY GUIDE</vt:lpwstr>
  </property>
  <property fmtid="{D5CDD505-2E9C-101B-9397-08002B2CF9AE}" pid="3" name="Document title">
    <vt:lpwstr>Internal dispute resolution</vt:lpwstr>
  </property>
  <property fmtid="{D5CDD505-2E9C-101B-9397-08002B2CF9AE}" pid="4" name="Document num">
    <vt:lpwstr>271</vt:lpwstr>
  </property>
  <property fmtid="{D5CDD505-2E9C-101B-9397-08002B2CF9AE}" pid="5" name="Issue date">
    <vt:lpwstr>July 2020</vt:lpwstr>
  </property>
  <property fmtid="{D5CDD505-2E9C-101B-9397-08002B2CF9AE}" pid="6" name="Source file type">
    <vt:lpwstr>RG standard</vt:lpwstr>
  </property>
  <property fmtid="{D5CDD505-2E9C-101B-9397-08002B2CF9AE}" pid="7" name="ContentTypeId">
    <vt:lpwstr>0x010100B5F685A1365F544391EF8C813B164F3A0001DE6635E7DC80429F2A2550668C1D33</vt:lpwstr>
  </property>
  <property fmtid="{D5CDD505-2E9C-101B-9397-08002B2CF9AE}" pid="8" name="SecurityClassification">
    <vt:lpwstr>11;#OFFICIAL - Sensitive|6eccc17f-024b-41b0-b6b1-faf98d2aff85</vt:lpwstr>
  </property>
</Properties>
</file>