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039D5" w14:textId="7142928A" w:rsidR="002B0ACA" w:rsidRPr="00310D2A" w:rsidRDefault="00DA1022" w:rsidP="00E51800">
      <w:pPr>
        <w:jc w:val="center"/>
        <w:rPr>
          <w:b/>
          <w:sz w:val="20"/>
          <w:szCs w:val="20"/>
        </w:rPr>
      </w:pPr>
      <w:r w:rsidRPr="00310D2A">
        <w:rPr>
          <w:b/>
          <w:sz w:val="20"/>
          <w:szCs w:val="20"/>
        </w:rPr>
        <w:t xml:space="preserve">EXPLANATORY </w:t>
      </w:r>
      <w:r w:rsidR="003541E8" w:rsidRPr="00310D2A">
        <w:rPr>
          <w:b/>
          <w:sz w:val="20"/>
          <w:szCs w:val="20"/>
        </w:rPr>
        <w:t>STATEMENT</w:t>
      </w:r>
    </w:p>
    <w:p w14:paraId="259039D6" w14:textId="77777777" w:rsidR="002B0ACA" w:rsidRPr="00310D2A" w:rsidRDefault="002B0ACA" w:rsidP="00E51800">
      <w:pPr>
        <w:jc w:val="center"/>
        <w:rPr>
          <w:i/>
          <w:sz w:val="20"/>
          <w:szCs w:val="20"/>
        </w:rPr>
      </w:pPr>
    </w:p>
    <w:p w14:paraId="259039D7" w14:textId="77777777" w:rsidR="002B0ACA" w:rsidRPr="00310D2A" w:rsidRDefault="002B0ACA" w:rsidP="00E51800">
      <w:pPr>
        <w:jc w:val="center"/>
        <w:rPr>
          <w:i/>
          <w:sz w:val="20"/>
          <w:szCs w:val="20"/>
        </w:rPr>
      </w:pPr>
    </w:p>
    <w:p w14:paraId="259039D8" w14:textId="388E4445" w:rsidR="002B0ACA" w:rsidRPr="00310D2A" w:rsidRDefault="006E2555" w:rsidP="00E51800">
      <w:pPr>
        <w:jc w:val="center"/>
        <w:rPr>
          <w:sz w:val="20"/>
          <w:szCs w:val="20"/>
        </w:rPr>
      </w:pPr>
      <w:r w:rsidRPr="00310D2A">
        <w:rPr>
          <w:sz w:val="20"/>
          <w:szCs w:val="20"/>
        </w:rPr>
        <w:t xml:space="preserve">Approved </w:t>
      </w:r>
      <w:r w:rsidR="001A730C" w:rsidRPr="00310D2A">
        <w:rPr>
          <w:sz w:val="20"/>
          <w:szCs w:val="20"/>
        </w:rPr>
        <w:t>by the Australian Communications and Media Authority</w:t>
      </w:r>
    </w:p>
    <w:p w14:paraId="259039D9" w14:textId="77777777" w:rsidR="002B0ACA" w:rsidRPr="00310D2A" w:rsidRDefault="002B0ACA" w:rsidP="00E51800">
      <w:pPr>
        <w:jc w:val="center"/>
        <w:rPr>
          <w:i/>
          <w:sz w:val="20"/>
          <w:szCs w:val="20"/>
        </w:rPr>
      </w:pPr>
    </w:p>
    <w:p w14:paraId="259039DA" w14:textId="42C71631" w:rsidR="002B0ACA" w:rsidRPr="00310D2A" w:rsidRDefault="00896E33" w:rsidP="00E51800">
      <w:pPr>
        <w:jc w:val="center"/>
        <w:rPr>
          <w:b/>
          <w:bCs/>
          <w:i/>
          <w:sz w:val="20"/>
          <w:szCs w:val="20"/>
        </w:rPr>
      </w:pPr>
      <w:r w:rsidRPr="00310D2A">
        <w:rPr>
          <w:b/>
          <w:bCs/>
          <w:i/>
          <w:sz w:val="20"/>
          <w:szCs w:val="20"/>
        </w:rPr>
        <w:t xml:space="preserve">Radiocommunications Licence Conditions (Fixed Licence) </w:t>
      </w:r>
      <w:r w:rsidR="00052A39" w:rsidRPr="00310D2A">
        <w:rPr>
          <w:b/>
          <w:bCs/>
          <w:i/>
          <w:sz w:val="20"/>
          <w:szCs w:val="20"/>
        </w:rPr>
        <w:t xml:space="preserve">Amendment </w:t>
      </w:r>
      <w:r w:rsidRPr="00310D2A">
        <w:rPr>
          <w:b/>
          <w:bCs/>
          <w:i/>
          <w:sz w:val="20"/>
          <w:szCs w:val="20"/>
        </w:rPr>
        <w:t xml:space="preserve">Determination </w:t>
      </w:r>
      <w:r w:rsidR="00052A39" w:rsidRPr="00310D2A">
        <w:rPr>
          <w:b/>
          <w:bCs/>
          <w:i/>
          <w:sz w:val="20"/>
          <w:szCs w:val="20"/>
        </w:rPr>
        <w:t>2020</w:t>
      </w:r>
      <w:r w:rsidR="009C35C5" w:rsidRPr="00310D2A">
        <w:rPr>
          <w:b/>
          <w:bCs/>
          <w:i/>
          <w:sz w:val="20"/>
          <w:szCs w:val="20"/>
        </w:rPr>
        <w:t xml:space="preserve"> (No.1)</w:t>
      </w:r>
    </w:p>
    <w:p w14:paraId="259039DB" w14:textId="77777777" w:rsidR="002B0ACA" w:rsidRPr="00310D2A" w:rsidRDefault="002B0ACA" w:rsidP="00E51800">
      <w:pPr>
        <w:jc w:val="center"/>
        <w:rPr>
          <w:sz w:val="20"/>
          <w:szCs w:val="20"/>
        </w:rPr>
      </w:pPr>
    </w:p>
    <w:p w14:paraId="259039DC" w14:textId="77777777" w:rsidR="002B0ACA" w:rsidRPr="00310D2A" w:rsidRDefault="001A730C" w:rsidP="00E51800">
      <w:pPr>
        <w:jc w:val="center"/>
        <w:rPr>
          <w:bCs/>
          <w:i/>
          <w:sz w:val="20"/>
          <w:szCs w:val="20"/>
        </w:rPr>
      </w:pPr>
      <w:bookmarkStart w:id="0" w:name="OLE_LINK1"/>
      <w:bookmarkStart w:id="1" w:name="OLE_LINK2"/>
      <w:r w:rsidRPr="00310D2A">
        <w:rPr>
          <w:bCs/>
          <w:i/>
          <w:sz w:val="20"/>
          <w:szCs w:val="20"/>
        </w:rPr>
        <w:t xml:space="preserve">Radiocommunications Act </w:t>
      </w:r>
      <w:bookmarkEnd w:id="0"/>
      <w:bookmarkEnd w:id="1"/>
      <w:r w:rsidRPr="00310D2A">
        <w:rPr>
          <w:bCs/>
          <w:i/>
          <w:sz w:val="20"/>
          <w:szCs w:val="20"/>
        </w:rPr>
        <w:t>1992</w:t>
      </w:r>
    </w:p>
    <w:p w14:paraId="259039DD" w14:textId="77777777" w:rsidR="002B0ACA" w:rsidRPr="00310D2A" w:rsidRDefault="002B0ACA" w:rsidP="00E51800">
      <w:pPr>
        <w:jc w:val="both"/>
        <w:rPr>
          <w:sz w:val="20"/>
          <w:szCs w:val="20"/>
        </w:rPr>
      </w:pPr>
    </w:p>
    <w:p w14:paraId="4D5D8512" w14:textId="77777777" w:rsidR="001951C5" w:rsidRPr="00310D2A" w:rsidRDefault="001951C5" w:rsidP="001951C5">
      <w:pPr>
        <w:jc w:val="both"/>
        <w:rPr>
          <w:sz w:val="20"/>
          <w:szCs w:val="20"/>
        </w:rPr>
      </w:pPr>
    </w:p>
    <w:p w14:paraId="17C6E9F8" w14:textId="745ADC26" w:rsidR="001951C5" w:rsidRPr="00310D2A" w:rsidRDefault="001951C5" w:rsidP="001951C5">
      <w:pPr>
        <w:rPr>
          <w:sz w:val="20"/>
        </w:rPr>
      </w:pPr>
      <w:r w:rsidRPr="00310D2A">
        <w:rPr>
          <w:sz w:val="20"/>
        </w:rPr>
        <w:t>The Australian Communications and Media Authority (</w:t>
      </w:r>
      <w:r w:rsidRPr="00310D2A">
        <w:rPr>
          <w:b/>
          <w:sz w:val="20"/>
        </w:rPr>
        <w:t>ACMA</w:t>
      </w:r>
      <w:r w:rsidRPr="00310D2A">
        <w:rPr>
          <w:sz w:val="20"/>
        </w:rPr>
        <w:t xml:space="preserve">) </w:t>
      </w:r>
      <w:r w:rsidR="00056548" w:rsidRPr="00310D2A">
        <w:rPr>
          <w:sz w:val="20"/>
        </w:rPr>
        <w:t xml:space="preserve">has made the </w:t>
      </w:r>
      <w:r w:rsidR="00896E33" w:rsidRPr="00310D2A">
        <w:rPr>
          <w:i/>
          <w:sz w:val="20"/>
        </w:rPr>
        <w:t xml:space="preserve">Radiocommunications Licence Conditions (Fixed Licence) </w:t>
      </w:r>
      <w:r w:rsidR="00052A39" w:rsidRPr="00310D2A">
        <w:rPr>
          <w:i/>
          <w:sz w:val="20"/>
        </w:rPr>
        <w:t xml:space="preserve">Amendment </w:t>
      </w:r>
      <w:r w:rsidR="00896E33" w:rsidRPr="00310D2A">
        <w:rPr>
          <w:i/>
          <w:sz w:val="20"/>
        </w:rPr>
        <w:t>Determination</w:t>
      </w:r>
      <w:r w:rsidR="00056548" w:rsidRPr="00310D2A">
        <w:rPr>
          <w:i/>
          <w:sz w:val="20"/>
        </w:rPr>
        <w:t xml:space="preserve"> 20</w:t>
      </w:r>
      <w:r w:rsidR="00052A39" w:rsidRPr="00310D2A">
        <w:rPr>
          <w:i/>
          <w:sz w:val="20"/>
        </w:rPr>
        <w:t>20</w:t>
      </w:r>
      <w:r w:rsidR="00056548" w:rsidRPr="00310D2A">
        <w:rPr>
          <w:i/>
          <w:sz w:val="20"/>
        </w:rPr>
        <w:t xml:space="preserve"> (No.1) </w:t>
      </w:r>
      <w:r w:rsidR="00056548" w:rsidRPr="00310D2A">
        <w:rPr>
          <w:sz w:val="20"/>
        </w:rPr>
        <w:t xml:space="preserve">(the </w:t>
      </w:r>
      <w:r w:rsidR="00052A39" w:rsidRPr="00310D2A">
        <w:rPr>
          <w:b/>
          <w:sz w:val="20"/>
        </w:rPr>
        <w:t xml:space="preserve">Amendment </w:t>
      </w:r>
      <w:r w:rsidR="00056548" w:rsidRPr="00310D2A">
        <w:rPr>
          <w:b/>
          <w:sz w:val="20"/>
        </w:rPr>
        <w:t>Instrument</w:t>
      </w:r>
      <w:r w:rsidR="00056548" w:rsidRPr="00310D2A">
        <w:rPr>
          <w:sz w:val="20"/>
        </w:rPr>
        <w:t xml:space="preserve">) under </w:t>
      </w:r>
      <w:r w:rsidR="00447842" w:rsidRPr="00310D2A">
        <w:rPr>
          <w:sz w:val="20"/>
        </w:rPr>
        <w:t xml:space="preserve">paragraph </w:t>
      </w:r>
      <w:r w:rsidR="00896E33" w:rsidRPr="00310D2A">
        <w:rPr>
          <w:sz w:val="20"/>
        </w:rPr>
        <w:t xml:space="preserve">107(1)(f) </w:t>
      </w:r>
      <w:r w:rsidRPr="00310D2A">
        <w:rPr>
          <w:sz w:val="20"/>
        </w:rPr>
        <w:t xml:space="preserve">of the </w:t>
      </w:r>
      <w:r w:rsidRPr="00310D2A">
        <w:rPr>
          <w:i/>
          <w:sz w:val="20"/>
        </w:rPr>
        <w:t>Radiocommunications Act 1992</w:t>
      </w:r>
      <w:r w:rsidRPr="00310D2A">
        <w:rPr>
          <w:sz w:val="20"/>
        </w:rPr>
        <w:t xml:space="preserve"> (the </w:t>
      </w:r>
      <w:r w:rsidRPr="00310D2A">
        <w:rPr>
          <w:b/>
          <w:sz w:val="20"/>
        </w:rPr>
        <w:t>Act</w:t>
      </w:r>
      <w:r w:rsidRPr="00310D2A">
        <w:rPr>
          <w:sz w:val="20"/>
        </w:rPr>
        <w:t>) and in accordance with subsection 33(3) of the</w:t>
      </w:r>
      <w:r w:rsidRPr="00310D2A">
        <w:rPr>
          <w:i/>
          <w:iCs/>
          <w:sz w:val="20"/>
        </w:rPr>
        <w:t xml:space="preserve"> Acts Interpretation Act 1901</w:t>
      </w:r>
      <w:r w:rsidR="00546E04" w:rsidRPr="00310D2A">
        <w:rPr>
          <w:sz w:val="20"/>
        </w:rPr>
        <w:t>(</w:t>
      </w:r>
      <w:r w:rsidR="007C4927" w:rsidRPr="00310D2A">
        <w:rPr>
          <w:sz w:val="20"/>
        </w:rPr>
        <w:t xml:space="preserve">the </w:t>
      </w:r>
      <w:r w:rsidR="007C4927" w:rsidRPr="00310D2A">
        <w:rPr>
          <w:b/>
          <w:bCs/>
          <w:sz w:val="20"/>
        </w:rPr>
        <w:t>AIA</w:t>
      </w:r>
      <w:r w:rsidR="007C4927" w:rsidRPr="00310D2A">
        <w:rPr>
          <w:sz w:val="20"/>
        </w:rPr>
        <w:t>)</w:t>
      </w:r>
      <w:r w:rsidR="00DC3C40" w:rsidRPr="00310D2A">
        <w:rPr>
          <w:sz w:val="20"/>
        </w:rPr>
        <w:t>.</w:t>
      </w:r>
    </w:p>
    <w:p w14:paraId="450A8E2F" w14:textId="77777777" w:rsidR="001951C5" w:rsidRPr="00310D2A" w:rsidRDefault="001951C5" w:rsidP="001951C5">
      <w:pPr>
        <w:rPr>
          <w:sz w:val="20"/>
        </w:rPr>
      </w:pPr>
    </w:p>
    <w:p w14:paraId="40FD78AA" w14:textId="4CF67877" w:rsidR="001951C5" w:rsidRPr="00310D2A" w:rsidRDefault="00447842" w:rsidP="001951C5">
      <w:pPr>
        <w:rPr>
          <w:sz w:val="20"/>
          <w:szCs w:val="20"/>
        </w:rPr>
      </w:pPr>
      <w:r w:rsidRPr="00310D2A">
        <w:rPr>
          <w:sz w:val="20"/>
          <w:szCs w:val="20"/>
        </w:rPr>
        <w:t xml:space="preserve">Paragraph </w:t>
      </w:r>
      <w:r w:rsidR="00896E33" w:rsidRPr="00310D2A">
        <w:rPr>
          <w:sz w:val="20"/>
          <w:szCs w:val="20"/>
        </w:rPr>
        <w:t>107(1)(f)</w:t>
      </w:r>
      <w:r w:rsidR="001951C5" w:rsidRPr="00310D2A">
        <w:rPr>
          <w:sz w:val="20"/>
          <w:szCs w:val="20"/>
        </w:rPr>
        <w:t xml:space="preserve"> of the Act provides that the </w:t>
      </w:r>
      <w:r w:rsidR="001951C5" w:rsidRPr="00310D2A">
        <w:rPr>
          <w:bCs/>
          <w:sz w:val="20"/>
          <w:szCs w:val="20"/>
        </w:rPr>
        <w:t>ACMA</w:t>
      </w:r>
      <w:r w:rsidR="001951C5" w:rsidRPr="00310D2A">
        <w:rPr>
          <w:sz w:val="20"/>
          <w:szCs w:val="20"/>
        </w:rPr>
        <w:t xml:space="preserve"> may determine</w:t>
      </w:r>
      <w:r w:rsidR="00896E33" w:rsidRPr="00310D2A">
        <w:rPr>
          <w:sz w:val="20"/>
          <w:szCs w:val="20"/>
        </w:rPr>
        <w:t>, by written instrument, conditions that apply in relation to a particular type of apparatus licence.</w:t>
      </w:r>
    </w:p>
    <w:p w14:paraId="1A9F29A0" w14:textId="77777777" w:rsidR="00454C99" w:rsidRPr="00310D2A" w:rsidRDefault="00454C99" w:rsidP="001951C5">
      <w:pPr>
        <w:rPr>
          <w:color w:val="000000"/>
          <w:sz w:val="22"/>
          <w:szCs w:val="22"/>
          <w:shd w:val="clear" w:color="auto" w:fill="FFFFFF"/>
        </w:rPr>
      </w:pPr>
    </w:p>
    <w:p w14:paraId="26784007" w14:textId="0EEFA525" w:rsidR="00454C99" w:rsidRPr="00310D2A" w:rsidRDefault="00454C99" w:rsidP="001951C5">
      <w:pPr>
        <w:rPr>
          <w:sz w:val="20"/>
          <w:szCs w:val="20"/>
        </w:rPr>
      </w:pPr>
      <w:r w:rsidRPr="00310D2A">
        <w:rPr>
          <w:sz w:val="20"/>
          <w:szCs w:val="20"/>
        </w:rPr>
        <w:t>Subsection 33(3) of the AIA provides that where an Act confers a power to make a legislative instrument, the power shall be construed to include a power exercisable in the like manner and subject to the like conditions (if any) to repeal, rescind, revoke, amend or vary any such instrument.</w:t>
      </w:r>
    </w:p>
    <w:p w14:paraId="570AF88F" w14:textId="77777777" w:rsidR="001951C5" w:rsidRPr="00310D2A" w:rsidRDefault="001951C5" w:rsidP="001951C5">
      <w:pPr>
        <w:rPr>
          <w:sz w:val="20"/>
        </w:rPr>
      </w:pPr>
    </w:p>
    <w:p w14:paraId="09128A5C" w14:textId="54190D1C" w:rsidR="00E41156" w:rsidRPr="00310D2A" w:rsidRDefault="00E41156" w:rsidP="001951C5">
      <w:pPr>
        <w:rPr>
          <w:sz w:val="20"/>
        </w:rPr>
      </w:pPr>
      <w:r w:rsidRPr="00310D2A">
        <w:rPr>
          <w:sz w:val="20"/>
        </w:rPr>
        <w:t xml:space="preserve">The </w:t>
      </w:r>
      <w:r w:rsidR="00E17ADD" w:rsidRPr="00310D2A">
        <w:rPr>
          <w:sz w:val="20"/>
        </w:rPr>
        <w:t>Amendment</w:t>
      </w:r>
      <w:r w:rsidR="00447842" w:rsidRPr="00310D2A">
        <w:rPr>
          <w:sz w:val="20"/>
        </w:rPr>
        <w:t xml:space="preserve"> I</w:t>
      </w:r>
      <w:r w:rsidRPr="00310D2A">
        <w:rPr>
          <w:sz w:val="20"/>
        </w:rPr>
        <w:t xml:space="preserve">nstrument is a legislative </w:t>
      </w:r>
      <w:r w:rsidR="00447842" w:rsidRPr="00310D2A">
        <w:rPr>
          <w:sz w:val="20"/>
        </w:rPr>
        <w:t xml:space="preserve">instrument </w:t>
      </w:r>
      <w:r w:rsidRPr="00310D2A">
        <w:rPr>
          <w:sz w:val="20"/>
        </w:rPr>
        <w:t xml:space="preserve">for the purposes of the </w:t>
      </w:r>
      <w:r w:rsidRPr="00310D2A">
        <w:rPr>
          <w:i/>
          <w:sz w:val="20"/>
        </w:rPr>
        <w:t>Legislation Act 2003</w:t>
      </w:r>
      <w:r w:rsidRPr="00310D2A">
        <w:rPr>
          <w:sz w:val="20"/>
        </w:rPr>
        <w:t xml:space="preserve"> (the</w:t>
      </w:r>
      <w:r w:rsidRPr="00310D2A">
        <w:rPr>
          <w:b/>
          <w:sz w:val="20"/>
        </w:rPr>
        <w:t xml:space="preserve"> LA</w:t>
      </w:r>
      <w:r w:rsidRPr="00310D2A">
        <w:rPr>
          <w:sz w:val="20"/>
        </w:rPr>
        <w:t>).</w:t>
      </w:r>
    </w:p>
    <w:p w14:paraId="2752A438" w14:textId="77777777" w:rsidR="00E41156" w:rsidRPr="00310D2A" w:rsidRDefault="00E41156" w:rsidP="001951C5">
      <w:pPr>
        <w:rPr>
          <w:sz w:val="20"/>
        </w:rPr>
      </w:pPr>
    </w:p>
    <w:p w14:paraId="1BB1A68E" w14:textId="6D7275C8" w:rsidR="00BC4203" w:rsidRPr="00310D2A" w:rsidRDefault="00BC4203" w:rsidP="001951C5">
      <w:pPr>
        <w:rPr>
          <w:sz w:val="20"/>
        </w:rPr>
      </w:pPr>
      <w:r w:rsidRPr="00310D2A">
        <w:rPr>
          <w:sz w:val="20"/>
        </w:rPr>
        <w:t xml:space="preserve">A provision-by-provision description of the </w:t>
      </w:r>
      <w:r w:rsidR="0048536C" w:rsidRPr="00310D2A">
        <w:rPr>
          <w:sz w:val="20"/>
        </w:rPr>
        <w:t xml:space="preserve">Amendment </w:t>
      </w:r>
      <w:r w:rsidR="009702E7" w:rsidRPr="00310D2A">
        <w:rPr>
          <w:sz w:val="20"/>
        </w:rPr>
        <w:t>I</w:t>
      </w:r>
      <w:r w:rsidRPr="00310D2A">
        <w:rPr>
          <w:sz w:val="20"/>
        </w:rPr>
        <w:t xml:space="preserve">nstrument is set out in the notes at </w:t>
      </w:r>
      <w:r w:rsidRPr="00310D2A">
        <w:rPr>
          <w:b/>
          <w:sz w:val="20"/>
        </w:rPr>
        <w:t>Attachment A</w:t>
      </w:r>
      <w:r w:rsidRPr="00310D2A">
        <w:rPr>
          <w:sz w:val="20"/>
        </w:rPr>
        <w:t>.</w:t>
      </w:r>
    </w:p>
    <w:p w14:paraId="48AA52AC" w14:textId="77777777" w:rsidR="001951C5" w:rsidRPr="00310D2A" w:rsidRDefault="001951C5" w:rsidP="00E51800">
      <w:pPr>
        <w:jc w:val="both"/>
        <w:rPr>
          <w:b/>
          <w:sz w:val="20"/>
          <w:szCs w:val="20"/>
        </w:rPr>
      </w:pPr>
    </w:p>
    <w:p w14:paraId="259039DE" w14:textId="493264A1" w:rsidR="002B0ACA" w:rsidRPr="00310D2A" w:rsidRDefault="00776FB8" w:rsidP="00E51800">
      <w:pPr>
        <w:jc w:val="both"/>
        <w:rPr>
          <w:b/>
          <w:sz w:val="20"/>
          <w:szCs w:val="20"/>
        </w:rPr>
      </w:pPr>
      <w:r w:rsidRPr="00310D2A">
        <w:rPr>
          <w:b/>
          <w:sz w:val="20"/>
          <w:szCs w:val="20"/>
        </w:rPr>
        <w:t>Purpose</w:t>
      </w:r>
      <w:r w:rsidR="001951C5" w:rsidRPr="00310D2A">
        <w:rPr>
          <w:b/>
          <w:sz w:val="20"/>
          <w:szCs w:val="20"/>
        </w:rPr>
        <w:t xml:space="preserve"> and operation of the instrument</w:t>
      </w:r>
    </w:p>
    <w:p w14:paraId="259039DF" w14:textId="77777777" w:rsidR="002B0ACA" w:rsidRPr="00310D2A" w:rsidRDefault="002B0ACA" w:rsidP="00E51800">
      <w:pPr>
        <w:jc w:val="both"/>
        <w:rPr>
          <w:sz w:val="20"/>
          <w:szCs w:val="20"/>
        </w:rPr>
      </w:pPr>
    </w:p>
    <w:p w14:paraId="259039E4" w14:textId="70F65CED" w:rsidR="003E64B7" w:rsidRPr="00310D2A" w:rsidRDefault="00776FB8" w:rsidP="00896E33">
      <w:pPr>
        <w:rPr>
          <w:sz w:val="20"/>
          <w:szCs w:val="20"/>
        </w:rPr>
      </w:pPr>
      <w:r w:rsidRPr="00310D2A">
        <w:rPr>
          <w:sz w:val="20"/>
          <w:szCs w:val="20"/>
        </w:rPr>
        <w:t>The purpose of the</w:t>
      </w:r>
      <w:r w:rsidR="00744673" w:rsidRPr="00310D2A">
        <w:rPr>
          <w:sz w:val="20"/>
          <w:szCs w:val="20"/>
        </w:rPr>
        <w:t xml:space="preserve"> </w:t>
      </w:r>
      <w:r w:rsidR="00E17ADD" w:rsidRPr="00310D2A">
        <w:rPr>
          <w:sz w:val="20"/>
          <w:szCs w:val="20"/>
        </w:rPr>
        <w:t>Amendment</w:t>
      </w:r>
      <w:r w:rsidR="00FF3D20" w:rsidRPr="00310D2A">
        <w:rPr>
          <w:sz w:val="20"/>
          <w:szCs w:val="20"/>
        </w:rPr>
        <w:t xml:space="preserve"> Instrument</w:t>
      </w:r>
      <w:r w:rsidR="00DE60FB" w:rsidRPr="00310D2A">
        <w:rPr>
          <w:sz w:val="20"/>
          <w:szCs w:val="20"/>
        </w:rPr>
        <w:t xml:space="preserve"> </w:t>
      </w:r>
      <w:r w:rsidR="00C37838" w:rsidRPr="00310D2A">
        <w:rPr>
          <w:sz w:val="20"/>
          <w:szCs w:val="20"/>
        </w:rPr>
        <w:t xml:space="preserve">is </w:t>
      </w:r>
      <w:r w:rsidRPr="00310D2A">
        <w:rPr>
          <w:sz w:val="20"/>
          <w:szCs w:val="20"/>
        </w:rPr>
        <w:t xml:space="preserve">to </w:t>
      </w:r>
      <w:r w:rsidR="00FF3D20" w:rsidRPr="00310D2A">
        <w:rPr>
          <w:sz w:val="20"/>
          <w:szCs w:val="20"/>
        </w:rPr>
        <w:t>amend the</w:t>
      </w:r>
      <w:r w:rsidR="003E64B7" w:rsidRPr="00310D2A">
        <w:rPr>
          <w:sz w:val="20"/>
          <w:szCs w:val="20"/>
        </w:rPr>
        <w:t xml:space="preserve"> </w:t>
      </w:r>
      <w:r w:rsidR="00896E33" w:rsidRPr="00310D2A">
        <w:rPr>
          <w:i/>
          <w:sz w:val="20"/>
        </w:rPr>
        <w:t>Radiocommunications Licence Conditions (Fixed Licence) Determination</w:t>
      </w:r>
      <w:r w:rsidR="00896E33" w:rsidRPr="00310D2A">
        <w:rPr>
          <w:sz w:val="20"/>
          <w:szCs w:val="20"/>
        </w:rPr>
        <w:t xml:space="preserve"> 2015 (the</w:t>
      </w:r>
      <w:r w:rsidR="00896E33" w:rsidRPr="00310D2A">
        <w:rPr>
          <w:b/>
          <w:sz w:val="20"/>
          <w:szCs w:val="20"/>
        </w:rPr>
        <w:t xml:space="preserve"> LCD</w:t>
      </w:r>
      <w:r w:rsidR="00896E33" w:rsidRPr="00310D2A">
        <w:rPr>
          <w:sz w:val="20"/>
          <w:szCs w:val="20"/>
        </w:rPr>
        <w:t xml:space="preserve">). </w:t>
      </w:r>
      <w:r w:rsidR="003E64B7" w:rsidRPr="00310D2A">
        <w:rPr>
          <w:sz w:val="20"/>
          <w:szCs w:val="20"/>
        </w:rPr>
        <w:t xml:space="preserve"> </w:t>
      </w:r>
    </w:p>
    <w:p w14:paraId="259039E6" w14:textId="77777777" w:rsidR="003E64B7" w:rsidRPr="00310D2A" w:rsidRDefault="003E64B7" w:rsidP="00E51800">
      <w:pPr>
        <w:jc w:val="both"/>
        <w:rPr>
          <w:sz w:val="20"/>
          <w:szCs w:val="20"/>
        </w:rPr>
      </w:pPr>
    </w:p>
    <w:p w14:paraId="4463DBBB" w14:textId="1170A49C" w:rsidR="00052A39" w:rsidRPr="00310D2A" w:rsidRDefault="00896E33" w:rsidP="00E51800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>The</w:t>
      </w:r>
      <w:r w:rsidR="00052A39" w:rsidRPr="00310D2A">
        <w:rPr>
          <w:sz w:val="20"/>
          <w:szCs w:val="20"/>
        </w:rPr>
        <w:t xml:space="preserve"> ACMA concluded a review of the 803-960 MHz band</w:t>
      </w:r>
      <w:r w:rsidRPr="00310D2A">
        <w:rPr>
          <w:sz w:val="20"/>
          <w:szCs w:val="20"/>
        </w:rPr>
        <w:t xml:space="preserve"> </w:t>
      </w:r>
      <w:r w:rsidR="00052A39" w:rsidRPr="00310D2A">
        <w:rPr>
          <w:sz w:val="20"/>
          <w:szCs w:val="20"/>
        </w:rPr>
        <w:t xml:space="preserve">in 2015 with the release of the decision paper  ‘The ACMA’s long-term strategy for the 803–960 MHz band’ (available here: </w:t>
      </w:r>
      <w:hyperlink r:id="rId12" w:history="1">
        <w:r w:rsidR="00052A39" w:rsidRPr="00310D2A">
          <w:rPr>
            <w:rStyle w:val="Hyperlink"/>
            <w:sz w:val="20"/>
            <w:szCs w:val="20"/>
          </w:rPr>
          <w:t>https://www.acma.gov.au/publications/2015-12/report/acmas-long-term-strategy-803-960-mhz-band-decision-paper</w:t>
        </w:r>
      </w:hyperlink>
      <w:r w:rsidR="00052A39" w:rsidRPr="00310D2A">
        <w:rPr>
          <w:sz w:val="20"/>
          <w:szCs w:val="20"/>
        </w:rPr>
        <w:t xml:space="preserve">). The 803-960 MHz band review outcomes require changes to the frequency ranges allocated to difference services types, including the allocations for point-to-multipoint and some point-to-point services. The Amendment Instrument updates the frequency ranges in Schedules 1 and 2 </w:t>
      </w:r>
      <w:r w:rsidR="009702E7" w:rsidRPr="00310D2A">
        <w:rPr>
          <w:sz w:val="20"/>
          <w:szCs w:val="20"/>
        </w:rPr>
        <w:t xml:space="preserve">to the LCD </w:t>
      </w:r>
      <w:r w:rsidR="00052A39" w:rsidRPr="00310D2A">
        <w:rPr>
          <w:sz w:val="20"/>
          <w:szCs w:val="20"/>
        </w:rPr>
        <w:t>to align with new frequency arrangements by:</w:t>
      </w:r>
    </w:p>
    <w:p w14:paraId="3AE8EFC9" w14:textId="77777777" w:rsidR="00052A39" w:rsidRPr="00310D2A" w:rsidRDefault="00052A39" w:rsidP="00E51800">
      <w:pPr>
        <w:jc w:val="both"/>
        <w:rPr>
          <w:sz w:val="20"/>
          <w:szCs w:val="20"/>
        </w:rPr>
      </w:pPr>
    </w:p>
    <w:p w14:paraId="33D865D5" w14:textId="5B1D5DC2" w:rsidR="00052A39" w:rsidRPr="00310D2A" w:rsidRDefault="00052A39" w:rsidP="00052A39">
      <w:pPr>
        <w:pStyle w:val="ListParagraph"/>
        <w:numPr>
          <w:ilvl w:val="0"/>
          <w:numId w:val="54"/>
        </w:numPr>
        <w:jc w:val="both"/>
        <w:rPr>
          <w:sz w:val="20"/>
          <w:szCs w:val="20"/>
        </w:rPr>
      </w:pPr>
      <w:r w:rsidRPr="00310D2A">
        <w:rPr>
          <w:sz w:val="20"/>
          <w:szCs w:val="20"/>
        </w:rPr>
        <w:t>amending the lower edge of the frequency range of Item 3 of Schedule 1 from 820 MHz to 804 MHz</w:t>
      </w:r>
      <w:r w:rsidR="000F4559" w:rsidRPr="00310D2A">
        <w:rPr>
          <w:sz w:val="20"/>
          <w:szCs w:val="20"/>
        </w:rPr>
        <w:t>; and</w:t>
      </w:r>
    </w:p>
    <w:p w14:paraId="0FC75D58" w14:textId="10A2CF18" w:rsidR="00052A39" w:rsidRPr="00310D2A" w:rsidRDefault="000F4559" w:rsidP="00052A39">
      <w:pPr>
        <w:pStyle w:val="ListParagraph"/>
        <w:numPr>
          <w:ilvl w:val="0"/>
          <w:numId w:val="54"/>
        </w:numPr>
        <w:jc w:val="both"/>
        <w:rPr>
          <w:sz w:val="20"/>
          <w:szCs w:val="20"/>
        </w:rPr>
      </w:pPr>
      <w:r w:rsidRPr="00310D2A">
        <w:rPr>
          <w:sz w:val="20"/>
          <w:szCs w:val="20"/>
        </w:rPr>
        <w:t>A</w:t>
      </w:r>
      <w:r w:rsidR="00052A39" w:rsidRPr="00310D2A">
        <w:rPr>
          <w:sz w:val="20"/>
          <w:szCs w:val="20"/>
        </w:rPr>
        <w:t>dding</w:t>
      </w:r>
      <w:r w:rsidRPr="00310D2A">
        <w:rPr>
          <w:sz w:val="20"/>
          <w:szCs w:val="20"/>
        </w:rPr>
        <w:t xml:space="preserve"> a</w:t>
      </w:r>
      <w:r w:rsidR="00052A39" w:rsidRPr="00310D2A">
        <w:rPr>
          <w:sz w:val="20"/>
          <w:szCs w:val="20"/>
        </w:rPr>
        <w:t xml:space="preserve"> new frequency range for point-to-multipoint remote stations (i.e. 805.5-806 MHz) to Item 1 of Schedule 2. </w:t>
      </w:r>
    </w:p>
    <w:p w14:paraId="20A22ED5" w14:textId="35C2E4A4" w:rsidR="00896E33" w:rsidRPr="00310D2A" w:rsidRDefault="00896E33" w:rsidP="00E51800">
      <w:pPr>
        <w:jc w:val="both"/>
        <w:rPr>
          <w:sz w:val="20"/>
          <w:szCs w:val="20"/>
        </w:rPr>
      </w:pPr>
    </w:p>
    <w:p w14:paraId="259039F7" w14:textId="77777777" w:rsidR="002B0ACA" w:rsidRPr="00310D2A" w:rsidRDefault="009C7347" w:rsidP="00E51800">
      <w:pPr>
        <w:keepNext/>
        <w:jc w:val="both"/>
        <w:outlineLvl w:val="0"/>
        <w:rPr>
          <w:b/>
          <w:sz w:val="20"/>
          <w:szCs w:val="20"/>
        </w:rPr>
      </w:pPr>
      <w:r w:rsidRPr="00310D2A">
        <w:rPr>
          <w:b/>
          <w:sz w:val="20"/>
          <w:szCs w:val="20"/>
        </w:rPr>
        <w:t>Background</w:t>
      </w:r>
    </w:p>
    <w:p w14:paraId="356E49BD" w14:textId="77777777" w:rsidR="00ED5FE9" w:rsidRPr="00310D2A" w:rsidRDefault="00ED5FE9" w:rsidP="00E51800">
      <w:pPr>
        <w:jc w:val="both"/>
        <w:rPr>
          <w:sz w:val="20"/>
          <w:szCs w:val="20"/>
        </w:rPr>
      </w:pPr>
    </w:p>
    <w:p w14:paraId="35AB7F34" w14:textId="68667B24" w:rsidR="00DA355C" w:rsidRPr="00310D2A" w:rsidRDefault="00ED5FE9" w:rsidP="00E51800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>Paragraph 107(1)(f) of t</w:t>
      </w:r>
      <w:r w:rsidR="00DA355C" w:rsidRPr="00310D2A">
        <w:rPr>
          <w:sz w:val="20"/>
          <w:szCs w:val="20"/>
        </w:rPr>
        <w:t xml:space="preserve">he Act </w:t>
      </w:r>
      <w:r w:rsidRPr="00310D2A">
        <w:rPr>
          <w:sz w:val="20"/>
          <w:szCs w:val="20"/>
        </w:rPr>
        <w:t>empowers</w:t>
      </w:r>
      <w:r w:rsidR="00DA355C" w:rsidRPr="00310D2A">
        <w:rPr>
          <w:sz w:val="20"/>
          <w:szCs w:val="20"/>
        </w:rPr>
        <w:t xml:space="preserve"> the ACMA to determine</w:t>
      </w:r>
      <w:r w:rsidR="00447842" w:rsidRPr="00310D2A">
        <w:rPr>
          <w:sz w:val="20"/>
          <w:szCs w:val="20"/>
        </w:rPr>
        <w:t>,</w:t>
      </w:r>
      <w:r w:rsidR="00DA355C" w:rsidRPr="00310D2A">
        <w:rPr>
          <w:sz w:val="20"/>
          <w:szCs w:val="20"/>
        </w:rPr>
        <w:t xml:space="preserve"> by written instrument</w:t>
      </w:r>
      <w:r w:rsidR="00447842" w:rsidRPr="00310D2A">
        <w:rPr>
          <w:sz w:val="20"/>
          <w:szCs w:val="20"/>
        </w:rPr>
        <w:t>,</w:t>
      </w:r>
      <w:r w:rsidR="00DA355C" w:rsidRPr="00310D2A">
        <w:rPr>
          <w:sz w:val="20"/>
          <w:szCs w:val="20"/>
        </w:rPr>
        <w:t xml:space="preserve"> conditions that will apply to particular type</w:t>
      </w:r>
      <w:r w:rsidR="005C688C" w:rsidRPr="00310D2A">
        <w:rPr>
          <w:sz w:val="20"/>
          <w:szCs w:val="20"/>
        </w:rPr>
        <w:t>s</w:t>
      </w:r>
      <w:r w:rsidR="00DA355C" w:rsidRPr="00310D2A">
        <w:rPr>
          <w:sz w:val="20"/>
          <w:szCs w:val="20"/>
        </w:rPr>
        <w:t xml:space="preserve"> of apparatus licence</w:t>
      </w:r>
      <w:r w:rsidR="005C688C" w:rsidRPr="00310D2A">
        <w:rPr>
          <w:sz w:val="20"/>
          <w:szCs w:val="20"/>
        </w:rPr>
        <w:t>s</w:t>
      </w:r>
      <w:r w:rsidR="00DA355C" w:rsidRPr="00310D2A">
        <w:rPr>
          <w:sz w:val="20"/>
          <w:szCs w:val="20"/>
        </w:rPr>
        <w:t xml:space="preserve">. </w:t>
      </w:r>
    </w:p>
    <w:p w14:paraId="3E8EFC01" w14:textId="77777777" w:rsidR="00052A39" w:rsidRPr="00310D2A" w:rsidRDefault="00052A39" w:rsidP="00E51800">
      <w:pPr>
        <w:jc w:val="both"/>
        <w:rPr>
          <w:sz w:val="20"/>
          <w:szCs w:val="20"/>
        </w:rPr>
      </w:pPr>
    </w:p>
    <w:p w14:paraId="557E866F" w14:textId="50EF899C" w:rsidR="00052A39" w:rsidRPr="00310D2A" w:rsidRDefault="00052A39" w:rsidP="00052A39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>Schedule 1 of the LCD provides the minimum antenna requirements for point-to-point services operating in specific frequency ranges (including the point-to-point frequency allocations in the 803-960 MHz band), to apply where an antenna is not specified on the licence.</w:t>
      </w:r>
    </w:p>
    <w:p w14:paraId="41935F4F" w14:textId="77777777" w:rsidR="00052A39" w:rsidRPr="00310D2A" w:rsidRDefault="00052A39" w:rsidP="00052A39">
      <w:pPr>
        <w:jc w:val="both"/>
        <w:rPr>
          <w:sz w:val="20"/>
          <w:szCs w:val="20"/>
        </w:rPr>
      </w:pPr>
    </w:p>
    <w:p w14:paraId="71F829C9" w14:textId="4D3BD8D1" w:rsidR="00052A39" w:rsidRPr="00310D2A" w:rsidRDefault="00052A39" w:rsidP="00052A39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>Schedule 2 of the LCD details the transmitter power levels for a remote station operated under a point-to-multipoint licence. Item 1 of this schedule allows remote stations which operate within defined frequency ranges (including the point-to-multipoint frequency allocation in the 803-960 MHz band) to operate with a transmitter power of up to 5 watts.</w:t>
      </w:r>
    </w:p>
    <w:p w14:paraId="12F11456" w14:textId="77777777" w:rsidR="00703BDF" w:rsidRPr="00310D2A" w:rsidRDefault="00703BDF" w:rsidP="00052A39">
      <w:pPr>
        <w:jc w:val="both"/>
        <w:rPr>
          <w:sz w:val="20"/>
          <w:szCs w:val="20"/>
        </w:rPr>
      </w:pPr>
    </w:p>
    <w:p w14:paraId="5867FF93" w14:textId="06650157" w:rsidR="00052A39" w:rsidRPr="00310D2A" w:rsidRDefault="00052A39" w:rsidP="00052A39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lastRenderedPageBreak/>
        <w:t xml:space="preserve">The frequency ranges in Schedules 1 and 2 </w:t>
      </w:r>
      <w:r w:rsidR="00A024D3" w:rsidRPr="00310D2A">
        <w:rPr>
          <w:sz w:val="20"/>
          <w:szCs w:val="20"/>
        </w:rPr>
        <w:t>to</w:t>
      </w:r>
      <w:r w:rsidRPr="00310D2A">
        <w:rPr>
          <w:sz w:val="20"/>
          <w:szCs w:val="20"/>
        </w:rPr>
        <w:t xml:space="preserve"> the LCD only partly align with the new frequency arrangements. That is, the new frequency ranges for point-to-multipoint and some point-to-point services are not included in Schedule 1 or 2 </w:t>
      </w:r>
      <w:r w:rsidR="00D214A8" w:rsidRPr="00310D2A">
        <w:rPr>
          <w:sz w:val="20"/>
          <w:szCs w:val="20"/>
        </w:rPr>
        <w:t xml:space="preserve">to </w:t>
      </w:r>
      <w:r w:rsidRPr="00310D2A">
        <w:rPr>
          <w:sz w:val="20"/>
          <w:szCs w:val="20"/>
        </w:rPr>
        <w:t xml:space="preserve">the LCD. </w:t>
      </w:r>
    </w:p>
    <w:p w14:paraId="1777BC3B" w14:textId="77777777" w:rsidR="00052A39" w:rsidRPr="00310D2A" w:rsidRDefault="00052A39" w:rsidP="00052A39">
      <w:pPr>
        <w:jc w:val="both"/>
        <w:rPr>
          <w:sz w:val="20"/>
          <w:szCs w:val="20"/>
        </w:rPr>
      </w:pPr>
    </w:p>
    <w:p w14:paraId="0AEAD790" w14:textId="51817E98" w:rsidR="00052A39" w:rsidRPr="00310D2A" w:rsidRDefault="00052A39" w:rsidP="00052A39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>The following updates will align the LCD with the new configuration of the 803-960 MHz band</w:t>
      </w:r>
      <w:r w:rsidR="00E17ADD" w:rsidRPr="00310D2A">
        <w:rPr>
          <w:sz w:val="20"/>
          <w:szCs w:val="20"/>
        </w:rPr>
        <w:t xml:space="preserve">. </w:t>
      </w:r>
      <w:r w:rsidRPr="00310D2A">
        <w:rPr>
          <w:sz w:val="20"/>
          <w:szCs w:val="20"/>
        </w:rPr>
        <w:t xml:space="preserve">The updates are intended to ensure that the established arrangements for point-to-point and point-to-multipoint services are </w:t>
      </w:r>
      <w:r w:rsidR="00A024D3" w:rsidRPr="00310D2A">
        <w:rPr>
          <w:sz w:val="20"/>
          <w:szCs w:val="20"/>
        </w:rPr>
        <w:t xml:space="preserve">expanded so as to encompass </w:t>
      </w:r>
      <w:r w:rsidRPr="00310D2A">
        <w:rPr>
          <w:sz w:val="20"/>
          <w:szCs w:val="20"/>
        </w:rPr>
        <w:t>the new frequency allocations.</w:t>
      </w:r>
    </w:p>
    <w:p w14:paraId="60CF48CC" w14:textId="77777777" w:rsidR="00E17ADD" w:rsidRPr="00310D2A" w:rsidRDefault="00E17ADD" w:rsidP="00052A39">
      <w:pPr>
        <w:jc w:val="both"/>
        <w:rPr>
          <w:sz w:val="20"/>
          <w:szCs w:val="20"/>
        </w:rPr>
      </w:pPr>
    </w:p>
    <w:p w14:paraId="77615434" w14:textId="101023EF" w:rsidR="00DA355C" w:rsidRPr="00310D2A" w:rsidRDefault="00E17ADD" w:rsidP="00052A39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>A</w:t>
      </w:r>
      <w:r w:rsidR="00052A39" w:rsidRPr="00310D2A">
        <w:rPr>
          <w:sz w:val="20"/>
          <w:szCs w:val="20"/>
        </w:rPr>
        <w:t xml:space="preserve"> typographic error with the item numbers listed in Schedule 2 </w:t>
      </w:r>
      <w:r w:rsidR="007B4577" w:rsidRPr="00310D2A">
        <w:rPr>
          <w:sz w:val="20"/>
          <w:szCs w:val="20"/>
        </w:rPr>
        <w:t xml:space="preserve">to </w:t>
      </w:r>
      <w:r w:rsidR="00052A39" w:rsidRPr="00310D2A">
        <w:rPr>
          <w:sz w:val="20"/>
          <w:szCs w:val="20"/>
        </w:rPr>
        <w:t>the LCD</w:t>
      </w:r>
      <w:r w:rsidRPr="00310D2A">
        <w:rPr>
          <w:sz w:val="20"/>
          <w:szCs w:val="20"/>
        </w:rPr>
        <w:t xml:space="preserve"> is also </w:t>
      </w:r>
      <w:r w:rsidR="007B4577" w:rsidRPr="00310D2A">
        <w:rPr>
          <w:sz w:val="20"/>
          <w:szCs w:val="20"/>
        </w:rPr>
        <w:t xml:space="preserve">corrected in the </w:t>
      </w:r>
      <w:r w:rsidRPr="00310D2A">
        <w:rPr>
          <w:sz w:val="20"/>
          <w:szCs w:val="20"/>
        </w:rPr>
        <w:t>Amendment Instrument</w:t>
      </w:r>
      <w:r w:rsidR="00052A39" w:rsidRPr="00310D2A">
        <w:rPr>
          <w:sz w:val="20"/>
          <w:szCs w:val="20"/>
        </w:rPr>
        <w:t>.</w:t>
      </w:r>
    </w:p>
    <w:p w14:paraId="725E5C3E" w14:textId="14E41793" w:rsidR="00DA355C" w:rsidRPr="00310D2A" w:rsidRDefault="00DA355C" w:rsidP="00E51800">
      <w:pPr>
        <w:jc w:val="both"/>
        <w:rPr>
          <w:sz w:val="20"/>
          <w:szCs w:val="20"/>
        </w:rPr>
      </w:pPr>
    </w:p>
    <w:p w14:paraId="25903A0D" w14:textId="7FBB18C4" w:rsidR="002B0ACA" w:rsidRPr="00310D2A" w:rsidRDefault="00B53B24" w:rsidP="00DA355C">
      <w:pPr>
        <w:jc w:val="both"/>
        <w:rPr>
          <w:b/>
          <w:sz w:val="20"/>
          <w:szCs w:val="20"/>
        </w:rPr>
      </w:pPr>
      <w:r w:rsidRPr="00310D2A">
        <w:rPr>
          <w:b/>
          <w:sz w:val="20"/>
          <w:szCs w:val="20"/>
        </w:rPr>
        <w:t>Consultation</w:t>
      </w:r>
    </w:p>
    <w:p w14:paraId="25903A0E" w14:textId="77777777" w:rsidR="002B0ACA" w:rsidRPr="00310D2A" w:rsidRDefault="002B0ACA" w:rsidP="00E51800">
      <w:pPr>
        <w:jc w:val="both"/>
        <w:rPr>
          <w:b/>
          <w:sz w:val="20"/>
          <w:szCs w:val="20"/>
        </w:rPr>
      </w:pPr>
    </w:p>
    <w:p w14:paraId="26038612" w14:textId="780662CE" w:rsidR="00416F67" w:rsidRPr="00310D2A" w:rsidRDefault="00416F67" w:rsidP="00E51800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 xml:space="preserve">Before the </w:t>
      </w:r>
      <w:r w:rsidR="00E17ADD" w:rsidRPr="00310D2A">
        <w:rPr>
          <w:sz w:val="20"/>
          <w:szCs w:val="20"/>
        </w:rPr>
        <w:t>Amendment</w:t>
      </w:r>
      <w:r w:rsidRPr="00310D2A">
        <w:rPr>
          <w:sz w:val="20"/>
          <w:szCs w:val="20"/>
        </w:rPr>
        <w:t xml:space="preserve"> Instrument was made, the ACMA was satisfied that consultation was undertaken to the extent appropriate and reasonably practicable, in accordance with section 17 of the LA. </w:t>
      </w:r>
    </w:p>
    <w:p w14:paraId="28FC86C7" w14:textId="77777777" w:rsidR="00416F67" w:rsidRPr="00310D2A" w:rsidRDefault="00416F67" w:rsidP="00E51800">
      <w:pPr>
        <w:jc w:val="both"/>
        <w:rPr>
          <w:sz w:val="20"/>
          <w:szCs w:val="20"/>
        </w:rPr>
      </w:pPr>
    </w:p>
    <w:p w14:paraId="25903A0F" w14:textId="563F524D" w:rsidR="002B0ACA" w:rsidRPr="00310D2A" w:rsidRDefault="0005764A" w:rsidP="00E51800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 xml:space="preserve">From </w:t>
      </w:r>
      <w:r w:rsidR="00E17ADD" w:rsidRPr="00310D2A">
        <w:rPr>
          <w:sz w:val="20"/>
          <w:szCs w:val="20"/>
        </w:rPr>
        <w:t>5</w:t>
      </w:r>
      <w:r w:rsidRPr="00310D2A">
        <w:rPr>
          <w:sz w:val="20"/>
          <w:szCs w:val="20"/>
        </w:rPr>
        <w:t xml:space="preserve"> May to </w:t>
      </w:r>
      <w:r w:rsidR="00E17ADD" w:rsidRPr="00310D2A">
        <w:rPr>
          <w:sz w:val="20"/>
          <w:szCs w:val="20"/>
        </w:rPr>
        <w:t>8</w:t>
      </w:r>
      <w:r w:rsidRPr="00310D2A">
        <w:rPr>
          <w:sz w:val="20"/>
          <w:szCs w:val="20"/>
        </w:rPr>
        <w:t xml:space="preserve"> June 2018, t</w:t>
      </w:r>
      <w:r w:rsidR="009C7347" w:rsidRPr="00310D2A">
        <w:rPr>
          <w:sz w:val="20"/>
          <w:szCs w:val="20"/>
        </w:rPr>
        <w:t xml:space="preserve">he ACMA </w:t>
      </w:r>
      <w:r w:rsidR="00ED5FE9" w:rsidRPr="00310D2A">
        <w:rPr>
          <w:sz w:val="20"/>
          <w:szCs w:val="20"/>
        </w:rPr>
        <w:t>publicly</w:t>
      </w:r>
      <w:r w:rsidRPr="00310D2A">
        <w:rPr>
          <w:sz w:val="20"/>
          <w:szCs w:val="20"/>
        </w:rPr>
        <w:t xml:space="preserve"> </w:t>
      </w:r>
      <w:r w:rsidR="009C7347" w:rsidRPr="00310D2A">
        <w:rPr>
          <w:sz w:val="20"/>
          <w:szCs w:val="20"/>
        </w:rPr>
        <w:t xml:space="preserve">consulted </w:t>
      </w:r>
      <w:r w:rsidRPr="00310D2A">
        <w:rPr>
          <w:sz w:val="20"/>
          <w:szCs w:val="20"/>
        </w:rPr>
        <w:t xml:space="preserve">on </w:t>
      </w:r>
      <w:r w:rsidR="00E17ADD" w:rsidRPr="00310D2A">
        <w:rPr>
          <w:sz w:val="20"/>
          <w:szCs w:val="20"/>
        </w:rPr>
        <w:t xml:space="preserve">a draft of </w:t>
      </w:r>
      <w:r w:rsidR="00384516" w:rsidRPr="00310D2A">
        <w:rPr>
          <w:sz w:val="20"/>
          <w:szCs w:val="20"/>
        </w:rPr>
        <w:t xml:space="preserve">the </w:t>
      </w:r>
      <w:r w:rsidR="00E17ADD" w:rsidRPr="00310D2A">
        <w:rPr>
          <w:sz w:val="20"/>
          <w:szCs w:val="20"/>
        </w:rPr>
        <w:t xml:space="preserve">Amendment Instrument  as well as updates to six Radiocommunication Assignment and Licensing Instructions (RALIs) as part of the implementation of the decisions stemming from the review of the 803-960 MHz band </w:t>
      </w:r>
      <w:r w:rsidR="005C688C" w:rsidRPr="00310D2A">
        <w:rPr>
          <w:sz w:val="20"/>
          <w:szCs w:val="20"/>
        </w:rPr>
        <w:t xml:space="preserve">(further information </w:t>
      </w:r>
      <w:r w:rsidR="00A4772F" w:rsidRPr="00310D2A">
        <w:rPr>
          <w:sz w:val="20"/>
          <w:szCs w:val="20"/>
        </w:rPr>
        <w:t>concernin</w:t>
      </w:r>
      <w:r w:rsidR="005C688C" w:rsidRPr="00310D2A">
        <w:rPr>
          <w:sz w:val="20"/>
          <w:szCs w:val="20"/>
        </w:rPr>
        <w:t xml:space="preserve">g that consultation process is available here: </w:t>
      </w:r>
      <w:hyperlink r:id="rId13" w:history="1">
        <w:r w:rsidR="00E17ADD" w:rsidRPr="00310D2A">
          <w:rPr>
            <w:rStyle w:val="Hyperlink"/>
            <w:sz w:val="20"/>
            <w:szCs w:val="20"/>
          </w:rPr>
          <w:t>https://www.acma.gov.au/consultations/2020-05/803-960-mhz-band-implementation-arrangements-support-milestone-3-consultation-122020</w:t>
        </w:r>
      </w:hyperlink>
      <w:r w:rsidR="005C688C" w:rsidRPr="00310D2A">
        <w:rPr>
          <w:sz w:val="20"/>
          <w:szCs w:val="20"/>
        </w:rPr>
        <w:t>)</w:t>
      </w:r>
      <w:r w:rsidRPr="00310D2A">
        <w:rPr>
          <w:sz w:val="20"/>
          <w:szCs w:val="20"/>
        </w:rPr>
        <w:t xml:space="preserve">. </w:t>
      </w:r>
    </w:p>
    <w:p w14:paraId="25903A10" w14:textId="77777777" w:rsidR="002B0ACA" w:rsidRPr="00310D2A" w:rsidRDefault="002B0ACA" w:rsidP="00E51800">
      <w:pPr>
        <w:jc w:val="both"/>
        <w:rPr>
          <w:sz w:val="20"/>
          <w:szCs w:val="20"/>
        </w:rPr>
      </w:pPr>
    </w:p>
    <w:p w14:paraId="25903A17" w14:textId="01620040" w:rsidR="00A02C02" w:rsidRPr="00310D2A" w:rsidRDefault="00E17ADD" w:rsidP="00FA0729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>Three</w:t>
      </w:r>
      <w:r w:rsidR="0005764A" w:rsidRPr="00310D2A">
        <w:rPr>
          <w:sz w:val="20"/>
          <w:szCs w:val="20"/>
        </w:rPr>
        <w:t xml:space="preserve"> </w:t>
      </w:r>
      <w:r w:rsidR="009C7347" w:rsidRPr="00310D2A">
        <w:rPr>
          <w:sz w:val="20"/>
          <w:szCs w:val="20"/>
        </w:rPr>
        <w:t>submission</w:t>
      </w:r>
      <w:r w:rsidR="00A869A8" w:rsidRPr="00310D2A">
        <w:rPr>
          <w:sz w:val="20"/>
          <w:szCs w:val="20"/>
        </w:rPr>
        <w:t>s</w:t>
      </w:r>
      <w:r w:rsidR="009C7347" w:rsidRPr="00310D2A">
        <w:rPr>
          <w:sz w:val="20"/>
          <w:szCs w:val="20"/>
        </w:rPr>
        <w:t xml:space="preserve"> </w:t>
      </w:r>
      <w:r w:rsidR="00DE60FB" w:rsidRPr="00310D2A">
        <w:rPr>
          <w:sz w:val="20"/>
          <w:szCs w:val="20"/>
        </w:rPr>
        <w:t xml:space="preserve">were </w:t>
      </w:r>
      <w:r w:rsidR="009C7347" w:rsidRPr="00310D2A">
        <w:rPr>
          <w:sz w:val="20"/>
          <w:szCs w:val="20"/>
        </w:rPr>
        <w:t xml:space="preserve">received during </w:t>
      </w:r>
      <w:r w:rsidR="00416F67" w:rsidRPr="00310D2A">
        <w:rPr>
          <w:sz w:val="20"/>
          <w:szCs w:val="20"/>
        </w:rPr>
        <w:t xml:space="preserve">the </w:t>
      </w:r>
      <w:r w:rsidR="009C7347" w:rsidRPr="00310D2A">
        <w:rPr>
          <w:sz w:val="20"/>
          <w:szCs w:val="20"/>
        </w:rPr>
        <w:t xml:space="preserve">public consultation </w:t>
      </w:r>
      <w:r w:rsidR="00416F67" w:rsidRPr="00310D2A">
        <w:rPr>
          <w:sz w:val="20"/>
          <w:szCs w:val="20"/>
        </w:rPr>
        <w:t>period</w:t>
      </w:r>
      <w:r w:rsidR="0007071C" w:rsidRPr="00310D2A">
        <w:rPr>
          <w:sz w:val="20"/>
          <w:szCs w:val="20"/>
        </w:rPr>
        <w:t xml:space="preserve">. </w:t>
      </w:r>
      <w:r w:rsidR="0005764A" w:rsidRPr="00310D2A">
        <w:rPr>
          <w:sz w:val="20"/>
          <w:szCs w:val="20"/>
        </w:rPr>
        <w:t xml:space="preserve">No submissions opposed the proposed changes to the LCD. </w:t>
      </w:r>
    </w:p>
    <w:p w14:paraId="25903A18" w14:textId="77777777" w:rsidR="00EF0449" w:rsidRPr="00310D2A" w:rsidRDefault="00EF0449" w:rsidP="00E51800">
      <w:pPr>
        <w:jc w:val="both"/>
        <w:rPr>
          <w:sz w:val="20"/>
          <w:szCs w:val="20"/>
        </w:rPr>
      </w:pPr>
    </w:p>
    <w:p w14:paraId="25903A1A" w14:textId="77777777" w:rsidR="002B0ACA" w:rsidRPr="00310D2A" w:rsidRDefault="001B79DD" w:rsidP="00E51800">
      <w:pPr>
        <w:jc w:val="both"/>
        <w:rPr>
          <w:b/>
          <w:sz w:val="20"/>
          <w:szCs w:val="20"/>
        </w:rPr>
      </w:pPr>
      <w:r w:rsidRPr="00310D2A">
        <w:rPr>
          <w:b/>
          <w:sz w:val="20"/>
          <w:szCs w:val="20"/>
        </w:rPr>
        <w:t xml:space="preserve">Regulatory </w:t>
      </w:r>
      <w:r w:rsidR="009859BF" w:rsidRPr="00310D2A">
        <w:rPr>
          <w:b/>
          <w:sz w:val="20"/>
          <w:szCs w:val="20"/>
        </w:rPr>
        <w:t>i</w:t>
      </w:r>
      <w:r w:rsidRPr="00310D2A">
        <w:rPr>
          <w:b/>
          <w:sz w:val="20"/>
          <w:szCs w:val="20"/>
        </w:rPr>
        <w:t xml:space="preserve">mpact </w:t>
      </w:r>
    </w:p>
    <w:p w14:paraId="25903A1B" w14:textId="77777777" w:rsidR="002B0ACA" w:rsidRPr="00310D2A" w:rsidRDefault="002B0ACA" w:rsidP="00E51800">
      <w:pPr>
        <w:jc w:val="both"/>
        <w:rPr>
          <w:sz w:val="20"/>
          <w:szCs w:val="20"/>
        </w:rPr>
      </w:pPr>
    </w:p>
    <w:p w14:paraId="25903A1C" w14:textId="4DF17010" w:rsidR="002B0ACA" w:rsidRPr="00310D2A" w:rsidRDefault="000E36AE" w:rsidP="00E51800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>T</w:t>
      </w:r>
      <w:r w:rsidR="00765927" w:rsidRPr="00310D2A">
        <w:rPr>
          <w:sz w:val="20"/>
          <w:szCs w:val="20"/>
        </w:rPr>
        <w:t xml:space="preserve">he ACMA consulted with the Office of Best Practice Regulation (the </w:t>
      </w:r>
      <w:r w:rsidR="00765927" w:rsidRPr="00310D2A">
        <w:rPr>
          <w:b/>
          <w:sz w:val="20"/>
          <w:szCs w:val="20"/>
        </w:rPr>
        <w:t>OBPR</w:t>
      </w:r>
      <w:r w:rsidR="00765927" w:rsidRPr="00310D2A">
        <w:rPr>
          <w:sz w:val="20"/>
          <w:szCs w:val="20"/>
        </w:rPr>
        <w:t xml:space="preserve">) on the requirement for a </w:t>
      </w:r>
      <w:r w:rsidR="00C37838" w:rsidRPr="00310D2A">
        <w:rPr>
          <w:sz w:val="20"/>
          <w:szCs w:val="20"/>
        </w:rPr>
        <w:t>R</w:t>
      </w:r>
      <w:r w:rsidR="00765927" w:rsidRPr="00310D2A">
        <w:rPr>
          <w:sz w:val="20"/>
          <w:szCs w:val="20"/>
        </w:rPr>
        <w:t xml:space="preserve">egulation </w:t>
      </w:r>
      <w:r w:rsidR="00C37838" w:rsidRPr="00310D2A">
        <w:rPr>
          <w:sz w:val="20"/>
          <w:szCs w:val="20"/>
        </w:rPr>
        <w:t>Impact S</w:t>
      </w:r>
      <w:r w:rsidR="00765927" w:rsidRPr="00310D2A">
        <w:rPr>
          <w:sz w:val="20"/>
          <w:szCs w:val="20"/>
        </w:rPr>
        <w:t>tatement (</w:t>
      </w:r>
      <w:r w:rsidR="00765927" w:rsidRPr="00310D2A">
        <w:rPr>
          <w:b/>
          <w:sz w:val="20"/>
          <w:szCs w:val="20"/>
        </w:rPr>
        <w:t>RIS</w:t>
      </w:r>
      <w:r w:rsidR="00765927" w:rsidRPr="00310D2A">
        <w:rPr>
          <w:sz w:val="20"/>
          <w:szCs w:val="20"/>
        </w:rPr>
        <w:t>). The OBPR advised that</w:t>
      </w:r>
      <w:r w:rsidR="00E17ADD" w:rsidRPr="00310D2A">
        <w:rPr>
          <w:sz w:val="20"/>
          <w:szCs w:val="20"/>
        </w:rPr>
        <w:t xml:space="preserve"> a RIS would not be needed for decisions around the reconfiguration of the 803-960 MHz band. The Amendment Instrument is a machinery change that implements those decisions</w:t>
      </w:r>
      <w:r w:rsidR="009A4967" w:rsidRPr="00310D2A">
        <w:rPr>
          <w:sz w:val="20"/>
          <w:szCs w:val="20"/>
        </w:rPr>
        <w:t>. The reference</w:t>
      </w:r>
      <w:r w:rsidR="00CB4B61" w:rsidRPr="00310D2A">
        <w:rPr>
          <w:sz w:val="20"/>
          <w:szCs w:val="20"/>
        </w:rPr>
        <w:t xml:space="preserve"> number </w:t>
      </w:r>
      <w:r w:rsidR="009A4967" w:rsidRPr="00310D2A">
        <w:rPr>
          <w:sz w:val="20"/>
          <w:szCs w:val="20"/>
        </w:rPr>
        <w:t xml:space="preserve">for the OBPR’s assessment is </w:t>
      </w:r>
      <w:r w:rsidR="00B53B24" w:rsidRPr="00310D2A">
        <w:rPr>
          <w:sz w:val="20"/>
          <w:szCs w:val="20"/>
        </w:rPr>
        <w:t xml:space="preserve">OBPR ID </w:t>
      </w:r>
      <w:r w:rsidR="00E17ADD" w:rsidRPr="00310D2A">
        <w:rPr>
          <w:sz w:val="20"/>
          <w:szCs w:val="20"/>
        </w:rPr>
        <w:t>19557</w:t>
      </w:r>
      <w:r w:rsidR="0067397E" w:rsidRPr="00310D2A">
        <w:rPr>
          <w:sz w:val="20"/>
          <w:szCs w:val="20"/>
        </w:rPr>
        <w:t>.</w:t>
      </w:r>
    </w:p>
    <w:p w14:paraId="25903A1D" w14:textId="77777777" w:rsidR="002B0ACA" w:rsidRPr="00310D2A" w:rsidRDefault="002B0ACA" w:rsidP="00E51800">
      <w:pPr>
        <w:jc w:val="both"/>
        <w:rPr>
          <w:sz w:val="20"/>
          <w:szCs w:val="20"/>
        </w:rPr>
      </w:pPr>
    </w:p>
    <w:p w14:paraId="25903A1F" w14:textId="1F29A428" w:rsidR="002B0ACA" w:rsidRPr="00310D2A" w:rsidRDefault="009859BF" w:rsidP="00E51800">
      <w:pPr>
        <w:jc w:val="both"/>
        <w:rPr>
          <w:b/>
          <w:sz w:val="20"/>
          <w:szCs w:val="20"/>
        </w:rPr>
      </w:pPr>
      <w:r w:rsidRPr="00310D2A">
        <w:rPr>
          <w:b/>
          <w:sz w:val="20"/>
          <w:szCs w:val="20"/>
        </w:rPr>
        <w:t>Document</w:t>
      </w:r>
      <w:r w:rsidR="002D48B8" w:rsidRPr="00310D2A">
        <w:rPr>
          <w:b/>
          <w:sz w:val="20"/>
          <w:szCs w:val="20"/>
        </w:rPr>
        <w:t>s</w:t>
      </w:r>
      <w:r w:rsidRPr="00310D2A">
        <w:rPr>
          <w:b/>
          <w:sz w:val="20"/>
          <w:szCs w:val="20"/>
        </w:rPr>
        <w:t xml:space="preserve"> i</w:t>
      </w:r>
      <w:r w:rsidR="00776FB8" w:rsidRPr="00310D2A">
        <w:rPr>
          <w:b/>
          <w:sz w:val="20"/>
          <w:szCs w:val="20"/>
        </w:rPr>
        <w:t xml:space="preserve">ncorporated by </w:t>
      </w:r>
      <w:r w:rsidRPr="00310D2A">
        <w:rPr>
          <w:b/>
          <w:sz w:val="20"/>
          <w:szCs w:val="20"/>
        </w:rPr>
        <w:t>r</w:t>
      </w:r>
      <w:r w:rsidR="00776FB8" w:rsidRPr="00310D2A">
        <w:rPr>
          <w:b/>
          <w:sz w:val="20"/>
          <w:szCs w:val="20"/>
        </w:rPr>
        <w:t>eference</w:t>
      </w:r>
    </w:p>
    <w:p w14:paraId="25903A20" w14:textId="77777777" w:rsidR="003F0808" w:rsidRPr="00310D2A" w:rsidRDefault="003F0808" w:rsidP="00E51800">
      <w:pPr>
        <w:jc w:val="both"/>
        <w:rPr>
          <w:sz w:val="20"/>
          <w:szCs w:val="20"/>
        </w:rPr>
      </w:pPr>
    </w:p>
    <w:p w14:paraId="36F9D7F1" w14:textId="4FF09611" w:rsidR="00E17ADD" w:rsidRPr="00310D2A" w:rsidRDefault="0005764A" w:rsidP="005C688C">
      <w:pPr>
        <w:spacing w:after="120"/>
        <w:rPr>
          <w:sz w:val="20"/>
          <w:szCs w:val="20"/>
        </w:rPr>
      </w:pPr>
      <w:r w:rsidRPr="00310D2A">
        <w:rPr>
          <w:sz w:val="20"/>
          <w:szCs w:val="20"/>
        </w:rPr>
        <w:t xml:space="preserve">There are no documents incorporated by reference as a result of the </w:t>
      </w:r>
      <w:r w:rsidR="00E17ADD" w:rsidRPr="00310D2A">
        <w:rPr>
          <w:sz w:val="20"/>
          <w:szCs w:val="20"/>
        </w:rPr>
        <w:t>Amendment</w:t>
      </w:r>
      <w:r w:rsidRPr="00310D2A">
        <w:rPr>
          <w:sz w:val="20"/>
          <w:szCs w:val="20"/>
        </w:rPr>
        <w:t xml:space="preserve"> Instrument. </w:t>
      </w:r>
    </w:p>
    <w:p w14:paraId="5BB9FC97" w14:textId="77777777" w:rsidR="00AE7370" w:rsidRPr="00310D2A" w:rsidRDefault="00AE7370" w:rsidP="005C688C">
      <w:pPr>
        <w:spacing w:after="120"/>
        <w:rPr>
          <w:sz w:val="20"/>
          <w:szCs w:val="20"/>
        </w:rPr>
      </w:pPr>
    </w:p>
    <w:p w14:paraId="2E63BA8A" w14:textId="12BCB1C2" w:rsidR="007A5A97" w:rsidRPr="00310D2A" w:rsidRDefault="00744673" w:rsidP="005C688C">
      <w:pPr>
        <w:spacing w:after="240"/>
        <w:jc w:val="both"/>
        <w:outlineLvl w:val="0"/>
        <w:rPr>
          <w:sz w:val="20"/>
          <w:szCs w:val="20"/>
        </w:rPr>
      </w:pPr>
      <w:r w:rsidRPr="00310D2A">
        <w:rPr>
          <w:b/>
          <w:sz w:val="20"/>
          <w:szCs w:val="20"/>
        </w:rPr>
        <w:t>Statement of compatibility with human rights</w:t>
      </w:r>
    </w:p>
    <w:p w14:paraId="113C57D0" w14:textId="6E3E04A4" w:rsidR="0009642C" w:rsidRPr="00310D2A" w:rsidRDefault="0009642C" w:rsidP="0009642C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 xml:space="preserve">Subsection 9(1) of the </w:t>
      </w:r>
      <w:r w:rsidRPr="00310D2A">
        <w:rPr>
          <w:i/>
          <w:sz w:val="20"/>
          <w:szCs w:val="20"/>
        </w:rPr>
        <w:t>Human Rights (Parliamentary Scrutiny) Act 2011</w:t>
      </w:r>
      <w:r w:rsidRPr="00310D2A">
        <w:rPr>
          <w:sz w:val="20"/>
          <w:szCs w:val="20"/>
        </w:rPr>
        <w:t xml:space="preserve"> requires the rule-maker in relation to a legislative instrument to which section 42 (disallowance) of the </w:t>
      </w:r>
      <w:r w:rsidR="002D48B8" w:rsidRPr="00310D2A">
        <w:rPr>
          <w:sz w:val="20"/>
          <w:szCs w:val="20"/>
        </w:rPr>
        <w:t>LA</w:t>
      </w:r>
      <w:r w:rsidRPr="00310D2A">
        <w:rPr>
          <w:sz w:val="20"/>
          <w:szCs w:val="20"/>
        </w:rPr>
        <w:t xml:space="preserve"> applies to cause a statement of compatibility with human rights to be prepared in respect of that legislative instrument.</w:t>
      </w:r>
    </w:p>
    <w:p w14:paraId="53018161" w14:textId="77777777" w:rsidR="0009642C" w:rsidRPr="00310D2A" w:rsidRDefault="0009642C" w:rsidP="0009642C">
      <w:pPr>
        <w:jc w:val="both"/>
        <w:rPr>
          <w:sz w:val="20"/>
          <w:szCs w:val="20"/>
        </w:rPr>
      </w:pPr>
    </w:p>
    <w:p w14:paraId="585146BE" w14:textId="0EADAC7C" w:rsidR="00C81ABC" w:rsidRPr="00310D2A" w:rsidRDefault="00C81ABC" w:rsidP="0009642C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>The statement of compatibility set out below has been prepared to meet that requirement.</w:t>
      </w:r>
    </w:p>
    <w:p w14:paraId="37BEBD1B" w14:textId="77777777" w:rsidR="00BE7186" w:rsidRPr="00310D2A" w:rsidRDefault="00BE7186" w:rsidP="0009642C">
      <w:pPr>
        <w:jc w:val="both"/>
        <w:rPr>
          <w:sz w:val="20"/>
          <w:szCs w:val="20"/>
        </w:rPr>
      </w:pPr>
    </w:p>
    <w:p w14:paraId="7BCD56A1" w14:textId="77777777" w:rsidR="0009642C" w:rsidRPr="00310D2A" w:rsidRDefault="0009642C" w:rsidP="0009642C">
      <w:pPr>
        <w:jc w:val="both"/>
        <w:rPr>
          <w:i/>
          <w:sz w:val="20"/>
          <w:szCs w:val="20"/>
        </w:rPr>
      </w:pPr>
    </w:p>
    <w:p w14:paraId="0F814A03" w14:textId="4662113D" w:rsidR="0009642C" w:rsidRPr="00310D2A" w:rsidRDefault="0009642C" w:rsidP="0009642C">
      <w:pPr>
        <w:jc w:val="both"/>
        <w:rPr>
          <w:i/>
          <w:sz w:val="20"/>
          <w:szCs w:val="20"/>
        </w:rPr>
      </w:pPr>
      <w:r w:rsidRPr="00310D2A">
        <w:rPr>
          <w:b/>
          <w:i/>
          <w:sz w:val="20"/>
          <w:szCs w:val="20"/>
        </w:rPr>
        <w:t xml:space="preserve">Overview of the </w:t>
      </w:r>
      <w:r w:rsidR="00E17ADD" w:rsidRPr="00310D2A">
        <w:rPr>
          <w:b/>
          <w:i/>
          <w:sz w:val="20"/>
          <w:szCs w:val="20"/>
        </w:rPr>
        <w:t>Amendment</w:t>
      </w:r>
      <w:r w:rsidR="00C81ABC" w:rsidRPr="00310D2A">
        <w:rPr>
          <w:b/>
          <w:i/>
          <w:sz w:val="20"/>
          <w:szCs w:val="20"/>
        </w:rPr>
        <w:t xml:space="preserve"> Instrument </w:t>
      </w:r>
    </w:p>
    <w:p w14:paraId="6E0121BD" w14:textId="77777777" w:rsidR="0009642C" w:rsidRPr="00310D2A" w:rsidRDefault="0009642C" w:rsidP="0009642C">
      <w:pPr>
        <w:jc w:val="both"/>
        <w:rPr>
          <w:sz w:val="20"/>
          <w:szCs w:val="20"/>
        </w:rPr>
      </w:pPr>
    </w:p>
    <w:p w14:paraId="039D3052" w14:textId="66AB3AC6" w:rsidR="00797EDD" w:rsidRPr="00310D2A" w:rsidRDefault="001835AD" w:rsidP="00797EDD">
      <w:pPr>
        <w:rPr>
          <w:sz w:val="20"/>
          <w:szCs w:val="20"/>
        </w:rPr>
      </w:pPr>
      <w:r w:rsidRPr="00310D2A">
        <w:rPr>
          <w:sz w:val="20"/>
          <w:szCs w:val="20"/>
        </w:rPr>
        <w:t xml:space="preserve">Paragraph </w:t>
      </w:r>
      <w:r w:rsidR="0005764A" w:rsidRPr="00310D2A">
        <w:rPr>
          <w:sz w:val="20"/>
          <w:szCs w:val="20"/>
        </w:rPr>
        <w:t xml:space="preserve">107(1)(f) </w:t>
      </w:r>
      <w:r w:rsidR="0009642C" w:rsidRPr="00310D2A">
        <w:rPr>
          <w:sz w:val="20"/>
          <w:szCs w:val="20"/>
        </w:rPr>
        <w:t xml:space="preserve">of the </w:t>
      </w:r>
      <w:r w:rsidR="00C81ABC" w:rsidRPr="00310D2A">
        <w:rPr>
          <w:sz w:val="20"/>
          <w:szCs w:val="20"/>
        </w:rPr>
        <w:t>Act</w:t>
      </w:r>
      <w:r w:rsidR="00C81ABC" w:rsidRPr="00310D2A">
        <w:rPr>
          <w:i/>
          <w:sz w:val="20"/>
          <w:szCs w:val="20"/>
        </w:rPr>
        <w:t xml:space="preserve"> </w:t>
      </w:r>
      <w:r w:rsidR="0009642C" w:rsidRPr="00310D2A">
        <w:rPr>
          <w:sz w:val="20"/>
          <w:szCs w:val="20"/>
        </w:rPr>
        <w:t xml:space="preserve">provides that </w:t>
      </w:r>
      <w:r w:rsidR="00797EDD" w:rsidRPr="00310D2A">
        <w:rPr>
          <w:sz w:val="20"/>
          <w:szCs w:val="20"/>
        </w:rPr>
        <w:t xml:space="preserve">the </w:t>
      </w:r>
      <w:r w:rsidR="00797EDD" w:rsidRPr="00310D2A">
        <w:rPr>
          <w:bCs/>
          <w:sz w:val="20"/>
          <w:szCs w:val="20"/>
        </w:rPr>
        <w:t>ACMA</w:t>
      </w:r>
      <w:r w:rsidR="00797EDD" w:rsidRPr="00310D2A">
        <w:rPr>
          <w:sz w:val="20"/>
          <w:szCs w:val="20"/>
        </w:rPr>
        <w:t xml:space="preserve"> may determine, by written instrument, conditions that apply in relation to a particular type of apparatus licence.</w:t>
      </w:r>
    </w:p>
    <w:p w14:paraId="05F99AF1" w14:textId="77777777" w:rsidR="0009642C" w:rsidRPr="00310D2A" w:rsidRDefault="0009642C" w:rsidP="0009642C">
      <w:pPr>
        <w:jc w:val="both"/>
        <w:rPr>
          <w:sz w:val="20"/>
          <w:szCs w:val="20"/>
        </w:rPr>
      </w:pPr>
    </w:p>
    <w:p w14:paraId="34EB7FA5" w14:textId="695A8469" w:rsidR="00797EDD" w:rsidRPr="00310D2A" w:rsidRDefault="00797EDD" w:rsidP="00797EDD">
      <w:pPr>
        <w:rPr>
          <w:sz w:val="20"/>
          <w:szCs w:val="20"/>
        </w:rPr>
      </w:pPr>
      <w:r w:rsidRPr="00310D2A">
        <w:rPr>
          <w:sz w:val="20"/>
          <w:szCs w:val="20"/>
        </w:rPr>
        <w:t xml:space="preserve">The purpose of the </w:t>
      </w:r>
      <w:r w:rsidR="00E17ADD" w:rsidRPr="00310D2A">
        <w:rPr>
          <w:sz w:val="20"/>
          <w:szCs w:val="20"/>
        </w:rPr>
        <w:t>Amendment</w:t>
      </w:r>
      <w:r w:rsidRPr="00310D2A">
        <w:rPr>
          <w:sz w:val="20"/>
          <w:szCs w:val="20"/>
        </w:rPr>
        <w:t xml:space="preserve"> Instrument is to amend the </w:t>
      </w:r>
      <w:r w:rsidRPr="00310D2A">
        <w:rPr>
          <w:i/>
          <w:sz w:val="20"/>
        </w:rPr>
        <w:t>Radiocommunications Licence Conditions (Fixed Licence) Determination</w:t>
      </w:r>
      <w:r w:rsidRPr="00310D2A">
        <w:rPr>
          <w:sz w:val="20"/>
          <w:szCs w:val="20"/>
        </w:rPr>
        <w:t xml:space="preserve"> 2015 (the</w:t>
      </w:r>
      <w:r w:rsidRPr="00310D2A">
        <w:rPr>
          <w:b/>
          <w:sz w:val="20"/>
          <w:szCs w:val="20"/>
        </w:rPr>
        <w:t xml:space="preserve"> LCD</w:t>
      </w:r>
      <w:r w:rsidRPr="00310D2A">
        <w:rPr>
          <w:sz w:val="20"/>
          <w:szCs w:val="20"/>
        </w:rPr>
        <w:t xml:space="preserve">). </w:t>
      </w:r>
      <w:r w:rsidR="0084001A" w:rsidRPr="00310D2A">
        <w:rPr>
          <w:sz w:val="20"/>
          <w:szCs w:val="20"/>
        </w:rPr>
        <w:t xml:space="preserve">Those amendments expand frequency allocations for certain point-to-point </w:t>
      </w:r>
      <w:r w:rsidR="0085018A" w:rsidRPr="00310D2A">
        <w:rPr>
          <w:sz w:val="20"/>
          <w:szCs w:val="20"/>
        </w:rPr>
        <w:t xml:space="preserve">and point-to-multipoint services, so as to </w:t>
      </w:r>
      <w:r w:rsidR="00EB6A21" w:rsidRPr="00310D2A">
        <w:rPr>
          <w:sz w:val="20"/>
          <w:szCs w:val="20"/>
        </w:rPr>
        <w:t xml:space="preserve">align with new arrangements for the 803-960 </w:t>
      </w:r>
      <w:r w:rsidR="004812E0" w:rsidRPr="00310D2A">
        <w:rPr>
          <w:sz w:val="20"/>
          <w:szCs w:val="20"/>
        </w:rPr>
        <w:t>MHz band.</w:t>
      </w:r>
    </w:p>
    <w:p w14:paraId="6D9CE637" w14:textId="77777777" w:rsidR="00084FA8" w:rsidRPr="00310D2A" w:rsidRDefault="00084FA8" w:rsidP="00797EDD">
      <w:pPr>
        <w:jc w:val="both"/>
        <w:rPr>
          <w:sz w:val="20"/>
          <w:szCs w:val="20"/>
        </w:rPr>
      </w:pPr>
    </w:p>
    <w:p w14:paraId="6E1440CA" w14:textId="77777777" w:rsidR="00797EDD" w:rsidRPr="00310D2A" w:rsidRDefault="00797EDD" w:rsidP="0009642C">
      <w:pPr>
        <w:jc w:val="both"/>
        <w:rPr>
          <w:sz w:val="20"/>
          <w:szCs w:val="20"/>
        </w:rPr>
      </w:pPr>
    </w:p>
    <w:p w14:paraId="71FC9D38" w14:textId="77777777" w:rsidR="0009642C" w:rsidRPr="00310D2A" w:rsidRDefault="0009642C" w:rsidP="0009642C">
      <w:pPr>
        <w:jc w:val="both"/>
        <w:rPr>
          <w:sz w:val="20"/>
          <w:szCs w:val="20"/>
        </w:rPr>
      </w:pPr>
    </w:p>
    <w:p w14:paraId="032874BE" w14:textId="77777777" w:rsidR="0009642C" w:rsidRPr="00310D2A" w:rsidRDefault="0009642C" w:rsidP="0009642C">
      <w:pPr>
        <w:jc w:val="both"/>
        <w:rPr>
          <w:b/>
          <w:i/>
          <w:sz w:val="20"/>
          <w:szCs w:val="20"/>
        </w:rPr>
      </w:pPr>
      <w:r w:rsidRPr="00310D2A">
        <w:rPr>
          <w:b/>
          <w:i/>
          <w:sz w:val="20"/>
          <w:szCs w:val="20"/>
        </w:rPr>
        <w:t>Human Rights Implications</w:t>
      </w:r>
    </w:p>
    <w:p w14:paraId="42135931" w14:textId="77777777" w:rsidR="0009642C" w:rsidRPr="00310D2A" w:rsidRDefault="0009642C" w:rsidP="0009642C">
      <w:pPr>
        <w:jc w:val="both"/>
        <w:rPr>
          <w:sz w:val="20"/>
          <w:szCs w:val="20"/>
        </w:rPr>
      </w:pPr>
    </w:p>
    <w:p w14:paraId="7B51812B" w14:textId="310EC182" w:rsidR="0009642C" w:rsidRPr="00310D2A" w:rsidRDefault="0009642C" w:rsidP="0009642C">
      <w:pPr>
        <w:spacing w:after="240"/>
        <w:jc w:val="both"/>
        <w:outlineLvl w:val="0"/>
        <w:rPr>
          <w:sz w:val="20"/>
          <w:szCs w:val="20"/>
        </w:rPr>
      </w:pPr>
      <w:r w:rsidRPr="00310D2A">
        <w:rPr>
          <w:sz w:val="20"/>
          <w:szCs w:val="20"/>
        </w:rPr>
        <w:lastRenderedPageBreak/>
        <w:t xml:space="preserve">The ACMA has assessed whether the </w:t>
      </w:r>
      <w:r w:rsidR="00E17ADD" w:rsidRPr="00310D2A">
        <w:rPr>
          <w:sz w:val="20"/>
          <w:szCs w:val="20"/>
        </w:rPr>
        <w:t xml:space="preserve">Amendment Instrument </w:t>
      </w:r>
      <w:r w:rsidRPr="00310D2A">
        <w:rPr>
          <w:sz w:val="20"/>
          <w:szCs w:val="20"/>
        </w:rPr>
        <w:t xml:space="preserve">is compatible with human rights, being the rights and freedoms recognised or declared by the international instruments listed in subsection 3(1) of the </w:t>
      </w:r>
      <w:r w:rsidRPr="00310D2A">
        <w:rPr>
          <w:i/>
          <w:sz w:val="20"/>
          <w:szCs w:val="20"/>
        </w:rPr>
        <w:t>Human Rights (Parliamentary Scrutiny) Act 2011</w:t>
      </w:r>
      <w:r w:rsidRPr="00310D2A">
        <w:rPr>
          <w:sz w:val="20"/>
          <w:szCs w:val="20"/>
        </w:rPr>
        <w:t xml:space="preserve"> as they apply to Australia. </w:t>
      </w:r>
    </w:p>
    <w:p w14:paraId="00D553B3" w14:textId="3463AFD2" w:rsidR="0009642C" w:rsidRPr="00310D2A" w:rsidRDefault="0009642C" w:rsidP="0009642C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 xml:space="preserve">Having considered the likely impact of the instrument and the nature of the applicable rights and freedoms, the ACMA has formed the view that the </w:t>
      </w:r>
      <w:r w:rsidR="00E17ADD" w:rsidRPr="00310D2A">
        <w:rPr>
          <w:sz w:val="20"/>
          <w:szCs w:val="20"/>
        </w:rPr>
        <w:t>Amendment</w:t>
      </w:r>
      <w:r w:rsidR="00946E18" w:rsidRPr="00310D2A">
        <w:rPr>
          <w:sz w:val="20"/>
          <w:szCs w:val="20"/>
        </w:rPr>
        <w:t xml:space="preserve"> Instrument</w:t>
      </w:r>
      <w:r w:rsidRPr="00310D2A">
        <w:rPr>
          <w:sz w:val="20"/>
          <w:szCs w:val="20"/>
        </w:rPr>
        <w:t xml:space="preserve"> does not engage any of those rights or freedoms.</w:t>
      </w:r>
    </w:p>
    <w:p w14:paraId="12F89DEC" w14:textId="77777777" w:rsidR="0009642C" w:rsidRPr="00310D2A" w:rsidRDefault="0009642C" w:rsidP="0009642C">
      <w:pPr>
        <w:jc w:val="both"/>
        <w:rPr>
          <w:sz w:val="20"/>
          <w:szCs w:val="20"/>
        </w:rPr>
      </w:pPr>
    </w:p>
    <w:p w14:paraId="66CF1A6F" w14:textId="77777777" w:rsidR="0009642C" w:rsidRPr="00310D2A" w:rsidRDefault="0009642C" w:rsidP="0009642C">
      <w:pPr>
        <w:jc w:val="both"/>
        <w:rPr>
          <w:b/>
          <w:i/>
          <w:sz w:val="20"/>
          <w:szCs w:val="20"/>
        </w:rPr>
      </w:pPr>
      <w:r w:rsidRPr="00310D2A">
        <w:rPr>
          <w:b/>
          <w:i/>
          <w:sz w:val="20"/>
          <w:szCs w:val="20"/>
        </w:rPr>
        <w:t>Conclusion</w:t>
      </w:r>
    </w:p>
    <w:p w14:paraId="32360667" w14:textId="77777777" w:rsidR="0009642C" w:rsidRPr="00310D2A" w:rsidRDefault="0009642C" w:rsidP="0009642C">
      <w:pPr>
        <w:jc w:val="both"/>
        <w:rPr>
          <w:sz w:val="20"/>
          <w:szCs w:val="20"/>
        </w:rPr>
      </w:pPr>
    </w:p>
    <w:p w14:paraId="5DA07921" w14:textId="52E1DDB6" w:rsidR="0009642C" w:rsidRPr="00310D2A" w:rsidRDefault="0009642C" w:rsidP="0009642C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 xml:space="preserve">The </w:t>
      </w:r>
      <w:r w:rsidR="00E17ADD" w:rsidRPr="00310D2A">
        <w:rPr>
          <w:sz w:val="20"/>
          <w:szCs w:val="20"/>
        </w:rPr>
        <w:t>Amendment</w:t>
      </w:r>
      <w:r w:rsidRPr="00310D2A">
        <w:rPr>
          <w:sz w:val="20"/>
          <w:szCs w:val="20"/>
        </w:rPr>
        <w:t xml:space="preserve"> Instrument is compatible with human rights as it does not raise any human rights issues.</w:t>
      </w:r>
    </w:p>
    <w:p w14:paraId="15F7F58E" w14:textId="77777777" w:rsidR="007A5A97" w:rsidRPr="00310D2A" w:rsidRDefault="007A5A97">
      <w:pPr>
        <w:jc w:val="both"/>
        <w:rPr>
          <w:sz w:val="20"/>
          <w:szCs w:val="20"/>
        </w:rPr>
      </w:pPr>
    </w:p>
    <w:p w14:paraId="25903A2A" w14:textId="77777777" w:rsidR="00231AAB" w:rsidRPr="00310D2A" w:rsidRDefault="00231AAB" w:rsidP="00E51800">
      <w:pPr>
        <w:jc w:val="both"/>
        <w:rPr>
          <w:b/>
          <w:sz w:val="20"/>
          <w:szCs w:val="20"/>
        </w:rPr>
      </w:pPr>
    </w:p>
    <w:p w14:paraId="25903A2B" w14:textId="77777777" w:rsidR="00231AAB" w:rsidRPr="00310D2A" w:rsidRDefault="00231AAB">
      <w:pPr>
        <w:rPr>
          <w:b/>
          <w:sz w:val="20"/>
          <w:szCs w:val="20"/>
        </w:rPr>
      </w:pPr>
      <w:r w:rsidRPr="00310D2A">
        <w:rPr>
          <w:b/>
          <w:sz w:val="20"/>
          <w:szCs w:val="20"/>
        </w:rPr>
        <w:br w:type="page"/>
      </w:r>
    </w:p>
    <w:p w14:paraId="25903A2C" w14:textId="77777777" w:rsidR="00231AAB" w:rsidRPr="00310D2A" w:rsidRDefault="00231AAB" w:rsidP="00231AAB">
      <w:pPr>
        <w:jc w:val="both"/>
        <w:rPr>
          <w:b/>
          <w:bCs/>
          <w:sz w:val="20"/>
          <w:szCs w:val="20"/>
          <w:lang w:eastAsia="en-AU"/>
        </w:rPr>
      </w:pPr>
      <w:r w:rsidRPr="00310D2A">
        <w:rPr>
          <w:b/>
          <w:bCs/>
          <w:sz w:val="20"/>
          <w:szCs w:val="20"/>
          <w:lang w:eastAsia="en-AU"/>
        </w:rPr>
        <w:lastRenderedPageBreak/>
        <w:t>ATTACHMENT A</w:t>
      </w:r>
    </w:p>
    <w:p w14:paraId="25903A2D" w14:textId="77777777" w:rsidR="00231AAB" w:rsidRPr="00310D2A" w:rsidRDefault="00231AAB" w:rsidP="00231AAB">
      <w:pPr>
        <w:jc w:val="both"/>
        <w:rPr>
          <w:b/>
          <w:bCs/>
          <w:sz w:val="20"/>
          <w:szCs w:val="20"/>
          <w:lang w:eastAsia="en-AU"/>
        </w:rPr>
      </w:pPr>
    </w:p>
    <w:p w14:paraId="25903A2E" w14:textId="77777777" w:rsidR="00231AAB" w:rsidRPr="00310D2A" w:rsidRDefault="00231AAB" w:rsidP="00231AAB">
      <w:pPr>
        <w:jc w:val="both"/>
        <w:rPr>
          <w:b/>
          <w:sz w:val="20"/>
          <w:szCs w:val="20"/>
        </w:rPr>
      </w:pPr>
    </w:p>
    <w:p w14:paraId="25903A2F" w14:textId="32942A8F" w:rsidR="002B0ACA" w:rsidRPr="00310D2A" w:rsidRDefault="00776FB8" w:rsidP="00231AAB">
      <w:pPr>
        <w:jc w:val="both"/>
        <w:rPr>
          <w:sz w:val="20"/>
          <w:szCs w:val="20"/>
        </w:rPr>
      </w:pPr>
      <w:r w:rsidRPr="00310D2A">
        <w:rPr>
          <w:b/>
          <w:sz w:val="20"/>
          <w:szCs w:val="20"/>
        </w:rPr>
        <w:t xml:space="preserve">Detailed </w:t>
      </w:r>
      <w:r w:rsidR="00084468" w:rsidRPr="00310D2A">
        <w:rPr>
          <w:b/>
          <w:sz w:val="20"/>
          <w:szCs w:val="20"/>
        </w:rPr>
        <w:t xml:space="preserve">description of the </w:t>
      </w:r>
      <w:r w:rsidR="0050250D" w:rsidRPr="00310D2A">
        <w:rPr>
          <w:b/>
          <w:sz w:val="20"/>
          <w:szCs w:val="20"/>
        </w:rPr>
        <w:t>Amendment Instrument</w:t>
      </w:r>
    </w:p>
    <w:p w14:paraId="25903A30" w14:textId="77777777" w:rsidR="002B0ACA" w:rsidRPr="00310D2A" w:rsidRDefault="002B0ACA" w:rsidP="00E51800">
      <w:pPr>
        <w:jc w:val="both"/>
        <w:rPr>
          <w:sz w:val="20"/>
          <w:szCs w:val="20"/>
        </w:rPr>
      </w:pPr>
    </w:p>
    <w:p w14:paraId="25903A31" w14:textId="77777777" w:rsidR="00231AAB" w:rsidRPr="00310D2A" w:rsidRDefault="00231AAB" w:rsidP="00E51800">
      <w:pPr>
        <w:jc w:val="both"/>
        <w:rPr>
          <w:b/>
          <w:sz w:val="20"/>
          <w:szCs w:val="20"/>
        </w:rPr>
      </w:pPr>
    </w:p>
    <w:p w14:paraId="25903A34" w14:textId="32C4E676" w:rsidR="002B0ACA" w:rsidRPr="00310D2A" w:rsidRDefault="00E52488" w:rsidP="00E51800">
      <w:pPr>
        <w:jc w:val="both"/>
        <w:rPr>
          <w:b/>
          <w:sz w:val="20"/>
          <w:szCs w:val="20"/>
        </w:rPr>
      </w:pPr>
      <w:r w:rsidRPr="00310D2A">
        <w:rPr>
          <w:b/>
          <w:sz w:val="20"/>
          <w:szCs w:val="20"/>
        </w:rPr>
        <w:t xml:space="preserve">Section 1 </w:t>
      </w:r>
      <w:r w:rsidRPr="00310D2A">
        <w:rPr>
          <w:b/>
          <w:sz w:val="20"/>
          <w:szCs w:val="20"/>
        </w:rPr>
        <w:tab/>
      </w:r>
      <w:r w:rsidR="002D0747" w:rsidRPr="00310D2A">
        <w:rPr>
          <w:b/>
          <w:sz w:val="20"/>
          <w:szCs w:val="20"/>
        </w:rPr>
        <w:t xml:space="preserve">Name </w:t>
      </w:r>
    </w:p>
    <w:p w14:paraId="25903A35" w14:textId="77777777" w:rsidR="002B0ACA" w:rsidRPr="00310D2A" w:rsidRDefault="002B0ACA" w:rsidP="00E51800">
      <w:pPr>
        <w:jc w:val="both"/>
        <w:rPr>
          <w:b/>
          <w:sz w:val="20"/>
          <w:szCs w:val="20"/>
        </w:rPr>
      </w:pPr>
    </w:p>
    <w:p w14:paraId="25903A36" w14:textId="4331D194" w:rsidR="002B0ACA" w:rsidRPr="00310D2A" w:rsidRDefault="00FA330F" w:rsidP="00E51800">
      <w:pPr>
        <w:jc w:val="both"/>
        <w:rPr>
          <w:i/>
          <w:sz w:val="20"/>
          <w:szCs w:val="20"/>
        </w:rPr>
      </w:pPr>
      <w:r w:rsidRPr="00310D2A">
        <w:rPr>
          <w:sz w:val="20"/>
          <w:szCs w:val="20"/>
        </w:rPr>
        <w:t xml:space="preserve">This section provides </w:t>
      </w:r>
      <w:r w:rsidR="003F4F2E" w:rsidRPr="00310D2A">
        <w:rPr>
          <w:sz w:val="20"/>
          <w:szCs w:val="20"/>
        </w:rPr>
        <w:t>for</w:t>
      </w:r>
      <w:r w:rsidRPr="00310D2A">
        <w:rPr>
          <w:sz w:val="20"/>
          <w:szCs w:val="20"/>
        </w:rPr>
        <w:t xml:space="preserve"> the </w:t>
      </w:r>
      <w:r w:rsidR="00B10B4A" w:rsidRPr="00310D2A">
        <w:rPr>
          <w:sz w:val="20"/>
          <w:szCs w:val="20"/>
        </w:rPr>
        <w:t>instrument</w:t>
      </w:r>
      <w:r w:rsidRPr="00310D2A">
        <w:rPr>
          <w:sz w:val="20"/>
          <w:szCs w:val="20"/>
        </w:rPr>
        <w:t xml:space="preserve"> </w:t>
      </w:r>
      <w:r w:rsidR="003F4F2E" w:rsidRPr="00310D2A">
        <w:rPr>
          <w:sz w:val="20"/>
          <w:szCs w:val="20"/>
        </w:rPr>
        <w:t>to be cited as</w:t>
      </w:r>
      <w:r w:rsidRPr="00310D2A">
        <w:rPr>
          <w:sz w:val="20"/>
          <w:szCs w:val="20"/>
        </w:rPr>
        <w:t xml:space="preserve"> the </w:t>
      </w:r>
      <w:r w:rsidR="00797EDD" w:rsidRPr="00310D2A">
        <w:rPr>
          <w:i/>
          <w:sz w:val="20"/>
          <w:szCs w:val="20"/>
        </w:rPr>
        <w:t xml:space="preserve">Radiocommunications Licence Conditions (Fixed Licence) </w:t>
      </w:r>
      <w:r w:rsidR="00E17ADD" w:rsidRPr="00310D2A">
        <w:rPr>
          <w:i/>
          <w:sz w:val="20"/>
          <w:szCs w:val="20"/>
        </w:rPr>
        <w:t xml:space="preserve">Amendment </w:t>
      </w:r>
      <w:r w:rsidR="00797EDD" w:rsidRPr="00310D2A">
        <w:rPr>
          <w:i/>
          <w:sz w:val="20"/>
          <w:szCs w:val="20"/>
        </w:rPr>
        <w:t>Determination 20</w:t>
      </w:r>
      <w:r w:rsidR="00E17ADD" w:rsidRPr="00310D2A">
        <w:rPr>
          <w:i/>
          <w:sz w:val="20"/>
          <w:szCs w:val="20"/>
        </w:rPr>
        <w:t>20</w:t>
      </w:r>
      <w:r w:rsidR="00797EDD" w:rsidRPr="00310D2A">
        <w:rPr>
          <w:i/>
          <w:sz w:val="20"/>
          <w:szCs w:val="20"/>
        </w:rPr>
        <w:t xml:space="preserve"> (No.1).</w:t>
      </w:r>
    </w:p>
    <w:p w14:paraId="25903A37" w14:textId="77777777" w:rsidR="002B0ACA" w:rsidRPr="00310D2A" w:rsidRDefault="002B0ACA" w:rsidP="00E51800">
      <w:pPr>
        <w:jc w:val="both"/>
        <w:rPr>
          <w:sz w:val="20"/>
          <w:szCs w:val="20"/>
        </w:rPr>
      </w:pPr>
    </w:p>
    <w:p w14:paraId="25903A38" w14:textId="67D10CDC" w:rsidR="002B0ACA" w:rsidRPr="00310D2A" w:rsidRDefault="00CC333D" w:rsidP="00E51800">
      <w:pPr>
        <w:jc w:val="both"/>
        <w:rPr>
          <w:b/>
          <w:sz w:val="20"/>
          <w:szCs w:val="20"/>
        </w:rPr>
      </w:pPr>
      <w:r w:rsidRPr="00310D2A">
        <w:rPr>
          <w:b/>
          <w:sz w:val="20"/>
          <w:szCs w:val="20"/>
        </w:rPr>
        <w:t xml:space="preserve">Section </w:t>
      </w:r>
      <w:r w:rsidR="005C6A6C" w:rsidRPr="00310D2A">
        <w:rPr>
          <w:b/>
          <w:sz w:val="20"/>
          <w:szCs w:val="20"/>
        </w:rPr>
        <w:t>2</w:t>
      </w:r>
      <w:r w:rsidR="002D0747" w:rsidRPr="00310D2A">
        <w:rPr>
          <w:b/>
          <w:sz w:val="20"/>
          <w:szCs w:val="20"/>
        </w:rPr>
        <w:t xml:space="preserve"> </w:t>
      </w:r>
      <w:r w:rsidR="00E52488" w:rsidRPr="00310D2A">
        <w:rPr>
          <w:b/>
          <w:sz w:val="20"/>
          <w:szCs w:val="20"/>
        </w:rPr>
        <w:tab/>
      </w:r>
      <w:r w:rsidR="002D0747" w:rsidRPr="00310D2A">
        <w:rPr>
          <w:b/>
          <w:sz w:val="20"/>
          <w:szCs w:val="20"/>
        </w:rPr>
        <w:t xml:space="preserve">Commencement </w:t>
      </w:r>
    </w:p>
    <w:p w14:paraId="25903A39" w14:textId="77777777" w:rsidR="002B0ACA" w:rsidRPr="00310D2A" w:rsidRDefault="002B0ACA" w:rsidP="00E51800">
      <w:pPr>
        <w:jc w:val="both"/>
        <w:rPr>
          <w:b/>
          <w:sz w:val="20"/>
          <w:szCs w:val="20"/>
        </w:rPr>
      </w:pPr>
    </w:p>
    <w:p w14:paraId="25903A3A" w14:textId="099B6DDB" w:rsidR="002B0ACA" w:rsidRPr="00310D2A" w:rsidRDefault="001B30AB" w:rsidP="00E51800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 xml:space="preserve">This section provides </w:t>
      </w:r>
      <w:r w:rsidR="002D0747" w:rsidRPr="00310D2A">
        <w:rPr>
          <w:sz w:val="20"/>
          <w:szCs w:val="20"/>
        </w:rPr>
        <w:t xml:space="preserve">that the </w:t>
      </w:r>
      <w:r w:rsidR="003F4F2E" w:rsidRPr="00310D2A">
        <w:rPr>
          <w:sz w:val="20"/>
          <w:szCs w:val="20"/>
        </w:rPr>
        <w:t>i</w:t>
      </w:r>
      <w:r w:rsidR="005C6A6C" w:rsidRPr="00310D2A">
        <w:rPr>
          <w:sz w:val="20"/>
          <w:szCs w:val="20"/>
        </w:rPr>
        <w:t xml:space="preserve">nstrument </w:t>
      </w:r>
      <w:r w:rsidR="002036F3" w:rsidRPr="00310D2A">
        <w:rPr>
          <w:sz w:val="20"/>
          <w:szCs w:val="20"/>
        </w:rPr>
        <w:t>commence</w:t>
      </w:r>
      <w:r w:rsidR="005C6A6C" w:rsidRPr="00310D2A">
        <w:rPr>
          <w:sz w:val="20"/>
          <w:szCs w:val="20"/>
        </w:rPr>
        <w:t>s</w:t>
      </w:r>
      <w:r w:rsidR="002036F3" w:rsidRPr="00310D2A">
        <w:rPr>
          <w:sz w:val="20"/>
          <w:szCs w:val="20"/>
        </w:rPr>
        <w:t xml:space="preserve"> on </w:t>
      </w:r>
      <w:r w:rsidR="005C6A6C" w:rsidRPr="00310D2A">
        <w:rPr>
          <w:sz w:val="20"/>
          <w:szCs w:val="20"/>
        </w:rPr>
        <w:t xml:space="preserve">the day after it </w:t>
      </w:r>
      <w:r w:rsidR="003F4F2E" w:rsidRPr="00310D2A">
        <w:rPr>
          <w:sz w:val="20"/>
          <w:szCs w:val="20"/>
        </w:rPr>
        <w:t>i</w:t>
      </w:r>
      <w:r w:rsidR="005C6A6C" w:rsidRPr="00310D2A">
        <w:rPr>
          <w:sz w:val="20"/>
          <w:szCs w:val="20"/>
        </w:rPr>
        <w:t>s registered</w:t>
      </w:r>
      <w:r w:rsidR="003F4F2E" w:rsidRPr="00310D2A">
        <w:rPr>
          <w:sz w:val="20"/>
          <w:szCs w:val="20"/>
        </w:rPr>
        <w:t xml:space="preserve"> on the Federal Register of Legislation</w:t>
      </w:r>
      <w:r w:rsidR="002036F3" w:rsidRPr="00310D2A">
        <w:rPr>
          <w:sz w:val="20"/>
          <w:szCs w:val="20"/>
        </w:rPr>
        <w:t>.</w:t>
      </w:r>
    </w:p>
    <w:p w14:paraId="38C400ED" w14:textId="77777777" w:rsidR="003F4F2E" w:rsidRPr="00310D2A" w:rsidRDefault="003F4F2E" w:rsidP="00E51800">
      <w:pPr>
        <w:jc w:val="both"/>
        <w:rPr>
          <w:sz w:val="20"/>
          <w:szCs w:val="20"/>
        </w:rPr>
      </w:pPr>
    </w:p>
    <w:p w14:paraId="526462E2" w14:textId="290A30BD" w:rsidR="003F4F2E" w:rsidRPr="00310D2A" w:rsidRDefault="003F4F2E" w:rsidP="00E51800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 xml:space="preserve">The Federal Register of Legislation may be accessed </w:t>
      </w:r>
      <w:r w:rsidR="00351DC0" w:rsidRPr="00310D2A">
        <w:rPr>
          <w:sz w:val="20"/>
          <w:szCs w:val="20"/>
        </w:rPr>
        <w:t xml:space="preserve">free of charge </w:t>
      </w:r>
      <w:r w:rsidRPr="00310D2A">
        <w:rPr>
          <w:sz w:val="20"/>
          <w:szCs w:val="20"/>
        </w:rPr>
        <w:t xml:space="preserve">at </w:t>
      </w:r>
      <w:hyperlink r:id="rId14" w:history="1">
        <w:r w:rsidRPr="00310D2A">
          <w:rPr>
            <w:rStyle w:val="Hyperlink"/>
            <w:sz w:val="20"/>
            <w:szCs w:val="20"/>
          </w:rPr>
          <w:t>www.legislation.gov.au</w:t>
        </w:r>
      </w:hyperlink>
      <w:r w:rsidRPr="00310D2A">
        <w:rPr>
          <w:sz w:val="20"/>
          <w:szCs w:val="20"/>
        </w:rPr>
        <w:t xml:space="preserve">. </w:t>
      </w:r>
    </w:p>
    <w:p w14:paraId="4CE4891E" w14:textId="73931248" w:rsidR="00E52488" w:rsidRPr="00310D2A" w:rsidRDefault="00E52488" w:rsidP="00E51800">
      <w:pPr>
        <w:jc w:val="both"/>
        <w:rPr>
          <w:sz w:val="20"/>
          <w:szCs w:val="20"/>
        </w:rPr>
      </w:pPr>
    </w:p>
    <w:p w14:paraId="30F60B16" w14:textId="19A76BE7" w:rsidR="00E52488" w:rsidRPr="00310D2A" w:rsidRDefault="00CC333D" w:rsidP="00E52488">
      <w:pPr>
        <w:jc w:val="both"/>
        <w:rPr>
          <w:b/>
          <w:sz w:val="20"/>
          <w:szCs w:val="20"/>
        </w:rPr>
      </w:pPr>
      <w:r w:rsidRPr="00310D2A">
        <w:rPr>
          <w:b/>
          <w:sz w:val="20"/>
          <w:szCs w:val="20"/>
        </w:rPr>
        <w:t xml:space="preserve">Section </w:t>
      </w:r>
      <w:r w:rsidR="00E52488" w:rsidRPr="00310D2A">
        <w:rPr>
          <w:b/>
          <w:sz w:val="20"/>
          <w:szCs w:val="20"/>
        </w:rPr>
        <w:t xml:space="preserve">3 </w:t>
      </w:r>
      <w:r w:rsidR="00E52488" w:rsidRPr="00310D2A">
        <w:rPr>
          <w:b/>
          <w:sz w:val="20"/>
          <w:szCs w:val="20"/>
        </w:rPr>
        <w:tab/>
        <w:t xml:space="preserve">Authority </w:t>
      </w:r>
    </w:p>
    <w:p w14:paraId="6A14134C" w14:textId="77777777" w:rsidR="00E52488" w:rsidRPr="00310D2A" w:rsidRDefault="00E52488" w:rsidP="00E52488">
      <w:pPr>
        <w:jc w:val="both"/>
        <w:rPr>
          <w:b/>
          <w:sz w:val="20"/>
          <w:szCs w:val="20"/>
        </w:rPr>
      </w:pPr>
    </w:p>
    <w:p w14:paraId="1F352F51" w14:textId="149CE7FE" w:rsidR="00E52488" w:rsidRPr="00310D2A" w:rsidRDefault="00E52488" w:rsidP="00E52488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 xml:space="preserve">This section </w:t>
      </w:r>
      <w:r w:rsidR="00FC7C7E" w:rsidRPr="00310D2A">
        <w:rPr>
          <w:sz w:val="20"/>
          <w:szCs w:val="20"/>
        </w:rPr>
        <w:t xml:space="preserve">identifies the </w:t>
      </w:r>
      <w:r w:rsidR="00F81A1C" w:rsidRPr="00310D2A">
        <w:rPr>
          <w:sz w:val="20"/>
          <w:szCs w:val="20"/>
        </w:rPr>
        <w:t xml:space="preserve">statutory </w:t>
      </w:r>
      <w:r w:rsidR="00FC7C7E" w:rsidRPr="00310D2A">
        <w:rPr>
          <w:sz w:val="20"/>
          <w:szCs w:val="20"/>
        </w:rPr>
        <w:t xml:space="preserve">provision </w:t>
      </w:r>
      <w:r w:rsidR="00F81A1C" w:rsidRPr="00310D2A">
        <w:rPr>
          <w:sz w:val="20"/>
          <w:szCs w:val="20"/>
        </w:rPr>
        <w:t xml:space="preserve">that </w:t>
      </w:r>
      <w:r w:rsidR="00FC7C7E" w:rsidRPr="00310D2A">
        <w:rPr>
          <w:sz w:val="20"/>
          <w:szCs w:val="20"/>
        </w:rPr>
        <w:t>authorise</w:t>
      </w:r>
      <w:r w:rsidR="00ED5FE9" w:rsidRPr="00310D2A">
        <w:rPr>
          <w:sz w:val="20"/>
          <w:szCs w:val="20"/>
        </w:rPr>
        <w:t>s</w:t>
      </w:r>
      <w:r w:rsidR="00FC7C7E" w:rsidRPr="00310D2A">
        <w:rPr>
          <w:sz w:val="20"/>
          <w:szCs w:val="20"/>
        </w:rPr>
        <w:t xml:space="preserve"> the making of the instrument, namely </w:t>
      </w:r>
      <w:r w:rsidR="00ED5FE9" w:rsidRPr="00310D2A">
        <w:rPr>
          <w:sz w:val="20"/>
          <w:szCs w:val="20"/>
        </w:rPr>
        <w:t xml:space="preserve">paragraph </w:t>
      </w:r>
      <w:r w:rsidR="00797EDD" w:rsidRPr="00310D2A">
        <w:rPr>
          <w:sz w:val="20"/>
          <w:szCs w:val="20"/>
        </w:rPr>
        <w:t>107(1)(f)</w:t>
      </w:r>
      <w:r w:rsidR="00FC7C7E" w:rsidRPr="00310D2A">
        <w:rPr>
          <w:sz w:val="20"/>
          <w:szCs w:val="20"/>
        </w:rPr>
        <w:t xml:space="preserve"> of the </w:t>
      </w:r>
      <w:r w:rsidR="00FC7C7E" w:rsidRPr="00310D2A">
        <w:rPr>
          <w:i/>
          <w:sz w:val="20"/>
          <w:szCs w:val="20"/>
        </w:rPr>
        <w:t>Radiocommunications Act 1992</w:t>
      </w:r>
      <w:r w:rsidRPr="00310D2A">
        <w:rPr>
          <w:sz w:val="20"/>
          <w:szCs w:val="20"/>
        </w:rPr>
        <w:t xml:space="preserve">.  </w:t>
      </w:r>
    </w:p>
    <w:p w14:paraId="7422BBFF" w14:textId="77777777" w:rsidR="00E52488" w:rsidRPr="00310D2A" w:rsidRDefault="00E52488" w:rsidP="00E51800">
      <w:pPr>
        <w:jc w:val="both"/>
        <w:rPr>
          <w:sz w:val="20"/>
          <w:szCs w:val="20"/>
        </w:rPr>
      </w:pPr>
    </w:p>
    <w:p w14:paraId="2E1FB93A" w14:textId="37C09144" w:rsidR="00E52488" w:rsidRPr="00310D2A" w:rsidRDefault="00CC333D" w:rsidP="005C688C">
      <w:pPr>
        <w:rPr>
          <w:b/>
          <w:i/>
          <w:sz w:val="20"/>
          <w:szCs w:val="20"/>
        </w:rPr>
      </w:pPr>
      <w:r w:rsidRPr="00310D2A">
        <w:rPr>
          <w:b/>
          <w:sz w:val="20"/>
          <w:szCs w:val="20"/>
        </w:rPr>
        <w:t xml:space="preserve">Section </w:t>
      </w:r>
      <w:r w:rsidR="00E52488" w:rsidRPr="00310D2A">
        <w:rPr>
          <w:b/>
          <w:sz w:val="20"/>
          <w:szCs w:val="20"/>
        </w:rPr>
        <w:t xml:space="preserve">4 </w:t>
      </w:r>
      <w:r w:rsidR="00E52488" w:rsidRPr="00310D2A">
        <w:rPr>
          <w:b/>
          <w:sz w:val="20"/>
          <w:szCs w:val="20"/>
        </w:rPr>
        <w:tab/>
      </w:r>
      <w:r w:rsidR="00E17ADD" w:rsidRPr="00310D2A">
        <w:rPr>
          <w:b/>
          <w:sz w:val="20"/>
          <w:szCs w:val="20"/>
        </w:rPr>
        <w:t>Amendments</w:t>
      </w:r>
    </w:p>
    <w:p w14:paraId="1211BEB7" w14:textId="77777777" w:rsidR="00E52488" w:rsidRPr="00310D2A" w:rsidRDefault="00E52488" w:rsidP="00E52488">
      <w:pPr>
        <w:jc w:val="both"/>
        <w:rPr>
          <w:b/>
          <w:sz w:val="20"/>
          <w:szCs w:val="20"/>
        </w:rPr>
      </w:pPr>
    </w:p>
    <w:p w14:paraId="4DCE2163" w14:textId="3C4C9E6C" w:rsidR="00E52488" w:rsidRPr="00310D2A" w:rsidRDefault="00E52488" w:rsidP="00E52488">
      <w:pPr>
        <w:jc w:val="both"/>
        <w:rPr>
          <w:sz w:val="20"/>
          <w:szCs w:val="20"/>
        </w:rPr>
      </w:pPr>
      <w:r w:rsidRPr="00310D2A">
        <w:rPr>
          <w:sz w:val="20"/>
          <w:szCs w:val="20"/>
        </w:rPr>
        <w:t xml:space="preserve">This section provides that Schedule 1 varies the </w:t>
      </w:r>
      <w:r w:rsidR="00797EDD" w:rsidRPr="00310D2A">
        <w:rPr>
          <w:i/>
          <w:sz w:val="20"/>
          <w:szCs w:val="20"/>
        </w:rPr>
        <w:t>Radiocommunications Licence Conditions (Fixed Licence) Determination 2015</w:t>
      </w:r>
      <w:r w:rsidRPr="00310D2A">
        <w:rPr>
          <w:sz w:val="20"/>
          <w:szCs w:val="20"/>
        </w:rPr>
        <w:t>.</w:t>
      </w:r>
    </w:p>
    <w:p w14:paraId="0CD5A2D1" w14:textId="77777777" w:rsidR="00E52488" w:rsidRPr="00310D2A" w:rsidRDefault="00E52488" w:rsidP="00E52488">
      <w:pPr>
        <w:jc w:val="both"/>
        <w:rPr>
          <w:b/>
          <w:sz w:val="20"/>
          <w:szCs w:val="20"/>
        </w:rPr>
      </w:pPr>
    </w:p>
    <w:p w14:paraId="4CD65BDA" w14:textId="7191BC56" w:rsidR="00CC333D" w:rsidRPr="00310D2A" w:rsidRDefault="00E250D1" w:rsidP="00E51800">
      <w:pPr>
        <w:jc w:val="both"/>
        <w:rPr>
          <w:b/>
          <w:color w:val="000000"/>
          <w:sz w:val="20"/>
          <w:szCs w:val="20"/>
        </w:rPr>
      </w:pPr>
      <w:r w:rsidRPr="00310D2A">
        <w:rPr>
          <w:b/>
          <w:color w:val="000000"/>
          <w:sz w:val="20"/>
          <w:szCs w:val="20"/>
        </w:rPr>
        <w:t xml:space="preserve">Schedule 1 – </w:t>
      </w:r>
      <w:r w:rsidR="00E52488" w:rsidRPr="00310D2A">
        <w:rPr>
          <w:b/>
          <w:color w:val="000000"/>
          <w:sz w:val="20"/>
          <w:szCs w:val="20"/>
        </w:rPr>
        <w:t>Amendment</w:t>
      </w:r>
      <w:r w:rsidR="00E17ADD" w:rsidRPr="00310D2A">
        <w:rPr>
          <w:b/>
          <w:color w:val="000000"/>
          <w:sz w:val="20"/>
          <w:szCs w:val="20"/>
        </w:rPr>
        <w:t>s</w:t>
      </w:r>
      <w:r w:rsidR="005C6A6C" w:rsidRPr="00310D2A">
        <w:rPr>
          <w:b/>
          <w:color w:val="000000"/>
          <w:sz w:val="20"/>
          <w:szCs w:val="20"/>
        </w:rPr>
        <w:t xml:space="preserve"> </w:t>
      </w:r>
    </w:p>
    <w:p w14:paraId="25903A4F" w14:textId="77777777" w:rsidR="00D22332" w:rsidRPr="00310D2A" w:rsidRDefault="00D22332" w:rsidP="00E51800">
      <w:pPr>
        <w:jc w:val="both"/>
        <w:rPr>
          <w:sz w:val="20"/>
          <w:szCs w:val="20"/>
        </w:rPr>
      </w:pPr>
    </w:p>
    <w:p w14:paraId="25903A50" w14:textId="6DC11E6D" w:rsidR="00B24AC3" w:rsidRPr="00310D2A" w:rsidRDefault="00C202E5" w:rsidP="00B24AC3">
      <w:pPr>
        <w:jc w:val="both"/>
        <w:rPr>
          <w:b/>
          <w:sz w:val="20"/>
          <w:szCs w:val="20"/>
        </w:rPr>
      </w:pPr>
      <w:r w:rsidRPr="00310D2A">
        <w:rPr>
          <w:b/>
          <w:sz w:val="20"/>
          <w:szCs w:val="20"/>
        </w:rPr>
        <w:t>Item</w:t>
      </w:r>
      <w:r w:rsidR="00B24AC3" w:rsidRPr="00310D2A">
        <w:rPr>
          <w:b/>
          <w:sz w:val="20"/>
          <w:szCs w:val="20"/>
        </w:rPr>
        <w:t xml:space="preserve"> 1 –</w:t>
      </w:r>
      <w:r w:rsidR="00E17ADD" w:rsidRPr="00310D2A">
        <w:t xml:space="preserve"> </w:t>
      </w:r>
      <w:r w:rsidR="00E17ADD" w:rsidRPr="00310D2A">
        <w:rPr>
          <w:b/>
          <w:sz w:val="20"/>
          <w:szCs w:val="20"/>
        </w:rPr>
        <w:t>Schedule 1 (cell at table item 3, column 2)</w:t>
      </w:r>
    </w:p>
    <w:p w14:paraId="25903A51" w14:textId="77777777" w:rsidR="00B24AC3" w:rsidRPr="00310D2A" w:rsidRDefault="00B24AC3" w:rsidP="00B24AC3">
      <w:pPr>
        <w:jc w:val="both"/>
        <w:rPr>
          <w:b/>
          <w:sz w:val="20"/>
          <w:szCs w:val="20"/>
        </w:rPr>
      </w:pPr>
    </w:p>
    <w:p w14:paraId="25903A52" w14:textId="0EBD9EFC" w:rsidR="00B24AC3" w:rsidRPr="00310D2A" w:rsidRDefault="00797EDD" w:rsidP="00B24AC3">
      <w:pPr>
        <w:jc w:val="both"/>
        <w:rPr>
          <w:iCs/>
          <w:color w:val="000000"/>
          <w:sz w:val="20"/>
          <w:szCs w:val="20"/>
          <w:lang w:val="en-US"/>
        </w:rPr>
      </w:pPr>
      <w:r w:rsidRPr="00310D2A">
        <w:rPr>
          <w:sz w:val="20"/>
          <w:szCs w:val="20"/>
        </w:rPr>
        <w:t xml:space="preserve">This </w:t>
      </w:r>
      <w:r w:rsidR="002B4366" w:rsidRPr="00310D2A">
        <w:rPr>
          <w:sz w:val="20"/>
          <w:szCs w:val="20"/>
        </w:rPr>
        <w:t xml:space="preserve">item is varied to expand the applicable frequency range from 820-960 MHz to 804-960 </w:t>
      </w:r>
      <w:proofErr w:type="spellStart"/>
      <w:r w:rsidR="002B4366" w:rsidRPr="00310D2A">
        <w:rPr>
          <w:sz w:val="20"/>
          <w:szCs w:val="20"/>
        </w:rPr>
        <w:t>MHz.</w:t>
      </w:r>
      <w:proofErr w:type="spellEnd"/>
      <w:r w:rsidR="002B4366" w:rsidRPr="00310D2A">
        <w:rPr>
          <w:sz w:val="20"/>
          <w:szCs w:val="20"/>
        </w:rPr>
        <w:t xml:space="preserve"> </w:t>
      </w:r>
    </w:p>
    <w:p w14:paraId="5CF291CA" w14:textId="77777777" w:rsidR="00CC333D" w:rsidRPr="00310D2A" w:rsidRDefault="00CC333D" w:rsidP="00B24AC3">
      <w:pPr>
        <w:jc w:val="both"/>
        <w:rPr>
          <w:iCs/>
          <w:color w:val="000000"/>
          <w:sz w:val="20"/>
          <w:szCs w:val="20"/>
          <w:lang w:val="en-US"/>
        </w:rPr>
      </w:pPr>
    </w:p>
    <w:p w14:paraId="6A5C8F32" w14:textId="0D1F72B1" w:rsidR="00E17ADD" w:rsidRPr="00310D2A" w:rsidRDefault="00E17ADD" w:rsidP="00E17ADD">
      <w:pPr>
        <w:jc w:val="both"/>
        <w:rPr>
          <w:b/>
          <w:sz w:val="20"/>
          <w:szCs w:val="20"/>
        </w:rPr>
      </w:pPr>
      <w:r w:rsidRPr="00310D2A">
        <w:rPr>
          <w:b/>
          <w:sz w:val="20"/>
          <w:szCs w:val="20"/>
        </w:rPr>
        <w:t>Item 2 –</w:t>
      </w:r>
      <w:r w:rsidRPr="00310D2A">
        <w:t xml:space="preserve"> </w:t>
      </w:r>
      <w:r w:rsidRPr="00310D2A">
        <w:rPr>
          <w:b/>
          <w:sz w:val="20"/>
          <w:szCs w:val="20"/>
        </w:rPr>
        <w:t>Schedule 2 (table item 1, column 2)</w:t>
      </w:r>
    </w:p>
    <w:p w14:paraId="7BEE66CC" w14:textId="77777777" w:rsidR="00E17ADD" w:rsidRPr="00310D2A" w:rsidRDefault="00E17ADD" w:rsidP="00E17ADD">
      <w:pPr>
        <w:jc w:val="both"/>
        <w:rPr>
          <w:b/>
          <w:sz w:val="20"/>
          <w:szCs w:val="20"/>
        </w:rPr>
      </w:pPr>
    </w:p>
    <w:p w14:paraId="03EAA70F" w14:textId="16F68477" w:rsidR="00E17ADD" w:rsidRPr="00310D2A" w:rsidRDefault="00E17ADD" w:rsidP="00E17ADD">
      <w:pPr>
        <w:jc w:val="both"/>
        <w:rPr>
          <w:iCs/>
          <w:color w:val="000000"/>
          <w:sz w:val="20"/>
          <w:szCs w:val="20"/>
          <w:lang w:val="en-US"/>
        </w:rPr>
      </w:pPr>
      <w:r w:rsidRPr="00310D2A">
        <w:rPr>
          <w:sz w:val="20"/>
          <w:szCs w:val="20"/>
        </w:rPr>
        <w:t xml:space="preserve">This </w:t>
      </w:r>
      <w:r w:rsidR="002B4366" w:rsidRPr="00310D2A">
        <w:rPr>
          <w:sz w:val="20"/>
          <w:szCs w:val="20"/>
        </w:rPr>
        <w:t>item</w:t>
      </w:r>
      <w:r w:rsidRPr="00310D2A">
        <w:rPr>
          <w:sz w:val="20"/>
          <w:szCs w:val="20"/>
        </w:rPr>
        <w:t xml:space="preserve"> is varied to include the </w:t>
      </w:r>
      <w:r w:rsidR="002B4366" w:rsidRPr="00310D2A">
        <w:rPr>
          <w:sz w:val="20"/>
          <w:szCs w:val="20"/>
        </w:rPr>
        <w:t xml:space="preserve">805.5-806 MHz </w:t>
      </w:r>
      <w:r w:rsidRPr="00310D2A">
        <w:rPr>
          <w:sz w:val="20"/>
          <w:szCs w:val="20"/>
        </w:rPr>
        <w:t xml:space="preserve">band. </w:t>
      </w:r>
    </w:p>
    <w:p w14:paraId="0C417C05" w14:textId="77777777" w:rsidR="00E17ADD" w:rsidRPr="00310D2A" w:rsidRDefault="00E17ADD" w:rsidP="00E17ADD">
      <w:pPr>
        <w:jc w:val="both"/>
        <w:rPr>
          <w:b/>
          <w:sz w:val="20"/>
          <w:szCs w:val="20"/>
        </w:rPr>
      </w:pPr>
    </w:p>
    <w:p w14:paraId="5C17A32B" w14:textId="598B7BF1" w:rsidR="00E17ADD" w:rsidRPr="00310D2A" w:rsidRDefault="00E17ADD" w:rsidP="00E17ADD">
      <w:pPr>
        <w:jc w:val="both"/>
        <w:rPr>
          <w:b/>
          <w:sz w:val="20"/>
          <w:szCs w:val="20"/>
        </w:rPr>
      </w:pPr>
      <w:r w:rsidRPr="00310D2A">
        <w:rPr>
          <w:b/>
          <w:sz w:val="20"/>
          <w:szCs w:val="20"/>
        </w:rPr>
        <w:t>Item 3 –</w:t>
      </w:r>
      <w:r w:rsidRPr="00310D2A">
        <w:t xml:space="preserve"> </w:t>
      </w:r>
      <w:r w:rsidRPr="00310D2A">
        <w:rPr>
          <w:b/>
          <w:sz w:val="20"/>
          <w:szCs w:val="20"/>
        </w:rPr>
        <w:t>Schedule 2 (table item 3)</w:t>
      </w:r>
    </w:p>
    <w:p w14:paraId="11DB95B8" w14:textId="77777777" w:rsidR="00E17ADD" w:rsidRPr="00310D2A" w:rsidRDefault="00E17ADD" w:rsidP="00E17ADD">
      <w:pPr>
        <w:jc w:val="both"/>
        <w:rPr>
          <w:b/>
          <w:sz w:val="20"/>
          <w:szCs w:val="20"/>
        </w:rPr>
      </w:pPr>
    </w:p>
    <w:p w14:paraId="300B794E" w14:textId="2C88944A" w:rsidR="00E17ADD" w:rsidRPr="00310D2A" w:rsidRDefault="00E17ADD" w:rsidP="00E17ADD">
      <w:pPr>
        <w:jc w:val="both"/>
        <w:rPr>
          <w:iCs/>
          <w:color w:val="000000"/>
          <w:sz w:val="20"/>
          <w:szCs w:val="20"/>
          <w:lang w:val="en-US"/>
        </w:rPr>
      </w:pPr>
      <w:r w:rsidRPr="00310D2A">
        <w:rPr>
          <w:sz w:val="20"/>
          <w:szCs w:val="20"/>
        </w:rPr>
        <w:t xml:space="preserve">This </w:t>
      </w:r>
      <w:r w:rsidR="00BE7186" w:rsidRPr="00310D2A">
        <w:rPr>
          <w:sz w:val="20"/>
          <w:szCs w:val="20"/>
        </w:rPr>
        <w:t xml:space="preserve">item is renumbered as item 2 to fix a typographical error. </w:t>
      </w:r>
    </w:p>
    <w:p w14:paraId="25903ABC" w14:textId="72EBC710" w:rsidR="002B0ACA" w:rsidRPr="00310D2A" w:rsidRDefault="002B0ACA">
      <w:pPr>
        <w:jc w:val="both"/>
        <w:rPr>
          <w:sz w:val="20"/>
          <w:szCs w:val="20"/>
        </w:rPr>
      </w:pPr>
    </w:p>
    <w:sectPr w:rsidR="002B0ACA" w:rsidRPr="00310D2A" w:rsidSect="000907DE">
      <w:headerReference w:type="even" r:id="rId15"/>
      <w:headerReference w:type="default" r:id="rId16"/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A7CB5" w14:textId="77777777" w:rsidR="000902DD" w:rsidRDefault="000902DD">
      <w:r>
        <w:separator/>
      </w:r>
    </w:p>
  </w:endnote>
  <w:endnote w:type="continuationSeparator" w:id="0">
    <w:p w14:paraId="1F4BEF78" w14:textId="77777777" w:rsidR="000902DD" w:rsidRDefault="0009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NeueLT Std Lt">
    <w:altName w:val="Cambria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03AC6" w14:textId="77777777" w:rsidR="007F1698" w:rsidRDefault="007F1698" w:rsidP="0036213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03AC7" w14:textId="77777777" w:rsidR="007F1698" w:rsidRDefault="007F1698" w:rsidP="00B32F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F4B7C" w14:textId="77777777" w:rsidR="000902DD" w:rsidRDefault="000902DD">
      <w:r>
        <w:separator/>
      </w:r>
    </w:p>
  </w:footnote>
  <w:footnote w:type="continuationSeparator" w:id="0">
    <w:p w14:paraId="3F3813C8" w14:textId="77777777" w:rsidR="000902DD" w:rsidRDefault="0009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03AC1" w14:textId="77777777" w:rsidR="007F1698" w:rsidRDefault="007F1698" w:rsidP="00A844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903AC2" w14:textId="77777777" w:rsidR="007F1698" w:rsidRDefault="007F1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03AC3" w14:textId="77777777" w:rsidR="007F1698" w:rsidRDefault="007F1698" w:rsidP="00A13E1F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3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903AC4" w14:textId="77777777" w:rsidR="007F1698" w:rsidRDefault="007F1698" w:rsidP="00362134">
    <w:pPr>
      <w:pStyle w:val="Header"/>
      <w:jc w:val="center"/>
      <w:rPr>
        <w:b/>
        <w:sz w:val="32"/>
        <w:szCs w:val="32"/>
      </w:rPr>
    </w:pPr>
  </w:p>
  <w:p w14:paraId="25903AC5" w14:textId="77777777" w:rsidR="007F1698" w:rsidRDefault="007F1698" w:rsidP="00E72F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BC83468"/>
    <w:lvl w:ilvl="0">
      <w:start w:val="1"/>
      <w:numFmt w:val="bullet"/>
      <w:pStyle w:val="ListBullet"/>
      <w:lvlText w:val="&gt;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color w:val="auto"/>
        <w:sz w:val="20"/>
      </w:rPr>
    </w:lvl>
  </w:abstractNum>
  <w:abstractNum w:abstractNumId="1" w15:restartNumberingAfterBreak="0">
    <w:nsid w:val="FFFFFFFE"/>
    <w:multiLevelType w:val="singleLevel"/>
    <w:tmpl w:val="35B85848"/>
    <w:lvl w:ilvl="0">
      <w:numFmt w:val="bullet"/>
      <w:lvlText w:val="*"/>
      <w:lvlJc w:val="left"/>
    </w:lvl>
  </w:abstractNum>
  <w:abstractNum w:abstractNumId="2" w15:restartNumberingAfterBreak="0">
    <w:nsid w:val="01485B19"/>
    <w:multiLevelType w:val="hybridMultilevel"/>
    <w:tmpl w:val="30E65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43054"/>
    <w:multiLevelType w:val="hybridMultilevel"/>
    <w:tmpl w:val="71D0A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53BD7"/>
    <w:multiLevelType w:val="hybridMultilevel"/>
    <w:tmpl w:val="B4D0127A"/>
    <w:lvl w:ilvl="0" w:tplc="FE9EAA6A">
      <w:start w:val="1"/>
      <w:numFmt w:val="bullet"/>
      <w:lvlText w:val="&gt;"/>
      <w:lvlJc w:val="left"/>
      <w:pPr>
        <w:ind w:left="930" w:hanging="570"/>
      </w:pPr>
      <w:rPr>
        <w:rFonts w:ascii="Vrinda" w:hAnsi="Vrinda" w:hint="default"/>
        <w:b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D6789"/>
    <w:multiLevelType w:val="hybridMultilevel"/>
    <w:tmpl w:val="8B5A9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F5F48"/>
    <w:multiLevelType w:val="hybridMultilevel"/>
    <w:tmpl w:val="224E6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21B58"/>
    <w:multiLevelType w:val="hybridMultilevel"/>
    <w:tmpl w:val="F900403E"/>
    <w:lvl w:ilvl="0" w:tplc="7CF2ED16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5676"/>
    <w:multiLevelType w:val="hybridMultilevel"/>
    <w:tmpl w:val="60BA2F60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94416"/>
    <w:multiLevelType w:val="hybridMultilevel"/>
    <w:tmpl w:val="A7222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C2FCA"/>
    <w:multiLevelType w:val="hybridMultilevel"/>
    <w:tmpl w:val="D0D4EE14"/>
    <w:lvl w:ilvl="0" w:tplc="EA229830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E43E5"/>
    <w:multiLevelType w:val="hybridMultilevel"/>
    <w:tmpl w:val="1B8C26CA"/>
    <w:lvl w:ilvl="0" w:tplc="36E0A874">
      <w:start w:val="2"/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333B0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40709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D7D8C"/>
    <w:multiLevelType w:val="hybridMultilevel"/>
    <w:tmpl w:val="4D78748E"/>
    <w:lvl w:ilvl="0" w:tplc="FE9EAA6A">
      <w:start w:val="1"/>
      <w:numFmt w:val="bullet"/>
      <w:lvlText w:val="&gt;"/>
      <w:lvlJc w:val="left"/>
      <w:pPr>
        <w:ind w:left="720" w:hanging="360"/>
      </w:pPr>
      <w:rPr>
        <w:rFonts w:ascii="Vrinda" w:hAnsi="Vrinda" w:hint="default"/>
        <w:b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11B0C"/>
    <w:multiLevelType w:val="hybridMultilevel"/>
    <w:tmpl w:val="C30C4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A7BBC"/>
    <w:multiLevelType w:val="hybridMultilevel"/>
    <w:tmpl w:val="41083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76651"/>
    <w:multiLevelType w:val="hybridMultilevel"/>
    <w:tmpl w:val="0D2CB68C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45099"/>
    <w:multiLevelType w:val="hybridMultilevel"/>
    <w:tmpl w:val="8E2CB28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56963CE"/>
    <w:multiLevelType w:val="hybridMultilevel"/>
    <w:tmpl w:val="C470AEA8"/>
    <w:lvl w:ilvl="0" w:tplc="015EAC18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933657"/>
    <w:multiLevelType w:val="hybridMultilevel"/>
    <w:tmpl w:val="EB34D8BC"/>
    <w:lvl w:ilvl="0" w:tplc="55F2986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91377B"/>
    <w:multiLevelType w:val="hybridMultilevel"/>
    <w:tmpl w:val="6E123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3B1455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E00E1"/>
    <w:multiLevelType w:val="hybridMultilevel"/>
    <w:tmpl w:val="AE603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573EEC"/>
    <w:multiLevelType w:val="hybridMultilevel"/>
    <w:tmpl w:val="4A8098DE"/>
    <w:lvl w:ilvl="0" w:tplc="220A420C">
      <w:numFmt w:val="bullet"/>
      <w:lvlText w:val=""/>
      <w:lvlJc w:val="left"/>
      <w:pPr>
        <w:ind w:left="930" w:hanging="57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020905"/>
    <w:multiLevelType w:val="hybridMultilevel"/>
    <w:tmpl w:val="54AA93A0"/>
    <w:lvl w:ilvl="0" w:tplc="FA94A9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C93731"/>
    <w:multiLevelType w:val="hybridMultilevel"/>
    <w:tmpl w:val="FD52E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204A19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A1F7F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F1906"/>
    <w:multiLevelType w:val="hybridMultilevel"/>
    <w:tmpl w:val="7BCA96A6"/>
    <w:lvl w:ilvl="0" w:tplc="55F2986E">
      <w:start w:val="1"/>
      <w:numFmt w:val="bullet"/>
      <w:lvlText w:val="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481A499B"/>
    <w:multiLevelType w:val="hybridMultilevel"/>
    <w:tmpl w:val="10D63E88"/>
    <w:lvl w:ilvl="0" w:tplc="0C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44504"/>
    <w:multiLevelType w:val="hybridMultilevel"/>
    <w:tmpl w:val="CD5001B0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2F6067"/>
    <w:multiLevelType w:val="hybridMultilevel"/>
    <w:tmpl w:val="590ED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A0A30"/>
    <w:multiLevelType w:val="hybridMultilevel"/>
    <w:tmpl w:val="13249442"/>
    <w:lvl w:ilvl="0" w:tplc="CCD47F66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0953DF"/>
    <w:multiLevelType w:val="hybridMultilevel"/>
    <w:tmpl w:val="C614A660"/>
    <w:lvl w:ilvl="0" w:tplc="FE9EAA6A">
      <w:start w:val="1"/>
      <w:numFmt w:val="bullet"/>
      <w:lvlText w:val="&gt;"/>
      <w:lvlJc w:val="left"/>
      <w:pPr>
        <w:ind w:left="720" w:hanging="360"/>
      </w:pPr>
      <w:rPr>
        <w:rFonts w:ascii="Vrinda" w:hAnsi="Vrinda" w:hint="default"/>
        <w:b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2491F"/>
    <w:multiLevelType w:val="hybridMultilevel"/>
    <w:tmpl w:val="E4AE952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DB7A66"/>
    <w:multiLevelType w:val="hybridMultilevel"/>
    <w:tmpl w:val="BDD29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B373C8"/>
    <w:multiLevelType w:val="hybridMultilevel"/>
    <w:tmpl w:val="464C5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A6699B"/>
    <w:multiLevelType w:val="hybridMultilevel"/>
    <w:tmpl w:val="EE8C2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7A359D"/>
    <w:multiLevelType w:val="hybridMultilevel"/>
    <w:tmpl w:val="12DE2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AE2163"/>
    <w:multiLevelType w:val="hybridMultilevel"/>
    <w:tmpl w:val="366E8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AE3D93"/>
    <w:multiLevelType w:val="hybridMultilevel"/>
    <w:tmpl w:val="CCFC7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602317"/>
    <w:multiLevelType w:val="hybridMultilevel"/>
    <w:tmpl w:val="91CA8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5E6CA1"/>
    <w:multiLevelType w:val="hybridMultilevel"/>
    <w:tmpl w:val="4EE40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6F7434"/>
    <w:multiLevelType w:val="hybridMultilevel"/>
    <w:tmpl w:val="69A2D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DD4708"/>
    <w:multiLevelType w:val="hybridMultilevel"/>
    <w:tmpl w:val="7818C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F92ECA"/>
    <w:multiLevelType w:val="hybridMultilevel"/>
    <w:tmpl w:val="D46826E8"/>
    <w:lvl w:ilvl="0" w:tplc="375E905E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70582E89"/>
    <w:multiLevelType w:val="hybridMultilevel"/>
    <w:tmpl w:val="D4A09600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6E60B8"/>
    <w:multiLevelType w:val="hybridMultilevel"/>
    <w:tmpl w:val="92E86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1077D3"/>
    <w:multiLevelType w:val="hybridMultilevel"/>
    <w:tmpl w:val="6AF239A4"/>
    <w:lvl w:ilvl="0" w:tplc="55F2986E">
      <w:start w:val="1"/>
      <w:numFmt w:val="bullet"/>
      <w:lvlText w:val="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75201B9F"/>
    <w:multiLevelType w:val="hybridMultilevel"/>
    <w:tmpl w:val="B396FFF2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931CEB"/>
    <w:multiLevelType w:val="hybridMultilevel"/>
    <w:tmpl w:val="2740411C"/>
    <w:lvl w:ilvl="0" w:tplc="FE9EAA6A">
      <w:start w:val="1"/>
      <w:numFmt w:val="bullet"/>
      <w:lvlText w:val="&gt;"/>
      <w:lvlJc w:val="left"/>
      <w:pPr>
        <w:ind w:left="720" w:hanging="360"/>
      </w:pPr>
      <w:rPr>
        <w:rFonts w:ascii="Vrinda" w:hAnsi="Vrinda" w:hint="default"/>
        <w:b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43"/>
  </w:num>
  <w:num w:numId="4">
    <w:abstractNumId w:val="5"/>
  </w:num>
  <w:num w:numId="5">
    <w:abstractNumId w:val="38"/>
  </w:num>
  <w:num w:numId="6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7">
    <w:abstractNumId w:val="46"/>
  </w:num>
  <w:num w:numId="8">
    <w:abstractNumId w:val="28"/>
  </w:num>
  <w:num w:numId="9">
    <w:abstractNumId w:val="29"/>
  </w:num>
  <w:num w:numId="10">
    <w:abstractNumId w:val="12"/>
  </w:num>
  <w:num w:numId="11">
    <w:abstractNumId w:val="23"/>
  </w:num>
  <w:num w:numId="12">
    <w:abstractNumId w:val="51"/>
  </w:num>
  <w:num w:numId="13">
    <w:abstractNumId w:val="34"/>
  </w:num>
  <w:num w:numId="14">
    <w:abstractNumId w:val="8"/>
  </w:num>
  <w:num w:numId="15">
    <w:abstractNumId w:val="13"/>
  </w:num>
  <w:num w:numId="16">
    <w:abstractNumId w:val="48"/>
  </w:num>
  <w:num w:numId="17">
    <w:abstractNumId w:val="11"/>
  </w:num>
  <w:num w:numId="18">
    <w:abstractNumId w:val="17"/>
  </w:num>
  <w:num w:numId="19">
    <w:abstractNumId w:val="32"/>
  </w:num>
  <w:num w:numId="20">
    <w:abstractNumId w:val="10"/>
  </w:num>
  <w:num w:numId="21">
    <w:abstractNumId w:val="2"/>
  </w:num>
  <w:num w:numId="22">
    <w:abstractNumId w:val="15"/>
  </w:num>
  <w:num w:numId="23">
    <w:abstractNumId w:val="24"/>
  </w:num>
  <w:num w:numId="24">
    <w:abstractNumId w:val="9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39"/>
  </w:num>
  <w:num w:numId="28">
    <w:abstractNumId w:val="19"/>
  </w:num>
  <w:num w:numId="29">
    <w:abstractNumId w:val="18"/>
  </w:num>
  <w:num w:numId="30">
    <w:abstractNumId w:val="47"/>
  </w:num>
  <w:num w:numId="31">
    <w:abstractNumId w:val="16"/>
  </w:num>
  <w:num w:numId="32">
    <w:abstractNumId w:val="41"/>
  </w:num>
  <w:num w:numId="33">
    <w:abstractNumId w:val="6"/>
  </w:num>
  <w:num w:numId="34">
    <w:abstractNumId w:val="44"/>
  </w:num>
  <w:num w:numId="35">
    <w:abstractNumId w:val="33"/>
  </w:num>
  <w:num w:numId="36">
    <w:abstractNumId w:val="25"/>
  </w:num>
  <w:num w:numId="37">
    <w:abstractNumId w:val="4"/>
  </w:num>
  <w:num w:numId="38">
    <w:abstractNumId w:val="35"/>
  </w:num>
  <w:num w:numId="39">
    <w:abstractNumId w:val="45"/>
  </w:num>
  <w:num w:numId="40">
    <w:abstractNumId w:val="3"/>
  </w:num>
  <w:num w:numId="41">
    <w:abstractNumId w:val="7"/>
  </w:num>
  <w:num w:numId="42">
    <w:abstractNumId w:val="31"/>
  </w:num>
  <w:num w:numId="43">
    <w:abstractNumId w:val="27"/>
  </w:num>
  <w:num w:numId="44">
    <w:abstractNumId w:val="42"/>
  </w:num>
  <w:num w:numId="45">
    <w:abstractNumId w:val="0"/>
  </w:num>
  <w:num w:numId="46">
    <w:abstractNumId w:val="14"/>
  </w:num>
  <w:num w:numId="47">
    <w:abstractNumId w:val="52"/>
  </w:num>
  <w:num w:numId="48">
    <w:abstractNumId w:val="30"/>
  </w:num>
  <w:num w:numId="49">
    <w:abstractNumId w:val="50"/>
  </w:num>
  <w:num w:numId="50">
    <w:abstractNumId w:val="21"/>
  </w:num>
  <w:num w:numId="51">
    <w:abstractNumId w:val="22"/>
  </w:num>
  <w:num w:numId="52">
    <w:abstractNumId w:val="20"/>
  </w:num>
  <w:num w:numId="53">
    <w:abstractNumId w:val="26"/>
  </w:num>
  <w:num w:numId="54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xtjQxNLQwNzcyM7JU0lEKTi0uzszPAykwrQUA50B3dywAAAA="/>
  </w:docVars>
  <w:rsids>
    <w:rsidRoot w:val="00DA1022"/>
    <w:rsid w:val="0000300B"/>
    <w:rsid w:val="0000334E"/>
    <w:rsid w:val="00005643"/>
    <w:rsid w:val="00007C8D"/>
    <w:rsid w:val="00011F32"/>
    <w:rsid w:val="00016BA2"/>
    <w:rsid w:val="000208D2"/>
    <w:rsid w:val="00023C08"/>
    <w:rsid w:val="00024BD3"/>
    <w:rsid w:val="00025D13"/>
    <w:rsid w:val="0003025D"/>
    <w:rsid w:val="00032B32"/>
    <w:rsid w:val="00035136"/>
    <w:rsid w:val="00036086"/>
    <w:rsid w:val="00040B05"/>
    <w:rsid w:val="0004274A"/>
    <w:rsid w:val="00042D4C"/>
    <w:rsid w:val="00045264"/>
    <w:rsid w:val="000460F8"/>
    <w:rsid w:val="00051A91"/>
    <w:rsid w:val="00051F7A"/>
    <w:rsid w:val="00052A39"/>
    <w:rsid w:val="00052DB6"/>
    <w:rsid w:val="0005491A"/>
    <w:rsid w:val="000555B7"/>
    <w:rsid w:val="000559C8"/>
    <w:rsid w:val="00056548"/>
    <w:rsid w:val="0005764A"/>
    <w:rsid w:val="000609D9"/>
    <w:rsid w:val="00061A05"/>
    <w:rsid w:val="00063BB4"/>
    <w:rsid w:val="00065340"/>
    <w:rsid w:val="00065347"/>
    <w:rsid w:val="0007071C"/>
    <w:rsid w:val="00070A52"/>
    <w:rsid w:val="00072306"/>
    <w:rsid w:val="00072549"/>
    <w:rsid w:val="000727E2"/>
    <w:rsid w:val="00073B86"/>
    <w:rsid w:val="00074CB2"/>
    <w:rsid w:val="00084468"/>
    <w:rsid w:val="00084D8E"/>
    <w:rsid w:val="00084FA8"/>
    <w:rsid w:val="000902DD"/>
    <w:rsid w:val="000907DE"/>
    <w:rsid w:val="00091A07"/>
    <w:rsid w:val="00093158"/>
    <w:rsid w:val="00095E28"/>
    <w:rsid w:val="0009642C"/>
    <w:rsid w:val="00096FB8"/>
    <w:rsid w:val="000A0E4B"/>
    <w:rsid w:val="000A2AE5"/>
    <w:rsid w:val="000A3641"/>
    <w:rsid w:val="000A3F47"/>
    <w:rsid w:val="000A4D28"/>
    <w:rsid w:val="000A5293"/>
    <w:rsid w:val="000A59BE"/>
    <w:rsid w:val="000A6A9B"/>
    <w:rsid w:val="000A7A3F"/>
    <w:rsid w:val="000B1051"/>
    <w:rsid w:val="000B193B"/>
    <w:rsid w:val="000B2131"/>
    <w:rsid w:val="000B3A34"/>
    <w:rsid w:val="000B3F4F"/>
    <w:rsid w:val="000B6B77"/>
    <w:rsid w:val="000C0552"/>
    <w:rsid w:val="000C14FE"/>
    <w:rsid w:val="000C2BDB"/>
    <w:rsid w:val="000C2DC3"/>
    <w:rsid w:val="000C3067"/>
    <w:rsid w:val="000C489F"/>
    <w:rsid w:val="000C7244"/>
    <w:rsid w:val="000D00A5"/>
    <w:rsid w:val="000D02FC"/>
    <w:rsid w:val="000D1326"/>
    <w:rsid w:val="000D2159"/>
    <w:rsid w:val="000D432B"/>
    <w:rsid w:val="000D4BB5"/>
    <w:rsid w:val="000D4FF8"/>
    <w:rsid w:val="000D68D5"/>
    <w:rsid w:val="000D797B"/>
    <w:rsid w:val="000E312C"/>
    <w:rsid w:val="000E3651"/>
    <w:rsid w:val="000E36AE"/>
    <w:rsid w:val="000E3954"/>
    <w:rsid w:val="000E44D2"/>
    <w:rsid w:val="000E706B"/>
    <w:rsid w:val="000E7520"/>
    <w:rsid w:val="000E7688"/>
    <w:rsid w:val="000E7BC7"/>
    <w:rsid w:val="000F13E8"/>
    <w:rsid w:val="000F145B"/>
    <w:rsid w:val="000F1F80"/>
    <w:rsid w:val="000F3B8E"/>
    <w:rsid w:val="000F3FFA"/>
    <w:rsid w:val="000F4559"/>
    <w:rsid w:val="000F66BE"/>
    <w:rsid w:val="000F6A00"/>
    <w:rsid w:val="000F7B2C"/>
    <w:rsid w:val="000F7DDD"/>
    <w:rsid w:val="001002A8"/>
    <w:rsid w:val="001019FD"/>
    <w:rsid w:val="001037A5"/>
    <w:rsid w:val="001040ED"/>
    <w:rsid w:val="00105943"/>
    <w:rsid w:val="00107C2D"/>
    <w:rsid w:val="00107C9C"/>
    <w:rsid w:val="00110856"/>
    <w:rsid w:val="00111891"/>
    <w:rsid w:val="00111D3B"/>
    <w:rsid w:val="001127B6"/>
    <w:rsid w:val="00112BE2"/>
    <w:rsid w:val="001130BC"/>
    <w:rsid w:val="00113FC2"/>
    <w:rsid w:val="0011424C"/>
    <w:rsid w:val="00115356"/>
    <w:rsid w:val="00120DA0"/>
    <w:rsid w:val="00122198"/>
    <w:rsid w:val="00122FA0"/>
    <w:rsid w:val="0012342D"/>
    <w:rsid w:val="001240A3"/>
    <w:rsid w:val="001244AE"/>
    <w:rsid w:val="00124A67"/>
    <w:rsid w:val="00125A68"/>
    <w:rsid w:val="001264EA"/>
    <w:rsid w:val="00126CE7"/>
    <w:rsid w:val="00130229"/>
    <w:rsid w:val="00131856"/>
    <w:rsid w:val="0013459A"/>
    <w:rsid w:val="00134A4B"/>
    <w:rsid w:val="001358C8"/>
    <w:rsid w:val="00137EBF"/>
    <w:rsid w:val="001403E4"/>
    <w:rsid w:val="00144202"/>
    <w:rsid w:val="00147015"/>
    <w:rsid w:val="00147E05"/>
    <w:rsid w:val="00150898"/>
    <w:rsid w:val="00151660"/>
    <w:rsid w:val="001522E5"/>
    <w:rsid w:val="00152BF9"/>
    <w:rsid w:val="00153F0C"/>
    <w:rsid w:val="00156998"/>
    <w:rsid w:val="00157201"/>
    <w:rsid w:val="001611E0"/>
    <w:rsid w:val="001617F2"/>
    <w:rsid w:val="00161DE7"/>
    <w:rsid w:val="00161FB2"/>
    <w:rsid w:val="001631C5"/>
    <w:rsid w:val="00165E54"/>
    <w:rsid w:val="00170D27"/>
    <w:rsid w:val="00171504"/>
    <w:rsid w:val="001716D9"/>
    <w:rsid w:val="00175C89"/>
    <w:rsid w:val="00175F46"/>
    <w:rsid w:val="001767FA"/>
    <w:rsid w:val="00176E4D"/>
    <w:rsid w:val="00177AFD"/>
    <w:rsid w:val="001802A8"/>
    <w:rsid w:val="001802C0"/>
    <w:rsid w:val="0018129A"/>
    <w:rsid w:val="00181E1C"/>
    <w:rsid w:val="00183454"/>
    <w:rsid w:val="001835AD"/>
    <w:rsid w:val="001847A6"/>
    <w:rsid w:val="00185301"/>
    <w:rsid w:val="001856DC"/>
    <w:rsid w:val="0018622B"/>
    <w:rsid w:val="001901D9"/>
    <w:rsid w:val="00191769"/>
    <w:rsid w:val="00191948"/>
    <w:rsid w:val="00193000"/>
    <w:rsid w:val="001939F0"/>
    <w:rsid w:val="00193CCB"/>
    <w:rsid w:val="00193EB6"/>
    <w:rsid w:val="001951C5"/>
    <w:rsid w:val="00195CA3"/>
    <w:rsid w:val="00195F6C"/>
    <w:rsid w:val="001A0B8E"/>
    <w:rsid w:val="001A0C51"/>
    <w:rsid w:val="001A2609"/>
    <w:rsid w:val="001A5D71"/>
    <w:rsid w:val="001A730C"/>
    <w:rsid w:val="001B1F63"/>
    <w:rsid w:val="001B30AB"/>
    <w:rsid w:val="001B466C"/>
    <w:rsid w:val="001B58E7"/>
    <w:rsid w:val="001B5A54"/>
    <w:rsid w:val="001B700D"/>
    <w:rsid w:val="001B79DD"/>
    <w:rsid w:val="001C06FE"/>
    <w:rsid w:val="001C262D"/>
    <w:rsid w:val="001C2ADA"/>
    <w:rsid w:val="001C2D26"/>
    <w:rsid w:val="001C7822"/>
    <w:rsid w:val="001D0811"/>
    <w:rsid w:val="001D3D7B"/>
    <w:rsid w:val="001D41EE"/>
    <w:rsid w:val="001E11A4"/>
    <w:rsid w:val="001E2827"/>
    <w:rsid w:val="001E4C38"/>
    <w:rsid w:val="001E504A"/>
    <w:rsid w:val="001E5EF2"/>
    <w:rsid w:val="001E6AD7"/>
    <w:rsid w:val="001F0B2F"/>
    <w:rsid w:val="001F0D48"/>
    <w:rsid w:val="001F1B3D"/>
    <w:rsid w:val="001F375E"/>
    <w:rsid w:val="001F634F"/>
    <w:rsid w:val="001F645C"/>
    <w:rsid w:val="001F6F5B"/>
    <w:rsid w:val="002036F3"/>
    <w:rsid w:val="00203DB1"/>
    <w:rsid w:val="002041C8"/>
    <w:rsid w:val="002104D9"/>
    <w:rsid w:val="002108C7"/>
    <w:rsid w:val="00212A15"/>
    <w:rsid w:val="00212BDC"/>
    <w:rsid w:val="002137F6"/>
    <w:rsid w:val="00214F91"/>
    <w:rsid w:val="0021591E"/>
    <w:rsid w:val="0021629C"/>
    <w:rsid w:val="002170B0"/>
    <w:rsid w:val="002171A9"/>
    <w:rsid w:val="00221320"/>
    <w:rsid w:val="00221DD3"/>
    <w:rsid w:val="00224650"/>
    <w:rsid w:val="00224F56"/>
    <w:rsid w:val="002259F9"/>
    <w:rsid w:val="00225E40"/>
    <w:rsid w:val="00231AAB"/>
    <w:rsid w:val="00232983"/>
    <w:rsid w:val="00234EF2"/>
    <w:rsid w:val="00236BB5"/>
    <w:rsid w:val="00237298"/>
    <w:rsid w:val="002378FB"/>
    <w:rsid w:val="002406D2"/>
    <w:rsid w:val="002419E7"/>
    <w:rsid w:val="00242911"/>
    <w:rsid w:val="00242A7B"/>
    <w:rsid w:val="00245D33"/>
    <w:rsid w:val="00246998"/>
    <w:rsid w:val="002520E1"/>
    <w:rsid w:val="00253653"/>
    <w:rsid w:val="002546FC"/>
    <w:rsid w:val="00257897"/>
    <w:rsid w:val="00260D08"/>
    <w:rsid w:val="00262777"/>
    <w:rsid w:val="002631B5"/>
    <w:rsid w:val="0026726C"/>
    <w:rsid w:val="00272042"/>
    <w:rsid w:val="00272394"/>
    <w:rsid w:val="00272903"/>
    <w:rsid w:val="00273A8E"/>
    <w:rsid w:val="00275CCC"/>
    <w:rsid w:val="00276EAE"/>
    <w:rsid w:val="00277A54"/>
    <w:rsid w:val="00277B95"/>
    <w:rsid w:val="002806E5"/>
    <w:rsid w:val="002815AE"/>
    <w:rsid w:val="002815B1"/>
    <w:rsid w:val="00281C06"/>
    <w:rsid w:val="00281E6D"/>
    <w:rsid w:val="00282007"/>
    <w:rsid w:val="002840DE"/>
    <w:rsid w:val="00286284"/>
    <w:rsid w:val="0029141C"/>
    <w:rsid w:val="00293E33"/>
    <w:rsid w:val="00293EA0"/>
    <w:rsid w:val="0029459F"/>
    <w:rsid w:val="00294E1F"/>
    <w:rsid w:val="00296E82"/>
    <w:rsid w:val="002977F1"/>
    <w:rsid w:val="002A1427"/>
    <w:rsid w:val="002A23F8"/>
    <w:rsid w:val="002A4EDD"/>
    <w:rsid w:val="002A60CE"/>
    <w:rsid w:val="002A62DD"/>
    <w:rsid w:val="002A6D08"/>
    <w:rsid w:val="002B0ACA"/>
    <w:rsid w:val="002B2544"/>
    <w:rsid w:val="002B33EF"/>
    <w:rsid w:val="002B3894"/>
    <w:rsid w:val="002B4366"/>
    <w:rsid w:val="002B4583"/>
    <w:rsid w:val="002B5972"/>
    <w:rsid w:val="002B79CE"/>
    <w:rsid w:val="002B7A07"/>
    <w:rsid w:val="002C0058"/>
    <w:rsid w:val="002C0956"/>
    <w:rsid w:val="002C1EB2"/>
    <w:rsid w:val="002C247B"/>
    <w:rsid w:val="002C2653"/>
    <w:rsid w:val="002C5DFB"/>
    <w:rsid w:val="002D0747"/>
    <w:rsid w:val="002D0D4B"/>
    <w:rsid w:val="002D48B8"/>
    <w:rsid w:val="002D6B3F"/>
    <w:rsid w:val="002E0C0E"/>
    <w:rsid w:val="002E1AB3"/>
    <w:rsid w:val="002E1DCA"/>
    <w:rsid w:val="002E1E61"/>
    <w:rsid w:val="002E2A8D"/>
    <w:rsid w:val="002E37B6"/>
    <w:rsid w:val="002E4BAD"/>
    <w:rsid w:val="002E77CA"/>
    <w:rsid w:val="002E7F5F"/>
    <w:rsid w:val="002F0A41"/>
    <w:rsid w:val="002F0B29"/>
    <w:rsid w:val="002F283D"/>
    <w:rsid w:val="002F347C"/>
    <w:rsid w:val="002F482C"/>
    <w:rsid w:val="002F4D69"/>
    <w:rsid w:val="002F5478"/>
    <w:rsid w:val="002F63FE"/>
    <w:rsid w:val="002F7391"/>
    <w:rsid w:val="00301425"/>
    <w:rsid w:val="003017BE"/>
    <w:rsid w:val="0030187D"/>
    <w:rsid w:val="00301DC6"/>
    <w:rsid w:val="00301E9E"/>
    <w:rsid w:val="00303130"/>
    <w:rsid w:val="00304947"/>
    <w:rsid w:val="003057AE"/>
    <w:rsid w:val="00305928"/>
    <w:rsid w:val="00310D2A"/>
    <w:rsid w:val="00311E45"/>
    <w:rsid w:val="0031334B"/>
    <w:rsid w:val="003142A5"/>
    <w:rsid w:val="003144F6"/>
    <w:rsid w:val="00314563"/>
    <w:rsid w:val="003148D4"/>
    <w:rsid w:val="00315BFD"/>
    <w:rsid w:val="00315C2D"/>
    <w:rsid w:val="003164B0"/>
    <w:rsid w:val="00317C32"/>
    <w:rsid w:val="00322075"/>
    <w:rsid w:val="00326BE5"/>
    <w:rsid w:val="0032742D"/>
    <w:rsid w:val="003274A8"/>
    <w:rsid w:val="00327D8A"/>
    <w:rsid w:val="0033118F"/>
    <w:rsid w:val="00334F05"/>
    <w:rsid w:val="0033639D"/>
    <w:rsid w:val="00336434"/>
    <w:rsid w:val="00337EE5"/>
    <w:rsid w:val="00340EA6"/>
    <w:rsid w:val="00340F08"/>
    <w:rsid w:val="00342B33"/>
    <w:rsid w:val="00343425"/>
    <w:rsid w:val="003436F1"/>
    <w:rsid w:val="00343921"/>
    <w:rsid w:val="0034407A"/>
    <w:rsid w:val="00344282"/>
    <w:rsid w:val="0034610D"/>
    <w:rsid w:val="0034741A"/>
    <w:rsid w:val="00351C52"/>
    <w:rsid w:val="00351DC0"/>
    <w:rsid w:val="00353C25"/>
    <w:rsid w:val="003541E8"/>
    <w:rsid w:val="00354A22"/>
    <w:rsid w:val="00357E8B"/>
    <w:rsid w:val="00362134"/>
    <w:rsid w:val="003634DD"/>
    <w:rsid w:val="00363579"/>
    <w:rsid w:val="00363C72"/>
    <w:rsid w:val="00367786"/>
    <w:rsid w:val="00370393"/>
    <w:rsid w:val="00370DB5"/>
    <w:rsid w:val="0037141B"/>
    <w:rsid w:val="0037224D"/>
    <w:rsid w:val="00374AF5"/>
    <w:rsid w:val="00376093"/>
    <w:rsid w:val="00377FB9"/>
    <w:rsid w:val="0038035D"/>
    <w:rsid w:val="00380E0A"/>
    <w:rsid w:val="00382D1E"/>
    <w:rsid w:val="0038369F"/>
    <w:rsid w:val="00383D7C"/>
    <w:rsid w:val="00384516"/>
    <w:rsid w:val="003879DF"/>
    <w:rsid w:val="00390D0A"/>
    <w:rsid w:val="003955FC"/>
    <w:rsid w:val="00397C1B"/>
    <w:rsid w:val="003A0F7D"/>
    <w:rsid w:val="003A3342"/>
    <w:rsid w:val="003A346C"/>
    <w:rsid w:val="003A6993"/>
    <w:rsid w:val="003A6B26"/>
    <w:rsid w:val="003B0803"/>
    <w:rsid w:val="003B0A1E"/>
    <w:rsid w:val="003B0E76"/>
    <w:rsid w:val="003B125F"/>
    <w:rsid w:val="003B1670"/>
    <w:rsid w:val="003B1A98"/>
    <w:rsid w:val="003B324C"/>
    <w:rsid w:val="003B3402"/>
    <w:rsid w:val="003B3D41"/>
    <w:rsid w:val="003B61D0"/>
    <w:rsid w:val="003B68B4"/>
    <w:rsid w:val="003B767A"/>
    <w:rsid w:val="003C0792"/>
    <w:rsid w:val="003C105B"/>
    <w:rsid w:val="003C23DE"/>
    <w:rsid w:val="003C24D0"/>
    <w:rsid w:val="003D1955"/>
    <w:rsid w:val="003D3E11"/>
    <w:rsid w:val="003D4EA5"/>
    <w:rsid w:val="003D5948"/>
    <w:rsid w:val="003D629D"/>
    <w:rsid w:val="003D7D4A"/>
    <w:rsid w:val="003E0537"/>
    <w:rsid w:val="003E1E77"/>
    <w:rsid w:val="003E225E"/>
    <w:rsid w:val="003E22FC"/>
    <w:rsid w:val="003E24EC"/>
    <w:rsid w:val="003E64B7"/>
    <w:rsid w:val="003E7254"/>
    <w:rsid w:val="003F0808"/>
    <w:rsid w:val="003F2116"/>
    <w:rsid w:val="003F2693"/>
    <w:rsid w:val="003F448A"/>
    <w:rsid w:val="003F4F2E"/>
    <w:rsid w:val="003F68EA"/>
    <w:rsid w:val="003F6C2D"/>
    <w:rsid w:val="0040129F"/>
    <w:rsid w:val="00402C1C"/>
    <w:rsid w:val="00402CED"/>
    <w:rsid w:val="00403F51"/>
    <w:rsid w:val="00404E95"/>
    <w:rsid w:val="00405050"/>
    <w:rsid w:val="00406A3E"/>
    <w:rsid w:val="00407B92"/>
    <w:rsid w:val="00411188"/>
    <w:rsid w:val="00415928"/>
    <w:rsid w:val="00416F67"/>
    <w:rsid w:val="004261DB"/>
    <w:rsid w:val="004273B8"/>
    <w:rsid w:val="00427D2E"/>
    <w:rsid w:val="0043191F"/>
    <w:rsid w:val="00434BB1"/>
    <w:rsid w:val="00437CBA"/>
    <w:rsid w:val="004437B3"/>
    <w:rsid w:val="004471CE"/>
    <w:rsid w:val="00447842"/>
    <w:rsid w:val="00450357"/>
    <w:rsid w:val="00452BEB"/>
    <w:rsid w:val="00453A54"/>
    <w:rsid w:val="00454284"/>
    <w:rsid w:val="004546A4"/>
    <w:rsid w:val="00454C99"/>
    <w:rsid w:val="004551BE"/>
    <w:rsid w:val="00456404"/>
    <w:rsid w:val="0045700F"/>
    <w:rsid w:val="00464707"/>
    <w:rsid w:val="0046505B"/>
    <w:rsid w:val="00466743"/>
    <w:rsid w:val="00467644"/>
    <w:rsid w:val="00471F3C"/>
    <w:rsid w:val="00476F8B"/>
    <w:rsid w:val="004812E0"/>
    <w:rsid w:val="0048134B"/>
    <w:rsid w:val="00481707"/>
    <w:rsid w:val="00481D32"/>
    <w:rsid w:val="004829D0"/>
    <w:rsid w:val="00483852"/>
    <w:rsid w:val="00484221"/>
    <w:rsid w:val="00485136"/>
    <w:rsid w:val="0048536C"/>
    <w:rsid w:val="0048765D"/>
    <w:rsid w:val="00491998"/>
    <w:rsid w:val="00491FE4"/>
    <w:rsid w:val="00493C8E"/>
    <w:rsid w:val="004949D4"/>
    <w:rsid w:val="004A054B"/>
    <w:rsid w:val="004A0D98"/>
    <w:rsid w:val="004A19A3"/>
    <w:rsid w:val="004A1DBB"/>
    <w:rsid w:val="004A2487"/>
    <w:rsid w:val="004A3F8C"/>
    <w:rsid w:val="004A41A0"/>
    <w:rsid w:val="004A59D9"/>
    <w:rsid w:val="004A68DF"/>
    <w:rsid w:val="004A69DF"/>
    <w:rsid w:val="004A789E"/>
    <w:rsid w:val="004B0659"/>
    <w:rsid w:val="004B2D77"/>
    <w:rsid w:val="004B3CDB"/>
    <w:rsid w:val="004C06E6"/>
    <w:rsid w:val="004C24D3"/>
    <w:rsid w:val="004C2506"/>
    <w:rsid w:val="004C27D3"/>
    <w:rsid w:val="004C3CE8"/>
    <w:rsid w:val="004C3FD6"/>
    <w:rsid w:val="004C53EF"/>
    <w:rsid w:val="004C61EA"/>
    <w:rsid w:val="004D08CC"/>
    <w:rsid w:val="004D1D4C"/>
    <w:rsid w:val="004D2DA3"/>
    <w:rsid w:val="004D372D"/>
    <w:rsid w:val="004D52E9"/>
    <w:rsid w:val="004E0192"/>
    <w:rsid w:val="004E025A"/>
    <w:rsid w:val="004E094F"/>
    <w:rsid w:val="004E35A3"/>
    <w:rsid w:val="004E6C7A"/>
    <w:rsid w:val="004E6E14"/>
    <w:rsid w:val="004F0808"/>
    <w:rsid w:val="004F12D6"/>
    <w:rsid w:val="004F2FDE"/>
    <w:rsid w:val="004F3FEF"/>
    <w:rsid w:val="004F4155"/>
    <w:rsid w:val="004F4BF8"/>
    <w:rsid w:val="004F5088"/>
    <w:rsid w:val="004F5BAE"/>
    <w:rsid w:val="004F641F"/>
    <w:rsid w:val="004F6459"/>
    <w:rsid w:val="004F6821"/>
    <w:rsid w:val="004F6A6B"/>
    <w:rsid w:val="004F72F7"/>
    <w:rsid w:val="00500782"/>
    <w:rsid w:val="0050250D"/>
    <w:rsid w:val="00503BDE"/>
    <w:rsid w:val="00503F64"/>
    <w:rsid w:val="00505924"/>
    <w:rsid w:val="00505C16"/>
    <w:rsid w:val="00505DBA"/>
    <w:rsid w:val="00506943"/>
    <w:rsid w:val="00507010"/>
    <w:rsid w:val="00511097"/>
    <w:rsid w:val="00511181"/>
    <w:rsid w:val="00513CDE"/>
    <w:rsid w:val="00514C44"/>
    <w:rsid w:val="00514F0E"/>
    <w:rsid w:val="0052206D"/>
    <w:rsid w:val="0052263F"/>
    <w:rsid w:val="00522C7C"/>
    <w:rsid w:val="00522DC5"/>
    <w:rsid w:val="00522E3D"/>
    <w:rsid w:val="0052325C"/>
    <w:rsid w:val="00524A35"/>
    <w:rsid w:val="00524A47"/>
    <w:rsid w:val="00525AF3"/>
    <w:rsid w:val="00526B39"/>
    <w:rsid w:val="00531B55"/>
    <w:rsid w:val="0053278B"/>
    <w:rsid w:val="0054025E"/>
    <w:rsid w:val="00540F63"/>
    <w:rsid w:val="00540F75"/>
    <w:rsid w:val="0054110B"/>
    <w:rsid w:val="0054415C"/>
    <w:rsid w:val="0054416C"/>
    <w:rsid w:val="00544701"/>
    <w:rsid w:val="00546E04"/>
    <w:rsid w:val="00551EE5"/>
    <w:rsid w:val="00554C6C"/>
    <w:rsid w:val="00557A8F"/>
    <w:rsid w:val="005614D6"/>
    <w:rsid w:val="00562BBE"/>
    <w:rsid w:val="00562DAE"/>
    <w:rsid w:val="00564E0D"/>
    <w:rsid w:val="00570FC1"/>
    <w:rsid w:val="005721C5"/>
    <w:rsid w:val="00573732"/>
    <w:rsid w:val="0057385A"/>
    <w:rsid w:val="00574A19"/>
    <w:rsid w:val="00574E59"/>
    <w:rsid w:val="00576D51"/>
    <w:rsid w:val="0057710E"/>
    <w:rsid w:val="00580AC1"/>
    <w:rsid w:val="00581992"/>
    <w:rsid w:val="005836CC"/>
    <w:rsid w:val="005842A4"/>
    <w:rsid w:val="005845F3"/>
    <w:rsid w:val="005855E7"/>
    <w:rsid w:val="005861E6"/>
    <w:rsid w:val="00586DC0"/>
    <w:rsid w:val="005908D2"/>
    <w:rsid w:val="00591C99"/>
    <w:rsid w:val="00592092"/>
    <w:rsid w:val="00593518"/>
    <w:rsid w:val="00593959"/>
    <w:rsid w:val="005939A7"/>
    <w:rsid w:val="00593AB5"/>
    <w:rsid w:val="005958C1"/>
    <w:rsid w:val="00595E64"/>
    <w:rsid w:val="00597470"/>
    <w:rsid w:val="005A1292"/>
    <w:rsid w:val="005A1FF2"/>
    <w:rsid w:val="005A258F"/>
    <w:rsid w:val="005A599B"/>
    <w:rsid w:val="005A64F7"/>
    <w:rsid w:val="005B31FD"/>
    <w:rsid w:val="005C201C"/>
    <w:rsid w:val="005C3AB7"/>
    <w:rsid w:val="005C51F7"/>
    <w:rsid w:val="005C688C"/>
    <w:rsid w:val="005C6A6C"/>
    <w:rsid w:val="005D1812"/>
    <w:rsid w:val="005D206A"/>
    <w:rsid w:val="005D37B0"/>
    <w:rsid w:val="005D456F"/>
    <w:rsid w:val="005D48CA"/>
    <w:rsid w:val="005D5A16"/>
    <w:rsid w:val="005D7632"/>
    <w:rsid w:val="005E0661"/>
    <w:rsid w:val="005E09F7"/>
    <w:rsid w:val="005E306B"/>
    <w:rsid w:val="005E4016"/>
    <w:rsid w:val="005E4329"/>
    <w:rsid w:val="005E6B15"/>
    <w:rsid w:val="005F0138"/>
    <w:rsid w:val="005F1118"/>
    <w:rsid w:val="005F23D4"/>
    <w:rsid w:val="005F3083"/>
    <w:rsid w:val="005F4643"/>
    <w:rsid w:val="005F5D29"/>
    <w:rsid w:val="005F68AC"/>
    <w:rsid w:val="005F7F10"/>
    <w:rsid w:val="006009AE"/>
    <w:rsid w:val="00601D0E"/>
    <w:rsid w:val="00602868"/>
    <w:rsid w:val="006046F8"/>
    <w:rsid w:val="00604ECF"/>
    <w:rsid w:val="00605EEE"/>
    <w:rsid w:val="006065D3"/>
    <w:rsid w:val="00606889"/>
    <w:rsid w:val="00607B24"/>
    <w:rsid w:val="006103E3"/>
    <w:rsid w:val="0061493C"/>
    <w:rsid w:val="00615237"/>
    <w:rsid w:val="00617543"/>
    <w:rsid w:val="00621713"/>
    <w:rsid w:val="00624047"/>
    <w:rsid w:val="00626085"/>
    <w:rsid w:val="00626DE6"/>
    <w:rsid w:val="00627040"/>
    <w:rsid w:val="00627621"/>
    <w:rsid w:val="006300DE"/>
    <w:rsid w:val="0063048A"/>
    <w:rsid w:val="00630A6C"/>
    <w:rsid w:val="00631A55"/>
    <w:rsid w:val="00635547"/>
    <w:rsid w:val="0063614D"/>
    <w:rsid w:val="00640477"/>
    <w:rsid w:val="0064391C"/>
    <w:rsid w:val="006445AD"/>
    <w:rsid w:val="0064732F"/>
    <w:rsid w:val="00647418"/>
    <w:rsid w:val="006502AC"/>
    <w:rsid w:val="00650D31"/>
    <w:rsid w:val="0065257F"/>
    <w:rsid w:val="00652F81"/>
    <w:rsid w:val="006534C6"/>
    <w:rsid w:val="006623F2"/>
    <w:rsid w:val="00662DD9"/>
    <w:rsid w:val="006636A6"/>
    <w:rsid w:val="00663CBD"/>
    <w:rsid w:val="00664DC3"/>
    <w:rsid w:val="00665C05"/>
    <w:rsid w:val="0066629F"/>
    <w:rsid w:val="00667ADE"/>
    <w:rsid w:val="0067397E"/>
    <w:rsid w:val="00675410"/>
    <w:rsid w:val="00681ADC"/>
    <w:rsid w:val="00681ED2"/>
    <w:rsid w:val="006846A9"/>
    <w:rsid w:val="00687704"/>
    <w:rsid w:val="006A1904"/>
    <w:rsid w:val="006A32AA"/>
    <w:rsid w:val="006A37C3"/>
    <w:rsid w:val="006A44C1"/>
    <w:rsid w:val="006A4999"/>
    <w:rsid w:val="006A5F06"/>
    <w:rsid w:val="006A727F"/>
    <w:rsid w:val="006B28C4"/>
    <w:rsid w:val="006B2F38"/>
    <w:rsid w:val="006B7C97"/>
    <w:rsid w:val="006C46C4"/>
    <w:rsid w:val="006C60D1"/>
    <w:rsid w:val="006C7D95"/>
    <w:rsid w:val="006D0B5D"/>
    <w:rsid w:val="006D1F57"/>
    <w:rsid w:val="006D2DF4"/>
    <w:rsid w:val="006D5E01"/>
    <w:rsid w:val="006D71DB"/>
    <w:rsid w:val="006D749A"/>
    <w:rsid w:val="006E00EA"/>
    <w:rsid w:val="006E0975"/>
    <w:rsid w:val="006E0AC6"/>
    <w:rsid w:val="006E1935"/>
    <w:rsid w:val="006E2555"/>
    <w:rsid w:val="006E39EC"/>
    <w:rsid w:val="006E5F02"/>
    <w:rsid w:val="006E7459"/>
    <w:rsid w:val="006F011A"/>
    <w:rsid w:val="006F1564"/>
    <w:rsid w:val="006F4C8C"/>
    <w:rsid w:val="006F4D67"/>
    <w:rsid w:val="006F6F0D"/>
    <w:rsid w:val="006F778E"/>
    <w:rsid w:val="006F7A60"/>
    <w:rsid w:val="006F7DE6"/>
    <w:rsid w:val="00700626"/>
    <w:rsid w:val="00700BE4"/>
    <w:rsid w:val="007022CD"/>
    <w:rsid w:val="00703B41"/>
    <w:rsid w:val="00703BDF"/>
    <w:rsid w:val="007045F7"/>
    <w:rsid w:val="007055F7"/>
    <w:rsid w:val="00707DCF"/>
    <w:rsid w:val="00707FEF"/>
    <w:rsid w:val="00712A1C"/>
    <w:rsid w:val="00713A6E"/>
    <w:rsid w:val="00715FD8"/>
    <w:rsid w:val="00717714"/>
    <w:rsid w:val="00720E89"/>
    <w:rsid w:val="00722C89"/>
    <w:rsid w:val="00725AA7"/>
    <w:rsid w:val="007273F0"/>
    <w:rsid w:val="00730FDF"/>
    <w:rsid w:val="00732357"/>
    <w:rsid w:val="00735B89"/>
    <w:rsid w:val="007424D8"/>
    <w:rsid w:val="00742EA5"/>
    <w:rsid w:val="00742F88"/>
    <w:rsid w:val="00744673"/>
    <w:rsid w:val="00744FCB"/>
    <w:rsid w:val="00745491"/>
    <w:rsid w:val="00745527"/>
    <w:rsid w:val="007460C3"/>
    <w:rsid w:val="00746205"/>
    <w:rsid w:val="007506D8"/>
    <w:rsid w:val="00750DB6"/>
    <w:rsid w:val="0075392B"/>
    <w:rsid w:val="00755E64"/>
    <w:rsid w:val="00756624"/>
    <w:rsid w:val="00756BEE"/>
    <w:rsid w:val="00757119"/>
    <w:rsid w:val="00757531"/>
    <w:rsid w:val="00760F83"/>
    <w:rsid w:val="00761597"/>
    <w:rsid w:val="00761C8D"/>
    <w:rsid w:val="00764418"/>
    <w:rsid w:val="007645CC"/>
    <w:rsid w:val="00765927"/>
    <w:rsid w:val="0077287F"/>
    <w:rsid w:val="007745AD"/>
    <w:rsid w:val="00774617"/>
    <w:rsid w:val="0077543C"/>
    <w:rsid w:val="00775828"/>
    <w:rsid w:val="007762B8"/>
    <w:rsid w:val="00776FB8"/>
    <w:rsid w:val="007800DD"/>
    <w:rsid w:val="00780E42"/>
    <w:rsid w:val="00783639"/>
    <w:rsid w:val="00784997"/>
    <w:rsid w:val="00785F15"/>
    <w:rsid w:val="00787679"/>
    <w:rsid w:val="0079221C"/>
    <w:rsid w:val="007937E7"/>
    <w:rsid w:val="00795990"/>
    <w:rsid w:val="00796B12"/>
    <w:rsid w:val="00797EDD"/>
    <w:rsid w:val="007A0937"/>
    <w:rsid w:val="007A23D2"/>
    <w:rsid w:val="007A3C29"/>
    <w:rsid w:val="007A5674"/>
    <w:rsid w:val="007A5A97"/>
    <w:rsid w:val="007A6995"/>
    <w:rsid w:val="007A72F5"/>
    <w:rsid w:val="007B4577"/>
    <w:rsid w:val="007B4CDE"/>
    <w:rsid w:val="007C03C6"/>
    <w:rsid w:val="007C08A7"/>
    <w:rsid w:val="007C213F"/>
    <w:rsid w:val="007C2742"/>
    <w:rsid w:val="007C4108"/>
    <w:rsid w:val="007C4927"/>
    <w:rsid w:val="007C50ED"/>
    <w:rsid w:val="007C6F48"/>
    <w:rsid w:val="007C75DA"/>
    <w:rsid w:val="007C7864"/>
    <w:rsid w:val="007C79D1"/>
    <w:rsid w:val="007D0224"/>
    <w:rsid w:val="007D270B"/>
    <w:rsid w:val="007D3506"/>
    <w:rsid w:val="007E0FFE"/>
    <w:rsid w:val="007E2540"/>
    <w:rsid w:val="007E42E6"/>
    <w:rsid w:val="007E4D2C"/>
    <w:rsid w:val="007E5088"/>
    <w:rsid w:val="007E79B6"/>
    <w:rsid w:val="007F0969"/>
    <w:rsid w:val="007F0F50"/>
    <w:rsid w:val="007F11DC"/>
    <w:rsid w:val="007F1698"/>
    <w:rsid w:val="007F504F"/>
    <w:rsid w:val="007F6C6C"/>
    <w:rsid w:val="00800903"/>
    <w:rsid w:val="0080190D"/>
    <w:rsid w:val="00803443"/>
    <w:rsid w:val="00807704"/>
    <w:rsid w:val="00807FA9"/>
    <w:rsid w:val="00810038"/>
    <w:rsid w:val="00811EA3"/>
    <w:rsid w:val="0081505B"/>
    <w:rsid w:val="008160F0"/>
    <w:rsid w:val="008203DC"/>
    <w:rsid w:val="008207A6"/>
    <w:rsid w:val="00821D09"/>
    <w:rsid w:val="0082440D"/>
    <w:rsid w:val="00824C21"/>
    <w:rsid w:val="00825324"/>
    <w:rsid w:val="00833ACD"/>
    <w:rsid w:val="00834D8C"/>
    <w:rsid w:val="0084001A"/>
    <w:rsid w:val="00840056"/>
    <w:rsid w:val="008424C7"/>
    <w:rsid w:val="008427C5"/>
    <w:rsid w:val="0084448C"/>
    <w:rsid w:val="00846186"/>
    <w:rsid w:val="0085018A"/>
    <w:rsid w:val="00852145"/>
    <w:rsid w:val="00852E1F"/>
    <w:rsid w:val="00854A74"/>
    <w:rsid w:val="00854E1C"/>
    <w:rsid w:val="00855664"/>
    <w:rsid w:val="008565A7"/>
    <w:rsid w:val="008579AF"/>
    <w:rsid w:val="00860498"/>
    <w:rsid w:val="0086194A"/>
    <w:rsid w:val="008619D2"/>
    <w:rsid w:val="00861FE4"/>
    <w:rsid w:val="0086440B"/>
    <w:rsid w:val="0086502F"/>
    <w:rsid w:val="00866026"/>
    <w:rsid w:val="008664BE"/>
    <w:rsid w:val="0087052C"/>
    <w:rsid w:val="00870DA8"/>
    <w:rsid w:val="008735CD"/>
    <w:rsid w:val="00875E54"/>
    <w:rsid w:val="00875F47"/>
    <w:rsid w:val="00876233"/>
    <w:rsid w:val="008767B2"/>
    <w:rsid w:val="00887248"/>
    <w:rsid w:val="008872C6"/>
    <w:rsid w:val="00887CC1"/>
    <w:rsid w:val="00890895"/>
    <w:rsid w:val="00892E16"/>
    <w:rsid w:val="00893253"/>
    <w:rsid w:val="00893887"/>
    <w:rsid w:val="008965FB"/>
    <w:rsid w:val="00896E33"/>
    <w:rsid w:val="00897680"/>
    <w:rsid w:val="008A0FB0"/>
    <w:rsid w:val="008A16B3"/>
    <w:rsid w:val="008A1D78"/>
    <w:rsid w:val="008A2813"/>
    <w:rsid w:val="008A2EAE"/>
    <w:rsid w:val="008A3487"/>
    <w:rsid w:val="008A40F0"/>
    <w:rsid w:val="008A7A77"/>
    <w:rsid w:val="008B006E"/>
    <w:rsid w:val="008B608B"/>
    <w:rsid w:val="008B68A6"/>
    <w:rsid w:val="008C39BD"/>
    <w:rsid w:val="008D0BFC"/>
    <w:rsid w:val="008D1340"/>
    <w:rsid w:val="008D20E8"/>
    <w:rsid w:val="008D70C8"/>
    <w:rsid w:val="008D7AC0"/>
    <w:rsid w:val="008E3968"/>
    <w:rsid w:val="008E49A5"/>
    <w:rsid w:val="008E658A"/>
    <w:rsid w:val="008F0A2F"/>
    <w:rsid w:val="008F0AA0"/>
    <w:rsid w:val="008F1A30"/>
    <w:rsid w:val="008F265A"/>
    <w:rsid w:val="008F268F"/>
    <w:rsid w:val="008F3515"/>
    <w:rsid w:val="008F3CE5"/>
    <w:rsid w:val="009003FF"/>
    <w:rsid w:val="009007A8"/>
    <w:rsid w:val="009010D9"/>
    <w:rsid w:val="0090366E"/>
    <w:rsid w:val="00904EB8"/>
    <w:rsid w:val="00910EC7"/>
    <w:rsid w:val="009156BD"/>
    <w:rsid w:val="00916D7D"/>
    <w:rsid w:val="009175FE"/>
    <w:rsid w:val="009178F5"/>
    <w:rsid w:val="009216F8"/>
    <w:rsid w:val="00923867"/>
    <w:rsid w:val="009252EE"/>
    <w:rsid w:val="00926FB5"/>
    <w:rsid w:val="0092727E"/>
    <w:rsid w:val="009274F4"/>
    <w:rsid w:val="009279BC"/>
    <w:rsid w:val="009319D8"/>
    <w:rsid w:val="009333A1"/>
    <w:rsid w:val="00933FDC"/>
    <w:rsid w:val="0093421D"/>
    <w:rsid w:val="009345AD"/>
    <w:rsid w:val="00934AC5"/>
    <w:rsid w:val="00934D14"/>
    <w:rsid w:val="00935C10"/>
    <w:rsid w:val="0093648C"/>
    <w:rsid w:val="009365B2"/>
    <w:rsid w:val="00944A58"/>
    <w:rsid w:val="009457DE"/>
    <w:rsid w:val="00946CB6"/>
    <w:rsid w:val="00946E18"/>
    <w:rsid w:val="00947063"/>
    <w:rsid w:val="00947EF9"/>
    <w:rsid w:val="00952071"/>
    <w:rsid w:val="009551D2"/>
    <w:rsid w:val="00955E9C"/>
    <w:rsid w:val="00956080"/>
    <w:rsid w:val="0095731A"/>
    <w:rsid w:val="00957BDA"/>
    <w:rsid w:val="00962D6A"/>
    <w:rsid w:val="00963C52"/>
    <w:rsid w:val="009660FA"/>
    <w:rsid w:val="00966614"/>
    <w:rsid w:val="00967803"/>
    <w:rsid w:val="009702E7"/>
    <w:rsid w:val="00970DA6"/>
    <w:rsid w:val="009726C9"/>
    <w:rsid w:val="009726DE"/>
    <w:rsid w:val="00975726"/>
    <w:rsid w:val="00980615"/>
    <w:rsid w:val="00981EB4"/>
    <w:rsid w:val="00982211"/>
    <w:rsid w:val="009824A5"/>
    <w:rsid w:val="0098262A"/>
    <w:rsid w:val="00983973"/>
    <w:rsid w:val="00984950"/>
    <w:rsid w:val="009859BF"/>
    <w:rsid w:val="009861A4"/>
    <w:rsid w:val="00986FA1"/>
    <w:rsid w:val="00986FAA"/>
    <w:rsid w:val="00987A1A"/>
    <w:rsid w:val="00990723"/>
    <w:rsid w:val="00990EDA"/>
    <w:rsid w:val="0099442B"/>
    <w:rsid w:val="0099465D"/>
    <w:rsid w:val="0099662E"/>
    <w:rsid w:val="00997E2E"/>
    <w:rsid w:val="009A0C9C"/>
    <w:rsid w:val="009A3374"/>
    <w:rsid w:val="009A3E5C"/>
    <w:rsid w:val="009A4967"/>
    <w:rsid w:val="009A7686"/>
    <w:rsid w:val="009A776B"/>
    <w:rsid w:val="009A7F77"/>
    <w:rsid w:val="009B47B3"/>
    <w:rsid w:val="009B5C59"/>
    <w:rsid w:val="009C0ABD"/>
    <w:rsid w:val="009C0B38"/>
    <w:rsid w:val="009C35C5"/>
    <w:rsid w:val="009C3B95"/>
    <w:rsid w:val="009C57B8"/>
    <w:rsid w:val="009C6A28"/>
    <w:rsid w:val="009C6FF8"/>
    <w:rsid w:val="009C7347"/>
    <w:rsid w:val="009D092A"/>
    <w:rsid w:val="009D25B7"/>
    <w:rsid w:val="009D31C6"/>
    <w:rsid w:val="009D3892"/>
    <w:rsid w:val="009D5AC4"/>
    <w:rsid w:val="009D67B7"/>
    <w:rsid w:val="009E0739"/>
    <w:rsid w:val="009E1DD5"/>
    <w:rsid w:val="009E2171"/>
    <w:rsid w:val="009E5237"/>
    <w:rsid w:val="009E6A92"/>
    <w:rsid w:val="009E7C58"/>
    <w:rsid w:val="009F016C"/>
    <w:rsid w:val="009F28F0"/>
    <w:rsid w:val="009F33FC"/>
    <w:rsid w:val="009F3690"/>
    <w:rsid w:val="009F4413"/>
    <w:rsid w:val="009F734F"/>
    <w:rsid w:val="00A00FC6"/>
    <w:rsid w:val="00A024D3"/>
    <w:rsid w:val="00A02C02"/>
    <w:rsid w:val="00A03B39"/>
    <w:rsid w:val="00A067FA"/>
    <w:rsid w:val="00A07678"/>
    <w:rsid w:val="00A10361"/>
    <w:rsid w:val="00A11461"/>
    <w:rsid w:val="00A11F92"/>
    <w:rsid w:val="00A129C2"/>
    <w:rsid w:val="00A1343A"/>
    <w:rsid w:val="00A139DE"/>
    <w:rsid w:val="00A13ACB"/>
    <w:rsid w:val="00A13E1F"/>
    <w:rsid w:val="00A14B5D"/>
    <w:rsid w:val="00A155DC"/>
    <w:rsid w:val="00A16E47"/>
    <w:rsid w:val="00A2098B"/>
    <w:rsid w:val="00A25216"/>
    <w:rsid w:val="00A257B5"/>
    <w:rsid w:val="00A25DCA"/>
    <w:rsid w:val="00A32B61"/>
    <w:rsid w:val="00A34833"/>
    <w:rsid w:val="00A36EA1"/>
    <w:rsid w:val="00A37D63"/>
    <w:rsid w:val="00A4198D"/>
    <w:rsid w:val="00A444FB"/>
    <w:rsid w:val="00A4495C"/>
    <w:rsid w:val="00A45F0C"/>
    <w:rsid w:val="00A4772F"/>
    <w:rsid w:val="00A47D57"/>
    <w:rsid w:val="00A508D7"/>
    <w:rsid w:val="00A50ABE"/>
    <w:rsid w:val="00A5181E"/>
    <w:rsid w:val="00A52CC1"/>
    <w:rsid w:val="00A577B8"/>
    <w:rsid w:val="00A620CC"/>
    <w:rsid w:val="00A658A9"/>
    <w:rsid w:val="00A66403"/>
    <w:rsid w:val="00A6721C"/>
    <w:rsid w:val="00A67531"/>
    <w:rsid w:val="00A70F5A"/>
    <w:rsid w:val="00A7100B"/>
    <w:rsid w:val="00A7120D"/>
    <w:rsid w:val="00A71AE7"/>
    <w:rsid w:val="00A749D9"/>
    <w:rsid w:val="00A80301"/>
    <w:rsid w:val="00A806FE"/>
    <w:rsid w:val="00A81ABD"/>
    <w:rsid w:val="00A844EF"/>
    <w:rsid w:val="00A868CB"/>
    <w:rsid w:val="00A869A8"/>
    <w:rsid w:val="00A87974"/>
    <w:rsid w:val="00A902CE"/>
    <w:rsid w:val="00A91E45"/>
    <w:rsid w:val="00A94AEF"/>
    <w:rsid w:val="00A9565C"/>
    <w:rsid w:val="00A96FCE"/>
    <w:rsid w:val="00A9794D"/>
    <w:rsid w:val="00AA09DF"/>
    <w:rsid w:val="00AA141F"/>
    <w:rsid w:val="00AA2FE2"/>
    <w:rsid w:val="00AA3188"/>
    <w:rsid w:val="00AA4283"/>
    <w:rsid w:val="00AA4E6A"/>
    <w:rsid w:val="00AA4FD0"/>
    <w:rsid w:val="00AA575B"/>
    <w:rsid w:val="00AA7BC0"/>
    <w:rsid w:val="00AB2B20"/>
    <w:rsid w:val="00AB3890"/>
    <w:rsid w:val="00AB45DE"/>
    <w:rsid w:val="00AB6870"/>
    <w:rsid w:val="00AB6E18"/>
    <w:rsid w:val="00AC5241"/>
    <w:rsid w:val="00AC58A1"/>
    <w:rsid w:val="00AC6B3A"/>
    <w:rsid w:val="00AD17F1"/>
    <w:rsid w:val="00AD38E2"/>
    <w:rsid w:val="00AD62F6"/>
    <w:rsid w:val="00AD7C61"/>
    <w:rsid w:val="00AD7CEB"/>
    <w:rsid w:val="00AE09E2"/>
    <w:rsid w:val="00AE1898"/>
    <w:rsid w:val="00AE1AAD"/>
    <w:rsid w:val="00AE25E4"/>
    <w:rsid w:val="00AE3CB2"/>
    <w:rsid w:val="00AE4B10"/>
    <w:rsid w:val="00AE6F79"/>
    <w:rsid w:val="00AE7370"/>
    <w:rsid w:val="00AE7951"/>
    <w:rsid w:val="00AF0EF3"/>
    <w:rsid w:val="00AF2B7F"/>
    <w:rsid w:val="00AF38F4"/>
    <w:rsid w:val="00AF3D0B"/>
    <w:rsid w:val="00AF616A"/>
    <w:rsid w:val="00B014D6"/>
    <w:rsid w:val="00B017CE"/>
    <w:rsid w:val="00B028E2"/>
    <w:rsid w:val="00B07BA5"/>
    <w:rsid w:val="00B109EF"/>
    <w:rsid w:val="00B10B4A"/>
    <w:rsid w:val="00B1234C"/>
    <w:rsid w:val="00B126AC"/>
    <w:rsid w:val="00B127E3"/>
    <w:rsid w:val="00B13B74"/>
    <w:rsid w:val="00B1472D"/>
    <w:rsid w:val="00B14786"/>
    <w:rsid w:val="00B15208"/>
    <w:rsid w:val="00B160C7"/>
    <w:rsid w:val="00B162D8"/>
    <w:rsid w:val="00B17A81"/>
    <w:rsid w:val="00B17E76"/>
    <w:rsid w:val="00B22411"/>
    <w:rsid w:val="00B24AC3"/>
    <w:rsid w:val="00B30AB5"/>
    <w:rsid w:val="00B32862"/>
    <w:rsid w:val="00B32F28"/>
    <w:rsid w:val="00B3381D"/>
    <w:rsid w:val="00B341C6"/>
    <w:rsid w:val="00B35434"/>
    <w:rsid w:val="00B35C7A"/>
    <w:rsid w:val="00B36053"/>
    <w:rsid w:val="00B36865"/>
    <w:rsid w:val="00B368F1"/>
    <w:rsid w:val="00B37065"/>
    <w:rsid w:val="00B37372"/>
    <w:rsid w:val="00B40709"/>
    <w:rsid w:val="00B41ED8"/>
    <w:rsid w:val="00B42036"/>
    <w:rsid w:val="00B435D9"/>
    <w:rsid w:val="00B45ADD"/>
    <w:rsid w:val="00B473D3"/>
    <w:rsid w:val="00B51A0F"/>
    <w:rsid w:val="00B52B94"/>
    <w:rsid w:val="00B53B24"/>
    <w:rsid w:val="00B53CB9"/>
    <w:rsid w:val="00B54342"/>
    <w:rsid w:val="00B6044D"/>
    <w:rsid w:val="00B61244"/>
    <w:rsid w:val="00B62EE0"/>
    <w:rsid w:val="00B63516"/>
    <w:rsid w:val="00B64C3C"/>
    <w:rsid w:val="00B6650E"/>
    <w:rsid w:val="00B66D17"/>
    <w:rsid w:val="00B722BF"/>
    <w:rsid w:val="00B7383F"/>
    <w:rsid w:val="00B749E4"/>
    <w:rsid w:val="00B75132"/>
    <w:rsid w:val="00B756EB"/>
    <w:rsid w:val="00B7601E"/>
    <w:rsid w:val="00B76D62"/>
    <w:rsid w:val="00B81E65"/>
    <w:rsid w:val="00B84901"/>
    <w:rsid w:val="00B91A15"/>
    <w:rsid w:val="00B92274"/>
    <w:rsid w:val="00B94237"/>
    <w:rsid w:val="00B946C1"/>
    <w:rsid w:val="00B94910"/>
    <w:rsid w:val="00B9609D"/>
    <w:rsid w:val="00B97AC5"/>
    <w:rsid w:val="00BA2201"/>
    <w:rsid w:val="00BA4990"/>
    <w:rsid w:val="00BA56E5"/>
    <w:rsid w:val="00BA5F93"/>
    <w:rsid w:val="00BB19EC"/>
    <w:rsid w:val="00BB3078"/>
    <w:rsid w:val="00BB74A1"/>
    <w:rsid w:val="00BB77D0"/>
    <w:rsid w:val="00BC1E62"/>
    <w:rsid w:val="00BC30DF"/>
    <w:rsid w:val="00BC4203"/>
    <w:rsid w:val="00BC51E6"/>
    <w:rsid w:val="00BC557B"/>
    <w:rsid w:val="00BC5704"/>
    <w:rsid w:val="00BC5BB1"/>
    <w:rsid w:val="00BC6486"/>
    <w:rsid w:val="00BC73CE"/>
    <w:rsid w:val="00BD1172"/>
    <w:rsid w:val="00BD11CB"/>
    <w:rsid w:val="00BD1D09"/>
    <w:rsid w:val="00BD1E0C"/>
    <w:rsid w:val="00BD24F6"/>
    <w:rsid w:val="00BD2BC7"/>
    <w:rsid w:val="00BD2F8F"/>
    <w:rsid w:val="00BD327C"/>
    <w:rsid w:val="00BD4A1A"/>
    <w:rsid w:val="00BD570B"/>
    <w:rsid w:val="00BD5718"/>
    <w:rsid w:val="00BD5858"/>
    <w:rsid w:val="00BD7469"/>
    <w:rsid w:val="00BE09E5"/>
    <w:rsid w:val="00BE1682"/>
    <w:rsid w:val="00BE22C8"/>
    <w:rsid w:val="00BE4635"/>
    <w:rsid w:val="00BE6B53"/>
    <w:rsid w:val="00BE7186"/>
    <w:rsid w:val="00BF1852"/>
    <w:rsid w:val="00BF5DF2"/>
    <w:rsid w:val="00BF7EB1"/>
    <w:rsid w:val="00C01C1D"/>
    <w:rsid w:val="00C02081"/>
    <w:rsid w:val="00C03098"/>
    <w:rsid w:val="00C03E0E"/>
    <w:rsid w:val="00C04739"/>
    <w:rsid w:val="00C04BFF"/>
    <w:rsid w:val="00C06AFA"/>
    <w:rsid w:val="00C13808"/>
    <w:rsid w:val="00C17032"/>
    <w:rsid w:val="00C1716C"/>
    <w:rsid w:val="00C171D8"/>
    <w:rsid w:val="00C202E5"/>
    <w:rsid w:val="00C20C78"/>
    <w:rsid w:val="00C212C0"/>
    <w:rsid w:val="00C219E8"/>
    <w:rsid w:val="00C229E7"/>
    <w:rsid w:val="00C24A38"/>
    <w:rsid w:val="00C27FE8"/>
    <w:rsid w:val="00C309F5"/>
    <w:rsid w:val="00C33E7E"/>
    <w:rsid w:val="00C355E4"/>
    <w:rsid w:val="00C37838"/>
    <w:rsid w:val="00C40793"/>
    <w:rsid w:val="00C40D4F"/>
    <w:rsid w:val="00C419A2"/>
    <w:rsid w:val="00C44FBC"/>
    <w:rsid w:val="00C51491"/>
    <w:rsid w:val="00C51656"/>
    <w:rsid w:val="00C52FD1"/>
    <w:rsid w:val="00C55818"/>
    <w:rsid w:val="00C57060"/>
    <w:rsid w:val="00C57FF2"/>
    <w:rsid w:val="00C60269"/>
    <w:rsid w:val="00C63213"/>
    <w:rsid w:val="00C63969"/>
    <w:rsid w:val="00C65AB2"/>
    <w:rsid w:val="00C66637"/>
    <w:rsid w:val="00C67823"/>
    <w:rsid w:val="00C718DD"/>
    <w:rsid w:val="00C72A6C"/>
    <w:rsid w:val="00C72FA7"/>
    <w:rsid w:val="00C76BC1"/>
    <w:rsid w:val="00C81ABC"/>
    <w:rsid w:val="00C832D3"/>
    <w:rsid w:val="00C86861"/>
    <w:rsid w:val="00C911FE"/>
    <w:rsid w:val="00C92443"/>
    <w:rsid w:val="00C945C8"/>
    <w:rsid w:val="00C95251"/>
    <w:rsid w:val="00C960D9"/>
    <w:rsid w:val="00C972FE"/>
    <w:rsid w:val="00CA326E"/>
    <w:rsid w:val="00CA4725"/>
    <w:rsid w:val="00CA552C"/>
    <w:rsid w:val="00CA5E11"/>
    <w:rsid w:val="00CB14CD"/>
    <w:rsid w:val="00CB1EA4"/>
    <w:rsid w:val="00CB3163"/>
    <w:rsid w:val="00CB433D"/>
    <w:rsid w:val="00CB4B61"/>
    <w:rsid w:val="00CB4CA0"/>
    <w:rsid w:val="00CB5D88"/>
    <w:rsid w:val="00CB79F9"/>
    <w:rsid w:val="00CC00E8"/>
    <w:rsid w:val="00CC0D17"/>
    <w:rsid w:val="00CC283F"/>
    <w:rsid w:val="00CC333D"/>
    <w:rsid w:val="00CC44C0"/>
    <w:rsid w:val="00CC47D9"/>
    <w:rsid w:val="00CC6BE1"/>
    <w:rsid w:val="00CC7339"/>
    <w:rsid w:val="00CD0A96"/>
    <w:rsid w:val="00CD2207"/>
    <w:rsid w:val="00CD2E1C"/>
    <w:rsid w:val="00CD441A"/>
    <w:rsid w:val="00CD4446"/>
    <w:rsid w:val="00CE0E62"/>
    <w:rsid w:val="00CE12E8"/>
    <w:rsid w:val="00CE1D15"/>
    <w:rsid w:val="00CE3604"/>
    <w:rsid w:val="00CE3C7C"/>
    <w:rsid w:val="00CE4095"/>
    <w:rsid w:val="00CE6D23"/>
    <w:rsid w:val="00CE6F37"/>
    <w:rsid w:val="00CE7C33"/>
    <w:rsid w:val="00CF26D1"/>
    <w:rsid w:val="00CF660B"/>
    <w:rsid w:val="00D00163"/>
    <w:rsid w:val="00D01A58"/>
    <w:rsid w:val="00D01FCD"/>
    <w:rsid w:val="00D025DE"/>
    <w:rsid w:val="00D02F76"/>
    <w:rsid w:val="00D036B4"/>
    <w:rsid w:val="00D067E0"/>
    <w:rsid w:val="00D07ECD"/>
    <w:rsid w:val="00D12417"/>
    <w:rsid w:val="00D12A02"/>
    <w:rsid w:val="00D12B1B"/>
    <w:rsid w:val="00D13F71"/>
    <w:rsid w:val="00D16197"/>
    <w:rsid w:val="00D16EF0"/>
    <w:rsid w:val="00D17517"/>
    <w:rsid w:val="00D20F1F"/>
    <w:rsid w:val="00D20F3B"/>
    <w:rsid w:val="00D2106C"/>
    <w:rsid w:val="00D214A8"/>
    <w:rsid w:val="00D22332"/>
    <w:rsid w:val="00D22CE4"/>
    <w:rsid w:val="00D24557"/>
    <w:rsid w:val="00D248EE"/>
    <w:rsid w:val="00D314FA"/>
    <w:rsid w:val="00D33A91"/>
    <w:rsid w:val="00D35180"/>
    <w:rsid w:val="00D35DFF"/>
    <w:rsid w:val="00D36A0F"/>
    <w:rsid w:val="00D3729D"/>
    <w:rsid w:val="00D40F8C"/>
    <w:rsid w:val="00D43617"/>
    <w:rsid w:val="00D44663"/>
    <w:rsid w:val="00D45C19"/>
    <w:rsid w:val="00D462B6"/>
    <w:rsid w:val="00D474BB"/>
    <w:rsid w:val="00D47623"/>
    <w:rsid w:val="00D532BE"/>
    <w:rsid w:val="00D570D8"/>
    <w:rsid w:val="00D60913"/>
    <w:rsid w:val="00D61D65"/>
    <w:rsid w:val="00D65717"/>
    <w:rsid w:val="00D66EA5"/>
    <w:rsid w:val="00D76247"/>
    <w:rsid w:val="00D77E3E"/>
    <w:rsid w:val="00D806F1"/>
    <w:rsid w:val="00D8089E"/>
    <w:rsid w:val="00D80A44"/>
    <w:rsid w:val="00D80AAB"/>
    <w:rsid w:val="00D813B5"/>
    <w:rsid w:val="00D82EAF"/>
    <w:rsid w:val="00D84186"/>
    <w:rsid w:val="00D850C2"/>
    <w:rsid w:val="00D868D1"/>
    <w:rsid w:val="00D95309"/>
    <w:rsid w:val="00DA005B"/>
    <w:rsid w:val="00DA0381"/>
    <w:rsid w:val="00DA1022"/>
    <w:rsid w:val="00DA11FA"/>
    <w:rsid w:val="00DA2715"/>
    <w:rsid w:val="00DA2886"/>
    <w:rsid w:val="00DA2FE2"/>
    <w:rsid w:val="00DA355C"/>
    <w:rsid w:val="00DB0F56"/>
    <w:rsid w:val="00DB1BD2"/>
    <w:rsid w:val="00DB3913"/>
    <w:rsid w:val="00DB4BEF"/>
    <w:rsid w:val="00DB4D62"/>
    <w:rsid w:val="00DB4DB2"/>
    <w:rsid w:val="00DB5037"/>
    <w:rsid w:val="00DB5C77"/>
    <w:rsid w:val="00DB7543"/>
    <w:rsid w:val="00DC05AC"/>
    <w:rsid w:val="00DC14A5"/>
    <w:rsid w:val="00DC14B1"/>
    <w:rsid w:val="00DC14D4"/>
    <w:rsid w:val="00DC219D"/>
    <w:rsid w:val="00DC3C40"/>
    <w:rsid w:val="00DC6183"/>
    <w:rsid w:val="00DD0BE4"/>
    <w:rsid w:val="00DD119A"/>
    <w:rsid w:val="00DD1C7E"/>
    <w:rsid w:val="00DD2B38"/>
    <w:rsid w:val="00DD41C4"/>
    <w:rsid w:val="00DD4FD4"/>
    <w:rsid w:val="00DD6ACF"/>
    <w:rsid w:val="00DD7248"/>
    <w:rsid w:val="00DE0285"/>
    <w:rsid w:val="00DE15F8"/>
    <w:rsid w:val="00DE1E6E"/>
    <w:rsid w:val="00DE2CAB"/>
    <w:rsid w:val="00DE30BE"/>
    <w:rsid w:val="00DE4570"/>
    <w:rsid w:val="00DE58D0"/>
    <w:rsid w:val="00DE5B5A"/>
    <w:rsid w:val="00DE5D6C"/>
    <w:rsid w:val="00DE60FB"/>
    <w:rsid w:val="00DE72C3"/>
    <w:rsid w:val="00DE7BA3"/>
    <w:rsid w:val="00DF1BDF"/>
    <w:rsid w:val="00DF2BA6"/>
    <w:rsid w:val="00DF3711"/>
    <w:rsid w:val="00DF3738"/>
    <w:rsid w:val="00DF61A7"/>
    <w:rsid w:val="00DF6782"/>
    <w:rsid w:val="00E00877"/>
    <w:rsid w:val="00E04C55"/>
    <w:rsid w:val="00E04E2B"/>
    <w:rsid w:val="00E0736D"/>
    <w:rsid w:val="00E0791A"/>
    <w:rsid w:val="00E10A07"/>
    <w:rsid w:val="00E11BE4"/>
    <w:rsid w:val="00E1200C"/>
    <w:rsid w:val="00E12F94"/>
    <w:rsid w:val="00E14D88"/>
    <w:rsid w:val="00E15786"/>
    <w:rsid w:val="00E17ADD"/>
    <w:rsid w:val="00E21332"/>
    <w:rsid w:val="00E21770"/>
    <w:rsid w:val="00E22C97"/>
    <w:rsid w:val="00E250D1"/>
    <w:rsid w:val="00E2764E"/>
    <w:rsid w:val="00E278CE"/>
    <w:rsid w:val="00E31B78"/>
    <w:rsid w:val="00E3280A"/>
    <w:rsid w:val="00E33AE9"/>
    <w:rsid w:val="00E3413E"/>
    <w:rsid w:val="00E34BF5"/>
    <w:rsid w:val="00E36EC8"/>
    <w:rsid w:val="00E4020A"/>
    <w:rsid w:val="00E40E95"/>
    <w:rsid w:val="00E41156"/>
    <w:rsid w:val="00E41AC9"/>
    <w:rsid w:val="00E42EFF"/>
    <w:rsid w:val="00E4362F"/>
    <w:rsid w:val="00E47E91"/>
    <w:rsid w:val="00E5072F"/>
    <w:rsid w:val="00E51015"/>
    <w:rsid w:val="00E51800"/>
    <w:rsid w:val="00E52488"/>
    <w:rsid w:val="00E52AFE"/>
    <w:rsid w:val="00E54BAA"/>
    <w:rsid w:val="00E54E24"/>
    <w:rsid w:val="00E55645"/>
    <w:rsid w:val="00E5658A"/>
    <w:rsid w:val="00E576F5"/>
    <w:rsid w:val="00E60415"/>
    <w:rsid w:val="00E60527"/>
    <w:rsid w:val="00E6103C"/>
    <w:rsid w:val="00E63FFA"/>
    <w:rsid w:val="00E64EF6"/>
    <w:rsid w:val="00E65E18"/>
    <w:rsid w:val="00E662FB"/>
    <w:rsid w:val="00E70E4E"/>
    <w:rsid w:val="00E72F2E"/>
    <w:rsid w:val="00E74CE6"/>
    <w:rsid w:val="00E756E6"/>
    <w:rsid w:val="00E75BD6"/>
    <w:rsid w:val="00E81264"/>
    <w:rsid w:val="00E82C4E"/>
    <w:rsid w:val="00E83561"/>
    <w:rsid w:val="00E866AA"/>
    <w:rsid w:val="00E87933"/>
    <w:rsid w:val="00E87A30"/>
    <w:rsid w:val="00E90100"/>
    <w:rsid w:val="00E905DC"/>
    <w:rsid w:val="00E9703B"/>
    <w:rsid w:val="00E97B8C"/>
    <w:rsid w:val="00EA0D64"/>
    <w:rsid w:val="00EA0E31"/>
    <w:rsid w:val="00EA1919"/>
    <w:rsid w:val="00EA312C"/>
    <w:rsid w:val="00EA425B"/>
    <w:rsid w:val="00EA4397"/>
    <w:rsid w:val="00EB2E23"/>
    <w:rsid w:val="00EB48A9"/>
    <w:rsid w:val="00EB5FEC"/>
    <w:rsid w:val="00EB6A21"/>
    <w:rsid w:val="00EC373A"/>
    <w:rsid w:val="00EC3F4B"/>
    <w:rsid w:val="00EC40C8"/>
    <w:rsid w:val="00EC4C90"/>
    <w:rsid w:val="00EC4D12"/>
    <w:rsid w:val="00ED0E9E"/>
    <w:rsid w:val="00ED1445"/>
    <w:rsid w:val="00ED3559"/>
    <w:rsid w:val="00ED567C"/>
    <w:rsid w:val="00ED5FE9"/>
    <w:rsid w:val="00ED6B7D"/>
    <w:rsid w:val="00ED77DC"/>
    <w:rsid w:val="00EE0527"/>
    <w:rsid w:val="00EE24FA"/>
    <w:rsid w:val="00EE4AAA"/>
    <w:rsid w:val="00EE7CF9"/>
    <w:rsid w:val="00EF03BC"/>
    <w:rsid w:val="00EF0449"/>
    <w:rsid w:val="00EF0A1D"/>
    <w:rsid w:val="00EF1399"/>
    <w:rsid w:val="00EF250F"/>
    <w:rsid w:val="00EF32C1"/>
    <w:rsid w:val="00F02CBE"/>
    <w:rsid w:val="00F03AFB"/>
    <w:rsid w:val="00F04A9B"/>
    <w:rsid w:val="00F05F4C"/>
    <w:rsid w:val="00F06050"/>
    <w:rsid w:val="00F06C13"/>
    <w:rsid w:val="00F10653"/>
    <w:rsid w:val="00F10801"/>
    <w:rsid w:val="00F14961"/>
    <w:rsid w:val="00F2449E"/>
    <w:rsid w:val="00F24DF5"/>
    <w:rsid w:val="00F24EB6"/>
    <w:rsid w:val="00F2642E"/>
    <w:rsid w:val="00F26F86"/>
    <w:rsid w:val="00F27F77"/>
    <w:rsid w:val="00F31155"/>
    <w:rsid w:val="00F31BBD"/>
    <w:rsid w:val="00F328F7"/>
    <w:rsid w:val="00F3380E"/>
    <w:rsid w:val="00F350BF"/>
    <w:rsid w:val="00F35950"/>
    <w:rsid w:val="00F368EF"/>
    <w:rsid w:val="00F37D14"/>
    <w:rsid w:val="00F4028F"/>
    <w:rsid w:val="00F40B4E"/>
    <w:rsid w:val="00F41820"/>
    <w:rsid w:val="00F4301F"/>
    <w:rsid w:val="00F440DE"/>
    <w:rsid w:val="00F442CB"/>
    <w:rsid w:val="00F46B38"/>
    <w:rsid w:val="00F47C44"/>
    <w:rsid w:val="00F47E98"/>
    <w:rsid w:val="00F5066A"/>
    <w:rsid w:val="00F50A85"/>
    <w:rsid w:val="00F50B22"/>
    <w:rsid w:val="00F52598"/>
    <w:rsid w:val="00F55166"/>
    <w:rsid w:val="00F55365"/>
    <w:rsid w:val="00F57F95"/>
    <w:rsid w:val="00F63616"/>
    <w:rsid w:val="00F64025"/>
    <w:rsid w:val="00F64C76"/>
    <w:rsid w:val="00F67BA4"/>
    <w:rsid w:val="00F71AFC"/>
    <w:rsid w:val="00F736CD"/>
    <w:rsid w:val="00F73971"/>
    <w:rsid w:val="00F73BD3"/>
    <w:rsid w:val="00F74E29"/>
    <w:rsid w:val="00F76034"/>
    <w:rsid w:val="00F76790"/>
    <w:rsid w:val="00F81A1C"/>
    <w:rsid w:val="00F831F6"/>
    <w:rsid w:val="00F83F40"/>
    <w:rsid w:val="00F83F5F"/>
    <w:rsid w:val="00F84074"/>
    <w:rsid w:val="00F847D4"/>
    <w:rsid w:val="00F86637"/>
    <w:rsid w:val="00F90FDD"/>
    <w:rsid w:val="00F91121"/>
    <w:rsid w:val="00F9120B"/>
    <w:rsid w:val="00F91255"/>
    <w:rsid w:val="00F92C4E"/>
    <w:rsid w:val="00F936D9"/>
    <w:rsid w:val="00F93F58"/>
    <w:rsid w:val="00F96A5D"/>
    <w:rsid w:val="00FA0729"/>
    <w:rsid w:val="00FA088B"/>
    <w:rsid w:val="00FA095E"/>
    <w:rsid w:val="00FA1EB3"/>
    <w:rsid w:val="00FA2250"/>
    <w:rsid w:val="00FA2973"/>
    <w:rsid w:val="00FA2CAC"/>
    <w:rsid w:val="00FA30AD"/>
    <w:rsid w:val="00FA330F"/>
    <w:rsid w:val="00FA5F1D"/>
    <w:rsid w:val="00FB208A"/>
    <w:rsid w:val="00FB3DD1"/>
    <w:rsid w:val="00FB50DC"/>
    <w:rsid w:val="00FB661B"/>
    <w:rsid w:val="00FB6815"/>
    <w:rsid w:val="00FB6E4F"/>
    <w:rsid w:val="00FB6EED"/>
    <w:rsid w:val="00FC1E04"/>
    <w:rsid w:val="00FC32CF"/>
    <w:rsid w:val="00FC344E"/>
    <w:rsid w:val="00FC64A9"/>
    <w:rsid w:val="00FC72C2"/>
    <w:rsid w:val="00FC7C7E"/>
    <w:rsid w:val="00FE0745"/>
    <w:rsid w:val="00FE11E2"/>
    <w:rsid w:val="00FE28FA"/>
    <w:rsid w:val="00FE2F4F"/>
    <w:rsid w:val="00FE4A1B"/>
    <w:rsid w:val="00FE6196"/>
    <w:rsid w:val="00FE745F"/>
    <w:rsid w:val="00FE756C"/>
    <w:rsid w:val="00FE7D07"/>
    <w:rsid w:val="00FF012B"/>
    <w:rsid w:val="00FF3D20"/>
    <w:rsid w:val="00FF3F96"/>
    <w:rsid w:val="00FF4A5E"/>
    <w:rsid w:val="00FF5FB4"/>
    <w:rsid w:val="00FF7920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039D5"/>
  <w15:docId w15:val="{9009A6A9-0FDB-44D8-9767-2C63D02F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9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21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621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07DE"/>
  </w:style>
  <w:style w:type="paragraph" w:styleId="FootnoteText">
    <w:name w:val="footnote text"/>
    <w:basedOn w:val="Normal"/>
    <w:link w:val="FootnoteTextChar"/>
    <w:semiHidden/>
    <w:rsid w:val="00D33A91"/>
    <w:rPr>
      <w:sz w:val="20"/>
      <w:szCs w:val="20"/>
    </w:rPr>
  </w:style>
  <w:style w:type="character" w:styleId="FootnoteReference">
    <w:name w:val="footnote reference"/>
    <w:semiHidden/>
    <w:rsid w:val="00D33A91"/>
    <w:rPr>
      <w:vertAlign w:val="superscript"/>
    </w:rPr>
  </w:style>
  <w:style w:type="paragraph" w:styleId="BalloonText">
    <w:name w:val="Balloon Text"/>
    <w:basedOn w:val="Normal"/>
    <w:semiHidden/>
    <w:rsid w:val="00107C9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rsid w:val="00153F0C"/>
    <w:pPr>
      <w:autoSpaceDE w:val="0"/>
      <w:autoSpaceDN w:val="0"/>
      <w:adjustRightInd w:val="0"/>
      <w:spacing w:line="221" w:lineRule="atLeast"/>
    </w:pPr>
    <w:rPr>
      <w:rFonts w:ascii="Myriad Pro Light" w:hAnsi="Myriad Pro Light"/>
    </w:rPr>
  </w:style>
  <w:style w:type="character" w:styleId="CommentReference">
    <w:name w:val="annotation reference"/>
    <w:semiHidden/>
    <w:rsid w:val="00E72F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72F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2F2E"/>
    <w:rPr>
      <w:b/>
      <w:bCs/>
    </w:rPr>
  </w:style>
  <w:style w:type="character" w:customStyle="1" w:styleId="FooterChar">
    <w:name w:val="Footer Char"/>
    <w:link w:val="Footer"/>
    <w:rsid w:val="003C0792"/>
    <w:rPr>
      <w:sz w:val="24"/>
      <w:szCs w:val="24"/>
      <w:lang w:val="en-US" w:eastAsia="en-US" w:bidi="ar-SA"/>
    </w:rPr>
  </w:style>
  <w:style w:type="paragraph" w:customStyle="1" w:styleId="ACMAHeading3">
    <w:name w:val="ACMA Heading 3"/>
    <w:next w:val="Normal"/>
    <w:uiPriority w:val="99"/>
    <w:rsid w:val="001B79DD"/>
    <w:pPr>
      <w:keepNext/>
      <w:suppressAutoHyphens/>
      <w:spacing w:before="240"/>
      <w:outlineLvl w:val="3"/>
    </w:pPr>
    <w:rPr>
      <w:rFonts w:ascii="Arial" w:hAnsi="Arial"/>
      <w:b/>
      <w:sz w:val="24"/>
      <w:lang w:val="en-US" w:eastAsia="en-US"/>
    </w:rPr>
  </w:style>
  <w:style w:type="paragraph" w:customStyle="1" w:styleId="RGPara">
    <w:name w:val="RGPara"/>
    <w:aliases w:val="Readers Guide Para"/>
    <w:basedOn w:val="Normal"/>
    <w:rsid w:val="001B79DD"/>
    <w:pPr>
      <w:spacing w:before="120" w:line="260" w:lineRule="exact"/>
      <w:jc w:val="both"/>
    </w:pPr>
    <w:rPr>
      <w:lang w:eastAsia="en-AU"/>
    </w:rPr>
  </w:style>
  <w:style w:type="paragraph" w:customStyle="1" w:styleId="R1">
    <w:name w:val="R1"/>
    <w:aliases w:val="1. or 1.(1)"/>
    <w:basedOn w:val="Normal"/>
    <w:next w:val="Normal"/>
    <w:rsid w:val="001B79DD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DF1BDF"/>
    <w:pPr>
      <w:ind w:left="720"/>
    </w:pPr>
  </w:style>
  <w:style w:type="character" w:styleId="Hyperlink">
    <w:name w:val="Hyperlink"/>
    <w:unhideWhenUsed/>
    <w:qFormat/>
    <w:rsid w:val="002E1E61"/>
    <w:rPr>
      <w:color w:val="0000FF"/>
      <w:u w:val="single"/>
    </w:rPr>
  </w:style>
  <w:style w:type="paragraph" w:customStyle="1" w:styleId="ACMABodyText">
    <w:name w:val="ACMA Body Text"/>
    <w:link w:val="ACMABodyTextChar1"/>
    <w:rsid w:val="00DA005B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AC5241"/>
    <w:rPr>
      <w:color w:val="800080"/>
      <w:u w:val="single"/>
    </w:rPr>
  </w:style>
  <w:style w:type="character" w:customStyle="1" w:styleId="ACMABodyTextChar1">
    <w:name w:val="ACMA Body Text Char1"/>
    <w:link w:val="ACMABodyText"/>
    <w:rsid w:val="00AA141F"/>
    <w:rPr>
      <w:snapToGrid w:val="0"/>
      <w:sz w:val="24"/>
      <w:lang w:val="en-AU" w:eastAsia="en-US" w:bidi="ar-SA"/>
    </w:rPr>
  </w:style>
  <w:style w:type="character" w:customStyle="1" w:styleId="CommentTextChar">
    <w:name w:val="Comment Text Char"/>
    <w:link w:val="CommentText"/>
    <w:semiHidden/>
    <w:rsid w:val="000D00A5"/>
    <w:rPr>
      <w:lang w:val="en-US" w:eastAsia="en-US"/>
    </w:rPr>
  </w:style>
  <w:style w:type="character" w:customStyle="1" w:styleId="FootnoteTextChar">
    <w:name w:val="Footnote Text Char"/>
    <w:link w:val="FootnoteText"/>
    <w:semiHidden/>
    <w:rsid w:val="00B53B24"/>
    <w:rPr>
      <w:lang w:val="en-US" w:eastAsia="en-US"/>
    </w:rPr>
  </w:style>
  <w:style w:type="character" w:customStyle="1" w:styleId="HelpTextChar">
    <w:name w:val="Help Text Char"/>
    <w:link w:val="HelpText"/>
    <w:locked/>
    <w:rsid w:val="00B53B24"/>
    <w:rPr>
      <w:rFonts w:ascii="Arial" w:hAnsi="Arial" w:cs="Arial"/>
      <w:vanish/>
      <w:color w:val="008000"/>
      <w:sz w:val="18"/>
    </w:rPr>
  </w:style>
  <w:style w:type="paragraph" w:customStyle="1" w:styleId="HelpText">
    <w:name w:val="Help Text"/>
    <w:basedOn w:val="Normal"/>
    <w:link w:val="HelpTextChar"/>
    <w:rsid w:val="00B53B24"/>
    <w:pPr>
      <w:overflowPunct w:val="0"/>
      <w:autoSpaceDE w:val="0"/>
      <w:autoSpaceDN w:val="0"/>
      <w:adjustRightInd w:val="0"/>
      <w:spacing w:before="120" w:after="120"/>
    </w:pPr>
    <w:rPr>
      <w:rFonts w:ascii="Arial" w:hAnsi="Arial" w:cs="Arial"/>
      <w:vanish/>
      <w:color w:val="008000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C229E7"/>
    <w:rPr>
      <w:sz w:val="24"/>
      <w:szCs w:val="24"/>
      <w:lang w:val="en-US" w:eastAsia="en-US"/>
    </w:rPr>
  </w:style>
  <w:style w:type="paragraph" w:styleId="ListBullet">
    <w:name w:val="List Bullet"/>
    <w:basedOn w:val="Normal"/>
    <w:qFormat/>
    <w:rsid w:val="00E5072F"/>
    <w:pPr>
      <w:numPr>
        <w:numId w:val="45"/>
      </w:numPr>
      <w:spacing w:after="80" w:line="240" w:lineRule="atLeast"/>
    </w:pPr>
    <w:rPr>
      <w:rFonts w:ascii="Arial" w:hAnsi="Arial"/>
      <w:sz w:val="20"/>
      <w:lang w:eastAsia="en-AU"/>
    </w:rPr>
  </w:style>
  <w:style w:type="paragraph" w:customStyle="1" w:styleId="ListBulletLast">
    <w:name w:val="List Bullet Last"/>
    <w:basedOn w:val="ListBullet"/>
    <w:qFormat/>
    <w:rsid w:val="00E5072F"/>
    <w:pPr>
      <w:spacing w:after="240"/>
    </w:pPr>
    <w:rPr>
      <w:rFonts w:cs="Arial"/>
    </w:rPr>
  </w:style>
  <w:style w:type="character" w:customStyle="1" w:styleId="HeaderChar">
    <w:name w:val="Header Char"/>
    <w:basedOn w:val="DefaultParagraphFont"/>
    <w:link w:val="Header"/>
    <w:uiPriority w:val="99"/>
    <w:rsid w:val="00852145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52A39"/>
    <w:rPr>
      <w:color w:val="605E5C"/>
      <w:shd w:val="clear" w:color="auto" w:fill="E1DFDD"/>
    </w:rPr>
  </w:style>
  <w:style w:type="paragraph" w:customStyle="1" w:styleId="ACMANumberedList">
    <w:name w:val="ACMA Numbered List"/>
    <w:rsid w:val="00052A39"/>
    <w:pPr>
      <w:numPr>
        <w:numId w:val="52"/>
      </w:numPr>
      <w:spacing w:before="20" w:after="20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12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0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3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296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8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34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ma.gov.au/consultations/2020-05/803-960-mhz-band-implementation-arrangements-support-milestone-3-consultation-12202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cma.gov.au/publications/2015-12/report/acmas-long-term-strategy-803-960-mhz-band-decision-pap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egislatio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D94DF052B634DBCB3561D01A02189" ma:contentTypeVersion="8" ma:contentTypeDescription="Create a new document." ma:contentTypeScope="" ma:versionID="797c79247d25f038c52b09fbfa10b268">
  <xsd:schema xmlns:xsd="http://www.w3.org/2001/XMLSchema" xmlns:xs="http://www.w3.org/2001/XMLSchema" xmlns:p="http://schemas.microsoft.com/office/2006/metadata/properties" xmlns:ns3="93def0f0-d759-4886-97cd-eba284a16023" targetNamespace="http://schemas.microsoft.com/office/2006/metadata/properties" ma:root="true" ma:fieldsID="cc1f6cf16f6ee5bee6fec4f4a7e0b971" ns3:_="">
    <xsd:import namespace="93def0f0-d759-4886-97cd-eba284a16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f0f0-d759-4886-97cd-eba284a16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B70E7-D7A2-4B27-8BB3-E9F4526CE10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AD0BBE-BBE0-4265-8924-9617379D1B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A088C1-7076-4CCD-B433-C869F4DE8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ef0f0-d759-4886-97cd-eba284a16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34A9F-497F-4C80-B07B-E41D203ACBC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7A934A5-8B57-45F1-8563-580B84A88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Australian Communications and Media Authority</Company>
  <LinksUpToDate>false</LinksUpToDate>
  <CharactersWithSpaces>8181</CharactersWithSpaces>
  <SharedDoc>false</SharedDoc>
  <HLinks>
    <vt:vector size="12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7864390</vt:i4>
      </vt:variant>
      <vt:variant>
        <vt:i4>0</vt:i4>
      </vt:variant>
      <vt:variant>
        <vt:i4>0</vt:i4>
      </vt:variant>
      <vt:variant>
        <vt:i4>5</vt:i4>
      </vt:variant>
      <vt:variant>
        <vt:lpwstr>http://www.acma.gov.au/WEB/STANDARD/pc=PC_410046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Alison Jermey</dc:creator>
  <cp:lastModifiedBy>Morgan Vaudrey</cp:lastModifiedBy>
  <cp:revision>4</cp:revision>
  <cp:lastPrinted>2010-06-25T00:30:00Z</cp:lastPrinted>
  <dcterms:created xsi:type="dcterms:W3CDTF">2020-07-30T01:07:00Z</dcterms:created>
  <dcterms:modified xsi:type="dcterms:W3CDTF">2020-07-31T00:14:00Z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_dlc_DocIdItemGuid">
    <vt:lpwstr>4be7f4ee-36e4-4d12-90c3-f4ccc2b24bea</vt:lpwstr>
  </property>
  <property fmtid="{D5CDD505-2E9C-101B-9397-08002B2CF9AE}" pid="4" name="ContentTypeId">
    <vt:lpwstr>0x0101003E5D94DF052B634DBCB3561D01A02189</vt:lpwstr>
  </property>
  <property fmtid="{D5CDD505-2E9C-101B-9397-08002B2CF9AE}" pid="5" name="_dlc_DocId">
    <vt:lpwstr>KNAH4PPFC442-1229-623</vt:lpwstr>
  </property>
  <property fmtid="{D5CDD505-2E9C-101B-9397-08002B2CF9AE}" pid="6" name="_dlc_DocIdUrl">
    <vt:lpwstr>http://collaboration/organisation/CID/IRB/SORS/_layouts/DocIdRedir.aspx?ID=KNAH4PPFC442-1229-623, KNAH4PPFC442-1229-623</vt:lpwstr>
  </property>
  <property fmtid="{D5CDD505-2E9C-101B-9397-08002B2CF9AE}" pid="7" name="_NewReviewCycle">
    <vt:lpwstr/>
  </property>
  <property fmtid="{D5CDD505-2E9C-101B-9397-08002B2CF9AE}" pid="8" name="RecordPoint_SubmissionDate">
    <vt:lpwstr/>
  </property>
  <property fmtid="{D5CDD505-2E9C-101B-9397-08002B2CF9AE}" pid="9" name="RecordPoint_ActiveItemSiteId">
    <vt:lpwstr>{7ba5f3c1-1ab9-4cc3-a7c0-334d2b0aec73}</vt:lpwstr>
  </property>
  <property fmtid="{D5CDD505-2E9C-101B-9397-08002B2CF9AE}" pid="10" name="RecordPoint_ActiveItemListId">
    <vt:lpwstr>{8083d662-5655-451c-b4b0-0301a4bcae58}</vt:lpwstr>
  </property>
  <property fmtid="{D5CDD505-2E9C-101B-9397-08002B2CF9AE}" pid="11" name="RecordPoint_SubmissionCompleted">
    <vt:lpwstr/>
  </property>
  <property fmtid="{D5CDD505-2E9C-101B-9397-08002B2CF9AE}" pid="12" name="RecordPoint_ActiveItemMoved">
    <vt:lpwstr/>
  </property>
  <property fmtid="{D5CDD505-2E9C-101B-9397-08002B2CF9AE}" pid="13" name="RecordPoint_ActiveItemUniqueId">
    <vt:lpwstr>{8f9ccfe2-303d-47cc-888f-9eb6fd5b8e80}</vt:lpwstr>
  </property>
  <property fmtid="{D5CDD505-2E9C-101B-9397-08002B2CF9AE}" pid="14" name="RecordPoint_RecordFormat">
    <vt:lpwstr/>
  </property>
  <property fmtid="{D5CDD505-2E9C-101B-9397-08002B2CF9AE}" pid="15" name="RecordPoint_ActiveItemWebId">
    <vt:lpwstr>{e61cc4da-a431-400f-9f48-bf2ba12a7e9a}</vt:lpwstr>
  </property>
  <property fmtid="{D5CDD505-2E9C-101B-9397-08002B2CF9AE}" pid="16" name="RecordPoint_WorkflowType">
    <vt:lpwstr>ActiveSubmitStub</vt:lpwstr>
  </property>
</Properties>
</file>