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A83947" w:rsidRDefault="00FA6784" w:rsidP="00FA6784">
      <w:pPr>
        <w:pStyle w:val="H3"/>
        <w:jc w:val="center"/>
        <w:rPr>
          <w:sz w:val="24"/>
          <w:szCs w:val="24"/>
        </w:rPr>
      </w:pPr>
      <w:r w:rsidRPr="00A83947">
        <w:rPr>
          <w:sz w:val="24"/>
          <w:szCs w:val="24"/>
        </w:rPr>
        <w:t>EXPLANATORY STATEMENT</w:t>
      </w:r>
    </w:p>
    <w:p w14:paraId="2412D120" w14:textId="77777777" w:rsidR="00FA6784" w:rsidRPr="00A83947" w:rsidRDefault="00FA6784" w:rsidP="00FA6784">
      <w:pPr>
        <w:jc w:val="center"/>
        <w:rPr>
          <w:sz w:val="22"/>
          <w:szCs w:val="22"/>
        </w:rPr>
      </w:pPr>
    </w:p>
    <w:p w14:paraId="2412D123" w14:textId="77777777" w:rsidR="00FA6784" w:rsidRPr="00A83947" w:rsidRDefault="00FA6784" w:rsidP="00FA6784">
      <w:pPr>
        <w:jc w:val="center"/>
        <w:rPr>
          <w:i/>
          <w:iCs/>
        </w:rPr>
      </w:pPr>
      <w:r w:rsidRPr="00A83947">
        <w:rPr>
          <w:i/>
          <w:iCs/>
        </w:rPr>
        <w:t>Health Insurance Act 1973</w:t>
      </w:r>
    </w:p>
    <w:p w14:paraId="2412D124" w14:textId="77777777" w:rsidR="00A1739A" w:rsidRPr="00A83947" w:rsidRDefault="00A1739A" w:rsidP="00A1739A">
      <w:pPr>
        <w:rPr>
          <w:szCs w:val="24"/>
          <w:u w:val="single"/>
        </w:rPr>
      </w:pPr>
    </w:p>
    <w:p w14:paraId="2838A7B4" w14:textId="23F05477" w:rsidR="00FD602D" w:rsidRPr="00A83947" w:rsidRDefault="00AD380C" w:rsidP="00AD380C">
      <w:pPr>
        <w:ind w:right="84"/>
        <w:jc w:val="center"/>
        <w:rPr>
          <w:szCs w:val="24"/>
        </w:rPr>
      </w:pPr>
      <w:r w:rsidRPr="00A83947">
        <w:rPr>
          <w:i/>
          <w:iCs/>
        </w:rPr>
        <w:t>Health Insurance (Section 3C General Medical – Expansion of GP and Allied Health Mental Health Services) Determination 2020</w:t>
      </w:r>
    </w:p>
    <w:p w14:paraId="052E97C1" w14:textId="77777777" w:rsidR="00164A69" w:rsidRPr="00A83947" w:rsidRDefault="00164A69" w:rsidP="00AD380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19FE3E09" w:rsidR="00164A69" w:rsidRPr="00A83947"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A83947">
        <w:rPr>
          <w:color w:val="000000"/>
          <w:shd w:val="clear" w:color="auto" w:fill="FFFFFF"/>
        </w:rPr>
        <w:t xml:space="preserve">Subsection 3C(1) of the </w:t>
      </w:r>
      <w:r w:rsidRPr="00A83947">
        <w:rPr>
          <w:i/>
          <w:color w:val="000000"/>
          <w:shd w:val="clear" w:color="auto" w:fill="FFFFFF"/>
        </w:rPr>
        <w:t>Health Insurance Act 1973</w:t>
      </w:r>
      <w:r w:rsidRPr="00A83947">
        <w:rPr>
          <w:color w:val="000000"/>
          <w:shd w:val="clear" w:color="auto" w:fill="FFFFFF"/>
        </w:rPr>
        <w:t xml:space="preserve"> (the Act) </w:t>
      </w:r>
      <w:r w:rsidR="00477C74" w:rsidRPr="00A83947">
        <w:rPr>
          <w:color w:val="000000"/>
          <w:shd w:val="clear" w:color="auto" w:fill="FFFFFF"/>
        </w:rPr>
        <w:t>provide</w:t>
      </w:r>
      <w:r w:rsidR="002E5708" w:rsidRPr="00A83947">
        <w:rPr>
          <w:color w:val="000000"/>
          <w:shd w:val="clear" w:color="auto" w:fill="FFFFFF"/>
        </w:rPr>
        <w:t>s</w:t>
      </w:r>
      <w:r w:rsidR="00477C74" w:rsidRPr="00A83947">
        <w:rPr>
          <w:color w:val="000000"/>
          <w:shd w:val="clear" w:color="auto" w:fill="FFFFFF"/>
        </w:rPr>
        <w:t xml:space="preserve"> that</w:t>
      </w:r>
      <w:r w:rsidRPr="00A83947">
        <w:rPr>
          <w:color w:val="000000"/>
          <w:shd w:val="clear" w:color="auto" w:fill="FFFFFF"/>
        </w:rPr>
        <w:t xml:space="preserve"> the Minister </w:t>
      </w:r>
      <w:r w:rsidR="00477C74" w:rsidRPr="00A83947">
        <w:rPr>
          <w:color w:val="000000"/>
          <w:shd w:val="clear" w:color="auto" w:fill="FFFFFF"/>
        </w:rPr>
        <w:t>may</w:t>
      </w:r>
      <w:r w:rsidRPr="00A83947">
        <w:rPr>
          <w:color w:val="000000"/>
          <w:shd w:val="clear" w:color="auto" w:fill="FFFFFF"/>
        </w:rPr>
        <w:t xml:space="preserve">, by legislative instrument, determine that a health service not specified in an item in the </w:t>
      </w:r>
      <w:r w:rsidR="003254AA" w:rsidRPr="00A83947">
        <w:rPr>
          <w:color w:val="000000"/>
          <w:shd w:val="clear" w:color="auto" w:fill="FFFFFF"/>
        </w:rPr>
        <w:t>general medical</w:t>
      </w:r>
      <w:r w:rsidRPr="00A83947">
        <w:rPr>
          <w:color w:val="000000"/>
          <w:shd w:val="clear" w:color="auto" w:fill="FFFFFF"/>
        </w:rPr>
        <w:t xml:space="preserve"> services table </w:t>
      </w:r>
      <w:r w:rsidR="00D01D5A" w:rsidRPr="00A83947">
        <w:rPr>
          <w:color w:val="000000"/>
          <w:shd w:val="clear" w:color="auto" w:fill="FFFFFF"/>
        </w:rPr>
        <w:t xml:space="preserve">(the Table) </w:t>
      </w:r>
      <w:r w:rsidRPr="00A83947">
        <w:rPr>
          <w:color w:val="000000"/>
          <w:shd w:val="clear" w:color="auto" w:fill="FFFFFF"/>
        </w:rPr>
        <w:t xml:space="preserve">shall, in specified circumstances and for specified statutory provisions, be treated as if it were specified in the </w:t>
      </w:r>
      <w:r w:rsidR="00D01D5A" w:rsidRPr="00A83947">
        <w:rPr>
          <w:color w:val="000000"/>
          <w:shd w:val="clear" w:color="auto" w:fill="FFFFFF"/>
        </w:rPr>
        <w:t xml:space="preserve">Table. </w:t>
      </w:r>
      <w:r w:rsidRPr="00A83947">
        <w:rPr>
          <w:color w:val="FF0000"/>
          <w:shd w:val="clear" w:color="auto" w:fill="FFFFFF"/>
        </w:rPr>
        <w:t xml:space="preserve">  </w:t>
      </w:r>
    </w:p>
    <w:p w14:paraId="7DB18649" w14:textId="77777777" w:rsidR="00841EDA" w:rsidRPr="00A83947"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77ABEB42" w14:textId="63E485B1" w:rsidR="003254AA" w:rsidRPr="00A83947" w:rsidRDefault="00050623" w:rsidP="003254A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83947">
        <w:t xml:space="preserve">The </w:t>
      </w:r>
      <w:r w:rsidR="00D01D5A" w:rsidRPr="00A83947">
        <w:t>Table</w:t>
      </w:r>
      <w:r w:rsidRPr="00A83947">
        <w:t xml:space="preserve"> is set out in the regulations made under subsection 4(1) of the Act</w:t>
      </w:r>
      <w:r w:rsidR="003254AA" w:rsidRPr="00A83947">
        <w:t xml:space="preserve">. The most recent version of the </w:t>
      </w:r>
      <w:r w:rsidR="00994B33" w:rsidRPr="00A83947">
        <w:t>Table</w:t>
      </w:r>
      <w:r w:rsidR="003254AA" w:rsidRPr="00A83947">
        <w:t xml:space="preserve"> is the </w:t>
      </w:r>
      <w:r w:rsidR="003254AA" w:rsidRPr="00A83947">
        <w:rPr>
          <w:i/>
        </w:rPr>
        <w:t>Health Insurance (General Medical Services Table) Regulations (No. 2) 2020</w:t>
      </w:r>
      <w:r w:rsidR="003254AA" w:rsidRPr="00A83947">
        <w:t>.</w:t>
      </w:r>
    </w:p>
    <w:p w14:paraId="196D37F1" w14:textId="77777777" w:rsidR="003254AA" w:rsidRPr="00A83947" w:rsidRDefault="003254AA" w:rsidP="003254A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A83947" w:rsidRDefault="00A1739A" w:rsidP="00BB00BA">
      <w:pPr>
        <w:rPr>
          <w:b/>
          <w:szCs w:val="24"/>
          <w:lang w:val="en-US" w:eastAsia="en-US"/>
        </w:rPr>
      </w:pPr>
      <w:r w:rsidRPr="00A83947">
        <w:rPr>
          <w:b/>
          <w:szCs w:val="24"/>
          <w:lang w:val="en-US" w:eastAsia="en-US"/>
        </w:rPr>
        <w:t>Purpose</w:t>
      </w:r>
    </w:p>
    <w:p w14:paraId="518EB08E" w14:textId="7AC490DC" w:rsidR="00121D1B" w:rsidRPr="00A83947" w:rsidRDefault="003254AA" w:rsidP="003254AA">
      <w:pPr>
        <w:ind w:right="-483"/>
        <w:rPr>
          <w:szCs w:val="24"/>
        </w:rPr>
      </w:pPr>
      <w:r w:rsidRPr="00A83947">
        <w:rPr>
          <w:szCs w:val="24"/>
        </w:rPr>
        <w:t>On 2 August 2020, the Minister for Health, the Hon Greg Hunt MP, announced the Australian Government will</w:t>
      </w:r>
      <w:r w:rsidR="00121D1B" w:rsidRPr="00A83947">
        <w:rPr>
          <w:szCs w:val="24"/>
        </w:rPr>
        <w:t xml:space="preserve"> </w:t>
      </w:r>
      <w:r w:rsidR="00994B33" w:rsidRPr="00A83947">
        <w:rPr>
          <w:szCs w:val="24"/>
        </w:rPr>
        <w:t xml:space="preserve">make available additional </w:t>
      </w:r>
      <w:r w:rsidR="00EE18E5" w:rsidRPr="00A83947">
        <w:rPr>
          <w:szCs w:val="24"/>
        </w:rPr>
        <w:t xml:space="preserve">Medicare Benefits Schedule (MBS) subsidised mental health support </w:t>
      </w:r>
      <w:r w:rsidR="000138BC" w:rsidRPr="00A83947">
        <w:rPr>
          <w:szCs w:val="24"/>
        </w:rPr>
        <w:t xml:space="preserve">services </w:t>
      </w:r>
      <w:r w:rsidR="00EE18E5" w:rsidRPr="00A83947">
        <w:rPr>
          <w:szCs w:val="24"/>
        </w:rPr>
        <w:t xml:space="preserve">for people subject to further restrictions outlined in public health orders as part of </w:t>
      </w:r>
      <w:r w:rsidR="00994B33" w:rsidRPr="00A83947">
        <w:rPr>
          <w:szCs w:val="24"/>
        </w:rPr>
        <w:t xml:space="preserve">the coronavirus (COVID-19) pandemic. These people will receive temporary access </w:t>
      </w:r>
      <w:r w:rsidR="00EE18E5" w:rsidRPr="00A83947">
        <w:rPr>
          <w:szCs w:val="24"/>
        </w:rPr>
        <w:t xml:space="preserve">between 7 August 2020 and 31 March 2021 </w:t>
      </w:r>
      <w:r w:rsidR="00994B33" w:rsidRPr="00A83947">
        <w:rPr>
          <w:szCs w:val="24"/>
        </w:rPr>
        <w:t xml:space="preserve">to a further </w:t>
      </w:r>
      <w:r w:rsidR="00121D1B" w:rsidRPr="00A83947">
        <w:rPr>
          <w:szCs w:val="24"/>
        </w:rPr>
        <w:t>10 additional Medicare-</w:t>
      </w:r>
      <w:r w:rsidRPr="00A83947">
        <w:rPr>
          <w:szCs w:val="24"/>
        </w:rPr>
        <w:t>subsidised</w:t>
      </w:r>
      <w:r w:rsidR="00994B33" w:rsidRPr="00A83947">
        <w:rPr>
          <w:szCs w:val="24"/>
        </w:rPr>
        <w:t xml:space="preserve"> psychological therapy sessions.</w:t>
      </w:r>
    </w:p>
    <w:p w14:paraId="77336F1E" w14:textId="77777777" w:rsidR="00121D1B" w:rsidRPr="00A83947" w:rsidRDefault="00121D1B" w:rsidP="003254AA">
      <w:pPr>
        <w:ind w:right="-483"/>
        <w:rPr>
          <w:szCs w:val="24"/>
        </w:rPr>
      </w:pPr>
    </w:p>
    <w:p w14:paraId="12BEB8D9" w14:textId="413E99F2" w:rsidR="00121D1B" w:rsidRPr="00A83947" w:rsidRDefault="00121D1B" w:rsidP="003254AA">
      <w:pPr>
        <w:ind w:right="-483"/>
        <w:rPr>
          <w:iCs/>
          <w:szCs w:val="24"/>
        </w:rPr>
      </w:pPr>
      <w:r w:rsidRPr="00A83947">
        <w:rPr>
          <w:szCs w:val="24"/>
        </w:rPr>
        <w:t>The</w:t>
      </w:r>
      <w:r w:rsidRPr="00A83947">
        <w:rPr>
          <w:i/>
          <w:iCs/>
          <w:szCs w:val="24"/>
        </w:rPr>
        <w:t xml:space="preserve"> </w:t>
      </w:r>
      <w:r w:rsidR="00AD380C" w:rsidRPr="00A83947">
        <w:rPr>
          <w:i/>
          <w:iCs/>
          <w:szCs w:val="24"/>
        </w:rPr>
        <w:t xml:space="preserve">Health Insurance (Section 3C General Medical – Expansion of GP and Allied Health Mental Health Services) Determination 2020 </w:t>
      </w:r>
      <w:r w:rsidR="00726289" w:rsidRPr="00A83947">
        <w:rPr>
          <w:iCs/>
          <w:szCs w:val="24"/>
        </w:rPr>
        <w:t>(the Determination)</w:t>
      </w:r>
      <w:r w:rsidR="00726289" w:rsidRPr="00A83947">
        <w:rPr>
          <w:i/>
          <w:iCs/>
          <w:szCs w:val="24"/>
        </w:rPr>
        <w:t xml:space="preserve"> </w:t>
      </w:r>
      <w:r w:rsidRPr="00A83947">
        <w:rPr>
          <w:iCs/>
          <w:szCs w:val="24"/>
        </w:rPr>
        <w:t>will list 36 new mental health treatment items provided by medical practitioners working in general practice, psychologists, psychiatrists, occupational therapists and social workers from 7 August 2020.</w:t>
      </w:r>
    </w:p>
    <w:p w14:paraId="43A1C6D8" w14:textId="77777777" w:rsidR="00121D1B" w:rsidRPr="00A83947" w:rsidRDefault="00121D1B" w:rsidP="003254AA">
      <w:pPr>
        <w:ind w:right="-483"/>
        <w:rPr>
          <w:iCs/>
          <w:szCs w:val="24"/>
        </w:rPr>
      </w:pPr>
    </w:p>
    <w:p w14:paraId="79F8CBD7" w14:textId="5D07AEBE" w:rsidR="00121D1B" w:rsidRPr="00A83947" w:rsidRDefault="00121D1B" w:rsidP="003254AA">
      <w:pPr>
        <w:ind w:right="-483"/>
        <w:rPr>
          <w:iCs/>
          <w:szCs w:val="24"/>
        </w:rPr>
      </w:pPr>
      <w:r w:rsidRPr="00A83947">
        <w:rPr>
          <w:iCs/>
          <w:szCs w:val="24"/>
        </w:rPr>
        <w:t xml:space="preserve">The new items will be available to </w:t>
      </w:r>
      <w:r w:rsidR="00994B33" w:rsidRPr="00A83947">
        <w:rPr>
          <w:iCs/>
          <w:szCs w:val="24"/>
        </w:rPr>
        <w:t>people</w:t>
      </w:r>
      <w:r w:rsidRPr="00A83947">
        <w:rPr>
          <w:iCs/>
          <w:szCs w:val="24"/>
        </w:rPr>
        <w:t xml:space="preserve"> who:</w:t>
      </w:r>
    </w:p>
    <w:p w14:paraId="36B8179F" w14:textId="43E9E2CC" w:rsidR="00345ADE" w:rsidRPr="00A83947" w:rsidRDefault="00121D1B" w:rsidP="00345ADE">
      <w:pPr>
        <w:pStyle w:val="ListParagraph"/>
        <w:numPr>
          <w:ilvl w:val="0"/>
          <w:numId w:val="34"/>
        </w:numPr>
        <w:ind w:right="-483"/>
        <w:rPr>
          <w:szCs w:val="24"/>
        </w:rPr>
      </w:pPr>
      <w:r w:rsidRPr="00A83947">
        <w:rPr>
          <w:szCs w:val="24"/>
        </w:rPr>
        <w:t xml:space="preserve">have been referred for </w:t>
      </w:r>
      <w:r w:rsidR="00345ADE" w:rsidRPr="00A83947">
        <w:rPr>
          <w:szCs w:val="24"/>
        </w:rPr>
        <w:t>mental health treatment services under the ‘Better Access to Psychiatrists, Psychologists and General Practitioners through the Medicare Benefits Schedule’ (otherwise known as</w:t>
      </w:r>
      <w:r w:rsidR="002B29A4" w:rsidRPr="00A83947">
        <w:rPr>
          <w:szCs w:val="24"/>
        </w:rPr>
        <w:t xml:space="preserve"> the</w:t>
      </w:r>
      <w:r w:rsidR="00345ADE" w:rsidRPr="00A83947">
        <w:rPr>
          <w:szCs w:val="24"/>
        </w:rPr>
        <w:t xml:space="preserve"> ‘Better Access’ initiative</w:t>
      </w:r>
      <w:r w:rsidR="002B29A4" w:rsidRPr="00A83947">
        <w:rPr>
          <w:szCs w:val="24"/>
        </w:rPr>
        <w:t>)</w:t>
      </w:r>
      <w:r w:rsidR="00345ADE" w:rsidRPr="00A83947">
        <w:rPr>
          <w:szCs w:val="24"/>
        </w:rPr>
        <w:t>; and</w:t>
      </w:r>
    </w:p>
    <w:p w14:paraId="01AC9CE2" w14:textId="46F1C691" w:rsidR="00345ADE" w:rsidRPr="00A83947" w:rsidRDefault="00345ADE" w:rsidP="00345ADE">
      <w:pPr>
        <w:pStyle w:val="ListParagraph"/>
        <w:numPr>
          <w:ilvl w:val="0"/>
          <w:numId w:val="34"/>
        </w:numPr>
        <w:ind w:right="-483"/>
        <w:rPr>
          <w:szCs w:val="24"/>
        </w:rPr>
      </w:pPr>
      <w:r w:rsidRPr="00A83947">
        <w:rPr>
          <w:szCs w:val="24"/>
        </w:rPr>
        <w:t xml:space="preserve">have accessed the limit of 10 Better Access </w:t>
      </w:r>
      <w:r w:rsidR="003B4405" w:rsidRPr="00A83947">
        <w:rPr>
          <w:szCs w:val="24"/>
        </w:rPr>
        <w:t xml:space="preserve">treatment </w:t>
      </w:r>
      <w:r w:rsidRPr="00A83947">
        <w:rPr>
          <w:szCs w:val="24"/>
        </w:rPr>
        <w:t>services within a calendar year; and</w:t>
      </w:r>
    </w:p>
    <w:p w14:paraId="45CD39E5" w14:textId="78C223DC" w:rsidR="003B4405" w:rsidRPr="00A83947" w:rsidRDefault="00BE0078" w:rsidP="00EE18E5">
      <w:pPr>
        <w:pStyle w:val="ListParagraph"/>
        <w:numPr>
          <w:ilvl w:val="0"/>
          <w:numId w:val="34"/>
        </w:numPr>
        <w:ind w:right="-483"/>
        <w:rPr>
          <w:szCs w:val="24"/>
        </w:rPr>
      </w:pPr>
      <w:r w:rsidRPr="00A83947">
        <w:rPr>
          <w:szCs w:val="24"/>
        </w:rPr>
        <w:t>have had the effectiveness of their</w:t>
      </w:r>
      <w:r w:rsidR="003B4405" w:rsidRPr="00A83947">
        <w:rPr>
          <w:szCs w:val="24"/>
        </w:rPr>
        <w:t xml:space="preserve"> mental health treatment reviewed </w:t>
      </w:r>
      <w:r w:rsidR="00EE18E5" w:rsidRPr="00A83947">
        <w:rPr>
          <w:szCs w:val="24"/>
        </w:rPr>
        <w:t xml:space="preserve">following delivery of the initial 10 Better Access treatment services in a calendar year </w:t>
      </w:r>
      <w:r w:rsidR="003B4405" w:rsidRPr="00A83947">
        <w:rPr>
          <w:szCs w:val="24"/>
        </w:rPr>
        <w:t xml:space="preserve">by </w:t>
      </w:r>
      <w:r w:rsidRPr="00A83947">
        <w:rPr>
          <w:szCs w:val="24"/>
        </w:rPr>
        <w:t xml:space="preserve">a medical </w:t>
      </w:r>
      <w:r w:rsidR="003B4405" w:rsidRPr="00A83947">
        <w:rPr>
          <w:szCs w:val="24"/>
        </w:rPr>
        <w:t>practitioner working in general practice, a psychiatrist or a paediatrician</w:t>
      </w:r>
      <w:r w:rsidRPr="00A83947">
        <w:rPr>
          <w:szCs w:val="24"/>
        </w:rPr>
        <w:t xml:space="preserve">, and the reviewing medical practitioner considers </w:t>
      </w:r>
      <w:r w:rsidR="003B4405" w:rsidRPr="00A83947">
        <w:rPr>
          <w:szCs w:val="24"/>
        </w:rPr>
        <w:t xml:space="preserve">the </w:t>
      </w:r>
      <w:r w:rsidRPr="00A83947">
        <w:rPr>
          <w:szCs w:val="24"/>
        </w:rPr>
        <w:t>treatment has been</w:t>
      </w:r>
      <w:r w:rsidR="003B4405" w:rsidRPr="00A83947">
        <w:rPr>
          <w:szCs w:val="24"/>
        </w:rPr>
        <w:t xml:space="preserve"> effective </w:t>
      </w:r>
      <w:r w:rsidR="000C4FBD" w:rsidRPr="00A83947">
        <w:rPr>
          <w:szCs w:val="24"/>
        </w:rPr>
        <w:t xml:space="preserve">(or treatment has not been effective, but additional treatment may be effective) and </w:t>
      </w:r>
      <w:r w:rsidR="003B4405" w:rsidRPr="00A83947">
        <w:rPr>
          <w:szCs w:val="24"/>
        </w:rPr>
        <w:t xml:space="preserve">it </w:t>
      </w:r>
      <w:r w:rsidRPr="00A83947">
        <w:rPr>
          <w:szCs w:val="24"/>
        </w:rPr>
        <w:t>is</w:t>
      </w:r>
      <w:r w:rsidR="003B4405" w:rsidRPr="00A83947">
        <w:rPr>
          <w:szCs w:val="24"/>
        </w:rPr>
        <w:t xml:space="preserve"> clinically appropriate for the </w:t>
      </w:r>
      <w:r w:rsidR="00994B33" w:rsidRPr="00A83947">
        <w:rPr>
          <w:szCs w:val="24"/>
        </w:rPr>
        <w:t>person</w:t>
      </w:r>
      <w:r w:rsidR="003B4405" w:rsidRPr="00A83947">
        <w:rPr>
          <w:szCs w:val="24"/>
        </w:rPr>
        <w:t xml:space="preserve"> to access additional mental health treatment services; and</w:t>
      </w:r>
    </w:p>
    <w:p w14:paraId="54654DCE" w14:textId="1DF4D287" w:rsidR="003B4405" w:rsidRPr="00A83947" w:rsidRDefault="00AD380C" w:rsidP="00EE18E5">
      <w:pPr>
        <w:pStyle w:val="ListParagraph"/>
        <w:numPr>
          <w:ilvl w:val="0"/>
          <w:numId w:val="34"/>
        </w:numPr>
        <w:ind w:right="-483"/>
        <w:rPr>
          <w:szCs w:val="24"/>
        </w:rPr>
      </w:pPr>
      <w:r w:rsidRPr="00A83947">
        <w:rPr>
          <w:szCs w:val="24"/>
        </w:rPr>
        <w:t>meet the conditions of a ‘</w:t>
      </w:r>
      <w:r w:rsidR="00EE18E5" w:rsidRPr="00A83947">
        <w:rPr>
          <w:szCs w:val="24"/>
        </w:rPr>
        <w:t xml:space="preserve">person with a mental health disorder subject to COVID-19 public health orders’ </w:t>
      </w:r>
      <w:r w:rsidRPr="00A83947">
        <w:rPr>
          <w:szCs w:val="24"/>
        </w:rPr>
        <w:t xml:space="preserve">in the instrument. </w:t>
      </w:r>
    </w:p>
    <w:p w14:paraId="7514C43B" w14:textId="4C78C705" w:rsidR="00AD380C" w:rsidRPr="00A83947" w:rsidRDefault="00AD380C" w:rsidP="00AD380C">
      <w:pPr>
        <w:pStyle w:val="ListParagraph"/>
        <w:ind w:right="-483"/>
        <w:rPr>
          <w:szCs w:val="24"/>
        </w:rPr>
      </w:pPr>
    </w:p>
    <w:p w14:paraId="1A84BF03" w14:textId="17237ED4" w:rsidR="00AD380C" w:rsidRPr="00A83947" w:rsidRDefault="00994B33" w:rsidP="008F42A7">
      <w:pPr>
        <w:ind w:right="-483"/>
        <w:rPr>
          <w:szCs w:val="24"/>
        </w:rPr>
      </w:pPr>
      <w:r w:rsidRPr="00A83947">
        <w:rPr>
          <w:szCs w:val="24"/>
        </w:rPr>
        <w:t>People</w:t>
      </w:r>
      <w:r w:rsidR="008F42A7" w:rsidRPr="00A83947">
        <w:rPr>
          <w:szCs w:val="24"/>
        </w:rPr>
        <w:t xml:space="preserve"> who meet those conditions will be eligible for up to 10 additional mental health treatment services </w:t>
      </w:r>
      <w:r w:rsidRPr="00A83947">
        <w:rPr>
          <w:szCs w:val="24"/>
        </w:rPr>
        <w:t>which can be accessed through services in person at cons</w:t>
      </w:r>
      <w:r w:rsidR="00B611D6" w:rsidRPr="00A83947">
        <w:rPr>
          <w:szCs w:val="24"/>
        </w:rPr>
        <w:t>ulting rooms until 31 March 2021</w:t>
      </w:r>
      <w:r w:rsidRPr="00A83947">
        <w:rPr>
          <w:szCs w:val="24"/>
        </w:rPr>
        <w:t xml:space="preserve">. Alternatively, they can be accessed via telehealth or phone until 30 </w:t>
      </w:r>
      <w:r w:rsidRPr="00A83947">
        <w:rPr>
          <w:szCs w:val="24"/>
        </w:rPr>
        <w:lastRenderedPageBreak/>
        <w:t>September 2020</w:t>
      </w:r>
      <w:r w:rsidR="00AD380C" w:rsidRPr="00A83947">
        <w:rPr>
          <w:szCs w:val="24"/>
        </w:rPr>
        <w:t xml:space="preserve">, consistent with </w:t>
      </w:r>
      <w:r w:rsidR="00683CBC" w:rsidRPr="00A83947">
        <w:rPr>
          <w:szCs w:val="24"/>
        </w:rPr>
        <w:t>Government policy to provide temporary access to remote service options during the COVID-19 pandemic.</w:t>
      </w:r>
    </w:p>
    <w:p w14:paraId="616F59E9" w14:textId="1E9B3912" w:rsidR="00E21DF4" w:rsidRPr="00A83947" w:rsidRDefault="00E21DF4" w:rsidP="008F42A7">
      <w:pPr>
        <w:ind w:right="-483"/>
        <w:rPr>
          <w:szCs w:val="24"/>
        </w:rPr>
      </w:pPr>
    </w:p>
    <w:p w14:paraId="7AF24D0A" w14:textId="5AC8DDB1" w:rsidR="00065460" w:rsidRPr="00A83947" w:rsidRDefault="00A1739A" w:rsidP="00065460">
      <w:pPr>
        <w:shd w:val="clear" w:color="auto" w:fill="FFFFFF"/>
        <w:rPr>
          <w:szCs w:val="24"/>
        </w:rPr>
      </w:pPr>
      <w:r w:rsidRPr="00A83947">
        <w:rPr>
          <w:b/>
        </w:rPr>
        <w:t>Consultation</w:t>
      </w:r>
      <w:r w:rsidR="00065460" w:rsidRPr="00A83947">
        <w:rPr>
          <w:b/>
        </w:rPr>
        <w:br/>
      </w:r>
      <w:r w:rsidR="00065460" w:rsidRPr="00A83947">
        <w:rPr>
          <w:szCs w:val="24"/>
        </w:rPr>
        <w:t>Due to the short timeframe in drafting this legislative instrument to implement the new mental health items, it was not reasonably practicable to undertake consultation with representatives of persons affected by the instrument considering the nature of the emergency.</w:t>
      </w:r>
      <w:r w:rsidR="00EE18E5" w:rsidRPr="00A83947">
        <w:rPr>
          <w:szCs w:val="24"/>
        </w:rPr>
        <w:t xml:space="preserve"> The Governme</w:t>
      </w:r>
      <w:r w:rsidR="0065333F" w:rsidRPr="00A83947">
        <w:rPr>
          <w:szCs w:val="24"/>
        </w:rPr>
        <w:t>nt has received</w:t>
      </w:r>
      <w:r w:rsidR="00EE18E5" w:rsidRPr="00A83947">
        <w:rPr>
          <w:szCs w:val="24"/>
        </w:rPr>
        <w:t xml:space="preserve"> stakeholder advice </w:t>
      </w:r>
      <w:r w:rsidR="0065333F" w:rsidRPr="00A83947">
        <w:rPr>
          <w:szCs w:val="24"/>
        </w:rPr>
        <w:t xml:space="preserve">supporting </w:t>
      </w:r>
      <w:r w:rsidR="00EE18E5" w:rsidRPr="00A83947">
        <w:rPr>
          <w:szCs w:val="24"/>
        </w:rPr>
        <w:t>the extension of the Better Access Initiative and this advice was used to inform this measure.</w:t>
      </w:r>
    </w:p>
    <w:p w14:paraId="02264A85" w14:textId="77777777" w:rsidR="007708B3" w:rsidRPr="00A83947" w:rsidRDefault="007708B3" w:rsidP="002806A1">
      <w:pPr>
        <w:shd w:val="clear" w:color="auto" w:fill="FFFFFF"/>
        <w:rPr>
          <w:color w:val="000000"/>
          <w:szCs w:val="24"/>
        </w:rPr>
      </w:pPr>
    </w:p>
    <w:p w14:paraId="2412D134" w14:textId="77777777" w:rsidR="00967E51" w:rsidRPr="00A83947" w:rsidRDefault="00A1739A" w:rsidP="000337CB">
      <w:pPr>
        <w:rPr>
          <w:szCs w:val="24"/>
        </w:rPr>
      </w:pPr>
      <w:r w:rsidRPr="00A83947">
        <w:rPr>
          <w:szCs w:val="24"/>
        </w:rPr>
        <w:t xml:space="preserve">Details of the </w:t>
      </w:r>
      <w:r w:rsidR="00574E71" w:rsidRPr="00A83947">
        <w:rPr>
          <w:szCs w:val="24"/>
        </w:rPr>
        <w:t>Determination</w:t>
      </w:r>
      <w:r w:rsidRPr="00A83947">
        <w:rPr>
          <w:szCs w:val="24"/>
        </w:rPr>
        <w:t xml:space="preserve"> are set out in the </w:t>
      </w:r>
      <w:r w:rsidRPr="00A83947">
        <w:rPr>
          <w:szCs w:val="24"/>
          <w:u w:val="single"/>
        </w:rPr>
        <w:t>Attachment</w:t>
      </w:r>
      <w:r w:rsidRPr="00A83947">
        <w:rPr>
          <w:szCs w:val="24"/>
        </w:rPr>
        <w:t>.</w:t>
      </w:r>
    </w:p>
    <w:p w14:paraId="2412D135" w14:textId="3155E4FC" w:rsidR="006C138D" w:rsidRPr="00A83947" w:rsidRDefault="00297AD0" w:rsidP="006C138D">
      <w:pPr>
        <w:tabs>
          <w:tab w:val="left" w:pos="567"/>
        </w:tabs>
        <w:spacing w:before="240"/>
        <w:rPr>
          <w:szCs w:val="24"/>
        </w:rPr>
      </w:pPr>
      <w:r w:rsidRPr="00A83947">
        <w:rPr>
          <w:szCs w:val="24"/>
        </w:rPr>
        <w:t xml:space="preserve">The </w:t>
      </w:r>
      <w:r w:rsidR="00967E51" w:rsidRPr="00A83947">
        <w:rPr>
          <w:szCs w:val="24"/>
        </w:rPr>
        <w:t>Determination</w:t>
      </w:r>
      <w:r w:rsidRPr="00A83947">
        <w:rPr>
          <w:szCs w:val="24"/>
        </w:rPr>
        <w:t xml:space="preserve"> </w:t>
      </w:r>
      <w:r w:rsidR="007524B0" w:rsidRPr="00A83947">
        <w:rPr>
          <w:szCs w:val="24"/>
        </w:rPr>
        <w:t xml:space="preserve">commences </w:t>
      </w:r>
      <w:r w:rsidR="00C63FDC" w:rsidRPr="00A83947">
        <w:rPr>
          <w:szCs w:val="24"/>
        </w:rPr>
        <w:t xml:space="preserve">on </w:t>
      </w:r>
      <w:r w:rsidR="00726289" w:rsidRPr="00A83947">
        <w:rPr>
          <w:szCs w:val="24"/>
        </w:rPr>
        <w:t xml:space="preserve">7 August 2020. </w:t>
      </w:r>
    </w:p>
    <w:p w14:paraId="2412D136" w14:textId="77777777" w:rsidR="00236DF2" w:rsidRPr="00A83947" w:rsidRDefault="00236DF2" w:rsidP="00574E71">
      <w:pPr>
        <w:rPr>
          <w:szCs w:val="24"/>
        </w:rPr>
      </w:pPr>
    </w:p>
    <w:p w14:paraId="2412D138" w14:textId="65B73875" w:rsidR="00574E71" w:rsidRPr="00A83947" w:rsidRDefault="0002728B" w:rsidP="00DE07E4">
      <w:pPr>
        <w:spacing w:after="200" w:line="276" w:lineRule="auto"/>
        <w:rPr>
          <w:szCs w:val="24"/>
        </w:rPr>
      </w:pPr>
      <w:r w:rsidRPr="00A83947">
        <w:rPr>
          <w:szCs w:val="24"/>
        </w:rPr>
        <w:t>T</w:t>
      </w:r>
      <w:r w:rsidR="00574E71" w:rsidRPr="00A83947">
        <w:rPr>
          <w:szCs w:val="24"/>
        </w:rPr>
        <w:t xml:space="preserve">he Determination is </w:t>
      </w:r>
      <w:r w:rsidR="004417A2" w:rsidRPr="00A83947">
        <w:rPr>
          <w:szCs w:val="24"/>
        </w:rPr>
        <w:t xml:space="preserve">a </w:t>
      </w:r>
      <w:r w:rsidR="00574E71" w:rsidRPr="00A83947">
        <w:rPr>
          <w:szCs w:val="24"/>
        </w:rPr>
        <w:t xml:space="preserve">legislative instrument for the purposes of the </w:t>
      </w:r>
      <w:r w:rsidR="00574E71" w:rsidRPr="00A83947">
        <w:rPr>
          <w:i/>
        </w:rPr>
        <w:t>Legislation Act 2003</w:t>
      </w:r>
      <w:r w:rsidR="00574E71" w:rsidRPr="00A83947">
        <w:rPr>
          <w:szCs w:val="24"/>
        </w:rPr>
        <w:t>.</w:t>
      </w:r>
    </w:p>
    <w:p w14:paraId="2412D139" w14:textId="77777777" w:rsidR="00A1739A" w:rsidRPr="00A83947" w:rsidRDefault="00A1739A" w:rsidP="000337CB">
      <w:pPr>
        <w:ind w:left="6663" w:hanging="3119"/>
        <w:rPr>
          <w:szCs w:val="24"/>
        </w:rPr>
      </w:pPr>
      <w:r w:rsidRPr="00A83947">
        <w:rPr>
          <w:szCs w:val="24"/>
        </w:rPr>
        <w:t xml:space="preserve">           </w:t>
      </w:r>
    </w:p>
    <w:p w14:paraId="2412D13A" w14:textId="77777777" w:rsidR="00A1739A" w:rsidRPr="00A83947" w:rsidRDefault="00A1739A" w:rsidP="000337CB">
      <w:pPr>
        <w:ind w:left="6663" w:hanging="3119"/>
        <w:rPr>
          <w:szCs w:val="24"/>
        </w:rPr>
      </w:pPr>
      <w:r w:rsidRPr="00A83947">
        <w:rPr>
          <w:szCs w:val="24"/>
          <w:u w:val="single"/>
        </w:rPr>
        <w:t>Authority</w:t>
      </w:r>
      <w:r w:rsidR="00967E51" w:rsidRPr="00A83947">
        <w:rPr>
          <w:szCs w:val="24"/>
        </w:rPr>
        <w:t xml:space="preserve">:     Subsection </w:t>
      </w:r>
      <w:r w:rsidRPr="00A83947">
        <w:rPr>
          <w:szCs w:val="24"/>
        </w:rPr>
        <w:t>3</w:t>
      </w:r>
      <w:r w:rsidR="00967E51" w:rsidRPr="00A83947">
        <w:rPr>
          <w:szCs w:val="24"/>
        </w:rPr>
        <w:t>C</w:t>
      </w:r>
      <w:r w:rsidRPr="00A83947">
        <w:rPr>
          <w:szCs w:val="24"/>
        </w:rPr>
        <w:t xml:space="preserve">(1) of the </w:t>
      </w:r>
    </w:p>
    <w:p w14:paraId="2412D13B" w14:textId="0596CD30" w:rsidR="00A1739A" w:rsidRPr="00A83947" w:rsidRDefault="00A1739A" w:rsidP="000337CB">
      <w:pPr>
        <w:tabs>
          <w:tab w:val="left" w:pos="4820"/>
        </w:tabs>
        <w:rPr>
          <w:szCs w:val="24"/>
        </w:rPr>
        <w:sectPr w:rsidR="00A1739A" w:rsidRPr="00A83947" w:rsidSect="00235B6C">
          <w:headerReference w:type="default" r:id="rId11"/>
          <w:pgSz w:w="11906" w:h="16838"/>
          <w:pgMar w:top="1440" w:right="1800" w:bottom="1135" w:left="1800" w:header="708" w:footer="708" w:gutter="0"/>
          <w:pgNumType w:start="1"/>
          <w:cols w:space="708"/>
          <w:docGrid w:linePitch="360"/>
        </w:sectPr>
      </w:pPr>
      <w:r w:rsidRPr="00A83947">
        <w:rPr>
          <w:i/>
          <w:szCs w:val="24"/>
        </w:rPr>
        <w:tab/>
        <w:t>Health Insurance Act 1973</w:t>
      </w:r>
    </w:p>
    <w:p w14:paraId="2412D13D" w14:textId="77777777" w:rsidR="006D5816" w:rsidRPr="00A83947" w:rsidRDefault="006D5816" w:rsidP="000337CB">
      <w:pPr>
        <w:pStyle w:val="BodyText"/>
        <w:jc w:val="right"/>
        <w:rPr>
          <w:szCs w:val="24"/>
        </w:rPr>
      </w:pPr>
      <w:r w:rsidRPr="00A83947">
        <w:rPr>
          <w:szCs w:val="24"/>
        </w:rPr>
        <w:lastRenderedPageBreak/>
        <w:t>ATTACHMENT</w:t>
      </w:r>
    </w:p>
    <w:p w14:paraId="2412D13E" w14:textId="77777777" w:rsidR="006D5816" w:rsidRPr="00A83947" w:rsidRDefault="006D5816" w:rsidP="000337CB">
      <w:pPr>
        <w:pStyle w:val="BodyText"/>
        <w:rPr>
          <w:szCs w:val="24"/>
          <w:u w:val="single"/>
        </w:rPr>
      </w:pPr>
    </w:p>
    <w:p w14:paraId="5B0C808A" w14:textId="677E5860" w:rsidR="00215191" w:rsidRPr="00A83947" w:rsidRDefault="00A41364" w:rsidP="00186752">
      <w:pPr>
        <w:pStyle w:val="BodyText"/>
        <w:rPr>
          <w:i/>
          <w:iCs/>
          <w:color w:val="FF0000"/>
        </w:rPr>
      </w:pPr>
      <w:r w:rsidRPr="00A83947">
        <w:rPr>
          <w:szCs w:val="24"/>
        </w:rPr>
        <w:t xml:space="preserve">Details of the </w:t>
      </w:r>
      <w:r w:rsidR="00453B47" w:rsidRPr="00A83947">
        <w:rPr>
          <w:i/>
          <w:iCs/>
        </w:rPr>
        <w:t>Health Insurance (Section 3C General Medical – Expansion of GP and Allied Health Mental Health Services) Determination 2020</w:t>
      </w:r>
    </w:p>
    <w:p w14:paraId="7BBEB147" w14:textId="720F9678" w:rsidR="00E70355" w:rsidRPr="00A83947" w:rsidRDefault="00E70355" w:rsidP="000337CB">
      <w:pPr>
        <w:pStyle w:val="BodyText"/>
        <w:rPr>
          <w:b w:val="0"/>
          <w:i/>
          <w:szCs w:val="24"/>
        </w:rPr>
      </w:pPr>
    </w:p>
    <w:p w14:paraId="2412D141" w14:textId="7C34D5F4" w:rsidR="00FE02C2" w:rsidRPr="00A83947" w:rsidRDefault="001B0111" w:rsidP="000337CB">
      <w:pPr>
        <w:pStyle w:val="BodyText"/>
        <w:rPr>
          <w:b w:val="0"/>
          <w:szCs w:val="24"/>
          <w:u w:val="single"/>
        </w:rPr>
      </w:pPr>
      <w:r w:rsidRPr="00A83947">
        <w:rPr>
          <w:b w:val="0"/>
          <w:szCs w:val="24"/>
          <w:u w:val="single"/>
        </w:rPr>
        <w:t>Section 1 – Name</w:t>
      </w:r>
    </w:p>
    <w:p w14:paraId="2412D142" w14:textId="77777777" w:rsidR="00FE02C2" w:rsidRPr="00A83947" w:rsidRDefault="00FE02C2" w:rsidP="000337CB">
      <w:pPr>
        <w:pStyle w:val="BodyText"/>
        <w:rPr>
          <w:b w:val="0"/>
          <w:szCs w:val="24"/>
          <w:u w:val="single"/>
        </w:rPr>
      </w:pPr>
    </w:p>
    <w:p w14:paraId="2412D144" w14:textId="30794644" w:rsidR="00F83B6F" w:rsidRPr="00A83947" w:rsidRDefault="00BC7397" w:rsidP="00C67BC7">
      <w:pPr>
        <w:pStyle w:val="BodyText"/>
        <w:rPr>
          <w:iCs/>
          <w:color w:val="FF0000"/>
        </w:rPr>
      </w:pPr>
      <w:r w:rsidRPr="00A83947">
        <w:rPr>
          <w:b w:val="0"/>
          <w:szCs w:val="24"/>
        </w:rPr>
        <w:t>S</w:t>
      </w:r>
      <w:r w:rsidR="00FE02C2" w:rsidRPr="00A83947">
        <w:rPr>
          <w:b w:val="0"/>
          <w:szCs w:val="24"/>
        </w:rPr>
        <w:t xml:space="preserve">ection </w:t>
      </w:r>
      <w:r w:rsidRPr="00A83947">
        <w:rPr>
          <w:b w:val="0"/>
          <w:szCs w:val="24"/>
        </w:rPr>
        <w:t xml:space="preserve">1 </w:t>
      </w:r>
      <w:r w:rsidR="00FE02C2" w:rsidRPr="00A83947">
        <w:rPr>
          <w:b w:val="0"/>
          <w:szCs w:val="24"/>
        </w:rPr>
        <w:t>provides</w:t>
      </w:r>
      <w:r w:rsidR="008B683E" w:rsidRPr="00A83947">
        <w:rPr>
          <w:b w:val="0"/>
          <w:szCs w:val="24"/>
        </w:rPr>
        <w:t xml:space="preserve"> for the </w:t>
      </w:r>
      <w:r w:rsidR="00065460" w:rsidRPr="00A83947">
        <w:rPr>
          <w:b w:val="0"/>
          <w:szCs w:val="24"/>
        </w:rPr>
        <w:t>instrument</w:t>
      </w:r>
      <w:r w:rsidR="00FE02C2" w:rsidRPr="00A83947">
        <w:rPr>
          <w:b w:val="0"/>
          <w:szCs w:val="24"/>
        </w:rPr>
        <w:t xml:space="preserve"> to be referred to as the </w:t>
      </w:r>
      <w:r w:rsidR="00453B47" w:rsidRPr="00A83947">
        <w:rPr>
          <w:b w:val="0"/>
          <w:i/>
          <w:szCs w:val="24"/>
        </w:rPr>
        <w:t>Health Insurance (Section 3C General Medical – Expansion of GP and Allied Health Mental Health Services) Determination 2020</w:t>
      </w:r>
      <w:r w:rsidR="00413EE5" w:rsidRPr="00A83947">
        <w:rPr>
          <w:b w:val="0"/>
          <w:szCs w:val="24"/>
        </w:rPr>
        <w:t>.</w:t>
      </w:r>
    </w:p>
    <w:p w14:paraId="68DAA207" w14:textId="77777777" w:rsidR="00FD602D" w:rsidRPr="00A83947" w:rsidRDefault="00FD602D" w:rsidP="00FD602D"/>
    <w:p w14:paraId="49D1E050" w14:textId="77777777" w:rsidR="007A4089" w:rsidRPr="00A83947" w:rsidRDefault="00FE02C2" w:rsidP="000337CB">
      <w:pPr>
        <w:pStyle w:val="BodyText"/>
        <w:rPr>
          <w:b w:val="0"/>
          <w:szCs w:val="24"/>
          <w:u w:val="single"/>
        </w:rPr>
      </w:pPr>
      <w:r w:rsidRPr="00A83947">
        <w:rPr>
          <w:b w:val="0"/>
          <w:szCs w:val="24"/>
          <w:u w:val="single"/>
        </w:rPr>
        <w:t xml:space="preserve">Section 2 – Commencement </w:t>
      </w:r>
    </w:p>
    <w:p w14:paraId="2DCE2ED0" w14:textId="77777777" w:rsidR="007A4089" w:rsidRPr="00A83947" w:rsidRDefault="007A4089" w:rsidP="000337CB">
      <w:pPr>
        <w:pStyle w:val="BodyText"/>
        <w:rPr>
          <w:b w:val="0"/>
          <w:szCs w:val="24"/>
          <w:u w:val="single"/>
        </w:rPr>
      </w:pPr>
    </w:p>
    <w:p w14:paraId="2412D148" w14:textId="6D9BF3D4" w:rsidR="00510A4F" w:rsidRPr="00A83947" w:rsidRDefault="00510A4F" w:rsidP="000337CB">
      <w:pPr>
        <w:pStyle w:val="BodyText"/>
        <w:rPr>
          <w:b w:val="0"/>
          <w:szCs w:val="24"/>
        </w:rPr>
      </w:pPr>
      <w:r w:rsidRPr="00A83947">
        <w:rPr>
          <w:b w:val="0"/>
          <w:szCs w:val="24"/>
        </w:rPr>
        <w:t xml:space="preserve">Section 2 </w:t>
      </w:r>
      <w:r w:rsidR="00404F11" w:rsidRPr="00A83947">
        <w:rPr>
          <w:b w:val="0"/>
          <w:szCs w:val="24"/>
        </w:rPr>
        <w:t xml:space="preserve">provides that the </w:t>
      </w:r>
      <w:r w:rsidR="00065460" w:rsidRPr="00A83947">
        <w:rPr>
          <w:b w:val="0"/>
          <w:szCs w:val="24"/>
        </w:rPr>
        <w:t>instrument</w:t>
      </w:r>
      <w:r w:rsidR="008B2094" w:rsidRPr="00A83947">
        <w:rPr>
          <w:b w:val="0"/>
          <w:szCs w:val="24"/>
        </w:rPr>
        <w:t xml:space="preserve"> </w:t>
      </w:r>
      <w:r w:rsidR="00404F11" w:rsidRPr="00A83947">
        <w:rPr>
          <w:b w:val="0"/>
          <w:szCs w:val="24"/>
        </w:rPr>
        <w:t xml:space="preserve">commences </w:t>
      </w:r>
      <w:r w:rsidR="00C63FDC" w:rsidRPr="00A83947">
        <w:rPr>
          <w:b w:val="0"/>
          <w:szCs w:val="24"/>
        </w:rPr>
        <w:t xml:space="preserve">on </w:t>
      </w:r>
      <w:r w:rsidR="00DD3367" w:rsidRPr="00A83947">
        <w:rPr>
          <w:b w:val="0"/>
          <w:szCs w:val="24"/>
        </w:rPr>
        <w:t>7 August 2020.</w:t>
      </w:r>
    </w:p>
    <w:p w14:paraId="16C03200" w14:textId="77777777" w:rsidR="007E0017" w:rsidRPr="00A83947" w:rsidRDefault="007E0017" w:rsidP="000337CB">
      <w:pPr>
        <w:pStyle w:val="BodyText"/>
        <w:rPr>
          <w:b w:val="0"/>
          <w:szCs w:val="24"/>
        </w:rPr>
      </w:pPr>
    </w:p>
    <w:p w14:paraId="005D5660" w14:textId="77777777" w:rsidR="007A4089" w:rsidRPr="00A83947" w:rsidRDefault="00FE02C2" w:rsidP="000337CB">
      <w:pPr>
        <w:pStyle w:val="BodyText"/>
        <w:rPr>
          <w:b w:val="0"/>
          <w:szCs w:val="24"/>
          <w:u w:val="single"/>
        </w:rPr>
      </w:pPr>
      <w:r w:rsidRPr="00A83947">
        <w:rPr>
          <w:b w:val="0"/>
          <w:szCs w:val="24"/>
          <w:u w:val="single"/>
        </w:rPr>
        <w:t xml:space="preserve">Section 3 – </w:t>
      </w:r>
      <w:r w:rsidR="00E5798A" w:rsidRPr="00A83947">
        <w:rPr>
          <w:b w:val="0"/>
          <w:szCs w:val="24"/>
          <w:u w:val="single"/>
        </w:rPr>
        <w:t>Authority</w:t>
      </w:r>
    </w:p>
    <w:p w14:paraId="53BFA098" w14:textId="77777777" w:rsidR="007A4089" w:rsidRPr="00A83947" w:rsidRDefault="007A4089" w:rsidP="000337CB">
      <w:pPr>
        <w:pStyle w:val="BodyText"/>
        <w:rPr>
          <w:b w:val="0"/>
          <w:szCs w:val="24"/>
          <w:u w:val="single"/>
        </w:rPr>
      </w:pPr>
    </w:p>
    <w:p w14:paraId="2412D14B" w14:textId="423FE940" w:rsidR="00FE02C2" w:rsidRPr="00A83947" w:rsidRDefault="00F83B6F" w:rsidP="000337CB">
      <w:pPr>
        <w:pStyle w:val="BodyText"/>
        <w:rPr>
          <w:b w:val="0"/>
        </w:rPr>
      </w:pPr>
      <w:r w:rsidRPr="00A83947">
        <w:rPr>
          <w:b w:val="0"/>
        </w:rPr>
        <w:t xml:space="preserve">Section 3 provides that the </w:t>
      </w:r>
      <w:r w:rsidR="00065460" w:rsidRPr="00A83947">
        <w:rPr>
          <w:b w:val="0"/>
          <w:szCs w:val="24"/>
        </w:rPr>
        <w:t xml:space="preserve">instrument </w:t>
      </w:r>
      <w:r w:rsidR="00E5798A" w:rsidRPr="00A83947">
        <w:rPr>
          <w:b w:val="0"/>
        </w:rPr>
        <w:t xml:space="preserve">is made under </w:t>
      </w:r>
      <w:r w:rsidR="00367440" w:rsidRPr="00A83947">
        <w:rPr>
          <w:b w:val="0"/>
        </w:rPr>
        <w:t xml:space="preserve">subsection </w:t>
      </w:r>
      <w:r w:rsidR="00E5798A" w:rsidRPr="00A83947">
        <w:rPr>
          <w:b w:val="0"/>
        </w:rPr>
        <w:t xml:space="preserve">3C(1) of the </w:t>
      </w:r>
      <w:r w:rsidR="00E5798A" w:rsidRPr="00A83947">
        <w:rPr>
          <w:b w:val="0"/>
          <w:i/>
        </w:rPr>
        <w:t>Health Insurance Act 1973</w:t>
      </w:r>
      <w:r w:rsidR="00E5798A" w:rsidRPr="00A83947">
        <w:rPr>
          <w:b w:val="0"/>
        </w:rPr>
        <w:t>.</w:t>
      </w:r>
    </w:p>
    <w:p w14:paraId="0DBF1241" w14:textId="77777777" w:rsidR="00E70355" w:rsidRPr="00A83947" w:rsidRDefault="00E70355" w:rsidP="000337CB">
      <w:pPr>
        <w:pStyle w:val="BodyText"/>
        <w:rPr>
          <w:b w:val="0"/>
        </w:rPr>
      </w:pPr>
    </w:p>
    <w:p w14:paraId="216B1466" w14:textId="38A87CC5" w:rsidR="00A1465A" w:rsidRPr="00A83947" w:rsidRDefault="00A1465A" w:rsidP="00A1465A">
      <w:pPr>
        <w:pStyle w:val="BodyText"/>
        <w:rPr>
          <w:b w:val="0"/>
          <w:szCs w:val="24"/>
          <w:u w:val="single"/>
        </w:rPr>
      </w:pPr>
      <w:r w:rsidRPr="00A83947">
        <w:rPr>
          <w:b w:val="0"/>
          <w:szCs w:val="24"/>
          <w:u w:val="single"/>
        </w:rPr>
        <w:t>Section 4 – Cessation</w:t>
      </w:r>
    </w:p>
    <w:p w14:paraId="23FA5A62" w14:textId="77777777" w:rsidR="00A1465A" w:rsidRPr="00A83947" w:rsidRDefault="00A1465A" w:rsidP="00A1465A">
      <w:pPr>
        <w:pStyle w:val="BodyText"/>
        <w:rPr>
          <w:b w:val="0"/>
          <w:szCs w:val="24"/>
          <w:u w:val="single"/>
        </w:rPr>
      </w:pPr>
    </w:p>
    <w:p w14:paraId="566A2676" w14:textId="0E727382" w:rsidR="00A1465A" w:rsidRPr="00A83947" w:rsidRDefault="00A1465A" w:rsidP="00A1465A">
      <w:pPr>
        <w:pStyle w:val="BodyText"/>
        <w:rPr>
          <w:b w:val="0"/>
          <w:szCs w:val="24"/>
        </w:rPr>
      </w:pPr>
      <w:r w:rsidRPr="00A83947">
        <w:rPr>
          <w:b w:val="0"/>
          <w:szCs w:val="24"/>
        </w:rPr>
        <w:t>Section 4 provides that</w:t>
      </w:r>
      <w:r w:rsidR="00841ABD" w:rsidRPr="00A83947">
        <w:rPr>
          <w:b w:val="0"/>
          <w:szCs w:val="24"/>
        </w:rPr>
        <w:t>, unless revoked earlier,</w:t>
      </w:r>
      <w:r w:rsidRPr="00A83947">
        <w:rPr>
          <w:b w:val="0"/>
          <w:szCs w:val="24"/>
        </w:rPr>
        <w:t xml:space="preserve"> </w:t>
      </w:r>
      <w:r w:rsidR="00841ABD" w:rsidRPr="00A83947">
        <w:rPr>
          <w:b w:val="0"/>
          <w:szCs w:val="24"/>
        </w:rPr>
        <w:t xml:space="preserve">Schedule 2 </w:t>
      </w:r>
      <w:r w:rsidRPr="00A83947">
        <w:rPr>
          <w:b w:val="0"/>
          <w:szCs w:val="24"/>
        </w:rPr>
        <w:t xml:space="preserve">will cease on </w:t>
      </w:r>
      <w:r w:rsidR="00841ABD" w:rsidRPr="00A83947">
        <w:rPr>
          <w:b w:val="0"/>
          <w:szCs w:val="24"/>
        </w:rPr>
        <w:t>30 September 2020 and the instrument will cease on 31 March 2021.</w:t>
      </w:r>
    </w:p>
    <w:p w14:paraId="07745D93" w14:textId="77777777" w:rsidR="00A1465A" w:rsidRPr="00A83947" w:rsidRDefault="00A1465A" w:rsidP="00C63FDC">
      <w:pPr>
        <w:pStyle w:val="BodyText"/>
        <w:rPr>
          <w:b w:val="0"/>
          <w:szCs w:val="24"/>
          <w:u w:val="single"/>
        </w:rPr>
      </w:pPr>
    </w:p>
    <w:p w14:paraId="20CBF84A" w14:textId="58ECF24E" w:rsidR="00C63FDC" w:rsidRPr="00A83947" w:rsidRDefault="00A1465A" w:rsidP="00C63FDC">
      <w:pPr>
        <w:pStyle w:val="BodyText"/>
        <w:rPr>
          <w:b w:val="0"/>
          <w:szCs w:val="24"/>
          <w:u w:val="single"/>
        </w:rPr>
      </w:pPr>
      <w:r w:rsidRPr="00A83947">
        <w:rPr>
          <w:b w:val="0"/>
          <w:szCs w:val="24"/>
          <w:u w:val="single"/>
        </w:rPr>
        <w:t>Section 5</w:t>
      </w:r>
      <w:r w:rsidR="00C63FDC" w:rsidRPr="00A83947">
        <w:rPr>
          <w:b w:val="0"/>
          <w:szCs w:val="24"/>
          <w:u w:val="single"/>
        </w:rPr>
        <w:t xml:space="preserve"> – </w:t>
      </w:r>
      <w:r w:rsidR="00AE2A1A" w:rsidRPr="00A83947">
        <w:rPr>
          <w:b w:val="0"/>
          <w:szCs w:val="24"/>
          <w:u w:val="single"/>
        </w:rPr>
        <w:t>Definitions</w:t>
      </w:r>
    </w:p>
    <w:p w14:paraId="4C010161" w14:textId="77777777" w:rsidR="00C63FDC" w:rsidRPr="00A83947" w:rsidRDefault="00C63FDC" w:rsidP="00C63FDC">
      <w:pPr>
        <w:pStyle w:val="BodyText"/>
        <w:rPr>
          <w:b w:val="0"/>
          <w:szCs w:val="24"/>
          <w:u w:val="single"/>
        </w:rPr>
      </w:pPr>
    </w:p>
    <w:p w14:paraId="5D9EBF8D" w14:textId="48383431" w:rsidR="00C63FDC" w:rsidRPr="00A83947" w:rsidRDefault="00A1465A" w:rsidP="00C63FDC">
      <w:pPr>
        <w:pStyle w:val="BodyText"/>
        <w:rPr>
          <w:b w:val="0"/>
          <w:szCs w:val="24"/>
        </w:rPr>
      </w:pPr>
      <w:r w:rsidRPr="00A83947">
        <w:rPr>
          <w:b w:val="0"/>
          <w:szCs w:val="24"/>
        </w:rPr>
        <w:t>Section 5</w:t>
      </w:r>
      <w:r w:rsidR="00AE2A1A" w:rsidRPr="00A83947">
        <w:rPr>
          <w:b w:val="0"/>
          <w:szCs w:val="24"/>
        </w:rPr>
        <w:t xml:space="preserve"> defines terms used in the </w:t>
      </w:r>
      <w:r w:rsidR="00065460" w:rsidRPr="00A83947">
        <w:rPr>
          <w:b w:val="0"/>
          <w:szCs w:val="24"/>
        </w:rPr>
        <w:t>instrument</w:t>
      </w:r>
      <w:r w:rsidR="00C63FDC" w:rsidRPr="00A83947">
        <w:rPr>
          <w:b w:val="0"/>
          <w:szCs w:val="24"/>
        </w:rPr>
        <w:t>.</w:t>
      </w:r>
    </w:p>
    <w:p w14:paraId="17D2CF69" w14:textId="77777777" w:rsidR="007E0017" w:rsidRPr="00A83947" w:rsidRDefault="007E0017" w:rsidP="00404F11">
      <w:pPr>
        <w:pStyle w:val="BodyText"/>
        <w:rPr>
          <w:b w:val="0"/>
          <w:szCs w:val="24"/>
        </w:rPr>
      </w:pPr>
    </w:p>
    <w:p w14:paraId="18694761" w14:textId="5A57BAF1" w:rsidR="00AE2A1A" w:rsidRPr="00A83947" w:rsidRDefault="00C3580C" w:rsidP="00AE2A1A">
      <w:pPr>
        <w:pStyle w:val="BodyText"/>
        <w:rPr>
          <w:b w:val="0"/>
          <w:szCs w:val="24"/>
          <w:u w:val="single"/>
        </w:rPr>
      </w:pPr>
      <w:r w:rsidRPr="00A83947">
        <w:rPr>
          <w:b w:val="0"/>
          <w:szCs w:val="24"/>
          <w:u w:val="single"/>
        </w:rPr>
        <w:t>Section 6</w:t>
      </w:r>
      <w:r w:rsidR="00AE2A1A" w:rsidRPr="00A83947">
        <w:rPr>
          <w:b w:val="0"/>
          <w:szCs w:val="24"/>
          <w:u w:val="single"/>
        </w:rPr>
        <w:t xml:space="preserve"> – Treatment of relevant services</w:t>
      </w:r>
    </w:p>
    <w:p w14:paraId="19E420BE" w14:textId="77777777" w:rsidR="00AE2A1A" w:rsidRPr="00A83947" w:rsidRDefault="00AE2A1A" w:rsidP="00AE2A1A">
      <w:pPr>
        <w:pStyle w:val="BodyText"/>
        <w:shd w:val="clear" w:color="auto" w:fill="FFFFFF"/>
        <w:rPr>
          <w:b w:val="0"/>
          <w:szCs w:val="24"/>
        </w:rPr>
      </w:pPr>
      <w:r w:rsidRPr="00A83947">
        <w:rPr>
          <w:b w:val="0"/>
          <w:szCs w:val="24"/>
        </w:rPr>
        <w:t> </w:t>
      </w:r>
    </w:p>
    <w:p w14:paraId="5FC8DDF5" w14:textId="0A93619A" w:rsidR="00AE2A1A" w:rsidRPr="00A83947" w:rsidRDefault="00C3580C" w:rsidP="00AE2A1A">
      <w:pPr>
        <w:pStyle w:val="BodyText"/>
        <w:shd w:val="clear" w:color="auto" w:fill="FFFFFF"/>
        <w:rPr>
          <w:b w:val="0"/>
          <w:szCs w:val="24"/>
        </w:rPr>
      </w:pPr>
      <w:r w:rsidRPr="00A83947">
        <w:rPr>
          <w:b w:val="0"/>
          <w:szCs w:val="24"/>
        </w:rPr>
        <w:t>Section 6</w:t>
      </w:r>
      <w:r w:rsidR="00AE2A1A" w:rsidRPr="00A83947">
        <w:rPr>
          <w:b w:val="0"/>
          <w:szCs w:val="24"/>
        </w:rPr>
        <w:t xml:space="preserve"> provides that a clinically relevant service provided in accordance with the Determination shall be treated, for relevant provisions of the </w:t>
      </w:r>
      <w:r w:rsidR="00AE2A1A" w:rsidRPr="00A83947">
        <w:rPr>
          <w:b w:val="0"/>
          <w:i/>
          <w:iCs/>
          <w:szCs w:val="24"/>
        </w:rPr>
        <w:t>Health Insurance Act 1973</w:t>
      </w:r>
      <w:r w:rsidR="00AE2A1A" w:rsidRPr="00A83947">
        <w:rPr>
          <w:b w:val="0"/>
          <w:szCs w:val="24"/>
        </w:rPr>
        <w:t xml:space="preserve"> and </w:t>
      </w:r>
      <w:r w:rsidR="00AE2A1A" w:rsidRPr="00A83947">
        <w:rPr>
          <w:b w:val="0"/>
          <w:i/>
          <w:iCs/>
          <w:szCs w:val="24"/>
        </w:rPr>
        <w:t>National Health Act 1953</w:t>
      </w:r>
      <w:r w:rsidR="00AE2A1A" w:rsidRPr="00A83947">
        <w:rPr>
          <w:b w:val="0"/>
          <w:szCs w:val="24"/>
        </w:rPr>
        <w:t xml:space="preserve">, and regulations made under those Acts, as if it were both a professional service and a </w:t>
      </w:r>
      <w:r w:rsidRPr="00A83947">
        <w:rPr>
          <w:b w:val="0"/>
          <w:szCs w:val="24"/>
        </w:rPr>
        <w:t>medical</w:t>
      </w:r>
      <w:r w:rsidR="00AE2A1A" w:rsidRPr="00A83947">
        <w:rPr>
          <w:b w:val="0"/>
          <w:szCs w:val="24"/>
        </w:rPr>
        <w:t xml:space="preserve"> service and as if there were an item specified in the </w:t>
      </w:r>
      <w:r w:rsidRPr="00A83947">
        <w:rPr>
          <w:b w:val="0"/>
          <w:szCs w:val="24"/>
        </w:rPr>
        <w:t>general medical</w:t>
      </w:r>
      <w:r w:rsidR="00AE2A1A" w:rsidRPr="00A83947">
        <w:rPr>
          <w:b w:val="0"/>
          <w:szCs w:val="24"/>
        </w:rPr>
        <w:t xml:space="preserve"> services table for the service. </w:t>
      </w:r>
    </w:p>
    <w:p w14:paraId="79D9CF31" w14:textId="77777777" w:rsidR="00AE2A1A" w:rsidRPr="00A83947" w:rsidRDefault="00AE2A1A" w:rsidP="00C63FDC">
      <w:pPr>
        <w:pStyle w:val="Header"/>
        <w:tabs>
          <w:tab w:val="num" w:pos="1080"/>
        </w:tabs>
        <w:rPr>
          <w:szCs w:val="24"/>
          <w:u w:val="single"/>
        </w:rPr>
      </w:pPr>
    </w:p>
    <w:p w14:paraId="313F22ED" w14:textId="5C265636" w:rsidR="00AE2A1A" w:rsidRPr="00A83947" w:rsidRDefault="00E727A5" w:rsidP="00C63FDC">
      <w:pPr>
        <w:pStyle w:val="Header"/>
        <w:tabs>
          <w:tab w:val="num" w:pos="1080"/>
        </w:tabs>
        <w:rPr>
          <w:szCs w:val="24"/>
          <w:u w:val="single"/>
        </w:rPr>
      </w:pPr>
      <w:r w:rsidRPr="00A83947">
        <w:rPr>
          <w:szCs w:val="24"/>
          <w:u w:val="single"/>
        </w:rPr>
        <w:t>Section 7</w:t>
      </w:r>
      <w:r w:rsidR="00AE2A1A" w:rsidRPr="00A83947">
        <w:rPr>
          <w:szCs w:val="24"/>
          <w:u w:val="single"/>
        </w:rPr>
        <w:t xml:space="preserve"> – Application of </w:t>
      </w:r>
      <w:r w:rsidRPr="00A83947">
        <w:rPr>
          <w:szCs w:val="24"/>
          <w:u w:val="single"/>
        </w:rPr>
        <w:t>items in this instrument</w:t>
      </w:r>
    </w:p>
    <w:p w14:paraId="592AF61B" w14:textId="6EFBC1F3" w:rsidR="00AE2A1A" w:rsidRPr="00A83947" w:rsidRDefault="00AE2A1A" w:rsidP="00C63FDC">
      <w:pPr>
        <w:pStyle w:val="Header"/>
        <w:tabs>
          <w:tab w:val="num" w:pos="1080"/>
        </w:tabs>
        <w:rPr>
          <w:szCs w:val="24"/>
          <w:u w:val="single"/>
        </w:rPr>
      </w:pPr>
    </w:p>
    <w:p w14:paraId="71759377" w14:textId="77777777" w:rsidR="00FF6884" w:rsidRPr="00A83947" w:rsidRDefault="00E727A5" w:rsidP="00FF6884">
      <w:pPr>
        <w:ind w:right="-483"/>
        <w:rPr>
          <w:iCs/>
          <w:szCs w:val="24"/>
        </w:rPr>
      </w:pPr>
      <w:r w:rsidRPr="00A83947">
        <w:rPr>
          <w:iCs/>
          <w:szCs w:val="24"/>
        </w:rPr>
        <w:t xml:space="preserve">Subsection 7(1) applies a general condition of access for the items in this instrument (the ‘better access subsequent treatment services’ as defined in section 5). </w:t>
      </w:r>
    </w:p>
    <w:p w14:paraId="14CCAF9C" w14:textId="77777777" w:rsidR="00FF6884" w:rsidRPr="00A83947" w:rsidRDefault="00FF6884" w:rsidP="00FF6884">
      <w:pPr>
        <w:ind w:right="-483"/>
        <w:rPr>
          <w:iCs/>
          <w:szCs w:val="24"/>
        </w:rPr>
      </w:pPr>
    </w:p>
    <w:p w14:paraId="1111C455" w14:textId="691A8C8D" w:rsidR="00E727A5" w:rsidRPr="00A83947" w:rsidRDefault="00FF6884" w:rsidP="00FF6884">
      <w:pPr>
        <w:ind w:right="-483"/>
        <w:rPr>
          <w:iCs/>
          <w:szCs w:val="24"/>
        </w:rPr>
      </w:pPr>
      <w:r w:rsidRPr="00A83947">
        <w:rPr>
          <w:iCs/>
          <w:szCs w:val="24"/>
        </w:rPr>
        <w:t xml:space="preserve">Paragraph 7(1)(a) requires a </w:t>
      </w:r>
      <w:r w:rsidR="00E727A5" w:rsidRPr="00A83947">
        <w:rPr>
          <w:iCs/>
          <w:szCs w:val="24"/>
        </w:rPr>
        <w:t xml:space="preserve">person </w:t>
      </w:r>
      <w:r w:rsidRPr="00A83947">
        <w:rPr>
          <w:iCs/>
          <w:szCs w:val="24"/>
        </w:rPr>
        <w:t>to</w:t>
      </w:r>
      <w:r w:rsidR="00E727A5" w:rsidRPr="00A83947">
        <w:rPr>
          <w:iCs/>
          <w:szCs w:val="24"/>
        </w:rPr>
        <w:t xml:space="preserve"> have received </w:t>
      </w:r>
      <w:r w:rsidRPr="00A83947">
        <w:rPr>
          <w:iCs/>
          <w:szCs w:val="24"/>
        </w:rPr>
        <w:t xml:space="preserve">10 ‘better access initial treatment services’ as defined in section 5. This includes mental health treatment services </w:t>
      </w:r>
      <w:r w:rsidR="005046BE" w:rsidRPr="00A83947">
        <w:rPr>
          <w:iCs/>
          <w:szCs w:val="24"/>
        </w:rPr>
        <w:t xml:space="preserve">under Better Access that are limited to a maximum of 10 services, for any particular patient, in a calendar year. It does not </w:t>
      </w:r>
      <w:r w:rsidRPr="00A83947">
        <w:rPr>
          <w:iCs/>
          <w:szCs w:val="24"/>
        </w:rPr>
        <w:t>include the eating disorder mental health treatment services</w:t>
      </w:r>
      <w:r w:rsidR="005046BE" w:rsidRPr="00A83947">
        <w:rPr>
          <w:iCs/>
          <w:szCs w:val="24"/>
        </w:rPr>
        <w:t xml:space="preserve"> available under Medicare</w:t>
      </w:r>
      <w:r w:rsidRPr="00A83947">
        <w:rPr>
          <w:iCs/>
          <w:szCs w:val="24"/>
        </w:rPr>
        <w:t>.</w:t>
      </w:r>
    </w:p>
    <w:p w14:paraId="6973E322" w14:textId="23A12D38" w:rsidR="00FF6884" w:rsidRPr="00A83947" w:rsidRDefault="00FF6884" w:rsidP="00FF6884">
      <w:pPr>
        <w:ind w:right="-483"/>
        <w:rPr>
          <w:iCs/>
          <w:szCs w:val="24"/>
        </w:rPr>
      </w:pPr>
    </w:p>
    <w:p w14:paraId="64451037" w14:textId="05A5875F" w:rsidR="00FF6884" w:rsidRPr="00A83947" w:rsidRDefault="00FF6884" w:rsidP="00FF6884">
      <w:pPr>
        <w:ind w:right="-483"/>
        <w:rPr>
          <w:iCs/>
          <w:szCs w:val="24"/>
        </w:rPr>
      </w:pPr>
      <w:r w:rsidRPr="00A83947">
        <w:rPr>
          <w:iCs/>
          <w:szCs w:val="24"/>
        </w:rPr>
        <w:t xml:space="preserve">Paragraph 7(1)(b) requires the person to have been reviewed by a </w:t>
      </w:r>
      <w:r w:rsidR="00567697" w:rsidRPr="00A83947">
        <w:rPr>
          <w:iCs/>
          <w:szCs w:val="24"/>
        </w:rPr>
        <w:t xml:space="preserve">‘reviewing practitioner’ </w:t>
      </w:r>
      <w:r w:rsidRPr="00A83947">
        <w:rPr>
          <w:iCs/>
          <w:szCs w:val="24"/>
        </w:rPr>
        <w:t xml:space="preserve">to determine if continued mental health treatment under Better Access is appropriate. </w:t>
      </w:r>
      <w:r w:rsidR="00567697" w:rsidRPr="00A83947">
        <w:rPr>
          <w:iCs/>
          <w:szCs w:val="24"/>
        </w:rPr>
        <w:t xml:space="preserve">The reviewing practitioner is limited to the same types of doctor who can grant the patient access to the better access </w:t>
      </w:r>
      <w:r w:rsidR="00567697" w:rsidRPr="00A83947">
        <w:rPr>
          <w:iCs/>
          <w:szCs w:val="24"/>
        </w:rPr>
        <w:lastRenderedPageBreak/>
        <w:t>initial treatment services: a medical practitioner in general practice; a psychiatrist; or a paediatrician.</w:t>
      </w:r>
      <w:r w:rsidR="00567697" w:rsidRPr="00A83947">
        <w:rPr>
          <w:iCs/>
          <w:szCs w:val="24"/>
        </w:rPr>
        <w:br/>
      </w:r>
      <w:r w:rsidR="00567697" w:rsidRPr="00A83947">
        <w:rPr>
          <w:iCs/>
          <w:szCs w:val="24"/>
        </w:rPr>
        <w:br/>
      </w:r>
      <w:r w:rsidRPr="00A83947">
        <w:rPr>
          <w:iCs/>
          <w:szCs w:val="24"/>
        </w:rPr>
        <w:t>The review must be conducted after the 10</w:t>
      </w:r>
      <w:r w:rsidRPr="00A83947">
        <w:rPr>
          <w:iCs/>
          <w:szCs w:val="24"/>
          <w:vertAlign w:val="superscript"/>
        </w:rPr>
        <w:t>th</w:t>
      </w:r>
      <w:r w:rsidR="0065333F" w:rsidRPr="00A83947">
        <w:rPr>
          <w:iCs/>
          <w:szCs w:val="24"/>
        </w:rPr>
        <w:t xml:space="preserve"> B</w:t>
      </w:r>
      <w:r w:rsidRPr="00A83947">
        <w:rPr>
          <w:iCs/>
          <w:szCs w:val="24"/>
        </w:rPr>
        <w:t xml:space="preserve">etter </w:t>
      </w:r>
      <w:r w:rsidR="0065333F" w:rsidRPr="00A83947">
        <w:rPr>
          <w:iCs/>
          <w:szCs w:val="24"/>
        </w:rPr>
        <w:t>A</w:t>
      </w:r>
      <w:r w:rsidRPr="00A83947">
        <w:rPr>
          <w:iCs/>
          <w:szCs w:val="24"/>
        </w:rPr>
        <w:t>ccess initial treatment services performed in the calendar year.</w:t>
      </w:r>
      <w:r w:rsidR="000F582A" w:rsidRPr="00A83947">
        <w:rPr>
          <w:iCs/>
          <w:szCs w:val="24"/>
        </w:rPr>
        <w:t xml:space="preserve"> If the reviewing practitioner</w:t>
      </w:r>
      <w:r w:rsidR="00567697" w:rsidRPr="00A83947">
        <w:rPr>
          <w:iCs/>
          <w:szCs w:val="24"/>
        </w:rPr>
        <w:t xml:space="preserve"> considers the person is responding to mental health treatment under Better Access</w:t>
      </w:r>
      <w:r w:rsidR="000C4FBD" w:rsidRPr="00A83947">
        <w:rPr>
          <w:iCs/>
          <w:szCs w:val="24"/>
        </w:rPr>
        <w:t xml:space="preserve"> (or they may respond to additional mental </w:t>
      </w:r>
      <w:r w:rsidR="000111FA" w:rsidRPr="00A83947">
        <w:rPr>
          <w:iCs/>
          <w:szCs w:val="24"/>
        </w:rPr>
        <w:t>health</w:t>
      </w:r>
      <w:r w:rsidR="000C4FBD" w:rsidRPr="00A83947">
        <w:rPr>
          <w:iCs/>
          <w:szCs w:val="24"/>
        </w:rPr>
        <w:t xml:space="preserve"> treatment)</w:t>
      </w:r>
      <w:r w:rsidR="00567697" w:rsidRPr="00A83947">
        <w:rPr>
          <w:iCs/>
          <w:szCs w:val="24"/>
        </w:rPr>
        <w:t xml:space="preserve">, and determines that a higher intensity of treatment would be appropriate for the management of the patient’s mental health disorder, they must record </w:t>
      </w:r>
      <w:r w:rsidR="00B611D6" w:rsidRPr="00A83947">
        <w:rPr>
          <w:iCs/>
          <w:szCs w:val="24"/>
        </w:rPr>
        <w:t>their recommendation of access to</w:t>
      </w:r>
      <w:r w:rsidR="00567697" w:rsidRPr="00A83947">
        <w:rPr>
          <w:iCs/>
          <w:szCs w:val="24"/>
        </w:rPr>
        <w:t xml:space="preserve"> </w:t>
      </w:r>
      <w:r w:rsidR="00B611D6" w:rsidRPr="00A83947">
        <w:rPr>
          <w:iCs/>
          <w:szCs w:val="24"/>
        </w:rPr>
        <w:t>the temporary additional mental he</w:t>
      </w:r>
      <w:r w:rsidR="000F582A" w:rsidRPr="00A83947">
        <w:rPr>
          <w:iCs/>
          <w:szCs w:val="24"/>
        </w:rPr>
        <w:t>alth treatment available under Better A</w:t>
      </w:r>
      <w:r w:rsidR="00B611D6" w:rsidRPr="00A83947">
        <w:rPr>
          <w:iCs/>
          <w:szCs w:val="24"/>
        </w:rPr>
        <w:t xml:space="preserve">ccess. The reviewing practitioner must record the recommendation by modifying the patient’s plan (the GP mental health treatment plan, shared care plan or psychiatrist assessment and management plan), or where no such plan exists, by creating a separate written record. </w:t>
      </w:r>
    </w:p>
    <w:p w14:paraId="588FD811" w14:textId="724C2CAD" w:rsidR="0067180D" w:rsidRPr="00A83947" w:rsidRDefault="0067180D" w:rsidP="00FF6884">
      <w:pPr>
        <w:ind w:right="-483"/>
        <w:rPr>
          <w:iCs/>
          <w:szCs w:val="24"/>
        </w:rPr>
      </w:pPr>
    </w:p>
    <w:p w14:paraId="6F5AEBF9" w14:textId="051E6B76" w:rsidR="0067180D" w:rsidRPr="00A83947" w:rsidRDefault="0067180D" w:rsidP="00FF6884">
      <w:pPr>
        <w:ind w:right="-483"/>
        <w:rPr>
          <w:iCs/>
          <w:szCs w:val="24"/>
        </w:rPr>
      </w:pPr>
      <w:r w:rsidRPr="00A83947">
        <w:rPr>
          <w:iCs/>
          <w:szCs w:val="24"/>
        </w:rPr>
        <w:t xml:space="preserve">Subsection 7(2) applies a general limitation that, for any particular patient, no more than 10 better access subsequent treatment services can be performed. </w:t>
      </w:r>
    </w:p>
    <w:p w14:paraId="488053E4" w14:textId="77777777" w:rsidR="00FF6884" w:rsidRPr="00A83947" w:rsidRDefault="00FF6884" w:rsidP="00FF6884">
      <w:pPr>
        <w:ind w:right="-483"/>
        <w:rPr>
          <w:iCs/>
          <w:szCs w:val="24"/>
        </w:rPr>
      </w:pPr>
    </w:p>
    <w:p w14:paraId="10ECDBCA" w14:textId="5073DF89" w:rsidR="00532B56" w:rsidRPr="00A83947" w:rsidRDefault="00532B56" w:rsidP="00532B56">
      <w:pPr>
        <w:pStyle w:val="Header"/>
        <w:tabs>
          <w:tab w:val="num" w:pos="1080"/>
        </w:tabs>
        <w:rPr>
          <w:szCs w:val="24"/>
          <w:u w:val="single"/>
        </w:rPr>
      </w:pPr>
      <w:r w:rsidRPr="00A83947">
        <w:rPr>
          <w:szCs w:val="24"/>
          <w:u w:val="single"/>
        </w:rPr>
        <w:t>Section 8 – Application of items in Group A41</w:t>
      </w:r>
    </w:p>
    <w:p w14:paraId="12797FED" w14:textId="36A85F04" w:rsidR="00E727A5" w:rsidRPr="00A83947" w:rsidRDefault="00E727A5" w:rsidP="00E727A5">
      <w:pPr>
        <w:ind w:right="-483"/>
        <w:rPr>
          <w:iCs/>
          <w:szCs w:val="24"/>
        </w:rPr>
      </w:pPr>
    </w:p>
    <w:p w14:paraId="00E74A72" w14:textId="54DC6F51" w:rsidR="00607C38" w:rsidRPr="00A83947" w:rsidRDefault="00607C38" w:rsidP="00E727A5">
      <w:pPr>
        <w:ind w:right="-483"/>
        <w:rPr>
          <w:iCs/>
          <w:szCs w:val="24"/>
        </w:rPr>
      </w:pPr>
      <w:r w:rsidRPr="00A83947">
        <w:rPr>
          <w:iCs/>
          <w:szCs w:val="24"/>
        </w:rPr>
        <w:t xml:space="preserve">Section 8 applies condition specific to the focussed psychological strategy services performed by </w:t>
      </w:r>
      <w:r w:rsidRPr="00A83947">
        <w:rPr>
          <w:szCs w:val="24"/>
        </w:rPr>
        <w:t>general practitioners and other medical practitioners working in general practice (item in Group A41 of this instrument).</w:t>
      </w:r>
    </w:p>
    <w:p w14:paraId="0CC8F08A" w14:textId="77777777" w:rsidR="00607C38" w:rsidRPr="00A83947" w:rsidRDefault="00607C38" w:rsidP="00E727A5">
      <w:pPr>
        <w:ind w:right="-483"/>
        <w:rPr>
          <w:iCs/>
          <w:szCs w:val="24"/>
        </w:rPr>
      </w:pPr>
    </w:p>
    <w:p w14:paraId="4B24ACDD" w14:textId="2582DFE2" w:rsidR="00607C38" w:rsidRPr="00A83947" w:rsidRDefault="00607C38" w:rsidP="00E727A5">
      <w:pPr>
        <w:ind w:right="-483"/>
        <w:rPr>
          <w:iCs/>
          <w:szCs w:val="24"/>
        </w:rPr>
      </w:pPr>
      <w:r w:rsidRPr="00A83947">
        <w:rPr>
          <w:iCs/>
          <w:szCs w:val="24"/>
        </w:rPr>
        <w:t>Subsection 8(1) requires that a person must have a GP mental health treatment plan or a psychiatrist assessment and management plan to access any of items 93300 to 93311. This is consistent with the arrangements which apply to the initial Better Access general practice focussed psychological strategy treatment consulting room services (items 2721 and</w:t>
      </w:r>
      <w:r w:rsidRPr="00A83947">
        <w:t xml:space="preserve"> </w:t>
      </w:r>
      <w:r w:rsidRPr="00A83947">
        <w:rPr>
          <w:iCs/>
          <w:szCs w:val="24"/>
        </w:rPr>
        <w:t xml:space="preserve">2725 of the general medical services table, and items 283 and 286 of the </w:t>
      </w:r>
      <w:r w:rsidRPr="00A83947">
        <w:rPr>
          <w:i/>
          <w:iCs/>
          <w:szCs w:val="24"/>
        </w:rPr>
        <w:t>Health Insurance (Section 3C General Medical Services – Other Medical Practitioner) Determination 2018</w:t>
      </w:r>
      <w:r w:rsidRPr="00A83947">
        <w:rPr>
          <w:iCs/>
          <w:szCs w:val="24"/>
        </w:rPr>
        <w:t>.</w:t>
      </w:r>
    </w:p>
    <w:p w14:paraId="28D3B58C" w14:textId="2B6A097E" w:rsidR="00607C38" w:rsidRPr="00A83947" w:rsidRDefault="00607C38" w:rsidP="00E727A5">
      <w:pPr>
        <w:ind w:right="-483"/>
        <w:rPr>
          <w:iCs/>
          <w:szCs w:val="24"/>
        </w:rPr>
      </w:pPr>
    </w:p>
    <w:p w14:paraId="1DFAF527" w14:textId="6C4D69C1" w:rsidR="00607C38" w:rsidRPr="00A83947" w:rsidRDefault="00607C38" w:rsidP="00E727A5">
      <w:pPr>
        <w:ind w:right="-483"/>
        <w:rPr>
          <w:szCs w:val="24"/>
        </w:rPr>
      </w:pPr>
      <w:r w:rsidRPr="00A83947">
        <w:rPr>
          <w:iCs/>
          <w:szCs w:val="24"/>
        </w:rPr>
        <w:t xml:space="preserve">Subsection 8(2) requires that the </w:t>
      </w:r>
      <w:r w:rsidR="000138BC" w:rsidRPr="00A83947">
        <w:rPr>
          <w:szCs w:val="24"/>
        </w:rPr>
        <w:t>general practitioner or other medical practitioner</w:t>
      </w:r>
      <w:r w:rsidRPr="00A83947">
        <w:rPr>
          <w:szCs w:val="24"/>
        </w:rPr>
        <w:t xml:space="preserve"> working in general practice who renders the service must be registered with the Chief Executive Medicare and have appropriate mental health treatment training and skills requirements.</w:t>
      </w:r>
    </w:p>
    <w:p w14:paraId="0297A050" w14:textId="09FCA361" w:rsidR="00607C38" w:rsidRPr="00A83947" w:rsidRDefault="00607C38" w:rsidP="00E727A5">
      <w:pPr>
        <w:ind w:right="-483"/>
        <w:rPr>
          <w:szCs w:val="24"/>
        </w:rPr>
      </w:pPr>
    </w:p>
    <w:p w14:paraId="3C148001" w14:textId="5D2D610C" w:rsidR="00607C38" w:rsidRPr="00A83947" w:rsidRDefault="00607C38" w:rsidP="00E727A5">
      <w:pPr>
        <w:ind w:right="-483"/>
        <w:rPr>
          <w:iCs/>
          <w:szCs w:val="24"/>
        </w:rPr>
      </w:pPr>
      <w:r w:rsidRPr="00A83947">
        <w:rPr>
          <w:iCs/>
          <w:szCs w:val="24"/>
        </w:rPr>
        <w:t xml:space="preserve">Subsection 8(3) requires that a phone attendance item is not to be performed if the patient prefers an in person service (and it is safe and possible for the service to be performed) or the service can be performed by telehealth. </w:t>
      </w:r>
    </w:p>
    <w:p w14:paraId="30F0FDCD" w14:textId="5C2D698D" w:rsidR="000B3F2C" w:rsidRPr="00A83947" w:rsidRDefault="000B3F2C" w:rsidP="00E727A5">
      <w:pPr>
        <w:ind w:right="-483"/>
        <w:rPr>
          <w:iCs/>
          <w:szCs w:val="24"/>
        </w:rPr>
      </w:pPr>
    </w:p>
    <w:p w14:paraId="5537284E" w14:textId="3309F207" w:rsidR="000B3F2C" w:rsidRPr="00A83947" w:rsidRDefault="000B3F2C" w:rsidP="00E727A5">
      <w:pPr>
        <w:ind w:right="-483"/>
        <w:rPr>
          <w:iCs/>
          <w:szCs w:val="24"/>
        </w:rPr>
      </w:pPr>
      <w:r w:rsidRPr="00A83947">
        <w:rPr>
          <w:iCs/>
          <w:szCs w:val="24"/>
        </w:rPr>
        <w:t xml:space="preserve">Subsections 8(4) and (5) require that </w:t>
      </w:r>
      <w:r w:rsidR="000138BC" w:rsidRPr="00A83947">
        <w:rPr>
          <w:szCs w:val="24"/>
        </w:rPr>
        <w:t xml:space="preserve">general practitioners </w:t>
      </w:r>
      <w:r w:rsidRPr="00A83947">
        <w:rPr>
          <w:iCs/>
          <w:szCs w:val="24"/>
        </w:rPr>
        <w:t xml:space="preserve">and other medical practitioners working in general practice must only perform a telehealth or phone attendance service where they have an existing relationship with the patient, as defined by the </w:t>
      </w:r>
      <w:r w:rsidRPr="00A83947">
        <w:rPr>
          <w:i/>
          <w:iCs/>
          <w:szCs w:val="24"/>
        </w:rPr>
        <w:t>Health Insurance (Section 3C General Medical Services - COVID-19 Telehealth and Telephone Attendances) Determination 2020</w:t>
      </w:r>
      <w:r w:rsidRPr="00A83947">
        <w:rPr>
          <w:iCs/>
          <w:szCs w:val="24"/>
        </w:rPr>
        <w:t>. This requirement does not apply to a person who is under the age of 12 months, a person who is experiencing homelessness, a person who is in a COVID-19 impacted area, or a person who receives the service from a medical practitioner located at an Aboriginal Medical Service or an Aboriginal Community Controlled Health Service. This arrangement is consistent with the arrangements which apply to the initial Better Access general practice focussed psychological strategy treatment services performed by telehealth or phone.</w:t>
      </w:r>
    </w:p>
    <w:p w14:paraId="0394D52F" w14:textId="77777777" w:rsidR="00607C38" w:rsidRPr="00A83947" w:rsidRDefault="00607C38" w:rsidP="00E727A5">
      <w:pPr>
        <w:ind w:right="-483"/>
        <w:rPr>
          <w:iCs/>
          <w:szCs w:val="24"/>
        </w:rPr>
      </w:pPr>
    </w:p>
    <w:p w14:paraId="27746CA0" w14:textId="7600D2E9" w:rsidR="00532B56" w:rsidRPr="00A83947" w:rsidRDefault="00532B56" w:rsidP="00532B56">
      <w:pPr>
        <w:pStyle w:val="Header"/>
        <w:tabs>
          <w:tab w:val="num" w:pos="1080"/>
        </w:tabs>
        <w:rPr>
          <w:szCs w:val="24"/>
          <w:u w:val="single"/>
        </w:rPr>
      </w:pPr>
      <w:r w:rsidRPr="00A83947">
        <w:rPr>
          <w:szCs w:val="24"/>
          <w:u w:val="single"/>
        </w:rPr>
        <w:t>Section 9 – Effect of election to claim private health insurance for an allied health service</w:t>
      </w:r>
    </w:p>
    <w:p w14:paraId="0EB31B67" w14:textId="69F789F2" w:rsidR="00532B56" w:rsidRPr="00A83947" w:rsidRDefault="00532B56" w:rsidP="00E727A5">
      <w:pPr>
        <w:ind w:right="-483"/>
        <w:rPr>
          <w:iCs/>
          <w:szCs w:val="24"/>
        </w:rPr>
      </w:pPr>
    </w:p>
    <w:p w14:paraId="5873FEB3" w14:textId="23CA0C83" w:rsidR="00532B56" w:rsidRPr="00A83947" w:rsidRDefault="00532B56" w:rsidP="00E727A5">
      <w:pPr>
        <w:ind w:right="-483"/>
        <w:rPr>
          <w:iCs/>
          <w:szCs w:val="24"/>
        </w:rPr>
      </w:pPr>
      <w:r w:rsidRPr="00A83947">
        <w:rPr>
          <w:iCs/>
          <w:szCs w:val="24"/>
        </w:rPr>
        <w:lastRenderedPageBreak/>
        <w:t xml:space="preserve">Section 9 limits the allied health services in the instrument (items in Groups M25 and M26) from being claimed if a private health insurance benefit has been claimed for the service. </w:t>
      </w:r>
    </w:p>
    <w:p w14:paraId="194ED58F" w14:textId="636BEB24" w:rsidR="0067180D" w:rsidRPr="00A83947" w:rsidRDefault="0067180D" w:rsidP="00E727A5">
      <w:pPr>
        <w:ind w:right="-483"/>
        <w:rPr>
          <w:iCs/>
          <w:szCs w:val="24"/>
        </w:rPr>
      </w:pPr>
    </w:p>
    <w:p w14:paraId="3E289D05" w14:textId="2A3BC761" w:rsidR="0067180D" w:rsidRPr="00A83947" w:rsidRDefault="0067180D" w:rsidP="00E727A5">
      <w:pPr>
        <w:ind w:right="-483"/>
        <w:rPr>
          <w:iCs/>
          <w:szCs w:val="24"/>
          <w:u w:val="single"/>
        </w:rPr>
      </w:pPr>
      <w:r w:rsidRPr="00A83947">
        <w:rPr>
          <w:iCs/>
          <w:szCs w:val="24"/>
          <w:u w:val="single"/>
        </w:rPr>
        <w:t>Schedules</w:t>
      </w:r>
    </w:p>
    <w:p w14:paraId="525C9B0B" w14:textId="07A4BA16" w:rsidR="0067180D" w:rsidRPr="00A83947" w:rsidRDefault="0067180D" w:rsidP="00E727A5">
      <w:pPr>
        <w:ind w:right="-483"/>
        <w:rPr>
          <w:iCs/>
          <w:szCs w:val="24"/>
          <w:u w:val="single"/>
        </w:rPr>
      </w:pPr>
    </w:p>
    <w:p w14:paraId="55838614" w14:textId="761085D8" w:rsidR="0067180D" w:rsidRPr="00A83947" w:rsidRDefault="0067180D" w:rsidP="00E727A5">
      <w:pPr>
        <w:ind w:right="-483"/>
        <w:rPr>
          <w:iCs/>
          <w:szCs w:val="24"/>
        </w:rPr>
      </w:pPr>
      <w:r w:rsidRPr="00A83947">
        <w:rPr>
          <w:iCs/>
          <w:szCs w:val="24"/>
        </w:rPr>
        <w:t>Schedules 1 and 2 prescribe the temporary better access subsequent treatment services</w:t>
      </w:r>
      <w:r w:rsidR="009E7294" w:rsidRPr="00A83947">
        <w:rPr>
          <w:iCs/>
          <w:szCs w:val="24"/>
        </w:rPr>
        <w:t xml:space="preserve"> which can be rendered to a ‘person with a mental health disorder subject to COVID-19 public health orders’, as defined in section 5 of the instrument. </w:t>
      </w:r>
    </w:p>
    <w:p w14:paraId="73ACC139" w14:textId="5F759D63" w:rsidR="0067180D" w:rsidRPr="00A83947" w:rsidRDefault="0067180D" w:rsidP="00E727A5">
      <w:pPr>
        <w:ind w:right="-483"/>
        <w:rPr>
          <w:iCs/>
          <w:szCs w:val="24"/>
        </w:rPr>
      </w:pPr>
    </w:p>
    <w:p w14:paraId="3E8855C5" w14:textId="77777777" w:rsidR="0067180D" w:rsidRPr="00A83947" w:rsidRDefault="0067180D" w:rsidP="0067180D">
      <w:pPr>
        <w:ind w:right="-483"/>
        <w:rPr>
          <w:szCs w:val="24"/>
        </w:rPr>
      </w:pPr>
      <w:r w:rsidRPr="00A83947">
        <w:rPr>
          <w:iCs/>
          <w:szCs w:val="24"/>
        </w:rPr>
        <w:t xml:space="preserve">Schedule 1 lists the </w:t>
      </w:r>
      <w:r w:rsidRPr="00A83947">
        <w:rPr>
          <w:szCs w:val="24"/>
        </w:rPr>
        <w:t>services which can be performed in person at consulting rooms until 31 March 2021, including:</w:t>
      </w:r>
    </w:p>
    <w:p w14:paraId="3E23CDDC" w14:textId="397D6E78" w:rsidR="0067180D" w:rsidRPr="00A83947" w:rsidRDefault="0067180D" w:rsidP="0067180D">
      <w:pPr>
        <w:pStyle w:val="ListParagraph"/>
        <w:numPr>
          <w:ilvl w:val="0"/>
          <w:numId w:val="37"/>
        </w:numPr>
        <w:ind w:right="-483"/>
        <w:rPr>
          <w:iCs/>
          <w:szCs w:val="24"/>
        </w:rPr>
      </w:pPr>
      <w:r w:rsidRPr="00A83947">
        <w:rPr>
          <w:szCs w:val="24"/>
        </w:rPr>
        <w:t>Items in subgroup 1 of Group A41 which provide eligible patients access to focussed psychological strategy services by general practitioners;</w:t>
      </w:r>
    </w:p>
    <w:p w14:paraId="7030508B" w14:textId="5A75D226" w:rsidR="0067180D" w:rsidRPr="00A83947" w:rsidRDefault="0067180D" w:rsidP="00B83C27">
      <w:pPr>
        <w:pStyle w:val="ListParagraph"/>
        <w:numPr>
          <w:ilvl w:val="0"/>
          <w:numId w:val="37"/>
        </w:numPr>
        <w:ind w:right="-483"/>
        <w:rPr>
          <w:iCs/>
          <w:szCs w:val="24"/>
        </w:rPr>
      </w:pPr>
      <w:r w:rsidRPr="00A83947">
        <w:rPr>
          <w:szCs w:val="24"/>
        </w:rPr>
        <w:t>Items in subgroup 2 of Group A41 which provide eligible patients access to focussed psychological strategy services by other medical practitioners in general practice</w:t>
      </w:r>
      <w:r w:rsidR="00156AE2" w:rsidRPr="00A83947">
        <w:rPr>
          <w:szCs w:val="24"/>
        </w:rPr>
        <w:t>;</w:t>
      </w:r>
    </w:p>
    <w:p w14:paraId="590297D0" w14:textId="73EFEBB0" w:rsidR="00156AE2" w:rsidRPr="00A83947" w:rsidRDefault="00156AE2" w:rsidP="00156AE2">
      <w:pPr>
        <w:pStyle w:val="ListParagraph"/>
        <w:numPr>
          <w:ilvl w:val="0"/>
          <w:numId w:val="37"/>
        </w:numPr>
        <w:ind w:right="-483"/>
        <w:rPr>
          <w:iCs/>
          <w:szCs w:val="24"/>
        </w:rPr>
      </w:pPr>
      <w:r w:rsidRPr="00A83947">
        <w:rPr>
          <w:szCs w:val="24"/>
        </w:rPr>
        <w:t>Items in Group M25 which provide eligible patients access to psychological therapy health services by other eligible clinical psychologists; and</w:t>
      </w:r>
    </w:p>
    <w:p w14:paraId="3809D21E" w14:textId="52B1A781" w:rsidR="00156AE2" w:rsidRPr="00A83947" w:rsidRDefault="00156AE2" w:rsidP="005709AB">
      <w:pPr>
        <w:pStyle w:val="ListParagraph"/>
        <w:numPr>
          <w:ilvl w:val="0"/>
          <w:numId w:val="37"/>
        </w:numPr>
        <w:ind w:right="-483"/>
        <w:rPr>
          <w:iCs/>
          <w:szCs w:val="24"/>
        </w:rPr>
      </w:pPr>
      <w:r w:rsidRPr="00A83947">
        <w:rPr>
          <w:szCs w:val="24"/>
        </w:rPr>
        <w:t>Items in Group M26 which provide eligible patients access to focussed psychological strategy services performed by eligible psychologists (subgroup</w:t>
      </w:r>
      <w:r w:rsidR="000138BC" w:rsidRPr="00A83947">
        <w:rPr>
          <w:szCs w:val="24"/>
        </w:rPr>
        <w:t>s</w:t>
      </w:r>
      <w:r w:rsidRPr="00A83947">
        <w:rPr>
          <w:szCs w:val="24"/>
        </w:rPr>
        <w:t xml:space="preserve"> 1</w:t>
      </w:r>
      <w:r w:rsidR="000138BC" w:rsidRPr="00A83947">
        <w:rPr>
          <w:szCs w:val="24"/>
        </w:rPr>
        <w:t xml:space="preserve"> and 2</w:t>
      </w:r>
      <w:r w:rsidRPr="00A83947">
        <w:rPr>
          <w:szCs w:val="24"/>
        </w:rPr>
        <w:t>), eligible occ</w:t>
      </w:r>
      <w:r w:rsidR="000138BC" w:rsidRPr="00A83947">
        <w:rPr>
          <w:szCs w:val="24"/>
        </w:rPr>
        <w:t>upational therapists (subgroup 3</w:t>
      </w:r>
      <w:r w:rsidRPr="00A83947">
        <w:rPr>
          <w:szCs w:val="24"/>
        </w:rPr>
        <w:t>) and eli</w:t>
      </w:r>
      <w:r w:rsidR="000138BC" w:rsidRPr="00A83947">
        <w:rPr>
          <w:szCs w:val="24"/>
        </w:rPr>
        <w:t>gible social workers (subgroup 4</w:t>
      </w:r>
      <w:r w:rsidRPr="00A83947">
        <w:rPr>
          <w:szCs w:val="24"/>
        </w:rPr>
        <w:t xml:space="preserve">). </w:t>
      </w:r>
    </w:p>
    <w:p w14:paraId="3E558681" w14:textId="6CF30041" w:rsidR="0067180D" w:rsidRPr="00A83947" w:rsidRDefault="0067180D" w:rsidP="00156AE2">
      <w:pPr>
        <w:ind w:right="-483"/>
        <w:rPr>
          <w:iCs/>
          <w:szCs w:val="24"/>
        </w:rPr>
      </w:pPr>
    </w:p>
    <w:p w14:paraId="6780C435" w14:textId="146287D2" w:rsidR="00156AE2" w:rsidRPr="00A83947" w:rsidRDefault="00156AE2" w:rsidP="00156AE2">
      <w:pPr>
        <w:ind w:right="-483"/>
        <w:rPr>
          <w:szCs w:val="24"/>
        </w:rPr>
      </w:pPr>
      <w:r w:rsidRPr="00A83947">
        <w:rPr>
          <w:iCs/>
          <w:szCs w:val="24"/>
        </w:rPr>
        <w:t xml:space="preserve">Schedule 2 lists the </w:t>
      </w:r>
      <w:r w:rsidRPr="00A83947">
        <w:rPr>
          <w:szCs w:val="24"/>
        </w:rPr>
        <w:t>services which can be performed by telehealth or phone until 30 September 2020, including:</w:t>
      </w:r>
    </w:p>
    <w:p w14:paraId="51F4193E" w14:textId="77777777" w:rsidR="00156AE2" w:rsidRPr="00A83947" w:rsidRDefault="00156AE2" w:rsidP="00156AE2">
      <w:pPr>
        <w:pStyle w:val="ListParagraph"/>
        <w:numPr>
          <w:ilvl w:val="0"/>
          <w:numId w:val="37"/>
        </w:numPr>
        <w:ind w:right="-483"/>
        <w:rPr>
          <w:iCs/>
          <w:szCs w:val="24"/>
        </w:rPr>
      </w:pPr>
      <w:r w:rsidRPr="00A83947">
        <w:rPr>
          <w:szCs w:val="24"/>
        </w:rPr>
        <w:t>Items in subgroup 1 of Group A41 which provide eligible patients access to focussed psychological strategy services by general practitioners;</w:t>
      </w:r>
    </w:p>
    <w:p w14:paraId="1C794042" w14:textId="77777777" w:rsidR="00156AE2" w:rsidRPr="00A83947" w:rsidRDefault="00156AE2" w:rsidP="00156AE2">
      <w:pPr>
        <w:pStyle w:val="ListParagraph"/>
        <w:numPr>
          <w:ilvl w:val="0"/>
          <w:numId w:val="37"/>
        </w:numPr>
        <w:ind w:right="-483"/>
        <w:rPr>
          <w:iCs/>
          <w:szCs w:val="24"/>
        </w:rPr>
      </w:pPr>
      <w:r w:rsidRPr="00A83947">
        <w:rPr>
          <w:szCs w:val="24"/>
        </w:rPr>
        <w:t>Items in subgroup 2 of Group A41 which provide eligible patients access to focussed psychological strategy services by other medical practitioners in general practice;</w:t>
      </w:r>
    </w:p>
    <w:p w14:paraId="72A2EA8E" w14:textId="77777777" w:rsidR="00156AE2" w:rsidRPr="00A83947" w:rsidRDefault="00156AE2" w:rsidP="00156AE2">
      <w:pPr>
        <w:pStyle w:val="ListParagraph"/>
        <w:numPr>
          <w:ilvl w:val="0"/>
          <w:numId w:val="37"/>
        </w:numPr>
        <w:ind w:right="-483"/>
        <w:rPr>
          <w:iCs/>
          <w:szCs w:val="24"/>
        </w:rPr>
      </w:pPr>
      <w:r w:rsidRPr="00A83947">
        <w:rPr>
          <w:szCs w:val="24"/>
        </w:rPr>
        <w:t>Items in Group M25 which provide eligible patients access to psychological therapy health services by other eligible clinical psychologists; and</w:t>
      </w:r>
    </w:p>
    <w:p w14:paraId="6F0D4DD5" w14:textId="0733DF60" w:rsidR="00156AE2" w:rsidRPr="00A83947" w:rsidRDefault="00156AE2" w:rsidP="00156AE2">
      <w:pPr>
        <w:pStyle w:val="ListParagraph"/>
        <w:numPr>
          <w:ilvl w:val="0"/>
          <w:numId w:val="37"/>
        </w:numPr>
        <w:ind w:right="-483"/>
        <w:rPr>
          <w:iCs/>
          <w:szCs w:val="24"/>
        </w:rPr>
      </w:pPr>
      <w:r w:rsidRPr="00A83947">
        <w:rPr>
          <w:szCs w:val="24"/>
        </w:rPr>
        <w:t>Items in Group M26 which provide eligible patients access to focussed psychological strategy services performed by eligible psychologists (subgroup</w:t>
      </w:r>
      <w:r w:rsidR="000138BC" w:rsidRPr="00A83947">
        <w:rPr>
          <w:szCs w:val="24"/>
        </w:rPr>
        <w:t>s</w:t>
      </w:r>
      <w:r w:rsidRPr="00A83947">
        <w:rPr>
          <w:szCs w:val="24"/>
        </w:rPr>
        <w:t xml:space="preserve"> 1</w:t>
      </w:r>
      <w:r w:rsidR="000138BC" w:rsidRPr="00A83947">
        <w:rPr>
          <w:szCs w:val="24"/>
        </w:rPr>
        <w:t xml:space="preserve"> and 2</w:t>
      </w:r>
      <w:r w:rsidRPr="00A83947">
        <w:rPr>
          <w:szCs w:val="24"/>
        </w:rPr>
        <w:t>), eligible occ</w:t>
      </w:r>
      <w:r w:rsidR="000138BC" w:rsidRPr="00A83947">
        <w:rPr>
          <w:szCs w:val="24"/>
        </w:rPr>
        <w:t>upational therapists (subgroup 3</w:t>
      </w:r>
      <w:r w:rsidRPr="00A83947">
        <w:rPr>
          <w:szCs w:val="24"/>
        </w:rPr>
        <w:t>) and eli</w:t>
      </w:r>
      <w:r w:rsidR="000138BC" w:rsidRPr="00A83947">
        <w:rPr>
          <w:szCs w:val="24"/>
        </w:rPr>
        <w:t>gible social workers (subgroup 4</w:t>
      </w:r>
      <w:r w:rsidRPr="00A83947">
        <w:rPr>
          <w:szCs w:val="24"/>
        </w:rPr>
        <w:t xml:space="preserve">). </w:t>
      </w:r>
    </w:p>
    <w:p w14:paraId="415DB580" w14:textId="79E84415" w:rsidR="00156AE2" w:rsidRPr="00A83947" w:rsidRDefault="00156AE2" w:rsidP="00156AE2">
      <w:pPr>
        <w:ind w:right="-483"/>
        <w:rPr>
          <w:iCs/>
          <w:szCs w:val="24"/>
        </w:rPr>
      </w:pPr>
    </w:p>
    <w:p w14:paraId="5E88D94E" w14:textId="77777777" w:rsidR="00156AE2" w:rsidRPr="00A83947" w:rsidRDefault="00156AE2" w:rsidP="00156AE2">
      <w:pPr>
        <w:ind w:right="-483"/>
        <w:rPr>
          <w:iCs/>
          <w:szCs w:val="24"/>
        </w:rPr>
      </w:pPr>
    </w:p>
    <w:p w14:paraId="21DF9DDC" w14:textId="1767E1F1" w:rsidR="00331752" w:rsidRPr="00A83947" w:rsidRDefault="00331752">
      <w:pPr>
        <w:spacing w:after="200" w:line="276" w:lineRule="auto"/>
        <w:rPr>
          <w:szCs w:val="24"/>
          <w:u w:val="single"/>
        </w:rPr>
      </w:pPr>
      <w:r w:rsidRPr="00A83947">
        <w:rPr>
          <w:szCs w:val="24"/>
          <w:u w:val="single"/>
        </w:rPr>
        <w:br w:type="page"/>
      </w:r>
    </w:p>
    <w:p w14:paraId="2412D14E" w14:textId="632B4BE9" w:rsidR="00A17F2C" w:rsidRPr="00A83947" w:rsidRDefault="00A17F2C" w:rsidP="008D136F">
      <w:pPr>
        <w:pStyle w:val="Header"/>
        <w:tabs>
          <w:tab w:val="num" w:pos="1080"/>
        </w:tabs>
        <w:jc w:val="center"/>
        <w:rPr>
          <w:b/>
          <w:sz w:val="28"/>
          <w:szCs w:val="28"/>
        </w:rPr>
      </w:pPr>
      <w:r w:rsidRPr="00A83947">
        <w:rPr>
          <w:b/>
          <w:sz w:val="28"/>
          <w:szCs w:val="28"/>
        </w:rPr>
        <w:lastRenderedPageBreak/>
        <w:t>Statement of Compatibility with Human Rights</w:t>
      </w:r>
    </w:p>
    <w:p w14:paraId="2412D14F" w14:textId="77777777" w:rsidR="00A17F2C" w:rsidRPr="00A83947" w:rsidRDefault="00A17F2C" w:rsidP="000337CB">
      <w:pPr>
        <w:spacing w:before="120" w:after="120"/>
        <w:jc w:val="center"/>
        <w:rPr>
          <w:szCs w:val="24"/>
        </w:rPr>
      </w:pPr>
      <w:r w:rsidRPr="00A83947">
        <w:rPr>
          <w:i/>
          <w:szCs w:val="24"/>
        </w:rPr>
        <w:t>Prepared in accordance with Part 3 of the Human Rights (Parliamentary Scrutiny) Act 2011</w:t>
      </w:r>
    </w:p>
    <w:p w14:paraId="751DE726" w14:textId="77777777" w:rsidR="002A6C77" w:rsidRPr="00A83947" w:rsidRDefault="002A6C77" w:rsidP="000337CB">
      <w:pPr>
        <w:tabs>
          <w:tab w:val="left" w:pos="1418"/>
        </w:tabs>
        <w:ind w:left="851"/>
        <w:jc w:val="center"/>
        <w:rPr>
          <w:b/>
          <w:i/>
          <w:iCs/>
        </w:rPr>
      </w:pPr>
    </w:p>
    <w:p w14:paraId="2F92CFCE" w14:textId="77777777" w:rsidR="001270ED" w:rsidRPr="00A83947" w:rsidRDefault="001270ED" w:rsidP="001270ED">
      <w:pPr>
        <w:ind w:right="84"/>
        <w:jc w:val="center"/>
        <w:rPr>
          <w:szCs w:val="24"/>
        </w:rPr>
      </w:pPr>
      <w:r w:rsidRPr="00A83947">
        <w:rPr>
          <w:i/>
          <w:iCs/>
        </w:rPr>
        <w:t>Health Insurance (Section 3C General Medical – Expansion of GP and Allied Health Mental Health Services) Determination 2020</w:t>
      </w:r>
    </w:p>
    <w:p w14:paraId="1BF56C38" w14:textId="77777777" w:rsidR="007708B3" w:rsidRPr="00A83947" w:rsidRDefault="007708B3" w:rsidP="000337CB">
      <w:pPr>
        <w:tabs>
          <w:tab w:val="left" w:pos="1418"/>
        </w:tabs>
        <w:ind w:left="851"/>
        <w:jc w:val="center"/>
        <w:rPr>
          <w:b/>
          <w:i/>
          <w:szCs w:val="24"/>
        </w:rPr>
      </w:pPr>
    </w:p>
    <w:p w14:paraId="2412D153" w14:textId="7AFD921D" w:rsidR="00A17F2C" w:rsidRPr="00A83947" w:rsidRDefault="00A17F2C" w:rsidP="000337CB">
      <w:pPr>
        <w:jc w:val="center"/>
        <w:rPr>
          <w:szCs w:val="24"/>
        </w:rPr>
      </w:pPr>
      <w:r w:rsidRPr="00A83947">
        <w:rPr>
          <w:szCs w:val="24"/>
        </w:rPr>
        <w:t xml:space="preserve">This </w:t>
      </w:r>
      <w:r w:rsidR="0046022A" w:rsidRPr="00A83947">
        <w:rPr>
          <w:szCs w:val="24"/>
        </w:rPr>
        <w:t>instrument</w:t>
      </w:r>
      <w:r w:rsidRPr="00A83947">
        <w:rPr>
          <w:szCs w:val="24"/>
        </w:rPr>
        <w:t xml:space="preserve"> is compatible with the human rights and freedoms recognised or declared in the international instruments listed in section 3 of the </w:t>
      </w:r>
      <w:r w:rsidRPr="00A83947">
        <w:rPr>
          <w:i/>
          <w:szCs w:val="24"/>
        </w:rPr>
        <w:t>Human Rights (Parliamentary Scrutiny) Act 2011</w:t>
      </w:r>
      <w:r w:rsidRPr="00A83947">
        <w:rPr>
          <w:szCs w:val="24"/>
        </w:rPr>
        <w:t>.</w:t>
      </w:r>
    </w:p>
    <w:p w14:paraId="7EDA9098" w14:textId="306A78E1" w:rsidR="006E6BBF" w:rsidRPr="00A83947" w:rsidRDefault="006E6BBF" w:rsidP="008734F5">
      <w:pPr>
        <w:spacing w:before="120" w:after="120"/>
        <w:rPr>
          <w:b/>
          <w:szCs w:val="24"/>
        </w:rPr>
      </w:pPr>
      <w:r w:rsidRPr="00A83947">
        <w:rPr>
          <w:b/>
          <w:szCs w:val="24"/>
        </w:rPr>
        <w:t xml:space="preserve">Overview of the </w:t>
      </w:r>
      <w:r w:rsidR="00B86A9F" w:rsidRPr="00A83947">
        <w:rPr>
          <w:b/>
          <w:szCs w:val="24"/>
        </w:rPr>
        <w:t>Determination</w:t>
      </w:r>
    </w:p>
    <w:p w14:paraId="622BAEC4" w14:textId="3A4144A6" w:rsidR="001270ED" w:rsidRPr="00A83947" w:rsidRDefault="009E7294" w:rsidP="001270ED">
      <w:pPr>
        <w:spacing w:before="120" w:after="120"/>
        <w:ind w:right="-482"/>
        <w:rPr>
          <w:szCs w:val="24"/>
        </w:rPr>
      </w:pPr>
      <w:r w:rsidRPr="00A83947">
        <w:rPr>
          <w:szCs w:val="24"/>
        </w:rPr>
        <w:t xml:space="preserve">On 2 August 2020, the Minister for Health, the Hon Greg Hunt MP, announced the Australian Government will make available additional Medicare Benefits Schedule (MBS) subsidised mental health support </w:t>
      </w:r>
      <w:r w:rsidR="004B6953" w:rsidRPr="00A83947">
        <w:rPr>
          <w:szCs w:val="24"/>
        </w:rPr>
        <w:t xml:space="preserve">services </w:t>
      </w:r>
      <w:r w:rsidRPr="00A83947">
        <w:rPr>
          <w:szCs w:val="24"/>
        </w:rPr>
        <w:t>for people subject to further restrictions outlined in public health orders as part of the coronavirus (COVID-19) pandemic. These people will receive temporary access between 7 August 2020 and 31 March 2021 to a further 10 additional Medicare-subsidised psychological therapy sessions.</w:t>
      </w:r>
    </w:p>
    <w:p w14:paraId="65E73049" w14:textId="77777777" w:rsidR="001270ED" w:rsidRPr="00A83947" w:rsidRDefault="001270ED" w:rsidP="001270ED">
      <w:pPr>
        <w:spacing w:before="120" w:after="120"/>
        <w:ind w:right="-482"/>
        <w:rPr>
          <w:iCs/>
          <w:szCs w:val="24"/>
        </w:rPr>
      </w:pPr>
      <w:r w:rsidRPr="00A83947">
        <w:rPr>
          <w:szCs w:val="24"/>
        </w:rPr>
        <w:t>The</w:t>
      </w:r>
      <w:r w:rsidRPr="00A83947">
        <w:rPr>
          <w:i/>
          <w:iCs/>
          <w:szCs w:val="24"/>
        </w:rPr>
        <w:t xml:space="preserve"> Health Insurance (Section 3C General Medical – Expansion of GP and Allied Health Mental Health Services) Determination 2020 </w:t>
      </w:r>
      <w:r w:rsidRPr="00A83947">
        <w:rPr>
          <w:iCs/>
          <w:szCs w:val="24"/>
        </w:rPr>
        <w:t>(the Determination)</w:t>
      </w:r>
      <w:r w:rsidRPr="00A83947">
        <w:rPr>
          <w:i/>
          <w:iCs/>
          <w:szCs w:val="24"/>
        </w:rPr>
        <w:t xml:space="preserve"> </w:t>
      </w:r>
      <w:r w:rsidRPr="00A83947">
        <w:rPr>
          <w:iCs/>
          <w:szCs w:val="24"/>
        </w:rPr>
        <w:t>will list 36 new mental health treatment items provided by medical practitioners working in general practice, psychologists, psychiatrists, occupational therapists and social workers from 7 August 2020.</w:t>
      </w:r>
    </w:p>
    <w:p w14:paraId="7C1CE82D" w14:textId="77777777" w:rsidR="001270ED" w:rsidRPr="00A83947" w:rsidRDefault="001270ED" w:rsidP="001270ED">
      <w:pPr>
        <w:spacing w:before="120"/>
        <w:ind w:right="-482"/>
        <w:rPr>
          <w:iCs/>
          <w:szCs w:val="24"/>
        </w:rPr>
      </w:pPr>
      <w:r w:rsidRPr="00A83947">
        <w:rPr>
          <w:iCs/>
          <w:szCs w:val="24"/>
        </w:rPr>
        <w:t>The new items will be available to people who:</w:t>
      </w:r>
    </w:p>
    <w:p w14:paraId="7C0402F3" w14:textId="77777777" w:rsidR="001270ED" w:rsidRPr="00A83947" w:rsidRDefault="001270ED" w:rsidP="001270ED">
      <w:pPr>
        <w:pStyle w:val="ListParagraph"/>
        <w:numPr>
          <w:ilvl w:val="0"/>
          <w:numId w:val="34"/>
        </w:numPr>
        <w:ind w:right="-483"/>
        <w:rPr>
          <w:szCs w:val="24"/>
        </w:rPr>
      </w:pPr>
      <w:r w:rsidRPr="00A83947">
        <w:rPr>
          <w:szCs w:val="24"/>
        </w:rPr>
        <w:t>have been referred for mental health treatment services under the ‘Better Access to Psychiatrists, Psychologists and General Practitioners through the Medicare Benefits Schedule’ (otherwise known as the ‘Better Access’ initiative); and</w:t>
      </w:r>
    </w:p>
    <w:p w14:paraId="40F2272D" w14:textId="77777777" w:rsidR="001270ED" w:rsidRPr="00A83947" w:rsidRDefault="001270ED" w:rsidP="001270ED">
      <w:pPr>
        <w:pStyle w:val="ListParagraph"/>
        <w:numPr>
          <w:ilvl w:val="0"/>
          <w:numId w:val="34"/>
        </w:numPr>
        <w:ind w:right="-483"/>
        <w:rPr>
          <w:szCs w:val="24"/>
        </w:rPr>
      </w:pPr>
      <w:r w:rsidRPr="00A83947">
        <w:rPr>
          <w:szCs w:val="24"/>
        </w:rPr>
        <w:t>have accessed the limit of 10 Better Access treatment services within a calendar year; and</w:t>
      </w:r>
    </w:p>
    <w:p w14:paraId="24D5CFC7" w14:textId="2F211729" w:rsidR="001270ED" w:rsidRPr="00A83947" w:rsidRDefault="001270ED" w:rsidP="003F3563">
      <w:pPr>
        <w:pStyle w:val="ListParagraph"/>
        <w:numPr>
          <w:ilvl w:val="0"/>
          <w:numId w:val="34"/>
        </w:numPr>
        <w:ind w:right="-483"/>
        <w:rPr>
          <w:szCs w:val="24"/>
        </w:rPr>
      </w:pPr>
      <w:r w:rsidRPr="00A83947">
        <w:rPr>
          <w:szCs w:val="24"/>
        </w:rPr>
        <w:t xml:space="preserve">have had the effectiveness of their mental health treatment reviewed </w:t>
      </w:r>
      <w:r w:rsidR="003F3563" w:rsidRPr="00A83947">
        <w:rPr>
          <w:szCs w:val="24"/>
        </w:rPr>
        <w:t xml:space="preserve">following delivery of the initial 10 Better Access treatment services in a calendar year </w:t>
      </w:r>
      <w:r w:rsidRPr="00A83947">
        <w:rPr>
          <w:szCs w:val="24"/>
        </w:rPr>
        <w:t xml:space="preserve">by a medical practitioner working in general practice, a psychiatrist or a paediatrician, and the reviewing medical practitioner considers the treatment has been effective </w:t>
      </w:r>
      <w:r w:rsidR="000C4FBD" w:rsidRPr="00A83947">
        <w:rPr>
          <w:szCs w:val="24"/>
        </w:rPr>
        <w:t xml:space="preserve">(or treatment has not been effective, but additional treatment may be effective) and </w:t>
      </w:r>
      <w:r w:rsidRPr="00A83947">
        <w:rPr>
          <w:szCs w:val="24"/>
        </w:rPr>
        <w:t>it is clinically appropriate for the person to access additional mental health treatment services; and</w:t>
      </w:r>
    </w:p>
    <w:p w14:paraId="3990C462" w14:textId="2D62D243" w:rsidR="001270ED" w:rsidRPr="00A83947" w:rsidRDefault="003F3563" w:rsidP="003F3563">
      <w:pPr>
        <w:pStyle w:val="ListParagraph"/>
        <w:numPr>
          <w:ilvl w:val="0"/>
          <w:numId w:val="34"/>
        </w:numPr>
        <w:spacing w:after="120"/>
        <w:ind w:right="-482"/>
        <w:contextualSpacing w:val="0"/>
        <w:rPr>
          <w:szCs w:val="24"/>
        </w:rPr>
      </w:pPr>
      <w:r w:rsidRPr="00A83947">
        <w:rPr>
          <w:szCs w:val="24"/>
        </w:rPr>
        <w:t xml:space="preserve">meet the conditions of a ‘person with a mental health disorder subject to COVID-19 public health orders’ </w:t>
      </w:r>
      <w:r w:rsidR="001270ED" w:rsidRPr="00A83947">
        <w:rPr>
          <w:szCs w:val="24"/>
        </w:rPr>
        <w:t xml:space="preserve">in the instrument. </w:t>
      </w:r>
    </w:p>
    <w:p w14:paraId="597C2D9A" w14:textId="5C7A5947" w:rsidR="001270ED" w:rsidRPr="00A83947" w:rsidRDefault="001270ED" w:rsidP="001270ED">
      <w:pPr>
        <w:spacing w:before="120" w:after="120"/>
        <w:ind w:right="-482"/>
        <w:rPr>
          <w:szCs w:val="24"/>
        </w:rPr>
      </w:pPr>
      <w:r w:rsidRPr="00A83947">
        <w:rPr>
          <w:szCs w:val="24"/>
        </w:rPr>
        <w:t>People who meet those conditions will be eligible for up to 10 additional mental health treatment services which can be accessed through services in person at consulting rooms until 31 March 2021. Alternatively, they can be accessed via telehealth or phone until 30 September 2020, consistent with Government policy to provide temporary access to remote service options during the COVID-19 pandemic.</w:t>
      </w:r>
    </w:p>
    <w:p w14:paraId="2412D15C" w14:textId="50D38E8B" w:rsidR="00A17F2C" w:rsidRPr="00A83947" w:rsidRDefault="00A17F2C" w:rsidP="002A6C77">
      <w:pPr>
        <w:ind w:right="-482"/>
        <w:rPr>
          <w:b/>
          <w:szCs w:val="24"/>
        </w:rPr>
      </w:pPr>
      <w:r w:rsidRPr="00A83947">
        <w:rPr>
          <w:b/>
          <w:szCs w:val="24"/>
        </w:rPr>
        <w:t>Human rights implications</w:t>
      </w:r>
    </w:p>
    <w:p w14:paraId="449665F0" w14:textId="2ED3F54B" w:rsidR="00806020" w:rsidRPr="00A83947" w:rsidRDefault="00806020" w:rsidP="00806020">
      <w:pPr>
        <w:spacing w:before="120" w:after="120"/>
        <w:rPr>
          <w:szCs w:val="24"/>
        </w:rPr>
      </w:pPr>
      <w:r w:rsidRPr="00A83947">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A83947" w:rsidRDefault="00A17F2C" w:rsidP="00806020">
      <w:pPr>
        <w:spacing w:before="120" w:after="120"/>
        <w:rPr>
          <w:i/>
          <w:szCs w:val="24"/>
        </w:rPr>
      </w:pPr>
      <w:r w:rsidRPr="00A83947">
        <w:rPr>
          <w:i/>
          <w:szCs w:val="24"/>
        </w:rPr>
        <w:t>The Right to Health</w:t>
      </w:r>
    </w:p>
    <w:p w14:paraId="2412D15F" w14:textId="77777777" w:rsidR="00A17F2C" w:rsidRPr="00A83947" w:rsidRDefault="00A17F2C" w:rsidP="000337CB">
      <w:pPr>
        <w:spacing w:before="120" w:after="120"/>
        <w:rPr>
          <w:szCs w:val="24"/>
        </w:rPr>
      </w:pPr>
      <w:r w:rsidRPr="00A8394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Pr="00A83947">
        <w:rPr>
          <w:szCs w:val="24"/>
        </w:rPr>
        <w:lastRenderedPageBreak/>
        <w:t xml:space="preserve">healthy, but is a right to a system of health protection which provides equality of opportunity for people to enjoy the highest attainable level of health. </w:t>
      </w:r>
    </w:p>
    <w:p w14:paraId="2412D160" w14:textId="77777777" w:rsidR="00A17F2C" w:rsidRPr="00A83947" w:rsidRDefault="00A17F2C" w:rsidP="000337CB">
      <w:pPr>
        <w:spacing w:before="120" w:after="120"/>
        <w:rPr>
          <w:szCs w:val="24"/>
        </w:rPr>
      </w:pPr>
      <w:r w:rsidRPr="00A83947">
        <w:rPr>
          <w:szCs w:val="24"/>
        </w:rPr>
        <w:t xml:space="preserve">The Committee reports that the </w:t>
      </w:r>
      <w:r w:rsidRPr="00A83947">
        <w:rPr>
          <w:i/>
          <w:szCs w:val="24"/>
        </w:rPr>
        <w:t>‘highest attainable standard of health’</w:t>
      </w:r>
      <w:r w:rsidRPr="00A83947">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A83947" w:rsidRDefault="00A17F2C" w:rsidP="000337CB">
      <w:pPr>
        <w:spacing w:before="120" w:after="120"/>
        <w:rPr>
          <w:i/>
          <w:szCs w:val="24"/>
        </w:rPr>
      </w:pPr>
      <w:r w:rsidRPr="00A83947">
        <w:rPr>
          <w:i/>
          <w:szCs w:val="24"/>
        </w:rPr>
        <w:t xml:space="preserve">The Right to Social Security </w:t>
      </w:r>
    </w:p>
    <w:p w14:paraId="2412D162" w14:textId="77777777" w:rsidR="00A17F2C" w:rsidRPr="00A83947" w:rsidRDefault="00A17F2C" w:rsidP="000337CB">
      <w:pPr>
        <w:spacing w:before="120" w:after="120"/>
        <w:rPr>
          <w:szCs w:val="24"/>
        </w:rPr>
      </w:pPr>
      <w:r w:rsidRPr="00A83947">
        <w:rPr>
          <w:szCs w:val="24"/>
        </w:rPr>
        <w:t>The right to social security is contained in Article 9 of the ICESCR. It requires that a country must, within its maximum available resources, ensure access to a social security scheme that</w:t>
      </w:r>
      <w:r w:rsidR="00BA69CB" w:rsidRPr="00A83947">
        <w:rPr>
          <w:szCs w:val="24"/>
        </w:rPr>
        <w:t xml:space="preserve"> </w:t>
      </w:r>
      <w:r w:rsidRPr="00A83947">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A83947" w:rsidRDefault="00A17F2C" w:rsidP="000337CB">
      <w:pPr>
        <w:spacing w:before="120" w:after="120"/>
        <w:rPr>
          <w:szCs w:val="24"/>
        </w:rPr>
      </w:pPr>
      <w:r w:rsidRPr="00A83947">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A83947" w:rsidRDefault="00A17F2C" w:rsidP="000337CB">
      <w:pPr>
        <w:spacing w:before="120" w:after="120"/>
        <w:rPr>
          <w:szCs w:val="24"/>
          <w:u w:val="single"/>
        </w:rPr>
      </w:pPr>
      <w:r w:rsidRPr="00A83947">
        <w:rPr>
          <w:szCs w:val="24"/>
          <w:u w:val="single"/>
        </w:rPr>
        <w:t xml:space="preserve">Analysis </w:t>
      </w:r>
    </w:p>
    <w:p w14:paraId="5CED5F70" w14:textId="0AD862DE" w:rsidR="0079191B" w:rsidRPr="00A83947" w:rsidRDefault="00A353A5" w:rsidP="00302F5C">
      <w:pPr>
        <w:rPr>
          <w:szCs w:val="24"/>
        </w:rPr>
      </w:pPr>
      <w:r w:rsidRPr="00A83947">
        <w:rPr>
          <w:szCs w:val="24"/>
        </w:rPr>
        <w:t xml:space="preserve">This instrument advances the right to health and the right to social security by ensuring people </w:t>
      </w:r>
      <w:r w:rsidR="000138BC" w:rsidRPr="00A83947">
        <w:rPr>
          <w:szCs w:val="24"/>
        </w:rPr>
        <w:t xml:space="preserve">who are affected by further restrictions outlined in public health orders as part of the COVID-19 pandemic </w:t>
      </w:r>
      <w:r w:rsidRPr="00A83947">
        <w:rPr>
          <w:szCs w:val="24"/>
        </w:rPr>
        <w:t xml:space="preserve">can access </w:t>
      </w:r>
      <w:r w:rsidR="000138BC" w:rsidRPr="00A83947">
        <w:rPr>
          <w:szCs w:val="24"/>
        </w:rPr>
        <w:t xml:space="preserve">additional </w:t>
      </w:r>
      <w:r w:rsidRPr="00A83947">
        <w:rPr>
          <w:szCs w:val="24"/>
        </w:rPr>
        <w:t xml:space="preserve">publicly subsidised </w:t>
      </w:r>
      <w:r w:rsidR="000138BC" w:rsidRPr="00A83947">
        <w:rPr>
          <w:szCs w:val="24"/>
        </w:rPr>
        <w:t xml:space="preserve">mental </w:t>
      </w:r>
      <w:r w:rsidRPr="00A83947">
        <w:rPr>
          <w:szCs w:val="24"/>
        </w:rPr>
        <w:t>health services</w:t>
      </w:r>
      <w:r w:rsidR="000138BC" w:rsidRPr="00A83947">
        <w:rPr>
          <w:szCs w:val="24"/>
        </w:rPr>
        <w:t xml:space="preserve"> on a temporary basis.</w:t>
      </w:r>
      <w:r w:rsidRPr="00A83947">
        <w:rPr>
          <w:szCs w:val="24"/>
        </w:rPr>
        <w:t xml:space="preserve"> </w:t>
      </w:r>
    </w:p>
    <w:p w14:paraId="2412D166" w14:textId="1973400E" w:rsidR="00A17F2C" w:rsidRPr="00A83947" w:rsidRDefault="00A17F2C" w:rsidP="004B7CB9">
      <w:pPr>
        <w:spacing w:before="120" w:after="120" w:line="276" w:lineRule="auto"/>
        <w:rPr>
          <w:rFonts w:eastAsia="Calibri"/>
          <w:b/>
          <w:szCs w:val="24"/>
          <w:lang w:eastAsia="en-US"/>
        </w:rPr>
      </w:pPr>
      <w:r w:rsidRPr="00A83947">
        <w:rPr>
          <w:rFonts w:eastAsia="Calibri"/>
          <w:b/>
          <w:szCs w:val="24"/>
          <w:lang w:eastAsia="en-US"/>
        </w:rPr>
        <w:t xml:space="preserve">Conclusion </w:t>
      </w:r>
    </w:p>
    <w:p w14:paraId="2412D167" w14:textId="1750AD8F" w:rsidR="00A17F2C" w:rsidRPr="00A83947" w:rsidRDefault="006E6BBF" w:rsidP="000337CB">
      <w:pPr>
        <w:rPr>
          <w:color w:val="FF0000"/>
          <w:szCs w:val="24"/>
        </w:rPr>
      </w:pPr>
      <w:r w:rsidRPr="00A83947">
        <w:rPr>
          <w:szCs w:val="24"/>
        </w:rPr>
        <w:t xml:space="preserve">This </w:t>
      </w:r>
      <w:r w:rsidR="0046022A" w:rsidRPr="00A83947">
        <w:rPr>
          <w:szCs w:val="24"/>
        </w:rPr>
        <w:t>instrument</w:t>
      </w:r>
      <w:r w:rsidRPr="00A83947">
        <w:rPr>
          <w:szCs w:val="24"/>
        </w:rPr>
        <w:t xml:space="preserve"> </w:t>
      </w:r>
      <w:r w:rsidR="00F15284" w:rsidRPr="00A83947">
        <w:rPr>
          <w:szCs w:val="24"/>
        </w:rPr>
        <w:t xml:space="preserve">is compatible with human rights as it </w:t>
      </w:r>
      <w:r w:rsidR="00A353A5" w:rsidRPr="00A83947">
        <w:rPr>
          <w:szCs w:val="24"/>
        </w:rPr>
        <w:t>advances</w:t>
      </w:r>
      <w:r w:rsidR="007C7403" w:rsidRPr="00A83947">
        <w:rPr>
          <w:szCs w:val="24"/>
        </w:rPr>
        <w:t xml:space="preserve"> the </w:t>
      </w:r>
      <w:r w:rsidR="00910EF6" w:rsidRPr="00A83947">
        <w:rPr>
          <w:szCs w:val="24"/>
        </w:rPr>
        <w:t xml:space="preserve">right to health and the right to social security. </w:t>
      </w:r>
    </w:p>
    <w:p w14:paraId="2412D168" w14:textId="77777777" w:rsidR="00F15284" w:rsidRPr="00A83947" w:rsidRDefault="00F15284" w:rsidP="000337CB">
      <w:pPr>
        <w:rPr>
          <w:rFonts w:eastAsia="Calibri"/>
          <w:szCs w:val="24"/>
          <w:lang w:eastAsia="en-US"/>
        </w:rPr>
      </w:pPr>
    </w:p>
    <w:p w14:paraId="75A46380" w14:textId="77777777" w:rsidR="00C67BC7" w:rsidRPr="00A83947" w:rsidRDefault="00C67BC7" w:rsidP="000F2948">
      <w:pPr>
        <w:jc w:val="center"/>
        <w:rPr>
          <w:b/>
          <w:bCs/>
        </w:rPr>
      </w:pPr>
    </w:p>
    <w:p w14:paraId="1A4FB0F3" w14:textId="78ED178C" w:rsidR="001B6095" w:rsidRPr="00A83947" w:rsidRDefault="00020E91" w:rsidP="001B6095">
      <w:pPr>
        <w:shd w:val="clear" w:color="auto" w:fill="FFFFFF"/>
        <w:spacing w:line="240" w:lineRule="atLeast"/>
        <w:ind w:right="-23"/>
        <w:jc w:val="center"/>
        <w:rPr>
          <w:b/>
          <w:szCs w:val="22"/>
        </w:rPr>
      </w:pPr>
      <w:r w:rsidRPr="00A83947">
        <w:rPr>
          <w:b/>
          <w:szCs w:val="22"/>
        </w:rPr>
        <w:t>Paul McBride</w:t>
      </w:r>
    </w:p>
    <w:p w14:paraId="7E442A4C" w14:textId="220FB6CF" w:rsidR="001B6095" w:rsidRPr="00A83947" w:rsidRDefault="00020E91" w:rsidP="001B6095">
      <w:pPr>
        <w:shd w:val="clear" w:color="auto" w:fill="FFFFFF"/>
        <w:spacing w:line="240" w:lineRule="atLeast"/>
        <w:ind w:right="-23"/>
        <w:jc w:val="center"/>
        <w:rPr>
          <w:b/>
          <w:szCs w:val="22"/>
        </w:rPr>
      </w:pPr>
      <w:r w:rsidRPr="00A83947">
        <w:rPr>
          <w:b/>
          <w:szCs w:val="22"/>
        </w:rPr>
        <w:t>First Assistant Secretary</w:t>
      </w:r>
    </w:p>
    <w:p w14:paraId="04E6FE83" w14:textId="77777777" w:rsidR="00020E91" w:rsidRPr="00A83947" w:rsidRDefault="00020E91" w:rsidP="001B6095">
      <w:pPr>
        <w:shd w:val="clear" w:color="auto" w:fill="FFFFFF"/>
        <w:spacing w:line="240" w:lineRule="atLeast"/>
        <w:ind w:right="-23"/>
        <w:jc w:val="center"/>
        <w:rPr>
          <w:b/>
          <w:szCs w:val="22"/>
        </w:rPr>
      </w:pPr>
      <w:r w:rsidRPr="00A83947">
        <w:rPr>
          <w:b/>
          <w:szCs w:val="22"/>
        </w:rPr>
        <w:t xml:space="preserve">Medical Benefits Division </w:t>
      </w:r>
    </w:p>
    <w:p w14:paraId="5E356ED3" w14:textId="116DCAA7" w:rsidR="001B6095" w:rsidRPr="00A83947" w:rsidRDefault="00020E91" w:rsidP="001B6095">
      <w:pPr>
        <w:shd w:val="clear" w:color="auto" w:fill="FFFFFF"/>
        <w:spacing w:line="240" w:lineRule="atLeast"/>
        <w:ind w:right="-23"/>
        <w:jc w:val="center"/>
        <w:rPr>
          <w:b/>
          <w:szCs w:val="22"/>
        </w:rPr>
      </w:pPr>
      <w:r w:rsidRPr="00A83947">
        <w:rPr>
          <w:b/>
          <w:szCs w:val="22"/>
        </w:rPr>
        <w:t>Health Financing Group</w:t>
      </w:r>
    </w:p>
    <w:p w14:paraId="2412D16E" w14:textId="1D75709D" w:rsidR="00636C51" w:rsidRPr="00020E91" w:rsidRDefault="000F2948" w:rsidP="001B6095">
      <w:pPr>
        <w:jc w:val="center"/>
        <w:rPr>
          <w:rFonts w:eastAsia="Calibri"/>
          <w:b/>
          <w:szCs w:val="24"/>
          <w:lang w:eastAsia="en-US"/>
        </w:rPr>
      </w:pPr>
      <w:r w:rsidRPr="00A83947">
        <w:rPr>
          <w:b/>
          <w:bCs/>
        </w:rPr>
        <w:t>Department of Health</w:t>
      </w:r>
      <w:bookmarkStart w:id="0" w:name="_GoBack"/>
      <w:bookmarkEnd w:id="0"/>
    </w:p>
    <w:sectPr w:rsidR="00636C51" w:rsidRPr="00020E91"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225A5DF4" w:rsidR="00A1739A" w:rsidRDefault="00A1739A" w:rsidP="00BD6F5F">
    <w:pPr>
      <w:pStyle w:val="Header"/>
      <w:jc w:val="center"/>
    </w:pPr>
    <w:r>
      <w:fldChar w:fldCharType="begin"/>
    </w:r>
    <w:r>
      <w:instrText xml:space="preserve"> PAGE  \* Arabic  \* MERGEFORMAT </w:instrText>
    </w:r>
    <w:r>
      <w:fldChar w:fldCharType="separate"/>
    </w:r>
    <w:r w:rsidR="00A83947">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A1684F7" w:rsidR="00E23B6B" w:rsidRDefault="00E23B6B">
        <w:pPr>
          <w:pStyle w:val="Header"/>
          <w:jc w:val="center"/>
        </w:pPr>
        <w:r>
          <w:fldChar w:fldCharType="begin"/>
        </w:r>
        <w:r>
          <w:instrText xml:space="preserve"> PAGE   \* MERGEFORMAT </w:instrText>
        </w:r>
        <w:r>
          <w:fldChar w:fldCharType="separate"/>
        </w:r>
        <w:r w:rsidR="00A83947">
          <w:rPr>
            <w:noProof/>
          </w:rPr>
          <w:t>7</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4772D114" w:rsidR="00E23B6B" w:rsidRDefault="00E23B6B">
        <w:pPr>
          <w:pStyle w:val="Header"/>
          <w:jc w:val="center"/>
        </w:pPr>
        <w:r>
          <w:fldChar w:fldCharType="begin"/>
        </w:r>
        <w:r>
          <w:instrText xml:space="preserve"> PAGE   \* MERGEFORMAT </w:instrText>
        </w:r>
        <w:r>
          <w:fldChar w:fldCharType="separate"/>
        </w:r>
        <w:r w:rsidR="00A83947">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FB77B9"/>
    <w:multiLevelType w:val="hybridMultilevel"/>
    <w:tmpl w:val="95C2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32603B"/>
    <w:multiLevelType w:val="hybridMultilevel"/>
    <w:tmpl w:val="E72C1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7C3F98"/>
    <w:multiLevelType w:val="hybridMultilevel"/>
    <w:tmpl w:val="EC74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A2224"/>
    <w:multiLevelType w:val="hybridMultilevel"/>
    <w:tmpl w:val="1198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871C73"/>
    <w:multiLevelType w:val="hybridMultilevel"/>
    <w:tmpl w:val="3DD6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3"/>
  </w:num>
  <w:num w:numId="4">
    <w:abstractNumId w:val="13"/>
  </w:num>
  <w:num w:numId="5">
    <w:abstractNumId w:val="20"/>
  </w:num>
  <w:num w:numId="6">
    <w:abstractNumId w:val="10"/>
  </w:num>
  <w:num w:numId="7">
    <w:abstractNumId w:val="31"/>
  </w:num>
  <w:num w:numId="8">
    <w:abstractNumId w:val="7"/>
  </w:num>
  <w:num w:numId="9">
    <w:abstractNumId w:val="6"/>
  </w:num>
  <w:num w:numId="10">
    <w:abstractNumId w:val="34"/>
  </w:num>
  <w:num w:numId="11">
    <w:abstractNumId w:val="30"/>
  </w:num>
  <w:num w:numId="12">
    <w:abstractNumId w:val="15"/>
  </w:num>
  <w:num w:numId="13">
    <w:abstractNumId w:val="17"/>
  </w:num>
  <w:num w:numId="14">
    <w:abstractNumId w:val="28"/>
  </w:num>
  <w:num w:numId="15">
    <w:abstractNumId w:val="8"/>
  </w:num>
  <w:num w:numId="16">
    <w:abstractNumId w:val="22"/>
  </w:num>
  <w:num w:numId="17">
    <w:abstractNumId w:val="25"/>
  </w:num>
  <w:num w:numId="18">
    <w:abstractNumId w:val="23"/>
  </w:num>
  <w:num w:numId="19">
    <w:abstractNumId w:val="4"/>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9"/>
  </w:num>
  <w:num w:numId="26">
    <w:abstractNumId w:val="5"/>
  </w:num>
  <w:num w:numId="27">
    <w:abstractNumId w:val="18"/>
  </w:num>
  <w:num w:numId="28">
    <w:abstractNumId w:val="33"/>
  </w:num>
  <w:num w:numId="29">
    <w:abstractNumId w:val="19"/>
  </w:num>
  <w:num w:numId="30">
    <w:abstractNumId w:val="29"/>
  </w:num>
  <w:num w:numId="31">
    <w:abstractNumId w:val="16"/>
  </w:num>
  <w:num w:numId="32">
    <w:abstractNumId w:val="27"/>
  </w:num>
  <w:num w:numId="33">
    <w:abstractNumId w:val="11"/>
  </w:num>
  <w:num w:numId="34">
    <w:abstractNumId w:val="1"/>
  </w:num>
  <w:num w:numId="35">
    <w:abstractNumId w:val="35"/>
  </w:num>
  <w:num w:numId="36">
    <w:abstractNumId w:val="32"/>
  </w:num>
  <w:num w:numId="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11FA"/>
    <w:rsid w:val="00012B9E"/>
    <w:rsid w:val="000138BC"/>
    <w:rsid w:val="00014639"/>
    <w:rsid w:val="00014737"/>
    <w:rsid w:val="00014B38"/>
    <w:rsid w:val="00014E40"/>
    <w:rsid w:val="00016774"/>
    <w:rsid w:val="000203B4"/>
    <w:rsid w:val="00020E91"/>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546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B3F2C"/>
    <w:rsid w:val="000C1226"/>
    <w:rsid w:val="000C12EE"/>
    <w:rsid w:val="000C3BA7"/>
    <w:rsid w:val="000C3D8A"/>
    <w:rsid w:val="000C46E6"/>
    <w:rsid w:val="000C4B3D"/>
    <w:rsid w:val="000C4FB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82A"/>
    <w:rsid w:val="000F5E76"/>
    <w:rsid w:val="000F6853"/>
    <w:rsid w:val="001000CE"/>
    <w:rsid w:val="00104751"/>
    <w:rsid w:val="0010617D"/>
    <w:rsid w:val="00106763"/>
    <w:rsid w:val="00107F36"/>
    <w:rsid w:val="0011066E"/>
    <w:rsid w:val="00110D12"/>
    <w:rsid w:val="00113B2E"/>
    <w:rsid w:val="00120766"/>
    <w:rsid w:val="00121189"/>
    <w:rsid w:val="00121A66"/>
    <w:rsid w:val="00121D1B"/>
    <w:rsid w:val="001270ED"/>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56AE2"/>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9A4"/>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254AA"/>
    <w:rsid w:val="00331752"/>
    <w:rsid w:val="00332AF9"/>
    <w:rsid w:val="003332C9"/>
    <w:rsid w:val="0033493D"/>
    <w:rsid w:val="00337DE1"/>
    <w:rsid w:val="00340BDB"/>
    <w:rsid w:val="00340E39"/>
    <w:rsid w:val="00341145"/>
    <w:rsid w:val="003412CB"/>
    <w:rsid w:val="00345AD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4405"/>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3563"/>
    <w:rsid w:val="003F47FD"/>
    <w:rsid w:val="003F4B52"/>
    <w:rsid w:val="003F73BA"/>
    <w:rsid w:val="003F73F0"/>
    <w:rsid w:val="00401423"/>
    <w:rsid w:val="00403105"/>
    <w:rsid w:val="00404F11"/>
    <w:rsid w:val="00405890"/>
    <w:rsid w:val="00405EF4"/>
    <w:rsid w:val="00406D7A"/>
    <w:rsid w:val="00411365"/>
    <w:rsid w:val="0041237F"/>
    <w:rsid w:val="00412B6C"/>
    <w:rsid w:val="00413EE5"/>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3B47"/>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6953"/>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46BE"/>
    <w:rsid w:val="00505C67"/>
    <w:rsid w:val="00505F9A"/>
    <w:rsid w:val="00510A4F"/>
    <w:rsid w:val="005119E9"/>
    <w:rsid w:val="00512A65"/>
    <w:rsid w:val="005130BE"/>
    <w:rsid w:val="005140F2"/>
    <w:rsid w:val="0051709B"/>
    <w:rsid w:val="00517CF3"/>
    <w:rsid w:val="0052165A"/>
    <w:rsid w:val="00521802"/>
    <w:rsid w:val="0052430B"/>
    <w:rsid w:val="00525D51"/>
    <w:rsid w:val="00532B56"/>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67697"/>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07C38"/>
    <w:rsid w:val="00611A4E"/>
    <w:rsid w:val="006122C0"/>
    <w:rsid w:val="0061281D"/>
    <w:rsid w:val="00613C46"/>
    <w:rsid w:val="00614085"/>
    <w:rsid w:val="0061641A"/>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333F"/>
    <w:rsid w:val="00656275"/>
    <w:rsid w:val="00657702"/>
    <w:rsid w:val="006619F5"/>
    <w:rsid w:val="006629F9"/>
    <w:rsid w:val="006639F0"/>
    <w:rsid w:val="0066562D"/>
    <w:rsid w:val="0066727B"/>
    <w:rsid w:val="00670998"/>
    <w:rsid w:val="0067180D"/>
    <w:rsid w:val="00672050"/>
    <w:rsid w:val="00673872"/>
    <w:rsid w:val="00674A34"/>
    <w:rsid w:val="00683CBC"/>
    <w:rsid w:val="00685515"/>
    <w:rsid w:val="0068642A"/>
    <w:rsid w:val="00692C2E"/>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289"/>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ABD"/>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3CCC"/>
    <w:rsid w:val="008B444F"/>
    <w:rsid w:val="008B683E"/>
    <w:rsid w:val="008C0EF7"/>
    <w:rsid w:val="008C11A2"/>
    <w:rsid w:val="008C20F7"/>
    <w:rsid w:val="008C5F1C"/>
    <w:rsid w:val="008D06D8"/>
    <w:rsid w:val="008D136F"/>
    <w:rsid w:val="008D176B"/>
    <w:rsid w:val="008D1B01"/>
    <w:rsid w:val="008D25D7"/>
    <w:rsid w:val="008D2A83"/>
    <w:rsid w:val="008D2D7B"/>
    <w:rsid w:val="008D2D98"/>
    <w:rsid w:val="008D44EB"/>
    <w:rsid w:val="008D6051"/>
    <w:rsid w:val="008D7A4F"/>
    <w:rsid w:val="008E3E1A"/>
    <w:rsid w:val="008E4039"/>
    <w:rsid w:val="008F1AA9"/>
    <w:rsid w:val="008F42A7"/>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4B33"/>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E7294"/>
    <w:rsid w:val="009F0715"/>
    <w:rsid w:val="009F1615"/>
    <w:rsid w:val="009F4352"/>
    <w:rsid w:val="009F45FE"/>
    <w:rsid w:val="009F4E4E"/>
    <w:rsid w:val="009F6717"/>
    <w:rsid w:val="00A01F6A"/>
    <w:rsid w:val="00A0321B"/>
    <w:rsid w:val="00A045CA"/>
    <w:rsid w:val="00A04DC3"/>
    <w:rsid w:val="00A0597B"/>
    <w:rsid w:val="00A05DAD"/>
    <w:rsid w:val="00A06FB4"/>
    <w:rsid w:val="00A1465A"/>
    <w:rsid w:val="00A14878"/>
    <w:rsid w:val="00A1707B"/>
    <w:rsid w:val="00A1739A"/>
    <w:rsid w:val="00A17694"/>
    <w:rsid w:val="00A17F2C"/>
    <w:rsid w:val="00A232B9"/>
    <w:rsid w:val="00A24F4B"/>
    <w:rsid w:val="00A3185E"/>
    <w:rsid w:val="00A33893"/>
    <w:rsid w:val="00A34C9A"/>
    <w:rsid w:val="00A34D89"/>
    <w:rsid w:val="00A353A5"/>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835D4"/>
    <w:rsid w:val="00A83947"/>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380C"/>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1D6"/>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0078"/>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580C"/>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0365"/>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D3367"/>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1DF4"/>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BDB"/>
    <w:rsid w:val="00E64C5F"/>
    <w:rsid w:val="00E664F4"/>
    <w:rsid w:val="00E70355"/>
    <w:rsid w:val="00E727A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19AA"/>
    <w:rsid w:val="00EC25BA"/>
    <w:rsid w:val="00ED0AD5"/>
    <w:rsid w:val="00ED1DE2"/>
    <w:rsid w:val="00ED1F31"/>
    <w:rsid w:val="00ED3630"/>
    <w:rsid w:val="00ED7140"/>
    <w:rsid w:val="00ED77E5"/>
    <w:rsid w:val="00EE026E"/>
    <w:rsid w:val="00EE18E5"/>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3DCA"/>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6884"/>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2081">
      <w:bodyDiv w:val="1"/>
      <w:marLeft w:val="0"/>
      <w:marRight w:val="0"/>
      <w:marTop w:val="0"/>
      <w:marBottom w:val="0"/>
      <w:divBdr>
        <w:top w:val="none" w:sz="0" w:space="0" w:color="auto"/>
        <w:left w:val="none" w:sz="0" w:space="0" w:color="auto"/>
        <w:bottom w:val="none" w:sz="0" w:space="0" w:color="auto"/>
        <w:right w:val="none" w:sz="0" w:space="0" w:color="auto"/>
      </w:divBdr>
      <w:divsChild>
        <w:div w:id="574515865">
          <w:marLeft w:val="0"/>
          <w:marRight w:val="0"/>
          <w:marTop w:val="0"/>
          <w:marBottom w:val="0"/>
          <w:divBdr>
            <w:top w:val="none" w:sz="0" w:space="0" w:color="auto"/>
            <w:left w:val="none" w:sz="0" w:space="0" w:color="auto"/>
            <w:bottom w:val="none" w:sz="0" w:space="0" w:color="auto"/>
            <w:right w:val="none" w:sz="0" w:space="0" w:color="auto"/>
          </w:divBdr>
          <w:divsChild>
            <w:div w:id="421493646">
              <w:marLeft w:val="0"/>
              <w:marRight w:val="0"/>
              <w:marTop w:val="0"/>
              <w:marBottom w:val="0"/>
              <w:divBdr>
                <w:top w:val="none" w:sz="0" w:space="0" w:color="auto"/>
                <w:left w:val="none" w:sz="0" w:space="0" w:color="auto"/>
                <w:bottom w:val="none" w:sz="0" w:space="0" w:color="auto"/>
                <w:right w:val="none" w:sz="0" w:space="0" w:color="auto"/>
              </w:divBdr>
              <w:divsChild>
                <w:div w:id="1138448818">
                  <w:marLeft w:val="0"/>
                  <w:marRight w:val="0"/>
                  <w:marTop w:val="0"/>
                  <w:marBottom w:val="0"/>
                  <w:divBdr>
                    <w:top w:val="none" w:sz="0" w:space="0" w:color="auto"/>
                    <w:left w:val="none" w:sz="0" w:space="0" w:color="auto"/>
                    <w:bottom w:val="none" w:sz="0" w:space="0" w:color="auto"/>
                    <w:right w:val="none" w:sz="0" w:space="0" w:color="auto"/>
                  </w:divBdr>
                  <w:divsChild>
                    <w:div w:id="444037213">
                      <w:marLeft w:val="0"/>
                      <w:marRight w:val="0"/>
                      <w:marTop w:val="0"/>
                      <w:marBottom w:val="0"/>
                      <w:divBdr>
                        <w:top w:val="none" w:sz="0" w:space="0" w:color="auto"/>
                        <w:left w:val="none" w:sz="0" w:space="0" w:color="auto"/>
                        <w:bottom w:val="none" w:sz="0" w:space="0" w:color="auto"/>
                        <w:right w:val="none" w:sz="0" w:space="0" w:color="auto"/>
                      </w:divBdr>
                      <w:divsChild>
                        <w:div w:id="777019503">
                          <w:marLeft w:val="0"/>
                          <w:marRight w:val="0"/>
                          <w:marTop w:val="0"/>
                          <w:marBottom w:val="0"/>
                          <w:divBdr>
                            <w:top w:val="none" w:sz="0" w:space="0" w:color="auto"/>
                            <w:left w:val="none" w:sz="0" w:space="0" w:color="auto"/>
                            <w:bottom w:val="none" w:sz="0" w:space="0" w:color="auto"/>
                            <w:right w:val="none" w:sz="0" w:space="0" w:color="auto"/>
                          </w:divBdr>
                          <w:divsChild>
                            <w:div w:id="14909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19328427">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965057">
      <w:bodyDiv w:val="1"/>
      <w:marLeft w:val="0"/>
      <w:marRight w:val="0"/>
      <w:marTop w:val="0"/>
      <w:marBottom w:val="0"/>
      <w:divBdr>
        <w:top w:val="none" w:sz="0" w:space="0" w:color="auto"/>
        <w:left w:val="none" w:sz="0" w:space="0" w:color="auto"/>
        <w:bottom w:val="none" w:sz="0" w:space="0" w:color="auto"/>
        <w:right w:val="none" w:sz="0" w:space="0" w:color="auto"/>
      </w:divBdr>
      <w:divsChild>
        <w:div w:id="224416632">
          <w:marLeft w:val="0"/>
          <w:marRight w:val="0"/>
          <w:marTop w:val="0"/>
          <w:marBottom w:val="0"/>
          <w:divBdr>
            <w:top w:val="none" w:sz="0" w:space="0" w:color="auto"/>
            <w:left w:val="none" w:sz="0" w:space="0" w:color="auto"/>
            <w:bottom w:val="none" w:sz="0" w:space="0" w:color="auto"/>
            <w:right w:val="none" w:sz="0" w:space="0" w:color="auto"/>
          </w:divBdr>
          <w:divsChild>
            <w:div w:id="1029453361">
              <w:marLeft w:val="0"/>
              <w:marRight w:val="0"/>
              <w:marTop w:val="0"/>
              <w:marBottom w:val="0"/>
              <w:divBdr>
                <w:top w:val="none" w:sz="0" w:space="0" w:color="auto"/>
                <w:left w:val="none" w:sz="0" w:space="0" w:color="auto"/>
                <w:bottom w:val="none" w:sz="0" w:space="0" w:color="auto"/>
                <w:right w:val="none" w:sz="0" w:space="0" w:color="auto"/>
              </w:divBdr>
              <w:divsChild>
                <w:div w:id="1573658080">
                  <w:marLeft w:val="0"/>
                  <w:marRight w:val="0"/>
                  <w:marTop w:val="0"/>
                  <w:marBottom w:val="0"/>
                  <w:divBdr>
                    <w:top w:val="none" w:sz="0" w:space="0" w:color="auto"/>
                    <w:left w:val="none" w:sz="0" w:space="0" w:color="auto"/>
                    <w:bottom w:val="none" w:sz="0" w:space="0" w:color="auto"/>
                    <w:right w:val="none" w:sz="0" w:space="0" w:color="auto"/>
                  </w:divBdr>
                  <w:divsChild>
                    <w:div w:id="971596205">
                      <w:marLeft w:val="0"/>
                      <w:marRight w:val="0"/>
                      <w:marTop w:val="0"/>
                      <w:marBottom w:val="0"/>
                      <w:divBdr>
                        <w:top w:val="none" w:sz="0" w:space="0" w:color="auto"/>
                        <w:left w:val="none" w:sz="0" w:space="0" w:color="auto"/>
                        <w:bottom w:val="none" w:sz="0" w:space="0" w:color="auto"/>
                        <w:right w:val="none" w:sz="0" w:space="0" w:color="auto"/>
                      </w:divBdr>
                      <w:divsChild>
                        <w:div w:id="589970141">
                          <w:marLeft w:val="0"/>
                          <w:marRight w:val="0"/>
                          <w:marTop w:val="0"/>
                          <w:marBottom w:val="0"/>
                          <w:divBdr>
                            <w:top w:val="none" w:sz="0" w:space="0" w:color="auto"/>
                            <w:left w:val="none" w:sz="0" w:space="0" w:color="auto"/>
                            <w:bottom w:val="none" w:sz="0" w:space="0" w:color="auto"/>
                            <w:right w:val="none" w:sz="0" w:space="0" w:color="auto"/>
                          </w:divBdr>
                          <w:divsChild>
                            <w:div w:id="820659583">
                              <w:marLeft w:val="0"/>
                              <w:marRight w:val="0"/>
                              <w:marTop w:val="0"/>
                              <w:marBottom w:val="0"/>
                              <w:divBdr>
                                <w:top w:val="none" w:sz="0" w:space="0" w:color="auto"/>
                                <w:left w:val="none" w:sz="0" w:space="0" w:color="auto"/>
                                <w:bottom w:val="none" w:sz="0" w:space="0" w:color="auto"/>
                                <w:right w:val="none" w:sz="0" w:space="0" w:color="auto"/>
                              </w:divBdr>
                              <w:divsChild>
                                <w:div w:id="1144078135">
                                  <w:marLeft w:val="0"/>
                                  <w:marRight w:val="0"/>
                                  <w:marTop w:val="0"/>
                                  <w:marBottom w:val="0"/>
                                  <w:divBdr>
                                    <w:top w:val="none" w:sz="0" w:space="0" w:color="auto"/>
                                    <w:left w:val="none" w:sz="0" w:space="0" w:color="auto"/>
                                    <w:bottom w:val="none" w:sz="0" w:space="0" w:color="auto"/>
                                    <w:right w:val="none" w:sz="0" w:space="0" w:color="auto"/>
                                  </w:divBdr>
                                  <w:divsChild>
                                    <w:div w:id="997464011">
                                      <w:marLeft w:val="0"/>
                                      <w:marRight w:val="0"/>
                                      <w:marTop w:val="0"/>
                                      <w:marBottom w:val="0"/>
                                      <w:divBdr>
                                        <w:top w:val="none" w:sz="0" w:space="0" w:color="auto"/>
                                        <w:left w:val="none" w:sz="0" w:space="0" w:color="auto"/>
                                        <w:bottom w:val="none" w:sz="0" w:space="0" w:color="auto"/>
                                        <w:right w:val="none" w:sz="0" w:space="0" w:color="auto"/>
                                      </w:divBdr>
                                      <w:divsChild>
                                        <w:div w:id="624896381">
                                          <w:marLeft w:val="0"/>
                                          <w:marRight w:val="0"/>
                                          <w:marTop w:val="0"/>
                                          <w:marBottom w:val="0"/>
                                          <w:divBdr>
                                            <w:top w:val="none" w:sz="0" w:space="0" w:color="auto"/>
                                            <w:left w:val="none" w:sz="0" w:space="0" w:color="auto"/>
                                            <w:bottom w:val="none" w:sz="0" w:space="0" w:color="auto"/>
                                            <w:right w:val="none" w:sz="0" w:space="0" w:color="auto"/>
                                          </w:divBdr>
                                          <w:divsChild>
                                            <w:div w:id="1846049244">
                                              <w:marLeft w:val="0"/>
                                              <w:marRight w:val="0"/>
                                              <w:marTop w:val="0"/>
                                              <w:marBottom w:val="0"/>
                                              <w:divBdr>
                                                <w:top w:val="none" w:sz="0" w:space="0" w:color="auto"/>
                                                <w:left w:val="none" w:sz="0" w:space="0" w:color="auto"/>
                                                <w:bottom w:val="none" w:sz="0" w:space="0" w:color="auto"/>
                                                <w:right w:val="none" w:sz="0" w:space="0" w:color="auto"/>
                                              </w:divBdr>
                                              <w:divsChild>
                                                <w:div w:id="1066227557">
                                                  <w:marLeft w:val="0"/>
                                                  <w:marRight w:val="0"/>
                                                  <w:marTop w:val="0"/>
                                                  <w:marBottom w:val="0"/>
                                                  <w:divBdr>
                                                    <w:top w:val="none" w:sz="0" w:space="0" w:color="auto"/>
                                                    <w:left w:val="none" w:sz="0" w:space="0" w:color="auto"/>
                                                    <w:bottom w:val="none" w:sz="0" w:space="0" w:color="auto"/>
                                                    <w:right w:val="none" w:sz="0" w:space="0" w:color="auto"/>
                                                  </w:divBdr>
                                                  <w:divsChild>
                                                    <w:div w:id="158815359">
                                                      <w:marLeft w:val="0"/>
                                                      <w:marRight w:val="0"/>
                                                      <w:marTop w:val="0"/>
                                                      <w:marBottom w:val="0"/>
                                                      <w:divBdr>
                                                        <w:top w:val="none" w:sz="0" w:space="0" w:color="auto"/>
                                                        <w:left w:val="none" w:sz="0" w:space="0" w:color="auto"/>
                                                        <w:bottom w:val="none" w:sz="0" w:space="0" w:color="auto"/>
                                                        <w:right w:val="none" w:sz="0" w:space="0" w:color="auto"/>
                                                      </w:divBdr>
                                                      <w:divsChild>
                                                        <w:div w:id="6053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79156424">
      <w:bodyDiv w:val="1"/>
      <w:marLeft w:val="0"/>
      <w:marRight w:val="0"/>
      <w:marTop w:val="0"/>
      <w:marBottom w:val="0"/>
      <w:divBdr>
        <w:top w:val="none" w:sz="0" w:space="0" w:color="auto"/>
        <w:left w:val="none" w:sz="0" w:space="0" w:color="auto"/>
        <w:bottom w:val="none" w:sz="0" w:space="0" w:color="auto"/>
        <w:right w:val="none" w:sz="0" w:space="0" w:color="auto"/>
      </w:divBdr>
      <w:divsChild>
        <w:div w:id="840899187">
          <w:marLeft w:val="0"/>
          <w:marRight w:val="0"/>
          <w:marTop w:val="0"/>
          <w:marBottom w:val="0"/>
          <w:divBdr>
            <w:top w:val="none" w:sz="0" w:space="0" w:color="auto"/>
            <w:left w:val="none" w:sz="0" w:space="0" w:color="auto"/>
            <w:bottom w:val="none" w:sz="0" w:space="0" w:color="auto"/>
            <w:right w:val="none" w:sz="0" w:space="0" w:color="auto"/>
          </w:divBdr>
          <w:divsChild>
            <w:div w:id="642581592">
              <w:marLeft w:val="0"/>
              <w:marRight w:val="0"/>
              <w:marTop w:val="0"/>
              <w:marBottom w:val="0"/>
              <w:divBdr>
                <w:top w:val="none" w:sz="0" w:space="0" w:color="auto"/>
                <w:left w:val="none" w:sz="0" w:space="0" w:color="auto"/>
                <w:bottom w:val="none" w:sz="0" w:space="0" w:color="auto"/>
                <w:right w:val="none" w:sz="0" w:space="0" w:color="auto"/>
              </w:divBdr>
              <w:divsChild>
                <w:div w:id="104349031">
                  <w:marLeft w:val="0"/>
                  <w:marRight w:val="0"/>
                  <w:marTop w:val="0"/>
                  <w:marBottom w:val="0"/>
                  <w:divBdr>
                    <w:top w:val="none" w:sz="0" w:space="0" w:color="auto"/>
                    <w:left w:val="none" w:sz="0" w:space="0" w:color="auto"/>
                    <w:bottom w:val="none" w:sz="0" w:space="0" w:color="auto"/>
                    <w:right w:val="none" w:sz="0" w:space="0" w:color="auto"/>
                  </w:divBdr>
                  <w:divsChild>
                    <w:div w:id="244072593">
                      <w:marLeft w:val="0"/>
                      <w:marRight w:val="0"/>
                      <w:marTop w:val="0"/>
                      <w:marBottom w:val="0"/>
                      <w:divBdr>
                        <w:top w:val="none" w:sz="0" w:space="0" w:color="auto"/>
                        <w:left w:val="none" w:sz="0" w:space="0" w:color="auto"/>
                        <w:bottom w:val="none" w:sz="0" w:space="0" w:color="auto"/>
                        <w:right w:val="none" w:sz="0" w:space="0" w:color="auto"/>
                      </w:divBdr>
                      <w:divsChild>
                        <w:div w:id="110559623">
                          <w:marLeft w:val="0"/>
                          <w:marRight w:val="0"/>
                          <w:marTop w:val="0"/>
                          <w:marBottom w:val="0"/>
                          <w:divBdr>
                            <w:top w:val="none" w:sz="0" w:space="0" w:color="auto"/>
                            <w:left w:val="none" w:sz="0" w:space="0" w:color="auto"/>
                            <w:bottom w:val="none" w:sz="0" w:space="0" w:color="auto"/>
                            <w:right w:val="none" w:sz="0" w:space="0" w:color="auto"/>
                          </w:divBdr>
                          <w:divsChild>
                            <w:div w:id="329063613">
                              <w:marLeft w:val="0"/>
                              <w:marRight w:val="0"/>
                              <w:marTop w:val="0"/>
                              <w:marBottom w:val="0"/>
                              <w:divBdr>
                                <w:top w:val="none" w:sz="0" w:space="0" w:color="auto"/>
                                <w:left w:val="none" w:sz="0" w:space="0" w:color="auto"/>
                                <w:bottom w:val="none" w:sz="0" w:space="0" w:color="auto"/>
                                <w:right w:val="none" w:sz="0" w:space="0" w:color="auto"/>
                              </w:divBdr>
                              <w:divsChild>
                                <w:div w:id="1719355187">
                                  <w:marLeft w:val="0"/>
                                  <w:marRight w:val="0"/>
                                  <w:marTop w:val="0"/>
                                  <w:marBottom w:val="0"/>
                                  <w:divBdr>
                                    <w:top w:val="none" w:sz="0" w:space="0" w:color="auto"/>
                                    <w:left w:val="none" w:sz="0" w:space="0" w:color="auto"/>
                                    <w:bottom w:val="none" w:sz="0" w:space="0" w:color="auto"/>
                                    <w:right w:val="none" w:sz="0" w:space="0" w:color="auto"/>
                                  </w:divBdr>
                                  <w:divsChild>
                                    <w:div w:id="420028481">
                                      <w:marLeft w:val="0"/>
                                      <w:marRight w:val="0"/>
                                      <w:marTop w:val="0"/>
                                      <w:marBottom w:val="0"/>
                                      <w:divBdr>
                                        <w:top w:val="none" w:sz="0" w:space="0" w:color="auto"/>
                                        <w:left w:val="none" w:sz="0" w:space="0" w:color="auto"/>
                                        <w:bottom w:val="none" w:sz="0" w:space="0" w:color="auto"/>
                                        <w:right w:val="none" w:sz="0" w:space="0" w:color="auto"/>
                                      </w:divBdr>
                                      <w:divsChild>
                                        <w:div w:id="1597707192">
                                          <w:marLeft w:val="0"/>
                                          <w:marRight w:val="0"/>
                                          <w:marTop w:val="0"/>
                                          <w:marBottom w:val="0"/>
                                          <w:divBdr>
                                            <w:top w:val="none" w:sz="0" w:space="0" w:color="auto"/>
                                            <w:left w:val="none" w:sz="0" w:space="0" w:color="auto"/>
                                            <w:bottom w:val="none" w:sz="0" w:space="0" w:color="auto"/>
                                            <w:right w:val="none" w:sz="0" w:space="0" w:color="auto"/>
                                          </w:divBdr>
                                          <w:divsChild>
                                            <w:div w:id="1874028800">
                                              <w:marLeft w:val="0"/>
                                              <w:marRight w:val="0"/>
                                              <w:marTop w:val="0"/>
                                              <w:marBottom w:val="0"/>
                                              <w:divBdr>
                                                <w:top w:val="none" w:sz="0" w:space="0" w:color="auto"/>
                                                <w:left w:val="none" w:sz="0" w:space="0" w:color="auto"/>
                                                <w:bottom w:val="none" w:sz="0" w:space="0" w:color="auto"/>
                                                <w:right w:val="none" w:sz="0" w:space="0" w:color="auto"/>
                                              </w:divBdr>
                                              <w:divsChild>
                                                <w:div w:id="720907954">
                                                  <w:marLeft w:val="0"/>
                                                  <w:marRight w:val="0"/>
                                                  <w:marTop w:val="0"/>
                                                  <w:marBottom w:val="0"/>
                                                  <w:divBdr>
                                                    <w:top w:val="none" w:sz="0" w:space="0" w:color="auto"/>
                                                    <w:left w:val="none" w:sz="0" w:space="0" w:color="auto"/>
                                                    <w:bottom w:val="none" w:sz="0" w:space="0" w:color="auto"/>
                                                    <w:right w:val="none" w:sz="0" w:space="0" w:color="auto"/>
                                                  </w:divBdr>
                                                  <w:divsChild>
                                                    <w:div w:id="1965849560">
                                                      <w:marLeft w:val="0"/>
                                                      <w:marRight w:val="0"/>
                                                      <w:marTop w:val="0"/>
                                                      <w:marBottom w:val="0"/>
                                                      <w:divBdr>
                                                        <w:top w:val="none" w:sz="0" w:space="0" w:color="auto"/>
                                                        <w:left w:val="none" w:sz="0" w:space="0" w:color="auto"/>
                                                        <w:bottom w:val="none" w:sz="0" w:space="0" w:color="auto"/>
                                                        <w:right w:val="none" w:sz="0" w:space="0" w:color="auto"/>
                                                      </w:divBdr>
                                                      <w:divsChild>
                                                        <w:div w:id="2013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8bd9498f-fa43-4ae2-8bb2-4c55a71680a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92DEEBE-46FF-4FC2-B923-881E5E1A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4</cp:revision>
  <cp:lastPrinted>2020-08-06T02:01:00Z</cp:lastPrinted>
  <dcterms:created xsi:type="dcterms:W3CDTF">2020-08-06T04:11:00Z</dcterms:created>
  <dcterms:modified xsi:type="dcterms:W3CDTF">2020-08-06T07:52:00Z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