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bookmarkStart w:id="0" w:name="_GoBack"/>
      <w:bookmarkEnd w:id="0"/>
      <w:r>
        <w:rPr>
          <w:noProof/>
          <w:lang w:eastAsia="en-AU"/>
        </w:rPr>
        <w:drawing>
          <wp:inline distT="0" distB="0" distL="0" distR="0" wp14:anchorId="7D52120D" wp14:editId="508B78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64082C" w:rsidP="00554826">
      <w:pPr>
        <w:pStyle w:val="ShortT"/>
      </w:pPr>
      <w:r w:rsidRPr="00357B14">
        <w:t>Therapeutic Goods</w:t>
      </w:r>
      <w:r w:rsidR="00554826" w:rsidRPr="00DA182D">
        <w:t xml:space="preserve"> </w:t>
      </w:r>
      <w:r w:rsidR="00554826">
        <w:t>(</w:t>
      </w:r>
      <w:r w:rsidR="00865612">
        <w:t xml:space="preserve">Standard for </w:t>
      </w:r>
      <w:r>
        <w:t>F</w:t>
      </w:r>
      <w:r w:rsidR="00A26BAC">
        <w:t>aecal Microbiota Transplant Product</w:t>
      </w:r>
      <w:r w:rsidR="00865612">
        <w:t>s</w:t>
      </w:r>
      <w:r w:rsidR="00554826">
        <w:t xml:space="preserve">) </w:t>
      </w:r>
      <w:r w:rsidR="00D064C8">
        <w:t xml:space="preserve">(TGO 105) </w:t>
      </w:r>
      <w:r>
        <w:t>Order 2020</w:t>
      </w:r>
    </w:p>
    <w:p w:rsidR="00554826" w:rsidRPr="00DA182D" w:rsidRDefault="00554826" w:rsidP="00554826">
      <w:pPr>
        <w:pStyle w:val="SignCoverPageStart"/>
        <w:spacing w:before="240"/>
        <w:ind w:right="91"/>
        <w:rPr>
          <w:szCs w:val="22"/>
        </w:rPr>
      </w:pPr>
      <w:r w:rsidRPr="00DA182D">
        <w:rPr>
          <w:szCs w:val="22"/>
        </w:rPr>
        <w:t xml:space="preserve">I, </w:t>
      </w:r>
      <w:r w:rsidR="0064082C">
        <w:rPr>
          <w:szCs w:val="22"/>
        </w:rPr>
        <w:t>John Skerritt</w:t>
      </w:r>
      <w:r w:rsidRPr="00DA182D">
        <w:rPr>
          <w:szCs w:val="22"/>
        </w:rPr>
        <w:t xml:space="preserve">, </w:t>
      </w:r>
      <w:r w:rsidR="0064082C">
        <w:rPr>
          <w:szCs w:val="22"/>
        </w:rPr>
        <w:t>as delegate of the Minister for Health</w:t>
      </w:r>
      <w:r w:rsidRPr="00DA182D">
        <w:rPr>
          <w:szCs w:val="22"/>
        </w:rPr>
        <w:t xml:space="preserve">, </w:t>
      </w:r>
      <w:r w:rsidR="0064082C">
        <w:rPr>
          <w:szCs w:val="22"/>
        </w:rPr>
        <w:t>make the following order</w:t>
      </w:r>
      <w:r w:rsidRPr="00DA182D">
        <w:rPr>
          <w:szCs w:val="22"/>
        </w:rPr>
        <w:t>.</w:t>
      </w:r>
    </w:p>
    <w:p w:rsidR="00554826" w:rsidRPr="00001A63" w:rsidRDefault="00554826" w:rsidP="00554826">
      <w:pPr>
        <w:keepNext/>
        <w:spacing w:before="300" w:line="240" w:lineRule="atLeast"/>
        <w:ind w:right="397"/>
        <w:jc w:val="both"/>
        <w:rPr>
          <w:szCs w:val="22"/>
        </w:rPr>
      </w:pPr>
      <w:r>
        <w:rPr>
          <w:szCs w:val="22"/>
        </w:rPr>
        <w:t>Dated</w:t>
      </w:r>
      <w:r w:rsidR="00A14D58">
        <w:rPr>
          <w:szCs w:val="22"/>
        </w:rPr>
        <w:t xml:space="preserve"> 6 August 2020</w:t>
      </w:r>
    </w:p>
    <w:p w:rsidR="00554826" w:rsidRDefault="0064082C" w:rsidP="00554826">
      <w:pPr>
        <w:keepNext/>
        <w:tabs>
          <w:tab w:val="left" w:pos="3402"/>
        </w:tabs>
        <w:spacing w:before="1440" w:line="300" w:lineRule="atLeast"/>
        <w:ind w:right="397"/>
        <w:rPr>
          <w:b/>
          <w:szCs w:val="22"/>
        </w:rPr>
      </w:pPr>
      <w:r>
        <w:rPr>
          <w:szCs w:val="22"/>
        </w:rPr>
        <w:t>Adj</w:t>
      </w:r>
      <w:r w:rsidR="00954067">
        <w:rPr>
          <w:szCs w:val="22"/>
        </w:rPr>
        <w:t>unct</w:t>
      </w:r>
      <w:r>
        <w:rPr>
          <w:szCs w:val="22"/>
        </w:rPr>
        <w:t xml:space="preserve"> Professor</w:t>
      </w:r>
      <w:r w:rsidR="00F367B0">
        <w:rPr>
          <w:szCs w:val="22"/>
        </w:rPr>
        <w:t xml:space="preserve"> John Skerritt</w:t>
      </w:r>
    </w:p>
    <w:p w:rsidR="0064082C" w:rsidRDefault="0064082C" w:rsidP="0064082C">
      <w:pPr>
        <w:keepNext/>
        <w:tabs>
          <w:tab w:val="left" w:pos="3402"/>
        </w:tabs>
        <w:spacing w:line="300" w:lineRule="atLeast"/>
        <w:ind w:right="397"/>
        <w:rPr>
          <w:szCs w:val="22"/>
        </w:rPr>
      </w:pPr>
      <w:r>
        <w:rPr>
          <w:szCs w:val="22"/>
        </w:rPr>
        <w:t>Deputy Secretary</w:t>
      </w:r>
    </w:p>
    <w:p w:rsidR="0064082C" w:rsidRPr="0064082C" w:rsidRDefault="0064082C" w:rsidP="0064082C">
      <w:pPr>
        <w:keepNext/>
        <w:tabs>
          <w:tab w:val="left" w:pos="3402"/>
        </w:tabs>
        <w:spacing w:line="300" w:lineRule="atLeast"/>
        <w:ind w:right="397"/>
        <w:rPr>
          <w:szCs w:val="22"/>
        </w:rPr>
      </w:pPr>
      <w:r>
        <w:rPr>
          <w:szCs w:val="22"/>
        </w:rPr>
        <w:t>Health Products Regulation Group</w:t>
      </w:r>
    </w:p>
    <w:p w:rsidR="00554826" w:rsidRPr="008E0027" w:rsidRDefault="0064082C" w:rsidP="00554826">
      <w:pPr>
        <w:pStyle w:val="SignCoverPageEnd"/>
        <w:ind w:right="91"/>
        <w:rPr>
          <w:sz w:val="22"/>
        </w:rPr>
      </w:pPr>
      <w:r>
        <w:rPr>
          <w:sz w:val="22"/>
        </w:rPr>
        <w:t>Department of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E5022B">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docGrid w:linePitch="360"/>
        </w:sectPr>
      </w:pPr>
    </w:p>
    <w:p w:rsidR="007500C8" w:rsidRDefault="00715914" w:rsidP="00715914">
      <w:pPr>
        <w:outlineLvl w:val="0"/>
        <w:rPr>
          <w:sz w:val="36"/>
        </w:rPr>
      </w:pPr>
      <w:r w:rsidRPr="007A1328">
        <w:rPr>
          <w:sz w:val="36"/>
        </w:rPr>
        <w:lastRenderedPageBreak/>
        <w:t>Contents</w:t>
      </w:r>
    </w:p>
    <w:p w:rsidR="009154D0"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9154D0">
        <w:rPr>
          <w:noProof/>
        </w:rPr>
        <w:t>Part 1</w:t>
      </w:r>
      <w:r w:rsidR="009154D0" w:rsidRPr="003327DE">
        <w:rPr>
          <w:rStyle w:val="CharPartNo"/>
          <w:noProof/>
        </w:rPr>
        <w:sym w:font="Symbol" w:char="F0BE"/>
      </w:r>
      <w:r w:rsidR="009154D0">
        <w:rPr>
          <w:noProof/>
        </w:rPr>
        <w:t>Preliminary</w:t>
      </w:r>
      <w:r w:rsidR="009154D0">
        <w:rPr>
          <w:noProof/>
        </w:rPr>
        <w:tab/>
      </w:r>
      <w:r w:rsidR="009154D0">
        <w:rPr>
          <w:noProof/>
        </w:rPr>
        <w:fldChar w:fldCharType="begin"/>
      </w:r>
      <w:r w:rsidR="009154D0">
        <w:rPr>
          <w:noProof/>
        </w:rPr>
        <w:instrText xml:space="preserve"> PAGEREF _Toc47109898 \h </w:instrText>
      </w:r>
      <w:r w:rsidR="009154D0">
        <w:rPr>
          <w:noProof/>
        </w:rPr>
      </w:r>
      <w:r w:rsidR="009154D0">
        <w:rPr>
          <w:noProof/>
        </w:rPr>
        <w:fldChar w:fldCharType="separate"/>
      </w:r>
      <w:r w:rsidR="009154D0">
        <w:rPr>
          <w:noProof/>
        </w:rPr>
        <w:t>1</w:t>
      </w:r>
      <w:r w:rsidR="009154D0">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_Toc47109899 \h </w:instrText>
      </w:r>
      <w:r>
        <w:rPr>
          <w:noProof/>
        </w:rPr>
      </w:r>
      <w:r>
        <w:rPr>
          <w:noProof/>
        </w:rPr>
        <w:fldChar w:fldCharType="separate"/>
      </w:r>
      <w:r>
        <w:rPr>
          <w:noProof/>
        </w:rPr>
        <w:t>1</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_Toc47109900 \h </w:instrText>
      </w:r>
      <w:r>
        <w:rPr>
          <w:noProof/>
        </w:rPr>
      </w:r>
      <w:r>
        <w:rPr>
          <w:noProof/>
        </w:rPr>
        <w:fldChar w:fldCharType="separate"/>
      </w:r>
      <w:r>
        <w:rPr>
          <w:noProof/>
        </w:rPr>
        <w:t>1</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_Toc47109901 \h </w:instrText>
      </w:r>
      <w:r>
        <w:rPr>
          <w:noProof/>
        </w:rPr>
      </w:r>
      <w:r>
        <w:rPr>
          <w:noProof/>
        </w:rPr>
        <w:fldChar w:fldCharType="separate"/>
      </w:r>
      <w:r>
        <w:rPr>
          <w:noProof/>
        </w:rPr>
        <w:t>1</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_Toc47109902 \h </w:instrText>
      </w:r>
      <w:r>
        <w:rPr>
          <w:noProof/>
        </w:rPr>
      </w:r>
      <w:r>
        <w:rPr>
          <w:noProof/>
        </w:rPr>
        <w:fldChar w:fldCharType="separate"/>
      </w:r>
      <w:r>
        <w:rPr>
          <w:noProof/>
        </w:rPr>
        <w:t>1</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_Toc47109903 \h </w:instrText>
      </w:r>
      <w:r>
        <w:rPr>
          <w:noProof/>
        </w:rPr>
      </w:r>
      <w:r>
        <w:rPr>
          <w:noProof/>
        </w:rPr>
        <w:fldChar w:fldCharType="separate"/>
      </w:r>
      <w:r>
        <w:rPr>
          <w:noProof/>
        </w:rPr>
        <w:t>3</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_Toc47109904 \h </w:instrText>
      </w:r>
      <w:r>
        <w:rPr>
          <w:noProof/>
        </w:rPr>
      </w:r>
      <w:r>
        <w:rPr>
          <w:noProof/>
        </w:rPr>
        <w:fldChar w:fldCharType="separate"/>
      </w:r>
      <w:r>
        <w:rPr>
          <w:noProof/>
        </w:rPr>
        <w:t>3</w:t>
      </w:r>
      <w:r>
        <w:rPr>
          <w:noProof/>
        </w:rPr>
        <w:fldChar w:fldCharType="end"/>
      </w:r>
    </w:p>
    <w:p w:rsidR="009154D0" w:rsidRDefault="009154D0">
      <w:pPr>
        <w:pStyle w:val="TOC2"/>
        <w:rPr>
          <w:rFonts w:asciiTheme="minorHAnsi" w:eastAsiaTheme="minorEastAsia" w:hAnsiTheme="minorHAnsi" w:cstheme="minorBidi"/>
          <w:b w:val="0"/>
          <w:noProof/>
          <w:kern w:val="0"/>
          <w:sz w:val="22"/>
          <w:szCs w:val="22"/>
        </w:rPr>
      </w:pPr>
      <w:r>
        <w:rPr>
          <w:noProof/>
        </w:rPr>
        <w:t>Part 2</w:t>
      </w:r>
      <w:r w:rsidRPr="00E5022B">
        <w:rPr>
          <w:rStyle w:val="CharPartNo"/>
          <w:noProof/>
        </w:rPr>
        <w:sym w:font="Symbol" w:char="F0BE"/>
      </w:r>
      <w:r>
        <w:rPr>
          <w:noProof/>
        </w:rPr>
        <w:t>Requirements for FMT products</w:t>
      </w:r>
      <w:r>
        <w:rPr>
          <w:noProof/>
        </w:rPr>
        <w:tab/>
      </w:r>
      <w:r>
        <w:rPr>
          <w:noProof/>
        </w:rPr>
        <w:fldChar w:fldCharType="begin"/>
      </w:r>
      <w:r>
        <w:rPr>
          <w:noProof/>
        </w:rPr>
        <w:instrText xml:space="preserve"> PAGEREF _Toc47109905 \h </w:instrText>
      </w:r>
      <w:r>
        <w:rPr>
          <w:noProof/>
        </w:rPr>
      </w:r>
      <w:r>
        <w:rPr>
          <w:noProof/>
        </w:rPr>
        <w:fldChar w:fldCharType="separate"/>
      </w:r>
      <w:r>
        <w:rPr>
          <w:noProof/>
        </w:rPr>
        <w:t>3</w:t>
      </w:r>
      <w:r>
        <w:rPr>
          <w:noProof/>
        </w:rPr>
        <w:fldChar w:fldCharType="end"/>
      </w:r>
    </w:p>
    <w:p w:rsidR="009154D0" w:rsidRDefault="009154D0">
      <w:pPr>
        <w:pStyle w:val="TOC3"/>
        <w:rPr>
          <w:rFonts w:asciiTheme="minorHAnsi" w:eastAsiaTheme="minorEastAsia" w:hAnsiTheme="minorHAnsi" w:cstheme="minorBidi"/>
          <w:b w:val="0"/>
          <w:noProof/>
          <w:kern w:val="0"/>
          <w:szCs w:val="22"/>
        </w:rPr>
      </w:pPr>
      <w:r>
        <w:rPr>
          <w:noProof/>
        </w:rPr>
        <w:t>Division 1</w:t>
      </w:r>
      <w:r w:rsidRPr="00702D8C">
        <w:rPr>
          <w:rStyle w:val="CharDivNo"/>
          <w:noProof/>
        </w:rPr>
        <w:sym w:font="Symbol" w:char="F0BE"/>
      </w:r>
      <w:r>
        <w:rPr>
          <w:noProof/>
        </w:rPr>
        <w:t>General requirements</w:t>
      </w:r>
      <w:r>
        <w:rPr>
          <w:noProof/>
        </w:rPr>
        <w:tab/>
      </w:r>
      <w:r>
        <w:rPr>
          <w:noProof/>
        </w:rPr>
        <w:fldChar w:fldCharType="begin"/>
      </w:r>
      <w:r>
        <w:rPr>
          <w:noProof/>
        </w:rPr>
        <w:instrText xml:space="preserve"> PAGEREF _Toc47109906 \h </w:instrText>
      </w:r>
      <w:r>
        <w:rPr>
          <w:noProof/>
        </w:rPr>
      </w:r>
      <w:r>
        <w:rPr>
          <w:noProof/>
        </w:rPr>
        <w:fldChar w:fldCharType="separate"/>
      </w:r>
      <w:r>
        <w:rPr>
          <w:noProof/>
        </w:rPr>
        <w:t>3</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7  What this Division is about</w:t>
      </w:r>
      <w:r>
        <w:rPr>
          <w:noProof/>
        </w:rPr>
        <w:tab/>
      </w:r>
      <w:r>
        <w:rPr>
          <w:noProof/>
        </w:rPr>
        <w:fldChar w:fldCharType="begin"/>
      </w:r>
      <w:r>
        <w:rPr>
          <w:noProof/>
        </w:rPr>
        <w:instrText xml:space="preserve"> PAGEREF _Toc47109907 \h </w:instrText>
      </w:r>
      <w:r>
        <w:rPr>
          <w:noProof/>
        </w:rPr>
      </w:r>
      <w:r>
        <w:rPr>
          <w:noProof/>
        </w:rPr>
        <w:fldChar w:fldCharType="separate"/>
      </w:r>
      <w:r>
        <w:rPr>
          <w:noProof/>
        </w:rPr>
        <w:t>3</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8  General requirements</w:t>
      </w:r>
      <w:r>
        <w:rPr>
          <w:noProof/>
        </w:rPr>
        <w:tab/>
      </w:r>
      <w:r>
        <w:rPr>
          <w:noProof/>
        </w:rPr>
        <w:fldChar w:fldCharType="begin"/>
      </w:r>
      <w:r>
        <w:rPr>
          <w:noProof/>
        </w:rPr>
        <w:instrText xml:space="preserve"> PAGEREF _Toc47109908 \h </w:instrText>
      </w:r>
      <w:r>
        <w:rPr>
          <w:noProof/>
        </w:rPr>
      </w:r>
      <w:r>
        <w:rPr>
          <w:noProof/>
        </w:rPr>
        <w:fldChar w:fldCharType="separate"/>
      </w:r>
      <w:r>
        <w:rPr>
          <w:noProof/>
        </w:rPr>
        <w:t>4</w:t>
      </w:r>
      <w:r>
        <w:rPr>
          <w:noProof/>
        </w:rPr>
        <w:fldChar w:fldCharType="end"/>
      </w:r>
    </w:p>
    <w:p w:rsidR="009154D0" w:rsidRDefault="009154D0">
      <w:pPr>
        <w:pStyle w:val="TOC3"/>
        <w:rPr>
          <w:rFonts w:asciiTheme="minorHAnsi" w:eastAsiaTheme="minorEastAsia" w:hAnsiTheme="minorHAnsi" w:cstheme="minorBidi"/>
          <w:b w:val="0"/>
          <w:noProof/>
          <w:kern w:val="0"/>
          <w:szCs w:val="22"/>
        </w:rPr>
      </w:pPr>
      <w:r>
        <w:rPr>
          <w:noProof/>
        </w:rPr>
        <w:t>Division 2</w:t>
      </w:r>
      <w:r w:rsidRPr="00702D8C">
        <w:rPr>
          <w:rStyle w:val="CharDivNo"/>
          <w:noProof/>
        </w:rPr>
        <w:sym w:font="Symbol" w:char="F0BE"/>
      </w:r>
      <w:r>
        <w:rPr>
          <w:noProof/>
        </w:rPr>
        <w:t>Requirements relating to screening</w:t>
      </w:r>
      <w:r>
        <w:rPr>
          <w:noProof/>
        </w:rPr>
        <w:tab/>
      </w:r>
      <w:r>
        <w:rPr>
          <w:noProof/>
        </w:rPr>
        <w:fldChar w:fldCharType="begin"/>
      </w:r>
      <w:r>
        <w:rPr>
          <w:noProof/>
        </w:rPr>
        <w:instrText xml:space="preserve"> PAGEREF _Toc47109909 \h </w:instrText>
      </w:r>
      <w:r>
        <w:rPr>
          <w:noProof/>
        </w:rPr>
      </w:r>
      <w:r>
        <w:rPr>
          <w:noProof/>
        </w:rPr>
        <w:fldChar w:fldCharType="separate"/>
      </w:r>
      <w:r>
        <w:rPr>
          <w:noProof/>
        </w:rPr>
        <w:t>4</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9  What this Division is about</w:t>
      </w:r>
      <w:r>
        <w:rPr>
          <w:noProof/>
        </w:rPr>
        <w:tab/>
      </w:r>
      <w:r>
        <w:rPr>
          <w:noProof/>
        </w:rPr>
        <w:fldChar w:fldCharType="begin"/>
      </w:r>
      <w:r>
        <w:rPr>
          <w:noProof/>
        </w:rPr>
        <w:instrText xml:space="preserve"> PAGEREF _Toc47109910 \h </w:instrText>
      </w:r>
      <w:r>
        <w:rPr>
          <w:noProof/>
        </w:rPr>
      </w:r>
      <w:r>
        <w:rPr>
          <w:noProof/>
        </w:rPr>
        <w:fldChar w:fldCharType="separate"/>
      </w:r>
      <w:r>
        <w:rPr>
          <w:noProof/>
        </w:rPr>
        <w:t>4</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10  Proposed donors and accepted donors</w:t>
      </w:r>
      <w:r>
        <w:rPr>
          <w:noProof/>
        </w:rPr>
        <w:tab/>
      </w:r>
      <w:r>
        <w:rPr>
          <w:noProof/>
        </w:rPr>
        <w:fldChar w:fldCharType="begin"/>
      </w:r>
      <w:r>
        <w:rPr>
          <w:noProof/>
        </w:rPr>
        <w:instrText xml:space="preserve"> PAGEREF _Toc47109911 \h </w:instrText>
      </w:r>
      <w:r>
        <w:rPr>
          <w:noProof/>
        </w:rPr>
      </w:r>
      <w:r>
        <w:rPr>
          <w:noProof/>
        </w:rPr>
        <w:fldChar w:fldCharType="separate"/>
      </w:r>
      <w:r>
        <w:rPr>
          <w:noProof/>
        </w:rPr>
        <w:t>4</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11  General screening procedures</w:t>
      </w:r>
      <w:r>
        <w:rPr>
          <w:noProof/>
        </w:rPr>
        <w:tab/>
      </w:r>
      <w:r>
        <w:rPr>
          <w:noProof/>
        </w:rPr>
        <w:fldChar w:fldCharType="begin"/>
      </w:r>
      <w:r>
        <w:rPr>
          <w:noProof/>
        </w:rPr>
        <w:instrText xml:space="preserve"> PAGEREF _Toc47109912 \h </w:instrText>
      </w:r>
      <w:r>
        <w:rPr>
          <w:noProof/>
        </w:rPr>
      </w:r>
      <w:r>
        <w:rPr>
          <w:noProof/>
        </w:rPr>
        <w:fldChar w:fldCharType="separate"/>
      </w:r>
      <w:r>
        <w:rPr>
          <w:noProof/>
        </w:rPr>
        <w:t>5</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12  Medical and social history</w:t>
      </w:r>
      <w:r>
        <w:rPr>
          <w:noProof/>
        </w:rPr>
        <w:tab/>
      </w:r>
      <w:r>
        <w:rPr>
          <w:noProof/>
        </w:rPr>
        <w:fldChar w:fldCharType="begin"/>
      </w:r>
      <w:r>
        <w:rPr>
          <w:noProof/>
        </w:rPr>
        <w:instrText xml:space="preserve"> PAGEREF _Toc47109913 \h </w:instrText>
      </w:r>
      <w:r>
        <w:rPr>
          <w:noProof/>
        </w:rPr>
      </w:r>
      <w:r>
        <w:rPr>
          <w:noProof/>
        </w:rPr>
        <w:fldChar w:fldCharType="separate"/>
      </w:r>
      <w:r>
        <w:rPr>
          <w:noProof/>
        </w:rPr>
        <w:t>5</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13  Blood, stool and other samples—taking</w:t>
      </w:r>
      <w:r>
        <w:rPr>
          <w:noProof/>
        </w:rPr>
        <w:tab/>
      </w:r>
      <w:r>
        <w:rPr>
          <w:noProof/>
        </w:rPr>
        <w:fldChar w:fldCharType="begin"/>
      </w:r>
      <w:r>
        <w:rPr>
          <w:noProof/>
        </w:rPr>
        <w:instrText xml:space="preserve"> PAGEREF _Toc47109914 \h </w:instrText>
      </w:r>
      <w:r>
        <w:rPr>
          <w:noProof/>
        </w:rPr>
      </w:r>
      <w:r>
        <w:rPr>
          <w:noProof/>
        </w:rPr>
        <w:fldChar w:fldCharType="separate"/>
      </w:r>
      <w:r>
        <w:rPr>
          <w:noProof/>
        </w:rPr>
        <w:t>7</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14  Blood, stool and other samples—testing</w:t>
      </w:r>
      <w:r>
        <w:rPr>
          <w:noProof/>
        </w:rPr>
        <w:tab/>
      </w:r>
      <w:r>
        <w:rPr>
          <w:noProof/>
        </w:rPr>
        <w:fldChar w:fldCharType="begin"/>
      </w:r>
      <w:r>
        <w:rPr>
          <w:noProof/>
        </w:rPr>
        <w:instrText xml:space="preserve"> PAGEREF _Toc47109915 \h </w:instrText>
      </w:r>
      <w:r>
        <w:rPr>
          <w:noProof/>
        </w:rPr>
      </w:r>
      <w:r>
        <w:rPr>
          <w:noProof/>
        </w:rPr>
        <w:fldChar w:fldCharType="separate"/>
      </w:r>
      <w:r>
        <w:rPr>
          <w:noProof/>
        </w:rPr>
        <w:t>8</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15  Physical assessment</w:t>
      </w:r>
      <w:r>
        <w:rPr>
          <w:noProof/>
        </w:rPr>
        <w:tab/>
      </w:r>
      <w:r>
        <w:rPr>
          <w:noProof/>
        </w:rPr>
        <w:fldChar w:fldCharType="begin"/>
      </w:r>
      <w:r>
        <w:rPr>
          <w:noProof/>
        </w:rPr>
        <w:instrText xml:space="preserve"> PAGEREF _Toc47109916 \h </w:instrText>
      </w:r>
      <w:r>
        <w:rPr>
          <w:noProof/>
        </w:rPr>
      </w:r>
      <w:r>
        <w:rPr>
          <w:noProof/>
        </w:rPr>
        <w:fldChar w:fldCharType="separate"/>
      </w:r>
      <w:r>
        <w:rPr>
          <w:noProof/>
        </w:rPr>
        <w:t>11</w:t>
      </w:r>
      <w:r>
        <w:rPr>
          <w:noProof/>
        </w:rPr>
        <w:fldChar w:fldCharType="end"/>
      </w:r>
    </w:p>
    <w:p w:rsidR="009154D0" w:rsidRDefault="009154D0">
      <w:pPr>
        <w:pStyle w:val="TOC3"/>
        <w:rPr>
          <w:rFonts w:asciiTheme="minorHAnsi" w:eastAsiaTheme="minorEastAsia" w:hAnsiTheme="minorHAnsi" w:cstheme="minorBidi"/>
          <w:b w:val="0"/>
          <w:noProof/>
          <w:kern w:val="0"/>
          <w:szCs w:val="22"/>
        </w:rPr>
      </w:pPr>
      <w:r>
        <w:rPr>
          <w:noProof/>
        </w:rPr>
        <w:t>Division 3</w:t>
      </w:r>
      <w:r w:rsidRPr="00702D8C">
        <w:rPr>
          <w:rStyle w:val="CharDivNo"/>
          <w:noProof/>
        </w:rPr>
        <w:sym w:font="Symbol" w:char="F0BE"/>
      </w:r>
      <w:r>
        <w:rPr>
          <w:noProof/>
        </w:rPr>
        <w:t>Requirements following collection</w:t>
      </w:r>
      <w:r>
        <w:rPr>
          <w:noProof/>
        </w:rPr>
        <w:tab/>
      </w:r>
      <w:r>
        <w:rPr>
          <w:noProof/>
        </w:rPr>
        <w:fldChar w:fldCharType="begin"/>
      </w:r>
      <w:r>
        <w:rPr>
          <w:noProof/>
        </w:rPr>
        <w:instrText xml:space="preserve"> PAGEREF _Toc47109917 \h </w:instrText>
      </w:r>
      <w:r>
        <w:rPr>
          <w:noProof/>
        </w:rPr>
      </w:r>
      <w:r>
        <w:rPr>
          <w:noProof/>
        </w:rPr>
        <w:fldChar w:fldCharType="separate"/>
      </w:r>
      <w:r>
        <w:rPr>
          <w:noProof/>
        </w:rPr>
        <w:t>12</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16  What this Division is about</w:t>
      </w:r>
      <w:r>
        <w:rPr>
          <w:noProof/>
        </w:rPr>
        <w:tab/>
      </w:r>
      <w:r>
        <w:rPr>
          <w:noProof/>
        </w:rPr>
        <w:fldChar w:fldCharType="begin"/>
      </w:r>
      <w:r>
        <w:rPr>
          <w:noProof/>
        </w:rPr>
        <w:instrText xml:space="preserve"> PAGEREF _Toc47109918 \h </w:instrText>
      </w:r>
      <w:r>
        <w:rPr>
          <w:noProof/>
        </w:rPr>
      </w:r>
      <w:r>
        <w:rPr>
          <w:noProof/>
        </w:rPr>
        <w:fldChar w:fldCharType="separate"/>
      </w:r>
      <w:r>
        <w:rPr>
          <w:noProof/>
        </w:rPr>
        <w:t>12</w:t>
      </w:r>
      <w:r>
        <w:rPr>
          <w:noProof/>
        </w:rPr>
        <w:fldChar w:fldCharType="end"/>
      </w:r>
    </w:p>
    <w:p w:rsidR="009154D0" w:rsidRDefault="009154D0">
      <w:pPr>
        <w:pStyle w:val="TOC5"/>
        <w:rPr>
          <w:rFonts w:asciiTheme="minorHAnsi" w:eastAsiaTheme="minorEastAsia" w:hAnsiTheme="minorHAnsi" w:cstheme="minorBidi"/>
          <w:noProof/>
          <w:kern w:val="0"/>
          <w:sz w:val="22"/>
          <w:szCs w:val="22"/>
        </w:rPr>
      </w:pPr>
      <w:r>
        <w:rPr>
          <w:noProof/>
        </w:rPr>
        <w:t>17  Microbial control procedures</w:t>
      </w:r>
      <w:r>
        <w:rPr>
          <w:noProof/>
        </w:rPr>
        <w:tab/>
      </w:r>
      <w:r>
        <w:rPr>
          <w:noProof/>
        </w:rPr>
        <w:fldChar w:fldCharType="begin"/>
      </w:r>
      <w:r>
        <w:rPr>
          <w:noProof/>
        </w:rPr>
        <w:instrText xml:space="preserve"> PAGEREF _Toc47109919 \h </w:instrText>
      </w:r>
      <w:r>
        <w:rPr>
          <w:noProof/>
        </w:rPr>
      </w:r>
      <w:r>
        <w:rPr>
          <w:noProof/>
        </w:rPr>
        <w:fldChar w:fldCharType="separate"/>
      </w:r>
      <w:r>
        <w:rPr>
          <w:noProof/>
        </w:rPr>
        <w:t>12</w:t>
      </w:r>
      <w:r>
        <w:rPr>
          <w:noProof/>
        </w:rPr>
        <w:fldChar w:fldCharType="end"/>
      </w:r>
    </w:p>
    <w:p w:rsidR="009154D0" w:rsidRDefault="009154D0">
      <w:pPr>
        <w:pStyle w:val="TOC6"/>
        <w:rPr>
          <w:rFonts w:asciiTheme="minorHAnsi" w:eastAsiaTheme="minorEastAsia" w:hAnsiTheme="minorHAnsi" w:cstheme="minorBidi"/>
          <w:b w:val="0"/>
          <w:noProof/>
          <w:kern w:val="0"/>
          <w:sz w:val="22"/>
          <w:szCs w:val="22"/>
        </w:rPr>
      </w:pPr>
      <w:r>
        <w:rPr>
          <w:noProof/>
        </w:rPr>
        <w:t>Schedule 1—Ineligibility criteria for donor selection</w:t>
      </w:r>
      <w:r>
        <w:rPr>
          <w:noProof/>
        </w:rPr>
        <w:tab/>
      </w:r>
      <w:r>
        <w:rPr>
          <w:noProof/>
        </w:rPr>
        <w:fldChar w:fldCharType="begin"/>
      </w:r>
      <w:r>
        <w:rPr>
          <w:noProof/>
        </w:rPr>
        <w:instrText xml:space="preserve"> PAGEREF _Toc47109920 \h </w:instrText>
      </w:r>
      <w:r>
        <w:rPr>
          <w:noProof/>
        </w:rPr>
      </w:r>
      <w:r>
        <w:rPr>
          <w:noProof/>
        </w:rPr>
        <w:fldChar w:fldCharType="separate"/>
      </w:r>
      <w:r>
        <w:rPr>
          <w:noProof/>
        </w:rPr>
        <w:t>14</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CE653F">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B1537F" w:rsidRPr="003327DE" w:rsidRDefault="00B1537F" w:rsidP="003327DE">
      <w:pPr>
        <w:pStyle w:val="ActHead2"/>
        <w:rPr>
          <w:rStyle w:val="CharPartNo"/>
        </w:rPr>
      </w:pPr>
      <w:bookmarkStart w:id="1" w:name="_Toc47109898"/>
      <w:r w:rsidRPr="003327DE">
        <w:rPr>
          <w:rStyle w:val="CharPartNo"/>
        </w:rPr>
        <w:lastRenderedPageBreak/>
        <w:t>Part 1</w:t>
      </w:r>
      <w:r w:rsidR="00A3351A" w:rsidRPr="003327DE">
        <w:rPr>
          <w:rStyle w:val="CharPartNo"/>
        </w:rPr>
        <w:sym w:font="Symbol" w:char="F0BE"/>
      </w:r>
      <w:r w:rsidRPr="003327DE">
        <w:rPr>
          <w:rStyle w:val="CharPartNo"/>
        </w:rPr>
        <w:t>Preliminary</w:t>
      </w:r>
      <w:bookmarkEnd w:id="1"/>
    </w:p>
    <w:p w:rsidR="00554826" w:rsidRPr="00554826" w:rsidRDefault="00554826" w:rsidP="00554826">
      <w:pPr>
        <w:pStyle w:val="ActHead5"/>
      </w:pPr>
      <w:bookmarkStart w:id="2" w:name="_Toc47109899"/>
      <w:r w:rsidRPr="00554826">
        <w:t>1  Name</w:t>
      </w:r>
      <w:bookmarkEnd w:id="2"/>
    </w:p>
    <w:p w:rsidR="00460721" w:rsidRDefault="007C4C58" w:rsidP="00D50E6D">
      <w:pPr>
        <w:pStyle w:val="subsection"/>
      </w:pPr>
      <w:r>
        <w:tab/>
        <w:t>(1)</w:t>
      </w:r>
      <w:r>
        <w:tab/>
      </w:r>
      <w:r w:rsidR="00554826" w:rsidRPr="009C2562">
        <w:t xml:space="preserve">This </w:t>
      </w:r>
      <w:r w:rsidR="00554826">
        <w:t xml:space="preserve">instrument </w:t>
      </w:r>
      <w:r w:rsidR="00554826" w:rsidRPr="009C2562">
        <w:t>is the</w:t>
      </w:r>
      <w:bookmarkStart w:id="3" w:name="BKCheck15B_3"/>
      <w:bookmarkEnd w:id="3"/>
      <w:r w:rsidR="0064082C" w:rsidRPr="00D50E6D">
        <w:t xml:space="preserve"> </w:t>
      </w:r>
      <w:r w:rsidR="0064082C" w:rsidRPr="007C4C58">
        <w:rPr>
          <w:i/>
        </w:rPr>
        <w:t>Therapeutic Goods (</w:t>
      </w:r>
      <w:r w:rsidR="003D03A7" w:rsidRPr="007C4C58">
        <w:rPr>
          <w:i/>
        </w:rPr>
        <w:t xml:space="preserve">Standard for </w:t>
      </w:r>
      <w:r w:rsidR="0064082C" w:rsidRPr="007C4C58">
        <w:rPr>
          <w:i/>
        </w:rPr>
        <w:t xml:space="preserve">Faecal Microbiota Transplant </w:t>
      </w:r>
      <w:r w:rsidR="00EC74FD" w:rsidRPr="007C4C58">
        <w:rPr>
          <w:i/>
        </w:rPr>
        <w:t>Products</w:t>
      </w:r>
      <w:r w:rsidR="0064082C" w:rsidRPr="007C4C58">
        <w:rPr>
          <w:i/>
        </w:rPr>
        <w:t xml:space="preserve">) </w:t>
      </w:r>
      <w:r w:rsidR="00D064C8" w:rsidRPr="007C4C58">
        <w:rPr>
          <w:i/>
        </w:rPr>
        <w:t xml:space="preserve">(TGO 105) </w:t>
      </w:r>
      <w:r w:rsidR="0064082C" w:rsidRPr="007C4C58">
        <w:rPr>
          <w:i/>
        </w:rPr>
        <w:t>Order 2020</w:t>
      </w:r>
      <w:r w:rsidR="00ED3139">
        <w:t>.</w:t>
      </w:r>
    </w:p>
    <w:p w:rsidR="00554826" w:rsidRDefault="007C4C58" w:rsidP="00D50E6D">
      <w:pPr>
        <w:pStyle w:val="subsection"/>
      </w:pPr>
      <w:r>
        <w:tab/>
        <w:t>(2)</w:t>
      </w:r>
      <w:r>
        <w:tab/>
      </w:r>
      <w:r w:rsidR="00D064C8">
        <w:t>This instrument may also be cited as TGO 105.</w:t>
      </w:r>
    </w:p>
    <w:p w:rsidR="00554826" w:rsidRPr="00554826" w:rsidRDefault="00554826" w:rsidP="00554826">
      <w:pPr>
        <w:pStyle w:val="ActHead5"/>
      </w:pPr>
      <w:bookmarkStart w:id="4" w:name="_Toc47109900"/>
      <w:r w:rsidRPr="00554826">
        <w:t>2  Commencement</w:t>
      </w:r>
      <w:bookmarkEnd w:id="4"/>
    </w:p>
    <w:p w:rsidR="003767E2" w:rsidRPr="003422B4" w:rsidRDefault="003767E2" w:rsidP="00D50E6D">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CE653F">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CE653F">
            <w:pPr>
              <w:pStyle w:val="TableHeading"/>
            </w:pPr>
            <w:r w:rsidRPr="003422B4">
              <w:t>Commencement information</w:t>
            </w:r>
          </w:p>
        </w:tc>
      </w:tr>
      <w:tr w:rsidR="003767E2" w:rsidRPr="003422B4" w:rsidTr="00CE653F">
        <w:trPr>
          <w:tblHeader/>
        </w:trPr>
        <w:tc>
          <w:tcPr>
            <w:tcW w:w="2127" w:type="dxa"/>
            <w:tcBorders>
              <w:top w:val="single" w:sz="6" w:space="0" w:color="auto"/>
              <w:bottom w:val="single" w:sz="6" w:space="0" w:color="auto"/>
            </w:tcBorders>
            <w:shd w:val="clear" w:color="auto" w:fill="auto"/>
            <w:hideMark/>
          </w:tcPr>
          <w:p w:rsidR="003767E2" w:rsidRPr="003422B4" w:rsidRDefault="003767E2" w:rsidP="00CE653F">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CE653F">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CE653F">
            <w:pPr>
              <w:pStyle w:val="TableHeading"/>
            </w:pPr>
            <w:r w:rsidRPr="003422B4">
              <w:t>Column 3</w:t>
            </w:r>
          </w:p>
        </w:tc>
      </w:tr>
      <w:tr w:rsidR="003767E2" w:rsidRPr="003422B4" w:rsidTr="00CE653F">
        <w:trPr>
          <w:tblHeader/>
        </w:trPr>
        <w:tc>
          <w:tcPr>
            <w:tcW w:w="2127" w:type="dxa"/>
            <w:tcBorders>
              <w:top w:val="single" w:sz="6" w:space="0" w:color="auto"/>
              <w:bottom w:val="single" w:sz="12" w:space="0" w:color="auto"/>
            </w:tcBorders>
            <w:shd w:val="clear" w:color="auto" w:fill="auto"/>
            <w:hideMark/>
          </w:tcPr>
          <w:p w:rsidR="003767E2" w:rsidRPr="003422B4" w:rsidRDefault="003767E2" w:rsidP="00CE653F">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CE653F">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D717F1">
            <w:pPr>
              <w:pStyle w:val="TableHeading"/>
            </w:pPr>
            <w:r w:rsidRPr="003422B4">
              <w:t>Date</w:t>
            </w:r>
            <w:r w:rsidR="00D717F1">
              <w:t xml:space="preserve"> </w:t>
            </w:r>
            <w:r w:rsidRPr="003422B4">
              <w:t>/</w:t>
            </w:r>
            <w:r w:rsidR="00D717F1">
              <w:t xml:space="preserve"> </w:t>
            </w:r>
            <w:r w:rsidRPr="003422B4">
              <w:t>Details</w:t>
            </w:r>
          </w:p>
        </w:tc>
      </w:tr>
      <w:tr w:rsidR="003767E2" w:rsidRPr="003422B4" w:rsidTr="00CE653F">
        <w:tc>
          <w:tcPr>
            <w:tcW w:w="2127" w:type="dxa"/>
            <w:tcBorders>
              <w:top w:val="single" w:sz="12" w:space="0" w:color="auto"/>
              <w:bottom w:val="single" w:sz="12" w:space="0" w:color="auto"/>
            </w:tcBorders>
            <w:shd w:val="clear" w:color="auto" w:fill="auto"/>
            <w:hideMark/>
          </w:tcPr>
          <w:p w:rsidR="003767E2" w:rsidRPr="0064082C" w:rsidRDefault="003767E2" w:rsidP="00CE653F">
            <w:pPr>
              <w:pStyle w:val="Tabletext"/>
            </w:pPr>
            <w:r w:rsidRPr="003422B4">
              <w:t xml:space="preserve">1.  </w:t>
            </w:r>
            <w:r w:rsidR="005919B6">
              <w:t>The whole of this instrument</w:t>
            </w:r>
          </w:p>
        </w:tc>
        <w:tc>
          <w:tcPr>
            <w:tcW w:w="4394" w:type="dxa"/>
            <w:tcBorders>
              <w:top w:val="single" w:sz="12" w:space="0" w:color="auto"/>
              <w:bottom w:val="single" w:sz="12" w:space="0" w:color="auto"/>
            </w:tcBorders>
            <w:shd w:val="clear" w:color="auto" w:fill="auto"/>
            <w:hideMark/>
          </w:tcPr>
          <w:p w:rsidR="003767E2" w:rsidRPr="0064082C" w:rsidRDefault="0064082C" w:rsidP="009F2C8A">
            <w:pPr>
              <w:pStyle w:val="Tabletext"/>
            </w:pPr>
            <w:r>
              <w:t xml:space="preserve">1 </w:t>
            </w:r>
            <w:r w:rsidR="009F2C8A">
              <w:t xml:space="preserve">July </w:t>
            </w:r>
            <w:r w:rsidR="001E791B">
              <w:t>2021</w:t>
            </w:r>
            <w:r w:rsidR="00A6640B">
              <w:t>.</w:t>
            </w:r>
          </w:p>
        </w:tc>
        <w:tc>
          <w:tcPr>
            <w:tcW w:w="1843" w:type="dxa"/>
            <w:tcBorders>
              <w:top w:val="single" w:sz="12" w:space="0" w:color="auto"/>
              <w:bottom w:val="single" w:sz="12" w:space="0" w:color="auto"/>
            </w:tcBorders>
            <w:shd w:val="clear" w:color="auto" w:fill="auto"/>
          </w:tcPr>
          <w:p w:rsidR="003767E2" w:rsidRPr="0064082C" w:rsidRDefault="0064082C" w:rsidP="009F2C8A">
            <w:pPr>
              <w:pStyle w:val="Tabletext"/>
            </w:pPr>
            <w:r>
              <w:t>1</w:t>
            </w:r>
            <w:r w:rsidR="00EC74FD">
              <w:t xml:space="preserve"> </w:t>
            </w:r>
            <w:r w:rsidR="009F2C8A">
              <w:t xml:space="preserve">July </w:t>
            </w:r>
            <w:r w:rsidR="001E791B">
              <w:t>2021</w:t>
            </w: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2F26BF" w:rsidP="00554826">
      <w:pPr>
        <w:pStyle w:val="ActHead5"/>
      </w:pPr>
      <w:bookmarkStart w:id="5" w:name="_Toc47109901"/>
      <w:r>
        <w:t xml:space="preserve">3  </w:t>
      </w:r>
      <w:r w:rsidR="00554826" w:rsidRPr="00554826">
        <w:t>Authority</w:t>
      </w:r>
      <w:bookmarkEnd w:id="5"/>
    </w:p>
    <w:p w:rsidR="00554826" w:rsidRPr="009C2562" w:rsidRDefault="00554826" w:rsidP="00554826">
      <w:pPr>
        <w:pStyle w:val="subsection"/>
      </w:pPr>
      <w:r w:rsidRPr="009C2562">
        <w:tab/>
      </w:r>
      <w:r w:rsidRPr="009C2562">
        <w:tab/>
        <w:t xml:space="preserve">This instrument is made under </w:t>
      </w:r>
      <w:r w:rsidR="0064082C">
        <w:t xml:space="preserve">section 10 of the </w:t>
      </w:r>
      <w:r w:rsidR="0064082C" w:rsidRPr="0064082C">
        <w:rPr>
          <w:i/>
        </w:rPr>
        <w:t>Therapeutic Goods Act 1989</w:t>
      </w:r>
      <w:r w:rsidRPr="009C2562">
        <w:t>.</w:t>
      </w:r>
    </w:p>
    <w:p w:rsidR="00554826" w:rsidRPr="00554826" w:rsidRDefault="002F26BF" w:rsidP="00554826">
      <w:pPr>
        <w:pStyle w:val="ActHead5"/>
      </w:pPr>
      <w:bookmarkStart w:id="6" w:name="_Toc47109902"/>
      <w:r>
        <w:t xml:space="preserve">4  </w:t>
      </w:r>
      <w:r w:rsidR="00554826" w:rsidRPr="00554826">
        <w:t>Definitions</w:t>
      </w:r>
      <w:bookmarkEnd w:id="6"/>
    </w:p>
    <w:p w:rsidR="00554826" w:rsidRPr="009C2562" w:rsidRDefault="00554826" w:rsidP="00554826">
      <w:pPr>
        <w:pStyle w:val="notetext"/>
      </w:pPr>
      <w:r w:rsidRPr="009C2562">
        <w:t>Note:</w:t>
      </w:r>
      <w:r w:rsidRPr="009C2562">
        <w:tab/>
        <w:t xml:space="preserve">A number of expressions used in this instrument are defined in </w:t>
      </w:r>
      <w:r w:rsidR="0064082C">
        <w:t xml:space="preserve">subsection 3(1) </w:t>
      </w:r>
      <w:r>
        <w:t>of the Act</w:t>
      </w:r>
      <w:r w:rsidRPr="009C2562">
        <w:t>, including the following:</w:t>
      </w:r>
    </w:p>
    <w:p w:rsidR="00554826" w:rsidRDefault="00554826" w:rsidP="00554826">
      <w:pPr>
        <w:pStyle w:val="notepara"/>
      </w:pPr>
      <w:r w:rsidRPr="009C2562">
        <w:t>(a)</w:t>
      </w:r>
      <w:r w:rsidRPr="009C2562">
        <w:tab/>
      </w:r>
      <w:r w:rsidR="0064082C">
        <w:t>biological</w:t>
      </w:r>
      <w:r w:rsidRPr="009C2562">
        <w:t>;</w:t>
      </w:r>
    </w:p>
    <w:p w:rsidR="001E3624" w:rsidRDefault="001E3624" w:rsidP="00554826">
      <w:pPr>
        <w:pStyle w:val="notepara"/>
      </w:pPr>
      <w:r>
        <w:t>(b)</w:t>
      </w:r>
      <w:r>
        <w:tab/>
        <w:t>container;</w:t>
      </w:r>
    </w:p>
    <w:p w:rsidR="00FC7023" w:rsidRDefault="00FC7023" w:rsidP="00554826">
      <w:pPr>
        <w:pStyle w:val="notepara"/>
      </w:pPr>
      <w:r>
        <w:t>(c)</w:t>
      </w:r>
      <w:r>
        <w:tab/>
        <w:t>health practitioner;</w:t>
      </w:r>
    </w:p>
    <w:p w:rsidR="001E0EDC" w:rsidRDefault="00E5022B" w:rsidP="00222DE3">
      <w:pPr>
        <w:pStyle w:val="notepara"/>
      </w:pPr>
      <w:r>
        <w:t>(</w:t>
      </w:r>
      <w:r w:rsidR="00FC7023">
        <w:t>d</w:t>
      </w:r>
      <w:r>
        <w:t>)</w:t>
      </w:r>
      <w:r>
        <w:tab/>
      </w:r>
      <w:r w:rsidR="001A2065">
        <w:t>manufacture;</w:t>
      </w:r>
    </w:p>
    <w:p w:rsidR="00AD2FF5" w:rsidRDefault="001E0EDC" w:rsidP="004B71B2">
      <w:pPr>
        <w:pStyle w:val="notepara"/>
      </w:pPr>
      <w:r>
        <w:t>(</w:t>
      </w:r>
      <w:r w:rsidR="00FC7023">
        <w:t>e</w:t>
      </w:r>
      <w:r>
        <w:t>)</w:t>
      </w:r>
      <w:r>
        <w:tab/>
        <w:t>medicine;</w:t>
      </w:r>
    </w:p>
    <w:p w:rsidR="00222DE3" w:rsidRDefault="00FC7023" w:rsidP="004B71B2">
      <w:pPr>
        <w:pStyle w:val="notepara"/>
      </w:pPr>
      <w:r>
        <w:t>(f</w:t>
      </w:r>
      <w:r w:rsidR="00222DE3">
        <w:t>)</w:t>
      </w:r>
      <w:r w:rsidR="00222DE3">
        <w:tab/>
        <w:t>Register;</w:t>
      </w:r>
    </w:p>
    <w:p w:rsidR="008220DA" w:rsidRDefault="00AD2FF5" w:rsidP="004B71B2">
      <w:pPr>
        <w:pStyle w:val="notepara"/>
      </w:pPr>
      <w:r>
        <w:t>(</w:t>
      </w:r>
      <w:r w:rsidR="00FC7023">
        <w:t>g</w:t>
      </w:r>
      <w:r>
        <w:t>)</w:t>
      </w:r>
      <w:r>
        <w:tab/>
        <w:t>standard:</w:t>
      </w:r>
    </w:p>
    <w:p w:rsidR="005D1791" w:rsidRDefault="00AD2FF5" w:rsidP="004B71B2">
      <w:pPr>
        <w:pStyle w:val="notepara"/>
      </w:pPr>
      <w:r>
        <w:t>(</w:t>
      </w:r>
      <w:r w:rsidR="00FC7023">
        <w:t>h</w:t>
      </w:r>
      <w:r w:rsidR="008220DA">
        <w:t>)</w:t>
      </w:r>
      <w:r w:rsidR="008220DA">
        <w:tab/>
        <w:t xml:space="preserve">supply; </w:t>
      </w:r>
      <w:r w:rsidR="005D1791">
        <w:t>and</w:t>
      </w:r>
    </w:p>
    <w:p w:rsidR="00554826" w:rsidRPr="009C2562" w:rsidRDefault="005D1791" w:rsidP="00554826">
      <w:pPr>
        <w:pStyle w:val="notepara"/>
      </w:pPr>
      <w:r>
        <w:t>(</w:t>
      </w:r>
      <w:r w:rsidR="00FC7023">
        <w:t>i</w:t>
      </w:r>
      <w:r>
        <w:t>)</w:t>
      </w:r>
      <w:r>
        <w:tab/>
        <w:t>therapeutic goods</w:t>
      </w:r>
      <w:r w:rsidR="00554826">
        <w:t>.</w:t>
      </w:r>
    </w:p>
    <w:p w:rsidR="00554826" w:rsidRPr="009C2562" w:rsidRDefault="00554826" w:rsidP="00554826">
      <w:pPr>
        <w:pStyle w:val="subsection"/>
      </w:pPr>
      <w:r w:rsidRPr="009C2562">
        <w:tab/>
      </w:r>
      <w:r w:rsidRPr="009C2562">
        <w:tab/>
        <w:t>In this instrument:</w:t>
      </w:r>
    </w:p>
    <w:p w:rsidR="00032B73" w:rsidRPr="004319AE" w:rsidRDefault="00032B73" w:rsidP="00032B73">
      <w:pPr>
        <w:pStyle w:val="Definition"/>
      </w:pPr>
      <w:r w:rsidRPr="00032B73">
        <w:rPr>
          <w:b/>
          <w:i/>
        </w:rPr>
        <w:t>accepted donor</w:t>
      </w:r>
      <w:r w:rsidRPr="00FD6DF8">
        <w:t xml:space="preserve"> </w:t>
      </w:r>
      <w:r w:rsidR="00AC36A4">
        <w:t xml:space="preserve">has the meaning given by </w:t>
      </w:r>
      <w:r w:rsidR="007637B8">
        <w:t>sub</w:t>
      </w:r>
      <w:r w:rsidR="00AC36A4">
        <w:t xml:space="preserve">section </w:t>
      </w:r>
      <w:r w:rsidR="007637B8" w:rsidRPr="00F71B1B">
        <w:t>10(2</w:t>
      </w:r>
      <w:r w:rsidR="00E9585D" w:rsidRPr="00F71B1B">
        <w:t>)</w:t>
      </w:r>
      <w:r w:rsidR="00AC36A4" w:rsidRPr="00F71B1B">
        <w:t>.</w:t>
      </w:r>
    </w:p>
    <w:p w:rsidR="00554826" w:rsidRDefault="00554826" w:rsidP="00554826">
      <w:pPr>
        <w:pStyle w:val="Definition"/>
      </w:pPr>
      <w:r w:rsidRPr="009C2562">
        <w:rPr>
          <w:b/>
          <w:i/>
        </w:rPr>
        <w:t>Act</w:t>
      </w:r>
      <w:r w:rsidRPr="009C2562">
        <w:t xml:space="preserve"> means the </w:t>
      </w:r>
      <w:r w:rsidR="0064082C">
        <w:rPr>
          <w:i/>
        </w:rPr>
        <w:t>Therapeutic Goods Act 1989</w:t>
      </w:r>
      <w:r>
        <w:t>.</w:t>
      </w:r>
    </w:p>
    <w:p w:rsidR="00E65672" w:rsidRDefault="005C5B0B" w:rsidP="00E65672">
      <w:pPr>
        <w:pStyle w:val="Definition"/>
      </w:pPr>
      <w:r w:rsidRPr="005C5B0B">
        <w:rPr>
          <w:b/>
          <w:i/>
        </w:rPr>
        <w:t>allogeneic use</w:t>
      </w:r>
      <w:r w:rsidR="00E07150" w:rsidRPr="00EA64CC">
        <w:t>, in relation to an FMT product,</w:t>
      </w:r>
      <w:r w:rsidRPr="005C5B0B">
        <w:t xml:space="preserve"> </w:t>
      </w:r>
      <w:r w:rsidRPr="00C1285D">
        <w:t xml:space="preserve">means </w:t>
      </w:r>
      <w:r w:rsidR="00E65672">
        <w:t>administration to, or application in the treatment of,</w:t>
      </w:r>
      <w:r w:rsidR="009F2C8A">
        <w:t xml:space="preserve"> </w:t>
      </w:r>
      <w:r w:rsidR="00C01682">
        <w:t>a person</w:t>
      </w:r>
      <w:r w:rsidR="0097158D">
        <w:t xml:space="preserve"> </w:t>
      </w:r>
      <w:r w:rsidR="00CA78C9">
        <w:t>other than</w:t>
      </w:r>
      <w:r w:rsidR="0097158D">
        <w:t xml:space="preserve"> the person </w:t>
      </w:r>
      <w:r w:rsidR="00E65672">
        <w:t xml:space="preserve">from </w:t>
      </w:r>
      <w:r w:rsidR="0097158D">
        <w:t>who</w:t>
      </w:r>
      <w:r w:rsidR="00E65672">
        <w:t>m</w:t>
      </w:r>
      <w:r w:rsidR="0097158D">
        <w:t xml:space="preserve"> the</w:t>
      </w:r>
      <w:r w:rsidR="00723234">
        <w:t xml:space="preserve"> </w:t>
      </w:r>
      <w:r w:rsidR="0097158D">
        <w:t>stool</w:t>
      </w:r>
      <w:r w:rsidR="00E65672">
        <w:t xml:space="preserve"> </w:t>
      </w:r>
      <w:r w:rsidR="005323A1">
        <w:t xml:space="preserve">used in the manufacture of </w:t>
      </w:r>
      <w:r w:rsidR="00D81F4B">
        <w:t xml:space="preserve">the </w:t>
      </w:r>
      <w:r w:rsidR="005323A1">
        <w:t>FMT</w:t>
      </w:r>
      <w:r w:rsidR="00D81F4B">
        <w:t xml:space="preserve"> product</w:t>
      </w:r>
      <w:r w:rsidR="005323A1">
        <w:t xml:space="preserve"> </w:t>
      </w:r>
      <w:r w:rsidR="00E65672">
        <w:t>was collected</w:t>
      </w:r>
      <w:r>
        <w:t>.</w:t>
      </w:r>
    </w:p>
    <w:p w:rsidR="00C1285D" w:rsidRDefault="007E3436" w:rsidP="007F48C8">
      <w:pPr>
        <w:pStyle w:val="Definition"/>
      </w:pPr>
      <w:r w:rsidRPr="00A94ED6">
        <w:rPr>
          <w:b/>
          <w:bCs/>
          <w:i/>
          <w:iCs/>
        </w:rPr>
        <w:t>a</w:t>
      </w:r>
      <w:r w:rsidR="00C1285D" w:rsidRPr="00A94ED6">
        <w:rPr>
          <w:b/>
          <w:bCs/>
          <w:i/>
          <w:iCs/>
        </w:rPr>
        <w:t>utologous use</w:t>
      </w:r>
      <w:r w:rsidR="004E0B6E" w:rsidRPr="00EA64CC">
        <w:rPr>
          <w:bCs/>
          <w:iCs/>
        </w:rPr>
        <w:t>, in relation to an FMT product,</w:t>
      </w:r>
      <w:r w:rsidR="005323A1">
        <w:rPr>
          <w:bCs/>
          <w:iCs/>
        </w:rPr>
        <w:t xml:space="preserve"> </w:t>
      </w:r>
      <w:r w:rsidR="00C1285D" w:rsidRPr="00A94ED6">
        <w:t xml:space="preserve">means </w:t>
      </w:r>
      <w:r w:rsidR="00E65672">
        <w:t>administration to, or application in the treatment of,</w:t>
      </w:r>
      <w:r w:rsidR="005323A1">
        <w:t xml:space="preserve"> </w:t>
      </w:r>
      <w:r w:rsidR="004E0B6E" w:rsidRPr="00A94ED6">
        <w:t xml:space="preserve">the person </w:t>
      </w:r>
      <w:r w:rsidR="00E65672">
        <w:t xml:space="preserve">from </w:t>
      </w:r>
      <w:r w:rsidR="0097158D">
        <w:t>who</w:t>
      </w:r>
      <w:r w:rsidR="00E65672">
        <w:t xml:space="preserve">m </w:t>
      </w:r>
      <w:r w:rsidR="004E0B6E" w:rsidRPr="00A94ED6">
        <w:t>the</w:t>
      </w:r>
      <w:r w:rsidR="00723234">
        <w:t xml:space="preserve"> </w:t>
      </w:r>
      <w:r w:rsidR="004E0B6E" w:rsidRPr="00A94ED6">
        <w:t>stool</w:t>
      </w:r>
      <w:r w:rsidR="00E65672">
        <w:t xml:space="preserve"> </w:t>
      </w:r>
      <w:r w:rsidR="005323A1">
        <w:t>used in the manufacture of the FMT product</w:t>
      </w:r>
      <w:r w:rsidR="00E65672">
        <w:t xml:space="preserve"> </w:t>
      </w:r>
      <w:r w:rsidR="003E07C1">
        <w:t xml:space="preserve">was </w:t>
      </w:r>
      <w:r w:rsidR="00E65672">
        <w:t>collected</w:t>
      </w:r>
      <w:r w:rsidR="005323A1">
        <w:t>.</w:t>
      </w:r>
    </w:p>
    <w:p w:rsidR="00A94ED6" w:rsidRDefault="00331512" w:rsidP="00554826">
      <w:pPr>
        <w:pStyle w:val="Definition"/>
      </w:pPr>
      <w:r>
        <w:rPr>
          <w:b/>
          <w:i/>
        </w:rPr>
        <w:t>b</w:t>
      </w:r>
      <w:r w:rsidR="001A2065">
        <w:rPr>
          <w:b/>
          <w:i/>
        </w:rPr>
        <w:t>lood</w:t>
      </w:r>
      <w:r w:rsidR="001A2065">
        <w:t xml:space="preserve"> means whole blood collected from a single human donor and</w:t>
      </w:r>
      <w:r w:rsidR="00A94ED6">
        <w:t xml:space="preserve"> that is:</w:t>
      </w:r>
    </w:p>
    <w:p w:rsidR="00A94ED6" w:rsidRDefault="00A94ED6" w:rsidP="00C55BDE">
      <w:pPr>
        <w:pStyle w:val="paragraph"/>
      </w:pPr>
      <w:r>
        <w:tab/>
        <w:t>(a)</w:t>
      </w:r>
      <w:r>
        <w:tab/>
      </w:r>
      <w:r w:rsidR="003E7466">
        <w:t>used for infectious disease testing</w:t>
      </w:r>
      <w:r>
        <w:t>;</w:t>
      </w:r>
      <w:r w:rsidR="003E7466">
        <w:t xml:space="preserve"> or</w:t>
      </w:r>
    </w:p>
    <w:p w:rsidR="001A2065" w:rsidRDefault="00A94ED6" w:rsidP="00C55BDE">
      <w:pPr>
        <w:pStyle w:val="paragraph"/>
      </w:pPr>
      <w:r>
        <w:tab/>
        <w:t>(b)</w:t>
      </w:r>
      <w:r>
        <w:tab/>
      </w:r>
      <w:r w:rsidR="001A2065">
        <w:t>processed either for transfusion or further manufacturing.</w:t>
      </w:r>
    </w:p>
    <w:p w:rsidR="00381C3E" w:rsidRPr="00964912" w:rsidRDefault="00381C3E" w:rsidP="00381C3E">
      <w:pPr>
        <w:pStyle w:val="Definition"/>
        <w:rPr>
          <w:szCs w:val="22"/>
        </w:rPr>
      </w:pPr>
      <w:r w:rsidRPr="00964912">
        <w:rPr>
          <w:b/>
          <w:i/>
          <w:szCs w:val="22"/>
        </w:rPr>
        <w:t>blood components</w:t>
      </w:r>
      <w:r w:rsidRPr="00964912">
        <w:rPr>
          <w:szCs w:val="22"/>
        </w:rPr>
        <w:t xml:space="preserve"> means any of the following therapeutic components of blood that can be prepared by centrifugation, filtration or freezing using conventional methodologies in blood establishment:</w:t>
      </w:r>
    </w:p>
    <w:p w:rsidR="00381C3E" w:rsidRPr="00964912" w:rsidRDefault="00381C3E" w:rsidP="00381C3E">
      <w:pPr>
        <w:pStyle w:val="paragraph"/>
      </w:pPr>
      <w:r>
        <w:tab/>
      </w:r>
      <w:r w:rsidRPr="00964912">
        <w:t>(a)</w:t>
      </w:r>
      <w:r>
        <w:tab/>
      </w:r>
      <w:r w:rsidR="00C135E9">
        <w:t>haematopoietic progenitor cells</w:t>
      </w:r>
      <w:r w:rsidRPr="00964912">
        <w:t>;</w:t>
      </w:r>
    </w:p>
    <w:p w:rsidR="00381C3E" w:rsidRPr="00964912" w:rsidRDefault="00381C3E" w:rsidP="00381C3E">
      <w:pPr>
        <w:pStyle w:val="paragraph"/>
      </w:pPr>
      <w:r>
        <w:tab/>
      </w:r>
      <w:r w:rsidRPr="00964912">
        <w:t>(b)</w:t>
      </w:r>
      <w:r>
        <w:tab/>
      </w:r>
      <w:r w:rsidR="00C135E9">
        <w:t>plasma</w:t>
      </w:r>
      <w:r w:rsidRPr="00964912">
        <w:t>;</w:t>
      </w:r>
    </w:p>
    <w:p w:rsidR="00381C3E" w:rsidRPr="00964912" w:rsidRDefault="00381C3E" w:rsidP="00381C3E">
      <w:pPr>
        <w:pStyle w:val="paragraph"/>
      </w:pPr>
      <w:r>
        <w:tab/>
      </w:r>
      <w:r w:rsidRPr="00964912">
        <w:t>(c)</w:t>
      </w:r>
      <w:r>
        <w:tab/>
      </w:r>
      <w:r w:rsidRPr="00964912">
        <w:t>platelets;</w:t>
      </w:r>
    </w:p>
    <w:p w:rsidR="00381C3E" w:rsidRDefault="00381C3E" w:rsidP="00381C3E">
      <w:pPr>
        <w:pStyle w:val="paragraph"/>
      </w:pPr>
      <w:r>
        <w:tab/>
      </w:r>
      <w:r w:rsidRPr="00964912">
        <w:t>(d)</w:t>
      </w:r>
      <w:r>
        <w:tab/>
      </w:r>
      <w:r w:rsidR="00C135E9">
        <w:t>red cells</w:t>
      </w:r>
      <w:r w:rsidRPr="00964912">
        <w:t>;</w:t>
      </w:r>
    </w:p>
    <w:p w:rsidR="00381C3E" w:rsidRPr="00964912" w:rsidRDefault="00E5022B" w:rsidP="00C42DD6">
      <w:pPr>
        <w:pStyle w:val="paragraph"/>
      </w:pPr>
      <w:r>
        <w:tab/>
        <w:t>(e)</w:t>
      </w:r>
      <w:r>
        <w:tab/>
      </w:r>
      <w:r w:rsidR="00C135E9">
        <w:t>white</w:t>
      </w:r>
      <w:r>
        <w:t xml:space="preserve"> cells</w:t>
      </w:r>
      <w:r w:rsidR="00381C3E" w:rsidRPr="00964912">
        <w:t>.</w:t>
      </w:r>
    </w:p>
    <w:p w:rsidR="001406AB" w:rsidRDefault="001406AB" w:rsidP="001406AB">
      <w:pPr>
        <w:pStyle w:val="Definition"/>
      </w:pPr>
      <w:r w:rsidRPr="001406AB">
        <w:rPr>
          <w:b/>
          <w:i/>
        </w:rPr>
        <w:t>collection period</w:t>
      </w:r>
      <w:r w:rsidR="008333DE">
        <w:t xml:space="preserve">, in relation to an </w:t>
      </w:r>
      <w:r w:rsidR="008333DE" w:rsidRPr="008033FA">
        <w:t>accepted donor,</w:t>
      </w:r>
      <w:r w:rsidRPr="008033FA">
        <w:t xml:space="preserve"> means a period of 90 days or less </w:t>
      </w:r>
      <w:r w:rsidRPr="00B641CA">
        <w:t xml:space="preserve">over the course of which stool is collected from </w:t>
      </w:r>
      <w:r w:rsidR="008333DE" w:rsidRPr="00B641CA">
        <w:t>the</w:t>
      </w:r>
      <w:r w:rsidRPr="00B641CA">
        <w:t xml:space="preserve"> accepted donor for use in the manufacture of FMT products</w:t>
      </w:r>
      <w:r w:rsidR="008333DE" w:rsidRPr="00B641CA">
        <w:t>, other than fresh FMT products</w:t>
      </w:r>
      <w:r w:rsidRPr="00B641CA">
        <w:t>.</w:t>
      </w:r>
    </w:p>
    <w:p w:rsidR="003C7760" w:rsidRDefault="003C7760" w:rsidP="007550C6">
      <w:pPr>
        <w:pStyle w:val="Definition"/>
        <w:rPr>
          <w:szCs w:val="24"/>
          <w:lang w:val="en"/>
        </w:rPr>
      </w:pPr>
      <w:r>
        <w:rPr>
          <w:b/>
          <w:i/>
        </w:rPr>
        <w:t>critical</w:t>
      </w:r>
      <w:r w:rsidR="005323A1">
        <w:rPr>
          <w:b/>
          <w:i/>
        </w:rPr>
        <w:t xml:space="preserve"> </w:t>
      </w:r>
      <w:r>
        <w:rPr>
          <w:b/>
          <w:i/>
        </w:rPr>
        <w:t>materials</w:t>
      </w:r>
      <w:r w:rsidR="005323A1">
        <w:t xml:space="preserve"> </w:t>
      </w:r>
      <w:r>
        <w:t xml:space="preserve">means all </w:t>
      </w:r>
      <w:r w:rsidR="005323A1">
        <w:t xml:space="preserve">the </w:t>
      </w:r>
      <w:r w:rsidRPr="00B7486B">
        <w:t xml:space="preserve">materials </w:t>
      </w:r>
      <w:r>
        <w:t xml:space="preserve">used in the </w:t>
      </w:r>
      <w:r w:rsidR="00E956D0" w:rsidRPr="00525EBF">
        <w:t>collection</w:t>
      </w:r>
      <w:r w:rsidR="00525EBF">
        <w:t xml:space="preserve"> of </w:t>
      </w:r>
      <w:r w:rsidR="00B7486B" w:rsidRPr="00023474">
        <w:t>stool</w:t>
      </w:r>
      <w:r w:rsidR="00E956D0" w:rsidRPr="00023474">
        <w:t xml:space="preserve"> </w:t>
      </w:r>
      <w:r w:rsidR="00A12D58" w:rsidRPr="00023474">
        <w:t>or</w:t>
      </w:r>
      <w:r w:rsidR="00E956D0">
        <w:t xml:space="preserve"> </w:t>
      </w:r>
      <w:r w:rsidR="00FA28C5">
        <w:t xml:space="preserve">the </w:t>
      </w:r>
      <w:r>
        <w:t xml:space="preserve">manufacture </w:t>
      </w:r>
      <w:r w:rsidR="00DA0E0E">
        <w:t xml:space="preserve">of </w:t>
      </w:r>
      <w:r w:rsidR="001E7FE8">
        <w:t>FMT product</w:t>
      </w:r>
      <w:r w:rsidR="005323A1">
        <w:t>s</w:t>
      </w:r>
      <w:r w:rsidR="001E7FE8">
        <w:rPr>
          <w:szCs w:val="24"/>
          <w:lang w:val="en"/>
        </w:rPr>
        <w:t xml:space="preserve"> </w:t>
      </w:r>
      <w:r w:rsidR="005D1791">
        <w:rPr>
          <w:szCs w:val="24"/>
          <w:lang w:val="en"/>
        </w:rPr>
        <w:t>that</w:t>
      </w:r>
      <w:r w:rsidR="005D1791" w:rsidRPr="003327DE">
        <w:rPr>
          <w:szCs w:val="24"/>
          <w:lang w:val="en"/>
        </w:rPr>
        <w:t xml:space="preserve"> </w:t>
      </w:r>
      <w:r w:rsidR="005D1791">
        <w:rPr>
          <w:szCs w:val="24"/>
          <w:lang w:val="en"/>
        </w:rPr>
        <w:t>may</w:t>
      </w:r>
      <w:r w:rsidR="005D1791" w:rsidRPr="003327DE">
        <w:rPr>
          <w:szCs w:val="24"/>
          <w:lang w:val="en"/>
        </w:rPr>
        <w:t xml:space="preserve"> </w:t>
      </w:r>
      <w:r w:rsidRPr="003327DE">
        <w:rPr>
          <w:szCs w:val="24"/>
          <w:lang w:val="en"/>
        </w:rPr>
        <w:t>direct</w:t>
      </w:r>
      <w:r w:rsidR="00E82064">
        <w:rPr>
          <w:szCs w:val="24"/>
          <w:lang w:val="en"/>
        </w:rPr>
        <w:t>ly</w:t>
      </w:r>
      <w:r w:rsidRPr="003327DE">
        <w:rPr>
          <w:szCs w:val="24"/>
          <w:lang w:val="en"/>
        </w:rPr>
        <w:t xml:space="preserve"> </w:t>
      </w:r>
      <w:r w:rsidR="00E82064">
        <w:rPr>
          <w:szCs w:val="24"/>
          <w:lang w:val="en"/>
        </w:rPr>
        <w:t>affect</w:t>
      </w:r>
      <w:r w:rsidR="00E82064" w:rsidRPr="003327DE">
        <w:rPr>
          <w:szCs w:val="24"/>
          <w:lang w:val="en"/>
        </w:rPr>
        <w:t xml:space="preserve"> </w:t>
      </w:r>
      <w:r w:rsidRPr="003327DE">
        <w:rPr>
          <w:szCs w:val="24"/>
          <w:lang w:val="en"/>
        </w:rPr>
        <w:t>the quality</w:t>
      </w:r>
      <w:r w:rsidR="00FA28C5">
        <w:rPr>
          <w:szCs w:val="24"/>
          <w:lang w:val="en"/>
        </w:rPr>
        <w:t>,</w:t>
      </w:r>
      <w:r w:rsidRPr="003327DE">
        <w:rPr>
          <w:szCs w:val="24"/>
          <w:lang w:val="en"/>
        </w:rPr>
        <w:t xml:space="preserve"> </w:t>
      </w:r>
      <w:r w:rsidR="00FA28C5" w:rsidRPr="003327DE">
        <w:rPr>
          <w:szCs w:val="24"/>
          <w:lang w:val="en"/>
        </w:rPr>
        <w:t xml:space="preserve">safety </w:t>
      </w:r>
      <w:r w:rsidRPr="003327DE">
        <w:rPr>
          <w:szCs w:val="24"/>
          <w:lang w:val="en"/>
        </w:rPr>
        <w:t xml:space="preserve">or </w:t>
      </w:r>
      <w:r w:rsidR="00944C93">
        <w:rPr>
          <w:szCs w:val="24"/>
          <w:lang w:val="en"/>
        </w:rPr>
        <w:t>efficacy</w:t>
      </w:r>
      <w:r w:rsidR="00944C93" w:rsidRPr="003327DE">
        <w:rPr>
          <w:szCs w:val="24"/>
          <w:lang w:val="en"/>
        </w:rPr>
        <w:t xml:space="preserve"> </w:t>
      </w:r>
      <w:r w:rsidRPr="003327DE">
        <w:rPr>
          <w:szCs w:val="24"/>
          <w:lang w:val="en"/>
        </w:rPr>
        <w:t xml:space="preserve">of the </w:t>
      </w:r>
      <w:r w:rsidR="00013C1C">
        <w:rPr>
          <w:szCs w:val="24"/>
          <w:lang w:val="en"/>
        </w:rPr>
        <w:t>FMT product</w:t>
      </w:r>
      <w:r w:rsidR="005323A1">
        <w:rPr>
          <w:szCs w:val="24"/>
          <w:lang w:val="en"/>
        </w:rPr>
        <w:t>s</w:t>
      </w:r>
      <w:r w:rsidR="00D446C1" w:rsidRPr="003327DE">
        <w:rPr>
          <w:szCs w:val="24"/>
          <w:lang w:val="en"/>
        </w:rPr>
        <w:t>.</w:t>
      </w:r>
    </w:p>
    <w:p w:rsidR="007E3436" w:rsidRDefault="00A26BAC" w:rsidP="007677B5">
      <w:pPr>
        <w:pStyle w:val="Definition"/>
      </w:pPr>
      <w:r w:rsidRPr="006457C2">
        <w:rPr>
          <w:b/>
          <w:i/>
        </w:rPr>
        <w:t>faecal microbiota transplant</w:t>
      </w:r>
      <w:r w:rsidR="008D470E">
        <w:rPr>
          <w:b/>
          <w:i/>
        </w:rPr>
        <w:t xml:space="preserve"> </w:t>
      </w:r>
      <w:r w:rsidRPr="006457C2">
        <w:rPr>
          <w:b/>
          <w:i/>
        </w:rPr>
        <w:t>product</w:t>
      </w:r>
      <w:r w:rsidRPr="006457C2">
        <w:t xml:space="preserve"> </w:t>
      </w:r>
      <w:r w:rsidR="00D25AB9">
        <w:t>has the same meaning as in the Regulations</w:t>
      </w:r>
      <w:r w:rsidR="007E3436">
        <w:t>.</w:t>
      </w:r>
    </w:p>
    <w:p w:rsidR="007677B5" w:rsidRDefault="007677B5">
      <w:pPr>
        <w:pStyle w:val="Definition"/>
      </w:pPr>
      <w:r w:rsidRPr="00D25AB9">
        <w:rPr>
          <w:b/>
          <w:i/>
        </w:rPr>
        <w:t>FMT product</w:t>
      </w:r>
      <w:r w:rsidR="00FB3EC3">
        <w:rPr>
          <w:b/>
          <w:i/>
        </w:rPr>
        <w:t>s</w:t>
      </w:r>
      <w:r>
        <w:t xml:space="preserve"> means </w:t>
      </w:r>
      <w:r w:rsidR="004203CA">
        <w:t>therapeutic good</w:t>
      </w:r>
      <w:r w:rsidR="00FB3EC3">
        <w:t>s</w:t>
      </w:r>
      <w:r w:rsidR="004203CA">
        <w:t xml:space="preserve"> that </w:t>
      </w:r>
      <w:r w:rsidR="00FB3EC3">
        <w:t xml:space="preserve">are </w:t>
      </w:r>
      <w:r>
        <w:t>faecal microbiota transplant product</w:t>
      </w:r>
      <w:r w:rsidR="00FB3EC3">
        <w:t>s</w:t>
      </w:r>
      <w:r>
        <w:t>.</w:t>
      </w:r>
    </w:p>
    <w:p w:rsidR="005C2FF9" w:rsidRDefault="007E3436" w:rsidP="00E5022B">
      <w:pPr>
        <w:pStyle w:val="Definition"/>
      </w:pPr>
      <w:r w:rsidRPr="00B53666">
        <w:rPr>
          <w:b/>
          <w:i/>
        </w:rPr>
        <w:t>f</w:t>
      </w:r>
      <w:r w:rsidR="0012153E" w:rsidRPr="00B53666">
        <w:rPr>
          <w:b/>
          <w:i/>
        </w:rPr>
        <w:t xml:space="preserve">resh </w:t>
      </w:r>
      <w:r w:rsidR="00E5022B">
        <w:rPr>
          <w:b/>
          <w:i/>
        </w:rPr>
        <w:t>FMT products</w:t>
      </w:r>
      <w:r w:rsidR="00E5022B" w:rsidRPr="00C42DD6">
        <w:t xml:space="preserve"> </w:t>
      </w:r>
      <w:r w:rsidR="0012153E" w:rsidRPr="00B53666">
        <w:t xml:space="preserve">means </w:t>
      </w:r>
      <w:r w:rsidR="00E5022B">
        <w:t>FMT products that are</w:t>
      </w:r>
      <w:r w:rsidR="005C2FF9">
        <w:t>:</w:t>
      </w:r>
    </w:p>
    <w:p w:rsidR="005C2FF9" w:rsidRPr="00F71B1B" w:rsidRDefault="005C2FF9" w:rsidP="004319AE">
      <w:pPr>
        <w:pStyle w:val="paragraph"/>
      </w:pPr>
      <w:r w:rsidRPr="004319AE">
        <w:tab/>
        <w:t>(a)</w:t>
      </w:r>
      <w:r w:rsidRPr="004319AE">
        <w:tab/>
      </w:r>
      <w:r w:rsidR="005F2B05" w:rsidRPr="005C2FF9">
        <w:t>manufactured</w:t>
      </w:r>
      <w:r w:rsidR="005F2B05">
        <w:t xml:space="preserve"> </w:t>
      </w:r>
      <w:r>
        <w:t>using stool that is processed in accordance with subsectio</w:t>
      </w:r>
      <w:r w:rsidRPr="00F71B1B">
        <w:t>n </w:t>
      </w:r>
      <w:r w:rsidR="006A31A2" w:rsidRPr="00F71B1B">
        <w:t>17(</w:t>
      </w:r>
      <w:r w:rsidR="005C1E9E" w:rsidRPr="00F71B1B">
        <w:t>3</w:t>
      </w:r>
      <w:r w:rsidR="005F2B05" w:rsidRPr="00F71B1B">
        <w:t>)</w:t>
      </w:r>
      <w:r w:rsidRPr="00F71B1B">
        <w:t>; and</w:t>
      </w:r>
    </w:p>
    <w:p w:rsidR="00EC63A6" w:rsidRPr="004C3454" w:rsidRDefault="005C2FF9" w:rsidP="004319AE">
      <w:pPr>
        <w:pStyle w:val="paragraph"/>
      </w:pPr>
      <w:r w:rsidRPr="00F71B1B">
        <w:tab/>
        <w:t>(b)</w:t>
      </w:r>
      <w:r w:rsidRPr="00F71B1B">
        <w:tab/>
      </w:r>
      <w:r w:rsidR="00E5022B" w:rsidRPr="00F71B1B">
        <w:t xml:space="preserve">administered to, or applied in the treatment of, a person in accordance with subsection </w:t>
      </w:r>
      <w:r w:rsidR="006A31A2" w:rsidRPr="00F71B1B">
        <w:t>17(</w:t>
      </w:r>
      <w:r w:rsidR="005C1E9E" w:rsidRPr="00F71B1B">
        <w:t>4</w:t>
      </w:r>
      <w:r w:rsidR="00E5022B" w:rsidRPr="00F71B1B">
        <w:t>)</w:t>
      </w:r>
      <w:r w:rsidR="004C3454" w:rsidRPr="00F71B1B">
        <w:t>.</w:t>
      </w:r>
    </w:p>
    <w:p w:rsidR="00643F77" w:rsidRDefault="00643F77" w:rsidP="00F81CDA">
      <w:pPr>
        <w:pStyle w:val="Definition"/>
        <w:rPr>
          <w:rFonts w:eastAsia="Calibri"/>
          <w:color w:val="000000"/>
        </w:rPr>
      </w:pPr>
      <w:r w:rsidRPr="00DA3EE4">
        <w:rPr>
          <w:b/>
          <w:i/>
        </w:rPr>
        <w:t>haematopoietic progenitor cells</w:t>
      </w:r>
      <w:r w:rsidRPr="00C42DD6">
        <w:t xml:space="preserve"> </w:t>
      </w:r>
      <w:r w:rsidRPr="00C42DD6">
        <w:rPr>
          <w:rFonts w:eastAsia="Calibri"/>
          <w:color w:val="000000"/>
        </w:rPr>
        <w:t>means primitive pluripotent haematopoietic cells capable of self-renewal as well as maturation into any of the haematopoietic lineages, including committed and lineage-restricted progenitor cells.</w:t>
      </w:r>
    </w:p>
    <w:p w:rsidR="00F81CDA" w:rsidRPr="00894EDD" w:rsidRDefault="00F81CDA" w:rsidP="00F81CDA">
      <w:pPr>
        <w:pStyle w:val="Definition"/>
      </w:pPr>
      <w:r w:rsidRPr="00A26BAC">
        <w:rPr>
          <w:b/>
          <w:i/>
        </w:rPr>
        <w:t xml:space="preserve">HBsAg </w:t>
      </w:r>
      <w:r w:rsidRPr="00A26BAC">
        <w:t>means hepatitis</w:t>
      </w:r>
      <w:r w:rsidRPr="00F253C7">
        <w:t xml:space="preserve"> B surface antigen</w:t>
      </w:r>
      <w:r>
        <w:t>.</w:t>
      </w:r>
    </w:p>
    <w:p w:rsidR="00A26BAC" w:rsidRDefault="00A26BAC" w:rsidP="00554826">
      <w:pPr>
        <w:pStyle w:val="Definition"/>
        <w:rPr>
          <w:b/>
          <w:i/>
        </w:rPr>
      </w:pPr>
      <w:r>
        <w:rPr>
          <w:b/>
          <w:i/>
        </w:rPr>
        <w:t>HAV</w:t>
      </w:r>
      <w:r w:rsidR="009F18D7">
        <w:t xml:space="preserve"> means hepatitis </w:t>
      </w:r>
      <w:r>
        <w:t>A virus.</w:t>
      </w:r>
    </w:p>
    <w:p w:rsidR="00F0480D" w:rsidRDefault="00F0480D" w:rsidP="00554826">
      <w:pPr>
        <w:pStyle w:val="Definition"/>
      </w:pPr>
      <w:r>
        <w:rPr>
          <w:b/>
          <w:i/>
        </w:rPr>
        <w:t>HBV</w:t>
      </w:r>
      <w:r>
        <w:t xml:space="preserve"> means hepatitis B virus.</w:t>
      </w:r>
    </w:p>
    <w:p w:rsidR="00F0480D" w:rsidRDefault="00F0480D" w:rsidP="00554826">
      <w:pPr>
        <w:pStyle w:val="Definition"/>
      </w:pPr>
      <w:r>
        <w:rPr>
          <w:b/>
          <w:i/>
        </w:rPr>
        <w:t>HCV</w:t>
      </w:r>
      <w:r>
        <w:t xml:space="preserve"> means hepatitis C virus.</w:t>
      </w:r>
      <w:r w:rsidR="00DA0E0E">
        <w:t xml:space="preserve"> </w:t>
      </w:r>
    </w:p>
    <w:p w:rsidR="00E42A22" w:rsidRDefault="00A26BAC" w:rsidP="00554826">
      <w:pPr>
        <w:pStyle w:val="Definition"/>
      </w:pPr>
      <w:r>
        <w:rPr>
          <w:b/>
          <w:i/>
        </w:rPr>
        <w:t>HIV</w:t>
      </w:r>
      <w:r w:rsidR="004B0E45">
        <w:rPr>
          <w:b/>
          <w:i/>
        </w:rPr>
        <w:t>-1</w:t>
      </w:r>
      <w:r w:rsidR="00F0480D">
        <w:t xml:space="preserve"> means human immunodeficiency virus</w:t>
      </w:r>
      <w:r w:rsidR="004B0E45">
        <w:t xml:space="preserve"> type 1</w:t>
      </w:r>
      <w:r w:rsidR="00F0480D">
        <w:t>.</w:t>
      </w:r>
    </w:p>
    <w:p w:rsidR="004B0E45" w:rsidRDefault="004B0E45" w:rsidP="004B0E45">
      <w:pPr>
        <w:pStyle w:val="Definition"/>
      </w:pPr>
      <w:r>
        <w:rPr>
          <w:b/>
          <w:i/>
        </w:rPr>
        <w:t>HIV-2</w:t>
      </w:r>
      <w:r>
        <w:t xml:space="preserve"> means human immunodeficiency virus type 2.</w:t>
      </w:r>
    </w:p>
    <w:p w:rsidR="00833A08" w:rsidRDefault="00833A08" w:rsidP="00554826">
      <w:pPr>
        <w:pStyle w:val="Definition"/>
      </w:pPr>
      <w:r>
        <w:rPr>
          <w:b/>
          <w:i/>
        </w:rPr>
        <w:t>HTLV</w:t>
      </w:r>
      <w:r w:rsidR="009206B3">
        <w:rPr>
          <w:b/>
          <w:i/>
        </w:rPr>
        <w:t>-1</w:t>
      </w:r>
      <w:r>
        <w:t xml:space="preserve"> means human T-</w:t>
      </w:r>
      <w:r w:rsidR="009206B3">
        <w:t>l</w:t>
      </w:r>
      <w:r>
        <w:t>ymphotropic virus</w:t>
      </w:r>
      <w:r w:rsidR="009206B3">
        <w:t xml:space="preserve"> type 1</w:t>
      </w:r>
      <w:r>
        <w:t>.</w:t>
      </w:r>
    </w:p>
    <w:p w:rsidR="003C4E72" w:rsidRPr="003327DE" w:rsidRDefault="0031187D" w:rsidP="00A26BAC">
      <w:pPr>
        <w:pStyle w:val="Definition"/>
      </w:pPr>
      <w:r w:rsidRPr="00A26BAC">
        <w:rPr>
          <w:b/>
          <w:i/>
        </w:rPr>
        <w:t>HTLV-2</w:t>
      </w:r>
      <w:r w:rsidRPr="00A26BAC">
        <w:t xml:space="preserve"> means</w:t>
      </w:r>
      <w:r w:rsidR="009206B3" w:rsidRPr="009206B3">
        <w:t xml:space="preserve"> </w:t>
      </w:r>
      <w:r w:rsidR="00A26BAC">
        <w:t>human T-lymphotropic virus type 2</w:t>
      </w:r>
      <w:r w:rsidR="004B0E45">
        <w:t>.</w:t>
      </w:r>
    </w:p>
    <w:p w:rsidR="00E95196" w:rsidRPr="00392B8C" w:rsidRDefault="00982B23" w:rsidP="007550C6">
      <w:pPr>
        <w:pStyle w:val="Definition"/>
      </w:pPr>
      <w:r>
        <w:rPr>
          <w:b/>
          <w:i/>
        </w:rPr>
        <w:t>i</w:t>
      </w:r>
      <w:r w:rsidR="00E95196">
        <w:rPr>
          <w:b/>
          <w:i/>
        </w:rPr>
        <w:t>n-house IVD medical device</w:t>
      </w:r>
      <w:r w:rsidR="00E95196">
        <w:t xml:space="preserve"> has the same meaning as in the MD Regulations.</w:t>
      </w:r>
    </w:p>
    <w:p w:rsidR="00E95196" w:rsidRPr="00392B8C" w:rsidRDefault="00E95196" w:rsidP="007550C6">
      <w:pPr>
        <w:pStyle w:val="Definition"/>
      </w:pPr>
      <w:r>
        <w:rPr>
          <w:b/>
          <w:i/>
        </w:rPr>
        <w:t>IVD medical device</w:t>
      </w:r>
      <w:r>
        <w:t xml:space="preserve"> has the same meaning as in the MD Regulations.</w:t>
      </w:r>
    </w:p>
    <w:p w:rsidR="00E95196" w:rsidRDefault="00E95196" w:rsidP="0012153E">
      <w:pPr>
        <w:pStyle w:val="Definition"/>
      </w:pPr>
      <w:r>
        <w:rPr>
          <w:b/>
          <w:i/>
        </w:rPr>
        <w:t xml:space="preserve">MD </w:t>
      </w:r>
      <w:r w:rsidRPr="007550C6">
        <w:rPr>
          <w:b/>
          <w:i/>
        </w:rPr>
        <w:t>Regulations</w:t>
      </w:r>
      <w:r w:rsidRPr="00392B8C">
        <w:rPr>
          <w:b/>
          <w:i/>
        </w:rPr>
        <w:t xml:space="preserve"> </w:t>
      </w:r>
      <w:r>
        <w:t xml:space="preserve">means the </w:t>
      </w:r>
      <w:r w:rsidRPr="008636E6">
        <w:rPr>
          <w:i/>
        </w:rPr>
        <w:t>Therapeutic Goods (Medical Devices) Regulations</w:t>
      </w:r>
      <w:r w:rsidR="005C2FF9">
        <w:rPr>
          <w:i/>
        </w:rPr>
        <w:t> </w:t>
      </w:r>
      <w:r w:rsidRPr="008636E6">
        <w:rPr>
          <w:i/>
        </w:rPr>
        <w:t>2002</w:t>
      </w:r>
      <w:r>
        <w:t>.</w:t>
      </w:r>
    </w:p>
    <w:p w:rsidR="00FD6DF8" w:rsidRPr="00FD6DF8" w:rsidRDefault="00FD6DF8" w:rsidP="00FD6DF8">
      <w:pPr>
        <w:pStyle w:val="Definition"/>
        <w:rPr>
          <w:b/>
          <w:i/>
        </w:rPr>
      </w:pPr>
      <w:r w:rsidRPr="00FD6DF8">
        <w:rPr>
          <w:b/>
          <w:i/>
        </w:rPr>
        <w:t>proposed donor</w:t>
      </w:r>
      <w:r w:rsidRPr="004319AE">
        <w:t xml:space="preserve"> </w:t>
      </w:r>
      <w:r w:rsidR="00AC36A4">
        <w:t xml:space="preserve">has the meaning given by </w:t>
      </w:r>
      <w:r w:rsidR="007637B8">
        <w:t>sub</w:t>
      </w:r>
      <w:r w:rsidR="00AC36A4">
        <w:t xml:space="preserve">section </w:t>
      </w:r>
      <w:r w:rsidR="007637B8" w:rsidRPr="00F71B1B">
        <w:t>10(1)</w:t>
      </w:r>
      <w:r w:rsidR="00AC36A4">
        <w:t>.</w:t>
      </w:r>
    </w:p>
    <w:p w:rsidR="00406D4E" w:rsidRDefault="0064082C" w:rsidP="004050D8">
      <w:pPr>
        <w:pStyle w:val="Definition"/>
      </w:pPr>
      <w:r>
        <w:rPr>
          <w:b/>
          <w:i/>
        </w:rPr>
        <w:t>Regulations</w:t>
      </w:r>
      <w:r w:rsidR="00554826">
        <w:rPr>
          <w:b/>
          <w:i/>
        </w:rPr>
        <w:t xml:space="preserve"> </w:t>
      </w:r>
      <w:r w:rsidR="00554826" w:rsidRPr="009C2562">
        <w:t>means</w:t>
      </w:r>
      <w:r w:rsidR="00554826">
        <w:t xml:space="preserve"> </w:t>
      </w:r>
      <w:r>
        <w:t xml:space="preserve">the </w:t>
      </w:r>
      <w:r w:rsidRPr="0064082C">
        <w:rPr>
          <w:i/>
        </w:rPr>
        <w:t>Therapeutic Goods Regulations 1990</w:t>
      </w:r>
      <w:r w:rsidR="00554826">
        <w:t>.</w:t>
      </w:r>
    </w:p>
    <w:p w:rsidR="00FB3EC3" w:rsidRPr="00E5022B" w:rsidRDefault="00FB3EC3" w:rsidP="00554826">
      <w:pPr>
        <w:pStyle w:val="Definition"/>
      </w:pPr>
      <w:r>
        <w:rPr>
          <w:b/>
          <w:i/>
        </w:rPr>
        <w:t>T</w:t>
      </w:r>
      <w:r w:rsidR="00FD6F12">
        <w:rPr>
          <w:b/>
          <w:i/>
        </w:rPr>
        <w:t xml:space="preserve">herapeutic Goods Administration </w:t>
      </w:r>
      <w:r>
        <w:t>has the same meaning as in the Regulations.</w:t>
      </w:r>
    </w:p>
    <w:p w:rsidR="00C247E4" w:rsidRDefault="00C247E4" w:rsidP="00554826">
      <w:pPr>
        <w:pStyle w:val="Definition"/>
      </w:pPr>
      <w:r>
        <w:rPr>
          <w:b/>
          <w:i/>
        </w:rPr>
        <w:t xml:space="preserve">TGO 88 </w:t>
      </w:r>
      <w:r>
        <w:t xml:space="preserve">means </w:t>
      </w:r>
      <w:r w:rsidR="007C4C58">
        <w:t>the</w:t>
      </w:r>
      <w:r w:rsidR="00E57F62">
        <w:t xml:space="preserve"> </w:t>
      </w:r>
      <w:r w:rsidRPr="007550C6">
        <w:rPr>
          <w:i/>
        </w:rPr>
        <w:t>Therapeutic Goods Order No.88 Standards for donor selection, testing, and minimising infectious disease transmission via therapeutic goods that are human blood and blood components, human tissues and human cellular therapy products</w:t>
      </w:r>
      <w:r>
        <w:t>.</w:t>
      </w:r>
    </w:p>
    <w:p w:rsidR="00633A34" w:rsidRDefault="00633A34" w:rsidP="00633A34">
      <w:pPr>
        <w:pStyle w:val="notetext"/>
      </w:pPr>
      <w:r>
        <w:t>Note:</w:t>
      </w:r>
      <w:r>
        <w:tab/>
        <w:t>TGO 88 is</w:t>
      </w:r>
      <w:r w:rsidR="00FC2DF5">
        <w:t xml:space="preserve"> a legislative instrument and is</w:t>
      </w:r>
      <w:r>
        <w:t xml:space="preserve"> published on the Federal Register of Legislation at </w:t>
      </w:r>
      <w:hyperlink r:id="rId19" w:history="1">
        <w:r w:rsidRPr="009C736E">
          <w:t>www.legislation.gov.au</w:t>
        </w:r>
      </w:hyperlink>
      <w:r>
        <w:t>.</w:t>
      </w:r>
    </w:p>
    <w:p w:rsidR="00AD204B" w:rsidRPr="006B0061" w:rsidRDefault="00AD204B" w:rsidP="00AD204B">
      <w:pPr>
        <w:pStyle w:val="ActHead5"/>
      </w:pPr>
      <w:bookmarkStart w:id="7" w:name="_Toc47109903"/>
      <w:bookmarkStart w:id="8" w:name="_Toc454512517"/>
      <w:r>
        <w:t>5</w:t>
      </w:r>
      <w:r w:rsidRPr="00664AA5">
        <w:t xml:space="preserve">  </w:t>
      </w:r>
      <w:r>
        <w:t>Standard</w:t>
      </w:r>
      <w:bookmarkEnd w:id="7"/>
    </w:p>
    <w:p w:rsidR="00114EF2" w:rsidRDefault="00114EF2" w:rsidP="00114EF2">
      <w:pPr>
        <w:pStyle w:val="subsection"/>
      </w:pPr>
      <w:r>
        <w:tab/>
      </w:r>
      <w:r>
        <w:tab/>
        <w:t>The matters specified in this instrument constitute a standard for FMT products</w:t>
      </w:r>
      <w:r w:rsidRPr="006065DA">
        <w:t>.</w:t>
      </w:r>
    </w:p>
    <w:p w:rsidR="00AD204B" w:rsidRPr="006B0061" w:rsidRDefault="00AD204B" w:rsidP="00AD204B">
      <w:pPr>
        <w:pStyle w:val="ActHead5"/>
      </w:pPr>
      <w:bookmarkStart w:id="9" w:name="_Toc47109904"/>
      <w:r>
        <w:t>6</w:t>
      </w:r>
      <w:r w:rsidRPr="00664AA5">
        <w:t xml:space="preserve">  Application</w:t>
      </w:r>
      <w:bookmarkEnd w:id="9"/>
    </w:p>
    <w:p w:rsidR="00AD204B" w:rsidRPr="000157C3" w:rsidRDefault="00AD204B" w:rsidP="00AD204B">
      <w:pPr>
        <w:pStyle w:val="subsection"/>
      </w:pPr>
      <w:r w:rsidRPr="000157C3">
        <w:tab/>
      </w:r>
      <w:r>
        <w:tab/>
      </w:r>
      <w:r w:rsidRPr="000157C3">
        <w:t>This instrument applies to</w:t>
      </w:r>
      <w:r w:rsidRPr="00203B6B">
        <w:t xml:space="preserve"> </w:t>
      </w:r>
      <w:r w:rsidRPr="00CA334E">
        <w:t>FMT product</w:t>
      </w:r>
      <w:r w:rsidR="002D4965">
        <w:t>s.</w:t>
      </w:r>
    </w:p>
    <w:p w:rsidR="00AD204B" w:rsidRDefault="00AD204B" w:rsidP="00AD204B">
      <w:pPr>
        <w:pStyle w:val="notetext"/>
      </w:pPr>
      <w:r w:rsidRPr="009C2562">
        <w:t>Note</w:t>
      </w:r>
      <w:r>
        <w:t xml:space="preserve"> 1</w:t>
      </w:r>
      <w:r w:rsidRPr="009C2562">
        <w:t>:</w:t>
      </w:r>
      <w:r w:rsidRPr="009C2562">
        <w:tab/>
      </w:r>
      <w:r>
        <w:t>FMT product</w:t>
      </w:r>
      <w:r w:rsidR="002D4965">
        <w:t>s</w:t>
      </w:r>
      <w:r>
        <w:t xml:space="preserve"> </w:t>
      </w:r>
      <w:r w:rsidR="002D4965">
        <w:t>are</w:t>
      </w:r>
      <w:r>
        <w:t xml:space="preserve"> biological</w:t>
      </w:r>
      <w:r w:rsidR="002D4965">
        <w:t>s</w:t>
      </w:r>
      <w:r>
        <w:t>.</w:t>
      </w:r>
    </w:p>
    <w:p w:rsidR="00AD204B" w:rsidRDefault="00AD204B" w:rsidP="00AD204B">
      <w:pPr>
        <w:pStyle w:val="notetext"/>
      </w:pPr>
      <w:r>
        <w:t>Note 2:</w:t>
      </w:r>
      <w:r>
        <w:tab/>
      </w:r>
      <w:r w:rsidR="002D4965">
        <w:t>T</w:t>
      </w:r>
      <w:r w:rsidRPr="00760029">
        <w:t>herapeutic good</w:t>
      </w:r>
      <w:r w:rsidR="002D4965">
        <w:t>s</w:t>
      </w:r>
      <w:r w:rsidRPr="00760029">
        <w:t xml:space="preserve"> containing one or more strains of microorganisms, known to be present in stool</w:t>
      </w:r>
      <w:r w:rsidR="002D4965">
        <w:t>,</w:t>
      </w:r>
      <w:r w:rsidRPr="00760029">
        <w:t xml:space="preserve"> that are characterised and grown from established isolates with standardised consistency </w:t>
      </w:r>
      <w:r w:rsidR="002D4965">
        <w:t>are</w:t>
      </w:r>
      <w:r w:rsidRPr="00760029">
        <w:t xml:space="preserve"> medicine</w:t>
      </w:r>
      <w:r w:rsidR="002D4965">
        <w:t>s</w:t>
      </w:r>
      <w:r w:rsidRPr="00760029">
        <w:t xml:space="preserve"> and not FMT product</w:t>
      </w:r>
      <w:r w:rsidR="002D4965">
        <w:t>s</w:t>
      </w:r>
      <w:r>
        <w:t>.</w:t>
      </w:r>
    </w:p>
    <w:p w:rsidR="007C4C58" w:rsidRPr="003222AC" w:rsidRDefault="00865612" w:rsidP="007C4C58">
      <w:pPr>
        <w:pStyle w:val="ActHead2"/>
        <w:rPr>
          <w:rStyle w:val="CharPartNo"/>
        </w:rPr>
      </w:pPr>
      <w:bookmarkStart w:id="10" w:name="_Toc47109905"/>
      <w:r w:rsidRPr="00E5022B">
        <w:rPr>
          <w:rStyle w:val="CharPartNo"/>
        </w:rPr>
        <w:t xml:space="preserve">Part </w:t>
      </w:r>
      <w:r w:rsidR="00E37BB5" w:rsidRPr="00E5022B">
        <w:rPr>
          <w:rStyle w:val="CharPartNo"/>
        </w:rPr>
        <w:t>2</w:t>
      </w:r>
      <w:r w:rsidRPr="00E5022B">
        <w:rPr>
          <w:rStyle w:val="CharPartNo"/>
        </w:rPr>
        <w:sym w:font="Symbol" w:char="F0BE"/>
      </w:r>
      <w:r w:rsidR="00114EF2">
        <w:rPr>
          <w:rStyle w:val="CharPartNo"/>
        </w:rPr>
        <w:t>Requirements for FMT products</w:t>
      </w:r>
      <w:bookmarkEnd w:id="10"/>
    </w:p>
    <w:p w:rsidR="00A96B14" w:rsidRDefault="00A96B14" w:rsidP="00A96B14">
      <w:pPr>
        <w:pStyle w:val="ActHead3"/>
        <w:rPr>
          <w:rStyle w:val="CharDivNo"/>
        </w:rPr>
      </w:pPr>
      <w:bookmarkStart w:id="11" w:name="_Toc47109906"/>
      <w:r>
        <w:rPr>
          <w:rStyle w:val="CharDivNo"/>
        </w:rPr>
        <w:t xml:space="preserve">Division </w:t>
      </w:r>
      <w:r w:rsidR="000030D1">
        <w:rPr>
          <w:rStyle w:val="CharDivNo"/>
        </w:rPr>
        <w:t>1</w:t>
      </w:r>
      <w:r w:rsidRPr="00702D8C">
        <w:rPr>
          <w:rStyle w:val="CharDivNo"/>
        </w:rPr>
        <w:sym w:font="Symbol" w:char="F0BE"/>
      </w:r>
      <w:r w:rsidR="00114EF2">
        <w:rPr>
          <w:rStyle w:val="CharDivNo"/>
        </w:rPr>
        <w:t>General</w:t>
      </w:r>
      <w:r>
        <w:rPr>
          <w:rStyle w:val="CharDivNo"/>
        </w:rPr>
        <w:t xml:space="preserve"> requirements</w:t>
      </w:r>
      <w:bookmarkEnd w:id="11"/>
    </w:p>
    <w:p w:rsidR="002D4965" w:rsidRPr="00B53666" w:rsidRDefault="002D4965" w:rsidP="005F2B05">
      <w:pPr>
        <w:pStyle w:val="ActHead5"/>
      </w:pPr>
      <w:bookmarkStart w:id="12" w:name="_Toc33775741"/>
      <w:bookmarkStart w:id="13" w:name="_Toc47109907"/>
      <w:r w:rsidRPr="00B53666">
        <w:t>7  What this Division is about</w:t>
      </w:r>
      <w:bookmarkEnd w:id="12"/>
      <w:bookmarkEnd w:id="13"/>
    </w:p>
    <w:p w:rsidR="002D4965" w:rsidRDefault="002D4965" w:rsidP="002D4965">
      <w:pPr>
        <w:pBdr>
          <w:top w:val="single" w:sz="6" w:space="5" w:color="auto"/>
          <w:left w:val="single" w:sz="6" w:space="5" w:color="auto"/>
          <w:bottom w:val="single" w:sz="6" w:space="5" w:color="auto"/>
          <w:right w:val="single" w:sz="6" w:space="5" w:color="auto"/>
        </w:pBdr>
        <w:spacing w:before="240" w:line="240" w:lineRule="auto"/>
        <w:ind w:left="1134"/>
      </w:pPr>
      <w:bookmarkStart w:id="14" w:name="BK_S3P11L6C17"/>
      <w:bookmarkEnd w:id="14"/>
      <w:r>
        <w:t xml:space="preserve">This Division specifies </w:t>
      </w:r>
      <w:r w:rsidR="005C2FF9">
        <w:t xml:space="preserve">the </w:t>
      </w:r>
      <w:r>
        <w:t xml:space="preserve">general requirements that must be </w:t>
      </w:r>
      <w:r w:rsidR="00C135E9">
        <w:t>met</w:t>
      </w:r>
      <w:r w:rsidR="005C2FF9">
        <w:t xml:space="preserve"> </w:t>
      </w:r>
      <w:r>
        <w:t>in the manufacture of FMT products.</w:t>
      </w:r>
    </w:p>
    <w:p w:rsidR="005F6094" w:rsidRDefault="002D4965" w:rsidP="005F6094">
      <w:pPr>
        <w:pStyle w:val="ActHead5"/>
      </w:pPr>
      <w:bookmarkStart w:id="15" w:name="_Toc47109908"/>
      <w:r>
        <w:t>8</w:t>
      </w:r>
      <w:r w:rsidR="005F6094" w:rsidRPr="00B52F13">
        <w:t xml:space="preserve"> </w:t>
      </w:r>
      <w:r w:rsidR="005F6094">
        <w:t xml:space="preserve"> </w:t>
      </w:r>
      <w:r w:rsidR="00114EF2">
        <w:t>General</w:t>
      </w:r>
      <w:r w:rsidR="005F6094">
        <w:t xml:space="preserve"> requirements</w:t>
      </w:r>
      <w:bookmarkEnd w:id="15"/>
    </w:p>
    <w:p w:rsidR="00032B73" w:rsidRDefault="00032B73" w:rsidP="00162F47">
      <w:pPr>
        <w:pStyle w:val="subsection"/>
      </w:pPr>
      <w:r>
        <w:tab/>
      </w:r>
      <w:r w:rsidRPr="00E90BD4">
        <w:t>(1)</w:t>
      </w:r>
      <w:r w:rsidRPr="00E90BD4">
        <w:tab/>
      </w:r>
      <w:r w:rsidR="00B42347" w:rsidRPr="00E90BD4">
        <w:t>FMT products must only be manufactured using</w:t>
      </w:r>
      <w:r w:rsidRPr="00CD55B3">
        <w:t xml:space="preserve"> stool </w:t>
      </w:r>
      <w:r w:rsidR="00B42347" w:rsidRPr="00105720">
        <w:t xml:space="preserve">that has been </w:t>
      </w:r>
      <w:r w:rsidRPr="00105720">
        <w:t>collected from an accepted donor</w:t>
      </w:r>
      <w:r w:rsidR="00162F47" w:rsidRPr="00696E21">
        <w:t>.</w:t>
      </w:r>
    </w:p>
    <w:p w:rsidR="005048A2" w:rsidRDefault="005048A2" w:rsidP="005048A2">
      <w:pPr>
        <w:pStyle w:val="subsection"/>
      </w:pPr>
      <w:r>
        <w:tab/>
        <w:t>(</w:t>
      </w:r>
      <w:r w:rsidR="00032B73">
        <w:t>2</w:t>
      </w:r>
      <w:r>
        <w:t>)</w:t>
      </w:r>
      <w:r>
        <w:tab/>
      </w:r>
      <w:r w:rsidRPr="00E5022B">
        <w:t>The procedures and controls used in</w:t>
      </w:r>
      <w:r w:rsidRPr="002D4965">
        <w:t xml:space="preserve"> the</w:t>
      </w:r>
      <w:r>
        <w:t xml:space="preserve"> manufacture of FMT product</w:t>
      </w:r>
      <w:r w:rsidR="002D4965">
        <w:t>s</w:t>
      </w:r>
      <w:r>
        <w:t xml:space="preserve"> must:</w:t>
      </w:r>
    </w:p>
    <w:p w:rsidR="005048A2" w:rsidRDefault="005048A2" w:rsidP="00E5022B">
      <w:pPr>
        <w:pStyle w:val="paragraph"/>
      </w:pPr>
      <w:r>
        <w:tab/>
        <w:t>(</w:t>
      </w:r>
      <w:r w:rsidR="002D4965">
        <w:t>a</w:t>
      </w:r>
      <w:r>
        <w:t>)</w:t>
      </w:r>
      <w:r>
        <w:tab/>
      </w:r>
      <w:r w:rsidR="008033FA">
        <w:t xml:space="preserve">be </w:t>
      </w:r>
      <w:r>
        <w:t xml:space="preserve">clearly defined and </w:t>
      </w:r>
      <w:r w:rsidRPr="005F11A2">
        <w:t xml:space="preserve">documented in a systematic way in the form of written </w:t>
      </w:r>
      <w:r w:rsidRPr="004530AE">
        <w:t>policies and standard operating procedures</w:t>
      </w:r>
      <w:r>
        <w:t>; and</w:t>
      </w:r>
    </w:p>
    <w:p w:rsidR="002D4965" w:rsidRDefault="002D4965" w:rsidP="00E5022B">
      <w:pPr>
        <w:pStyle w:val="paragraph"/>
      </w:pPr>
      <w:r>
        <w:tab/>
        <w:t>(b)</w:t>
      </w:r>
      <w:r>
        <w:tab/>
      </w:r>
      <w:r w:rsidR="008033FA">
        <w:t>ensure that the</w:t>
      </w:r>
      <w:r>
        <w:t xml:space="preserve"> FMT products are safe for use; and</w:t>
      </w:r>
    </w:p>
    <w:p w:rsidR="002D4965" w:rsidRDefault="002D4965" w:rsidP="00E5022B">
      <w:pPr>
        <w:pStyle w:val="paragraph"/>
      </w:pPr>
      <w:r>
        <w:tab/>
        <w:t>(c)</w:t>
      </w:r>
      <w:r>
        <w:tab/>
      </w:r>
      <w:r w:rsidR="008033FA">
        <w:t xml:space="preserve">ensure the </w:t>
      </w:r>
      <w:r>
        <w:t xml:space="preserve">FMT products </w:t>
      </w:r>
      <w:r w:rsidR="008C131A">
        <w:t xml:space="preserve">are manufactured </w:t>
      </w:r>
      <w:r>
        <w:t>consistently</w:t>
      </w:r>
      <w:r w:rsidR="008C131A" w:rsidRPr="008C131A">
        <w:t xml:space="preserve"> </w:t>
      </w:r>
      <w:r w:rsidR="008C131A">
        <w:t>and comply with the specifications for the products</w:t>
      </w:r>
      <w:r>
        <w:t>; and</w:t>
      </w:r>
    </w:p>
    <w:p w:rsidR="005048A2" w:rsidRPr="004530AE" w:rsidRDefault="005048A2" w:rsidP="00E5022B">
      <w:pPr>
        <w:pStyle w:val="paragraph"/>
      </w:pPr>
      <w:r>
        <w:tab/>
        <w:t>(</w:t>
      </w:r>
      <w:r w:rsidR="008324C9">
        <w:t>d</w:t>
      </w:r>
      <w:r>
        <w:t>)</w:t>
      </w:r>
      <w:r>
        <w:tab/>
      </w:r>
      <w:r w:rsidR="008C131A">
        <w:t xml:space="preserve">be </w:t>
      </w:r>
      <w:r w:rsidRPr="004530AE">
        <w:t>systematically reviewed and</w:t>
      </w:r>
      <w:r>
        <w:t>,</w:t>
      </w:r>
      <w:r w:rsidRPr="004530AE">
        <w:t xml:space="preserve"> if appropriate</w:t>
      </w:r>
      <w:r>
        <w:t>,</w:t>
      </w:r>
      <w:r w:rsidRPr="004530AE">
        <w:t xml:space="preserve"> modified</w:t>
      </w:r>
      <w:r w:rsidR="002D4965">
        <w:t>.</w:t>
      </w:r>
    </w:p>
    <w:p w:rsidR="00F920E5" w:rsidRDefault="005048A2" w:rsidP="005048A2">
      <w:pPr>
        <w:pStyle w:val="subsection"/>
      </w:pPr>
      <w:r>
        <w:tab/>
      </w:r>
      <w:r w:rsidR="00F920E5">
        <w:t>(</w:t>
      </w:r>
      <w:r w:rsidR="00032B73">
        <w:t>3</w:t>
      </w:r>
      <w:r w:rsidR="00F920E5">
        <w:t>)</w:t>
      </w:r>
      <w:r w:rsidR="00F920E5">
        <w:tab/>
        <w:t>The procedures must ensure the traceability of stool used in the manufacture of FMT products from the collection of the stool to the supply of the products.</w:t>
      </w:r>
    </w:p>
    <w:p w:rsidR="00F920E5" w:rsidRDefault="00F920E5" w:rsidP="005048A2">
      <w:pPr>
        <w:pStyle w:val="subsection"/>
        <w:rPr>
          <w:highlight w:val="yellow"/>
        </w:rPr>
      </w:pPr>
      <w:r>
        <w:tab/>
        <w:t>(</w:t>
      </w:r>
      <w:r w:rsidR="00032B73">
        <w:t>4</w:t>
      </w:r>
      <w:r>
        <w:t>)</w:t>
      </w:r>
      <w:r>
        <w:tab/>
        <w:t>The c</w:t>
      </w:r>
      <w:r w:rsidRPr="004530AE">
        <w:t xml:space="preserve">ritical materials used in the manufacture of </w:t>
      </w:r>
      <w:r w:rsidRPr="00DB1E7C">
        <w:t>FMT product</w:t>
      </w:r>
      <w:r>
        <w:t xml:space="preserve">s must </w:t>
      </w:r>
      <w:r w:rsidRPr="00DB1E7C">
        <w:t>not adversely affect the quality or</w:t>
      </w:r>
      <w:r w:rsidRPr="004530AE">
        <w:t xml:space="preserve"> safety of the product</w:t>
      </w:r>
      <w:r>
        <w:t>s</w:t>
      </w:r>
      <w:r w:rsidRPr="004530AE">
        <w:t>.</w:t>
      </w:r>
    </w:p>
    <w:p w:rsidR="00D127D3" w:rsidRDefault="00F920E5" w:rsidP="00D127D3">
      <w:pPr>
        <w:pStyle w:val="subsection"/>
      </w:pPr>
      <w:r>
        <w:tab/>
        <w:t>(</w:t>
      </w:r>
      <w:r w:rsidR="00032B73">
        <w:t>5</w:t>
      </w:r>
      <w:r>
        <w:t>)</w:t>
      </w:r>
      <w:r>
        <w:tab/>
        <w:t xml:space="preserve">The </w:t>
      </w:r>
      <w:r w:rsidRPr="004530AE">
        <w:t xml:space="preserve">personnel involved in the manufacture </w:t>
      </w:r>
      <w:r>
        <w:t xml:space="preserve">of FMT products must be </w:t>
      </w:r>
      <w:r w:rsidRPr="004530AE">
        <w:t>appropriately qualified</w:t>
      </w:r>
      <w:r w:rsidR="008C131A">
        <w:t xml:space="preserve"> and competent to manufacture FMT products</w:t>
      </w:r>
      <w:r>
        <w:t>.</w:t>
      </w:r>
    </w:p>
    <w:p w:rsidR="005048A2" w:rsidRDefault="0072351F" w:rsidP="00F920E5">
      <w:pPr>
        <w:pStyle w:val="subsection"/>
      </w:pPr>
      <w:r>
        <w:tab/>
        <w:t>(</w:t>
      </w:r>
      <w:r w:rsidR="00032B73">
        <w:t>6</w:t>
      </w:r>
      <w:r>
        <w:t>)</w:t>
      </w:r>
      <w:r>
        <w:tab/>
      </w:r>
      <w:r w:rsidR="00F920E5">
        <w:t>The test</w:t>
      </w:r>
      <w:r w:rsidR="00F920E5" w:rsidRPr="004530AE">
        <w:t xml:space="preserve"> methods</w:t>
      </w:r>
      <w:r w:rsidR="00F920E5">
        <w:t xml:space="preserve"> used in the manufacture of FMT products </w:t>
      </w:r>
      <w:r w:rsidR="00F920E5" w:rsidRPr="000A02D6">
        <w:t>must be validated</w:t>
      </w:r>
      <w:r w:rsidR="008C131A">
        <w:t xml:space="preserve"> or verified</w:t>
      </w:r>
      <w:r w:rsidR="00F920E5" w:rsidRPr="000A02D6">
        <w:t>.</w:t>
      </w:r>
    </w:p>
    <w:p w:rsidR="005048A2" w:rsidRDefault="005048A2" w:rsidP="005048A2">
      <w:pPr>
        <w:pStyle w:val="subsection"/>
      </w:pPr>
      <w:r>
        <w:tab/>
        <w:t>(</w:t>
      </w:r>
      <w:r w:rsidR="0072351F">
        <w:t>7</w:t>
      </w:r>
      <w:r>
        <w:t>)</w:t>
      </w:r>
      <w:r>
        <w:tab/>
      </w:r>
      <w:r w:rsidR="00F920E5">
        <w:t>The</w:t>
      </w:r>
      <w:r w:rsidR="00F920E5" w:rsidRPr="00DC3FBC">
        <w:t xml:space="preserve"> </w:t>
      </w:r>
      <w:r w:rsidR="00276002">
        <w:t xml:space="preserve">equipment and </w:t>
      </w:r>
      <w:r w:rsidR="00F920E5" w:rsidRPr="00DC3FBC">
        <w:t>reagents used in the manufacture of FMT product</w:t>
      </w:r>
      <w:r w:rsidR="00F920E5">
        <w:t>s</w:t>
      </w:r>
      <w:r w:rsidR="00F920E5" w:rsidRPr="00DC3FBC">
        <w:t xml:space="preserve"> must be </w:t>
      </w:r>
      <w:r w:rsidR="00F920E5" w:rsidRPr="00F920E5">
        <w:t>qualified.</w:t>
      </w:r>
    </w:p>
    <w:p w:rsidR="00F920E5" w:rsidRDefault="005048A2" w:rsidP="005048A2">
      <w:pPr>
        <w:pStyle w:val="subsection"/>
      </w:pPr>
      <w:r>
        <w:tab/>
        <w:t>(</w:t>
      </w:r>
      <w:r w:rsidR="0072351F">
        <w:t>8</w:t>
      </w:r>
      <w:r>
        <w:t>)</w:t>
      </w:r>
      <w:r>
        <w:tab/>
      </w:r>
      <w:r w:rsidR="00F920E5">
        <w:t xml:space="preserve">A system must be established and maintained to: </w:t>
      </w:r>
    </w:p>
    <w:p w:rsidR="00F920E5" w:rsidRDefault="00F920E5" w:rsidP="00E5022B">
      <w:pPr>
        <w:pStyle w:val="paragraph"/>
      </w:pPr>
      <w:r>
        <w:tab/>
        <w:t>(a)</w:t>
      </w:r>
      <w:r>
        <w:tab/>
      </w:r>
      <w:r w:rsidR="005048A2" w:rsidRPr="004530AE">
        <w:t xml:space="preserve">handle complaints </w:t>
      </w:r>
      <w:r>
        <w:t xml:space="preserve">made </w:t>
      </w:r>
      <w:r w:rsidR="005048A2" w:rsidRPr="004530AE">
        <w:t>or concerns</w:t>
      </w:r>
      <w:r>
        <w:t xml:space="preserve"> raised by any person</w:t>
      </w:r>
      <w:r w:rsidR="005048A2" w:rsidRPr="004530AE">
        <w:t xml:space="preserve"> </w:t>
      </w:r>
      <w:r w:rsidR="005048A2">
        <w:t>in relation to the manufacture of FMT product</w:t>
      </w:r>
      <w:r>
        <w:t>s; and</w:t>
      </w:r>
    </w:p>
    <w:p w:rsidR="004A09F7" w:rsidRPr="004530AE" w:rsidRDefault="00F920E5" w:rsidP="00E5022B">
      <w:pPr>
        <w:pStyle w:val="paragraph"/>
      </w:pPr>
      <w:r>
        <w:tab/>
        <w:t>(b)</w:t>
      </w:r>
      <w:r>
        <w:tab/>
      </w:r>
      <w:r w:rsidR="005048A2" w:rsidRPr="004530AE">
        <w:t>ensure process and quality improvement functions and activities are carried out regularly</w:t>
      </w:r>
      <w:r w:rsidR="0066602F">
        <w:t>.</w:t>
      </w:r>
    </w:p>
    <w:p w:rsidR="00A96B14" w:rsidRDefault="00A96B14" w:rsidP="00A96B14">
      <w:pPr>
        <w:pStyle w:val="ActHead3"/>
        <w:rPr>
          <w:rStyle w:val="CharDivNo"/>
        </w:rPr>
      </w:pPr>
      <w:bookmarkStart w:id="16" w:name="_Toc47109909"/>
      <w:r>
        <w:rPr>
          <w:rStyle w:val="CharDivNo"/>
        </w:rPr>
        <w:t>D</w:t>
      </w:r>
      <w:r w:rsidR="007D3095">
        <w:rPr>
          <w:rStyle w:val="CharDivNo"/>
        </w:rPr>
        <w:t>ivision 2</w:t>
      </w:r>
      <w:r w:rsidRPr="00702D8C">
        <w:rPr>
          <w:rStyle w:val="CharDivNo"/>
        </w:rPr>
        <w:sym w:font="Symbol" w:char="F0BE"/>
      </w:r>
      <w:r>
        <w:rPr>
          <w:rStyle w:val="CharDivNo"/>
        </w:rPr>
        <w:t>Requirements relating to screening</w:t>
      </w:r>
      <w:bookmarkEnd w:id="16"/>
    </w:p>
    <w:p w:rsidR="00F920E5" w:rsidRPr="00B53666" w:rsidRDefault="00F920E5" w:rsidP="00E5022B">
      <w:pPr>
        <w:pStyle w:val="ActHead5"/>
      </w:pPr>
      <w:bookmarkStart w:id="17" w:name="_Toc47109910"/>
      <w:bookmarkStart w:id="18" w:name="_Toc42769069"/>
      <w:r w:rsidRPr="00B53666">
        <w:t>9  What this Division is about</w:t>
      </w:r>
      <w:bookmarkEnd w:id="17"/>
    </w:p>
    <w:p w:rsidR="00F920E5" w:rsidRDefault="00F920E5" w:rsidP="00F920E5">
      <w:pPr>
        <w:pBdr>
          <w:top w:val="single" w:sz="6" w:space="5" w:color="auto"/>
          <w:left w:val="single" w:sz="6" w:space="5" w:color="auto"/>
          <w:bottom w:val="single" w:sz="6" w:space="5" w:color="auto"/>
          <w:right w:val="single" w:sz="6" w:space="5" w:color="auto"/>
        </w:pBdr>
        <w:spacing w:before="240" w:line="240" w:lineRule="auto"/>
        <w:ind w:left="1134"/>
      </w:pPr>
      <w:r>
        <w:t>This Division specifies procedures relating to screening that must be</w:t>
      </w:r>
      <w:r w:rsidR="002D5A74">
        <w:t xml:space="preserve"> </w:t>
      </w:r>
      <w:r>
        <w:t>implemented in the manufacture of FMT products.</w:t>
      </w:r>
    </w:p>
    <w:p w:rsidR="00AC36A4" w:rsidRDefault="004B052E" w:rsidP="004319AE">
      <w:pPr>
        <w:pStyle w:val="ActHead5"/>
      </w:pPr>
      <w:bookmarkStart w:id="19" w:name="_Toc47109911"/>
      <w:r>
        <w:t>10  Proposed donors and accepted donors</w:t>
      </w:r>
      <w:bookmarkEnd w:id="19"/>
    </w:p>
    <w:p w:rsidR="004B052E" w:rsidRDefault="004B052E" w:rsidP="004B052E">
      <w:pPr>
        <w:pStyle w:val="subsection"/>
      </w:pPr>
      <w:r w:rsidRPr="00C31C10">
        <w:tab/>
        <w:t>(1)</w:t>
      </w:r>
      <w:r w:rsidRPr="00C31C10">
        <w:tab/>
      </w:r>
      <w:r>
        <w:t xml:space="preserve">A </w:t>
      </w:r>
      <w:r w:rsidRPr="004319AE">
        <w:rPr>
          <w:b/>
          <w:i/>
        </w:rPr>
        <w:t>proposed donor</w:t>
      </w:r>
      <w:r>
        <w:t xml:space="preserve"> is a person, other than an accepted donor, from whom stool is proposed to be collected for use in the manufacture of FMT products.</w:t>
      </w:r>
    </w:p>
    <w:p w:rsidR="004B052E" w:rsidRDefault="004B052E" w:rsidP="004B052E">
      <w:pPr>
        <w:pStyle w:val="subsection"/>
      </w:pPr>
      <w:r>
        <w:tab/>
        <w:t>(2)</w:t>
      </w:r>
      <w:r>
        <w:tab/>
        <w:t xml:space="preserve">An </w:t>
      </w:r>
      <w:r w:rsidRPr="004319AE">
        <w:rPr>
          <w:b/>
          <w:i/>
        </w:rPr>
        <w:t>accepted donor</w:t>
      </w:r>
      <w:r>
        <w:t xml:space="preserve"> is</w:t>
      </w:r>
      <w:r w:rsidRPr="004B052E">
        <w:t xml:space="preserve"> a person</w:t>
      </w:r>
      <w:r>
        <w:t>:</w:t>
      </w:r>
    </w:p>
    <w:p w:rsidR="004B052E" w:rsidRDefault="004B052E" w:rsidP="004319AE">
      <w:pPr>
        <w:pStyle w:val="paragraph"/>
      </w:pPr>
      <w:r>
        <w:tab/>
        <w:t>(a)</w:t>
      </w:r>
      <w:r>
        <w:tab/>
      </w:r>
      <w:r w:rsidRPr="004B052E">
        <w:t xml:space="preserve">who has undertaken the screening procedures </w:t>
      </w:r>
      <w:r>
        <w:t xml:space="preserve">applicable to proposed donors specified in </w:t>
      </w:r>
      <w:r w:rsidR="00700470">
        <w:t xml:space="preserve">this </w:t>
      </w:r>
      <w:r>
        <w:t>Division;</w:t>
      </w:r>
      <w:r w:rsidRPr="004B052E">
        <w:t xml:space="preserve"> and</w:t>
      </w:r>
    </w:p>
    <w:p w:rsidR="00BF75E7" w:rsidRDefault="004B052E" w:rsidP="007E6B58">
      <w:pPr>
        <w:pStyle w:val="paragraph"/>
      </w:pPr>
      <w:r>
        <w:tab/>
        <w:t>(b)</w:t>
      </w:r>
      <w:r>
        <w:tab/>
      </w:r>
      <w:r w:rsidRPr="004B052E">
        <w:t xml:space="preserve">following those procedures, has been determined to be eligible to donate stool for use in the manufacture of FMT products </w:t>
      </w:r>
      <w:r>
        <w:t xml:space="preserve">in accordance with </w:t>
      </w:r>
      <w:r w:rsidR="00700470">
        <w:t xml:space="preserve">this </w:t>
      </w:r>
      <w:r w:rsidRPr="004B052E">
        <w:t>Division</w:t>
      </w:r>
      <w:r w:rsidR="007E6B58">
        <w:t>;</w:t>
      </w:r>
    </w:p>
    <w:p w:rsidR="007E6B58" w:rsidRDefault="007E6B58" w:rsidP="007373D3">
      <w:pPr>
        <w:pStyle w:val="subsection2"/>
      </w:pPr>
      <w:r>
        <w:t>but does not include a person mentioned in subsection (3).</w:t>
      </w:r>
    </w:p>
    <w:p w:rsidR="002B1FD0" w:rsidRDefault="002B1FD0" w:rsidP="007373D3">
      <w:pPr>
        <w:pStyle w:val="subsection"/>
      </w:pPr>
      <w:r>
        <w:tab/>
        <w:t>(3)</w:t>
      </w:r>
      <w:r>
        <w:tab/>
      </w:r>
      <w:r w:rsidR="00BF75E7">
        <w:t>A</w:t>
      </w:r>
      <w:r w:rsidR="007E6B58">
        <w:t xml:space="preserve"> person ceases to be an </w:t>
      </w:r>
      <w:r w:rsidR="007E6B58">
        <w:rPr>
          <w:b/>
          <w:i/>
        </w:rPr>
        <w:t>accepted donor</w:t>
      </w:r>
      <w:r w:rsidR="007E6B58">
        <w:t xml:space="preserve"> if </w:t>
      </w:r>
      <w:r w:rsidR="00B633FF">
        <w:t xml:space="preserve">the </w:t>
      </w:r>
      <w:r w:rsidR="007E6B58">
        <w:t xml:space="preserve">person </w:t>
      </w:r>
      <w:r>
        <w:t xml:space="preserve">fails to satisfy any of the screening procedures applicable to accepted donors specified in </w:t>
      </w:r>
      <w:r w:rsidR="00700470">
        <w:t xml:space="preserve">this </w:t>
      </w:r>
      <w:r>
        <w:t>Division.</w:t>
      </w:r>
    </w:p>
    <w:p w:rsidR="00F920E5" w:rsidRPr="005059D4" w:rsidRDefault="00D62FA6" w:rsidP="004319AE">
      <w:pPr>
        <w:pStyle w:val="ActHead5"/>
      </w:pPr>
      <w:bookmarkStart w:id="20" w:name="_Toc47109912"/>
      <w:r>
        <w:t>1</w:t>
      </w:r>
      <w:r w:rsidR="004B052E">
        <w:t>1</w:t>
      </w:r>
      <w:r>
        <w:t xml:space="preserve">  </w:t>
      </w:r>
      <w:r w:rsidR="00F920E5">
        <w:t>General screening</w:t>
      </w:r>
      <w:r w:rsidR="00CD6F3D">
        <w:t xml:space="preserve"> procedures</w:t>
      </w:r>
      <w:bookmarkEnd w:id="20"/>
    </w:p>
    <w:p w:rsidR="0080437B" w:rsidRDefault="00F920E5" w:rsidP="00E5022B">
      <w:pPr>
        <w:pStyle w:val="subsection"/>
      </w:pPr>
      <w:r w:rsidRPr="00C31C10">
        <w:tab/>
        <w:t>(1)</w:t>
      </w:r>
      <w:r w:rsidRPr="00C31C10">
        <w:tab/>
      </w:r>
      <w:r>
        <w:t xml:space="preserve">Screening </w:t>
      </w:r>
      <w:bookmarkEnd w:id="18"/>
      <w:r>
        <w:t>p</w:t>
      </w:r>
      <w:r w:rsidR="0073359C" w:rsidRPr="004530AE">
        <w:t xml:space="preserve">rocedures must be </w:t>
      </w:r>
      <w:r>
        <w:t xml:space="preserve">implemented in relation to </w:t>
      </w:r>
      <w:r w:rsidR="00275506">
        <w:t>proposed</w:t>
      </w:r>
      <w:r>
        <w:t xml:space="preserve"> donors and </w:t>
      </w:r>
      <w:r w:rsidR="00FA6A11">
        <w:t>accepted</w:t>
      </w:r>
      <w:r>
        <w:t xml:space="preserve"> donors to</w:t>
      </w:r>
      <w:r w:rsidR="0073359C" w:rsidRPr="004530AE">
        <w:t xml:space="preserve"> </w:t>
      </w:r>
      <w:r w:rsidR="006C0FBC">
        <w:t xml:space="preserve">ensure </w:t>
      </w:r>
      <w:r w:rsidR="00FC7023">
        <w:t xml:space="preserve">that </w:t>
      </w:r>
      <w:r w:rsidR="006C0FBC">
        <w:t>the quality, safety and efficacy of FMT products is acceptable.</w:t>
      </w:r>
    </w:p>
    <w:p w:rsidR="00F920E5" w:rsidRPr="004530AE" w:rsidRDefault="00F920E5" w:rsidP="00E5022B">
      <w:pPr>
        <w:pStyle w:val="subsection"/>
      </w:pPr>
      <w:r>
        <w:tab/>
        <w:t>(2)</w:t>
      </w:r>
      <w:r>
        <w:tab/>
      </w:r>
      <w:r w:rsidR="006319DC">
        <w:t>The screening procedures must include:</w:t>
      </w:r>
    </w:p>
    <w:p w:rsidR="0080437B" w:rsidRPr="00D024FE" w:rsidRDefault="00EE170C" w:rsidP="00E5022B">
      <w:pPr>
        <w:pStyle w:val="paragraph"/>
      </w:pPr>
      <w:r>
        <w:tab/>
        <w:t>(a)</w:t>
      </w:r>
      <w:r>
        <w:tab/>
      </w:r>
      <w:r w:rsidR="00FA6A11">
        <w:t xml:space="preserve">review of </w:t>
      </w:r>
      <w:r w:rsidR="0073359C">
        <w:t xml:space="preserve">medical and social history in accordance </w:t>
      </w:r>
      <w:r w:rsidR="00AA436E">
        <w:t>with</w:t>
      </w:r>
      <w:r w:rsidR="0073359C">
        <w:t xml:space="preserve"> secti</w:t>
      </w:r>
      <w:r w:rsidR="0073359C" w:rsidRPr="00D024FE">
        <w:t>on</w:t>
      </w:r>
      <w:r w:rsidR="00C83A53" w:rsidRPr="00D024FE">
        <w:t xml:space="preserve"> </w:t>
      </w:r>
      <w:r w:rsidR="007F3046" w:rsidRPr="00D024FE">
        <w:t>1</w:t>
      </w:r>
      <w:r w:rsidR="00261B68" w:rsidRPr="00D024FE">
        <w:t>2</w:t>
      </w:r>
      <w:r w:rsidR="0080437B" w:rsidRPr="00D024FE">
        <w:t>;</w:t>
      </w:r>
      <w:r w:rsidR="00FC2DF5">
        <w:t xml:space="preserve"> and</w:t>
      </w:r>
    </w:p>
    <w:p w:rsidR="006319DC" w:rsidRPr="00D024FE" w:rsidRDefault="00EE170C" w:rsidP="00E5022B">
      <w:pPr>
        <w:pStyle w:val="paragraph"/>
      </w:pPr>
      <w:r w:rsidRPr="00D024FE">
        <w:tab/>
        <w:t>(b)</w:t>
      </w:r>
      <w:r w:rsidRPr="00D024FE">
        <w:tab/>
      </w:r>
      <w:r w:rsidR="006D4DA0" w:rsidRPr="00D024FE">
        <w:t xml:space="preserve">taking </w:t>
      </w:r>
      <w:r w:rsidR="00AA436E" w:rsidRPr="00D024FE">
        <w:t xml:space="preserve">of </w:t>
      </w:r>
      <w:r w:rsidR="00105720" w:rsidRPr="00D024FE">
        <w:t>blood, stool or other</w:t>
      </w:r>
      <w:r w:rsidR="006319DC" w:rsidRPr="00D024FE">
        <w:t xml:space="preserve"> </w:t>
      </w:r>
      <w:r w:rsidR="0080437B" w:rsidRPr="00D024FE">
        <w:t xml:space="preserve">samples </w:t>
      </w:r>
      <w:r w:rsidR="006319DC" w:rsidRPr="00D024FE">
        <w:t>in accordance with section 1</w:t>
      </w:r>
      <w:r w:rsidR="00261B68" w:rsidRPr="00D024FE">
        <w:t>3</w:t>
      </w:r>
      <w:r w:rsidR="006319DC" w:rsidRPr="00D024FE">
        <w:t>;</w:t>
      </w:r>
      <w:r w:rsidR="00FC2DF5">
        <w:t xml:space="preserve"> and</w:t>
      </w:r>
    </w:p>
    <w:p w:rsidR="0080437B" w:rsidRPr="00D024FE" w:rsidRDefault="006319DC" w:rsidP="00E5022B">
      <w:pPr>
        <w:pStyle w:val="paragraph"/>
      </w:pPr>
      <w:r w:rsidRPr="00D024FE">
        <w:tab/>
        <w:t>(c)</w:t>
      </w:r>
      <w:r w:rsidRPr="00D024FE">
        <w:tab/>
        <w:t xml:space="preserve">testing of </w:t>
      </w:r>
      <w:r w:rsidR="00105720" w:rsidRPr="00D024FE">
        <w:t>blood, stool or other s</w:t>
      </w:r>
      <w:r w:rsidRPr="00D024FE">
        <w:t xml:space="preserve">amples </w:t>
      </w:r>
      <w:r w:rsidR="00EA0B49" w:rsidRPr="00D024FE">
        <w:t>in accordance with section 1</w:t>
      </w:r>
      <w:r w:rsidR="00261B68" w:rsidRPr="00D024FE">
        <w:t>4</w:t>
      </w:r>
      <w:r w:rsidRPr="00D024FE">
        <w:t>; and</w:t>
      </w:r>
    </w:p>
    <w:p w:rsidR="00B15FBD" w:rsidRPr="005C223F" w:rsidRDefault="00EE170C" w:rsidP="00E5022B">
      <w:pPr>
        <w:pStyle w:val="paragraph"/>
      </w:pPr>
      <w:r w:rsidRPr="00D024FE">
        <w:tab/>
        <w:t>(</w:t>
      </w:r>
      <w:r w:rsidR="005059D4" w:rsidRPr="00D024FE">
        <w:t>d</w:t>
      </w:r>
      <w:r w:rsidRPr="00D024FE">
        <w:t>)</w:t>
      </w:r>
      <w:r w:rsidRPr="00D024FE">
        <w:tab/>
      </w:r>
      <w:r w:rsidR="00B15FBD" w:rsidRPr="00D024FE">
        <w:t xml:space="preserve">physical </w:t>
      </w:r>
      <w:r w:rsidR="00EC3776" w:rsidRPr="00D024FE">
        <w:t xml:space="preserve">assessment </w:t>
      </w:r>
      <w:r w:rsidR="00B15FBD" w:rsidRPr="00D024FE">
        <w:t xml:space="preserve">in accordance </w:t>
      </w:r>
      <w:r w:rsidR="00AA436E" w:rsidRPr="00D024FE">
        <w:t>with</w:t>
      </w:r>
      <w:r w:rsidR="00B15FBD" w:rsidRPr="00D024FE">
        <w:t xml:space="preserve"> section </w:t>
      </w:r>
      <w:r w:rsidR="005E35BC" w:rsidRPr="00D024FE">
        <w:t>1</w:t>
      </w:r>
      <w:r w:rsidR="00261B68" w:rsidRPr="00D024FE">
        <w:t>5</w:t>
      </w:r>
      <w:r w:rsidR="00EA0B49" w:rsidRPr="00D024FE">
        <w:t>.</w:t>
      </w:r>
    </w:p>
    <w:p w:rsidR="00D62FA6" w:rsidRDefault="00EC0238" w:rsidP="00E5022B">
      <w:pPr>
        <w:pStyle w:val="ActHead5"/>
      </w:pPr>
      <w:bookmarkStart w:id="21" w:name="_Toc47109913"/>
      <w:r>
        <w:t>1</w:t>
      </w:r>
      <w:r w:rsidR="00261B68">
        <w:t>2</w:t>
      </w:r>
      <w:r w:rsidR="006B0061" w:rsidRPr="00B52F13">
        <w:t xml:space="preserve"> </w:t>
      </w:r>
      <w:r w:rsidR="00A96B14">
        <w:t xml:space="preserve"> </w:t>
      </w:r>
      <w:r w:rsidR="001528BE" w:rsidRPr="00B52F13">
        <w:t>M</w:t>
      </w:r>
      <w:r w:rsidR="003E7466" w:rsidRPr="00B52F13">
        <w:t>edical and social history</w:t>
      </w:r>
      <w:bookmarkEnd w:id="21"/>
    </w:p>
    <w:p w:rsidR="00D62FA6" w:rsidRDefault="00D62FA6" w:rsidP="00E5022B">
      <w:pPr>
        <w:pStyle w:val="SubsectionHead"/>
        <w:ind w:left="750"/>
      </w:pPr>
      <w:r>
        <w:t>Medical and social history of proposed donors</w:t>
      </w:r>
    </w:p>
    <w:p w:rsidR="006814E5" w:rsidRDefault="00D62FA6" w:rsidP="00E5022B">
      <w:pPr>
        <w:pStyle w:val="subsection"/>
      </w:pPr>
      <w:r>
        <w:tab/>
        <w:t>(1)</w:t>
      </w:r>
      <w:r>
        <w:tab/>
      </w:r>
      <w:r w:rsidR="006814E5">
        <w:t xml:space="preserve">A </w:t>
      </w:r>
      <w:r w:rsidR="00BF738C">
        <w:t xml:space="preserve">complete medical and social history, covering the ineligibility criteria for donor selection specified in Schedule 1 and any other relevant matters, </w:t>
      </w:r>
      <w:r w:rsidR="006814E5">
        <w:t xml:space="preserve">must be </w:t>
      </w:r>
      <w:r w:rsidR="00BF738C">
        <w:t>obtained from a proposed donor by interview</w:t>
      </w:r>
      <w:r w:rsidR="00FA6A11">
        <w:t>, and reviewed for the purposes of screening</w:t>
      </w:r>
      <w:r w:rsidR="00073A84">
        <w:t>.</w:t>
      </w:r>
    </w:p>
    <w:p w:rsidR="00424EEF" w:rsidRDefault="00705877" w:rsidP="00E5022B">
      <w:pPr>
        <w:pStyle w:val="subsection"/>
      </w:pPr>
      <w:r>
        <w:tab/>
        <w:t>(2)</w:t>
      </w:r>
      <w:r>
        <w:tab/>
        <w:t>The interview must</w:t>
      </w:r>
      <w:r w:rsidR="00C135E9">
        <w:t xml:space="preserve"> be</w:t>
      </w:r>
      <w:r w:rsidR="00424EEF">
        <w:t>:</w:t>
      </w:r>
    </w:p>
    <w:p w:rsidR="006814E5" w:rsidRDefault="00424EEF" w:rsidP="00E5022B">
      <w:pPr>
        <w:pStyle w:val="paragraph"/>
      </w:pPr>
      <w:r>
        <w:tab/>
        <w:t>(a)</w:t>
      </w:r>
      <w:r>
        <w:tab/>
      </w:r>
      <w:r w:rsidR="006814E5">
        <w:t xml:space="preserve">conducted by an </w:t>
      </w:r>
      <w:r w:rsidR="006814E5" w:rsidRPr="004530AE">
        <w:t>interview</w:t>
      </w:r>
      <w:r w:rsidR="006814E5">
        <w:t>er who is appropriately qualified;</w:t>
      </w:r>
      <w:r w:rsidR="005059D4">
        <w:t xml:space="preserve"> and</w:t>
      </w:r>
    </w:p>
    <w:p w:rsidR="006814E5" w:rsidRDefault="006814E5" w:rsidP="00E5022B">
      <w:pPr>
        <w:pStyle w:val="paragraph"/>
      </w:pPr>
      <w:r>
        <w:tab/>
      </w:r>
      <w:r w:rsidR="00EE170C">
        <w:t>(</w:t>
      </w:r>
      <w:r>
        <w:t>b</w:t>
      </w:r>
      <w:r w:rsidR="00EE170C">
        <w:t>)</w:t>
      </w:r>
      <w:r w:rsidR="00EE170C">
        <w:tab/>
      </w:r>
      <w:r>
        <w:t>undertaken</w:t>
      </w:r>
      <w:r w:rsidRPr="004530AE">
        <w:t xml:space="preserve"> no</w:t>
      </w:r>
      <w:r>
        <w:t>t</w:t>
      </w:r>
      <w:r w:rsidRPr="004530AE">
        <w:t xml:space="preserve"> </w:t>
      </w:r>
      <w:r>
        <w:t>more</w:t>
      </w:r>
      <w:r w:rsidRPr="004530AE">
        <w:t xml:space="preserve"> than 30 days</w:t>
      </w:r>
      <w:r w:rsidRPr="00DB1E7C">
        <w:t xml:space="preserve"> </w:t>
      </w:r>
      <w:r>
        <w:t>prior to</w:t>
      </w:r>
      <w:r w:rsidRPr="00DB1E7C">
        <w:t xml:space="preserve"> the </w:t>
      </w:r>
      <w:r>
        <w:t xml:space="preserve">first </w:t>
      </w:r>
      <w:r w:rsidRPr="00DB1E7C">
        <w:t xml:space="preserve">collection of stool </w:t>
      </w:r>
      <w:r>
        <w:t>for use in the manufacture of FMT products</w:t>
      </w:r>
      <w:r w:rsidRPr="00DB6EDB">
        <w:t>;</w:t>
      </w:r>
      <w:r>
        <w:t xml:space="preserve"> and</w:t>
      </w:r>
    </w:p>
    <w:p w:rsidR="006814E5" w:rsidRDefault="006814E5" w:rsidP="00E5022B">
      <w:pPr>
        <w:pStyle w:val="paragraph"/>
      </w:pPr>
      <w:r>
        <w:tab/>
        <w:t>(c)</w:t>
      </w:r>
      <w:r>
        <w:tab/>
        <w:t>held face to face between the proposed donor and the interviewer, to the extent that it is possible in the circumstances</w:t>
      </w:r>
      <w:bookmarkStart w:id="22" w:name="trainedinterviewer"/>
      <w:r w:rsidR="005B7400">
        <w:t>;</w:t>
      </w:r>
      <w:r w:rsidR="003E7466" w:rsidRPr="004530AE">
        <w:t xml:space="preserve"> </w:t>
      </w:r>
      <w:bookmarkEnd w:id="22"/>
      <w:r w:rsidR="003E7466" w:rsidRPr="004530AE">
        <w:t>and</w:t>
      </w:r>
    </w:p>
    <w:p w:rsidR="004050D8" w:rsidRPr="004530AE" w:rsidRDefault="006814E5" w:rsidP="00E5022B">
      <w:pPr>
        <w:pStyle w:val="paragraph"/>
      </w:pPr>
      <w:r>
        <w:tab/>
      </w:r>
      <w:r w:rsidR="005B7400">
        <w:t>(</w:t>
      </w:r>
      <w:r w:rsidR="005059D4">
        <w:t>d</w:t>
      </w:r>
      <w:r w:rsidR="00EE170C">
        <w:t>)</w:t>
      </w:r>
      <w:r w:rsidR="00EE170C">
        <w:tab/>
      </w:r>
      <w:r w:rsidR="00AE5DE1">
        <w:t>documented</w:t>
      </w:r>
      <w:r w:rsidR="004050D8" w:rsidRPr="004530AE">
        <w:t>.</w:t>
      </w:r>
    </w:p>
    <w:p w:rsidR="00E54E33" w:rsidRDefault="00E54E33" w:rsidP="00E54E33">
      <w:pPr>
        <w:pStyle w:val="SubsectionHead"/>
      </w:pPr>
      <w:r>
        <w:t xml:space="preserve">Medical and social history of </w:t>
      </w:r>
      <w:r w:rsidR="00FA6A11">
        <w:t>accepted</w:t>
      </w:r>
      <w:r>
        <w:t xml:space="preserve"> donors</w:t>
      </w:r>
    </w:p>
    <w:p w:rsidR="00AB5F3A" w:rsidRDefault="003A03B4" w:rsidP="00E5022B">
      <w:pPr>
        <w:pStyle w:val="subsection"/>
      </w:pPr>
      <w:r>
        <w:tab/>
      </w:r>
      <w:r w:rsidR="000A2337">
        <w:t>(3</w:t>
      </w:r>
      <w:r w:rsidR="00AB5F3A">
        <w:t>)</w:t>
      </w:r>
      <w:r w:rsidR="00AB5F3A">
        <w:rPr>
          <w:i/>
        </w:rPr>
        <w:tab/>
      </w:r>
      <w:r w:rsidR="007769A2">
        <w:t>The</w:t>
      </w:r>
      <w:r w:rsidR="00AB5F3A">
        <w:t xml:space="preserve"> complete medical and social history must be </w:t>
      </w:r>
      <w:r w:rsidR="007769A2">
        <w:t>repeated in relation to</w:t>
      </w:r>
      <w:r w:rsidR="000A2337">
        <w:t xml:space="preserve"> </w:t>
      </w:r>
      <w:r w:rsidR="00AB3A50">
        <w:t xml:space="preserve">an accepted donor </w:t>
      </w:r>
      <w:r w:rsidR="007769A2">
        <w:t xml:space="preserve">on an ongoing basis, </w:t>
      </w:r>
      <w:r w:rsidR="00AB053D">
        <w:t>such that</w:t>
      </w:r>
      <w:r w:rsidR="007769A2">
        <w:t xml:space="preserve"> each complete medical and social history is obtained </w:t>
      </w:r>
      <w:r w:rsidR="00F76BA1">
        <w:t>within</w:t>
      </w:r>
      <w:r w:rsidR="007769A2">
        <w:t xml:space="preserve"> </w:t>
      </w:r>
      <w:r w:rsidR="007A611D">
        <w:t>90 day</w:t>
      </w:r>
      <w:r w:rsidR="007769A2">
        <w:t>s of the last complete medical and social history</w:t>
      </w:r>
      <w:r w:rsidR="000A2337">
        <w:t>.</w:t>
      </w:r>
    </w:p>
    <w:p w:rsidR="003C12BB" w:rsidRPr="00424EEF" w:rsidRDefault="000A2337" w:rsidP="007738E0">
      <w:pPr>
        <w:pStyle w:val="subsection"/>
      </w:pPr>
      <w:r>
        <w:tab/>
      </w:r>
      <w:r w:rsidR="003A03B4" w:rsidRPr="00E54E33">
        <w:t>(</w:t>
      </w:r>
      <w:r>
        <w:t>4</w:t>
      </w:r>
      <w:r w:rsidR="003A03B4" w:rsidRPr="00E54E33">
        <w:t>)</w:t>
      </w:r>
      <w:r w:rsidR="003A03B4" w:rsidRPr="00E54E33">
        <w:tab/>
      </w:r>
      <w:r w:rsidR="00AB5F3A">
        <w:t>A</w:t>
      </w:r>
      <w:r w:rsidR="00D511B5" w:rsidRPr="00E5022B">
        <w:t xml:space="preserve">n </w:t>
      </w:r>
      <w:r w:rsidR="00AF76F4" w:rsidRPr="00E54E33">
        <w:t>abridged medical and social history</w:t>
      </w:r>
      <w:r w:rsidR="003C12BB">
        <w:t xml:space="preserve"> </w:t>
      </w:r>
      <w:r w:rsidR="00AF76F4" w:rsidRPr="00E54E33">
        <w:t xml:space="preserve">must be </w:t>
      </w:r>
      <w:r w:rsidR="00D511B5" w:rsidRPr="00E5022B">
        <w:t>obtained</w:t>
      </w:r>
      <w:r w:rsidR="003C12BB">
        <w:t xml:space="preserve">, reviewed and </w:t>
      </w:r>
      <w:r w:rsidR="00AE5DE1">
        <w:t>documented</w:t>
      </w:r>
      <w:r w:rsidR="00E54E33">
        <w:t>,</w:t>
      </w:r>
      <w:r w:rsidR="00E54E33" w:rsidRPr="00E54E33">
        <w:t xml:space="preserve"> </w:t>
      </w:r>
      <w:r w:rsidR="00AB5F3A">
        <w:t xml:space="preserve">each </w:t>
      </w:r>
      <w:r w:rsidR="00B42347">
        <w:t xml:space="preserve">time stool is collected for </w:t>
      </w:r>
      <w:r w:rsidR="00AB5F3A" w:rsidRPr="00706BCC">
        <w:t>use in the manufacture of FMT products</w:t>
      </w:r>
      <w:r w:rsidR="00AB5F3A">
        <w:t xml:space="preserve"> from an accepted donor, </w:t>
      </w:r>
      <w:r w:rsidR="00E54E33">
        <w:t>cover</w:t>
      </w:r>
      <w:r w:rsidR="00AB5F3A">
        <w:t>ing</w:t>
      </w:r>
      <w:r w:rsidR="00E54E33">
        <w:t xml:space="preserve"> </w:t>
      </w:r>
      <w:r w:rsidR="00C910AD">
        <w:t xml:space="preserve">any </w:t>
      </w:r>
      <w:r w:rsidR="00424EEF">
        <w:t>relevant matter</w:t>
      </w:r>
      <w:r w:rsidR="00700470">
        <w:t>s</w:t>
      </w:r>
      <w:r w:rsidR="00424EEF">
        <w:t xml:space="preserve"> determined on the basis of a</w:t>
      </w:r>
      <w:r w:rsidR="009354AF">
        <w:t> </w:t>
      </w:r>
      <w:r w:rsidR="00424EEF">
        <w:t xml:space="preserve">risk assessment, including </w:t>
      </w:r>
      <w:r w:rsidR="00C910AD">
        <w:t xml:space="preserve">one or more of </w:t>
      </w:r>
      <w:r w:rsidR="00FA6A11">
        <w:t xml:space="preserve">the </w:t>
      </w:r>
      <w:r w:rsidR="00424EEF">
        <w:t>ineligibility criteria for donor selection specified in Schedule 1</w:t>
      </w:r>
      <w:r w:rsidR="003C12BB">
        <w:t>.</w:t>
      </w:r>
    </w:p>
    <w:p w:rsidR="00965AED" w:rsidRPr="007738E0" w:rsidRDefault="00965AED" w:rsidP="007738E0">
      <w:pPr>
        <w:pStyle w:val="SubsectionHead"/>
      </w:pPr>
      <w:r w:rsidRPr="007738E0">
        <w:t>Re</w:t>
      </w:r>
      <w:r w:rsidR="00126CF6">
        <w:t>view</w:t>
      </w:r>
      <w:r w:rsidRPr="007738E0">
        <w:t xml:space="preserve"> of an </w:t>
      </w:r>
      <w:r w:rsidR="00C910AD" w:rsidRPr="007738E0">
        <w:t>accepted</w:t>
      </w:r>
      <w:r w:rsidRPr="007738E0">
        <w:t xml:space="preserve"> donor</w:t>
      </w:r>
    </w:p>
    <w:p w:rsidR="008A0FC5" w:rsidRPr="00D50011" w:rsidRDefault="00EA5542" w:rsidP="008A0FC5">
      <w:pPr>
        <w:pStyle w:val="subsection"/>
      </w:pPr>
      <w:r>
        <w:tab/>
        <w:t>(</w:t>
      </w:r>
      <w:r w:rsidR="00853B5E">
        <w:t>5</w:t>
      </w:r>
      <w:r>
        <w:t>)</w:t>
      </w:r>
      <w:r>
        <w:tab/>
      </w:r>
      <w:r w:rsidR="00275506">
        <w:t>Where</w:t>
      </w:r>
      <w:r w:rsidR="008A0FC5" w:rsidRPr="004530AE">
        <w:t xml:space="preserve"> </w:t>
      </w:r>
      <w:r w:rsidR="00813441">
        <w:t xml:space="preserve">the </w:t>
      </w:r>
      <w:r w:rsidR="00C910AD">
        <w:t xml:space="preserve">circumstances of an accepted donor change in relation to </w:t>
      </w:r>
      <w:r w:rsidR="00C90B4D">
        <w:t xml:space="preserve">either </w:t>
      </w:r>
      <w:r w:rsidR="008A0FC5" w:rsidRPr="004530AE">
        <w:t xml:space="preserve">the </w:t>
      </w:r>
      <w:r w:rsidR="008A0FC5">
        <w:t xml:space="preserve">ineligibility </w:t>
      </w:r>
      <w:r w:rsidR="008A0FC5" w:rsidRPr="004530AE">
        <w:t xml:space="preserve">criteria </w:t>
      </w:r>
      <w:r w:rsidR="008A0FC5">
        <w:t xml:space="preserve">for </w:t>
      </w:r>
      <w:r w:rsidR="008A0FC5" w:rsidRPr="00D50011">
        <w:t>donor selection specified in Schedule 1</w:t>
      </w:r>
      <w:r w:rsidR="00C90B4D" w:rsidRPr="00D50011">
        <w:t xml:space="preserve"> or a disease or condition referred to in subsection (8)</w:t>
      </w:r>
      <w:r w:rsidR="00813441" w:rsidRPr="00D50011">
        <w:t xml:space="preserve">, the </w:t>
      </w:r>
      <w:r w:rsidR="00126CF6" w:rsidRPr="00D50011">
        <w:t xml:space="preserve">relevant aspects of the </w:t>
      </w:r>
      <w:r w:rsidR="00813441" w:rsidRPr="00D50011">
        <w:t>medical and social history of the donor must be reviewed with respect to those changes before</w:t>
      </w:r>
      <w:r w:rsidR="00A4215A" w:rsidRPr="00D50011">
        <w:t>:</w:t>
      </w:r>
    </w:p>
    <w:p w:rsidR="008A0FC5" w:rsidRPr="00D50011" w:rsidRDefault="008A0FC5" w:rsidP="008A0FC5">
      <w:pPr>
        <w:pStyle w:val="paragraph"/>
      </w:pPr>
      <w:r w:rsidRPr="00D50011">
        <w:tab/>
        <w:t>(a)</w:t>
      </w:r>
      <w:r w:rsidRPr="00D50011">
        <w:tab/>
        <w:t>stool</w:t>
      </w:r>
      <w:r w:rsidR="00A4215A" w:rsidRPr="00D50011">
        <w:t xml:space="preserve"> collected from the </w:t>
      </w:r>
      <w:r w:rsidR="00C910AD" w:rsidRPr="00D50011">
        <w:t xml:space="preserve">accepted </w:t>
      </w:r>
      <w:r w:rsidR="00A4215A" w:rsidRPr="00D50011">
        <w:t xml:space="preserve">donor </w:t>
      </w:r>
      <w:r w:rsidR="00813441" w:rsidRPr="00D50011">
        <w:t xml:space="preserve">is </w:t>
      </w:r>
      <w:r w:rsidR="00A4215A" w:rsidRPr="00D50011">
        <w:t>used in the manufacture of FMT products</w:t>
      </w:r>
      <w:r w:rsidRPr="00D50011">
        <w:t xml:space="preserve">; </w:t>
      </w:r>
      <w:r w:rsidR="00A4215A" w:rsidRPr="00D50011">
        <w:t>and</w:t>
      </w:r>
    </w:p>
    <w:p w:rsidR="00A4215A" w:rsidRDefault="008A0FC5" w:rsidP="008A0FC5">
      <w:pPr>
        <w:pStyle w:val="paragraph"/>
      </w:pPr>
      <w:r w:rsidRPr="00D50011">
        <w:tab/>
        <w:t>(b)</w:t>
      </w:r>
      <w:r w:rsidRPr="00D50011">
        <w:tab/>
        <w:t>FMT product</w:t>
      </w:r>
      <w:r w:rsidR="00A4215A" w:rsidRPr="00D50011">
        <w:t>s</w:t>
      </w:r>
      <w:r w:rsidRPr="00D50011">
        <w:t xml:space="preserve"> </w:t>
      </w:r>
      <w:r w:rsidR="00C135E9" w:rsidRPr="00D50011">
        <w:t xml:space="preserve">that are </w:t>
      </w:r>
      <w:r w:rsidRPr="00D50011">
        <w:t xml:space="preserve">manufactured </w:t>
      </w:r>
      <w:r w:rsidR="005D6D6F" w:rsidRPr="00D50011">
        <w:t>using</w:t>
      </w:r>
      <w:r w:rsidRPr="00D50011">
        <w:t xml:space="preserve"> stool </w:t>
      </w:r>
      <w:r w:rsidR="00A4215A" w:rsidRPr="00D50011">
        <w:t xml:space="preserve">collected from the </w:t>
      </w:r>
      <w:r w:rsidR="00C910AD" w:rsidRPr="00D50011">
        <w:t xml:space="preserve">accepted </w:t>
      </w:r>
      <w:r w:rsidR="00A4215A" w:rsidRPr="00D50011">
        <w:t xml:space="preserve">donor </w:t>
      </w:r>
      <w:r w:rsidR="00276002" w:rsidRPr="00D50011">
        <w:t xml:space="preserve">are </w:t>
      </w:r>
      <w:r w:rsidRPr="00D50011">
        <w:rPr>
          <w:rFonts w:eastAsiaTheme="minorHAnsi" w:cstheme="minorBidi"/>
          <w:lang w:eastAsia="en-US"/>
        </w:rPr>
        <w:t>released for supply</w:t>
      </w:r>
      <w:r w:rsidR="00813441" w:rsidRPr="00D50011">
        <w:t>.</w:t>
      </w:r>
    </w:p>
    <w:p w:rsidR="00661BDF" w:rsidRDefault="00661BDF" w:rsidP="00E5022B">
      <w:pPr>
        <w:pStyle w:val="SubsectionHead"/>
      </w:pPr>
      <w:r>
        <w:t>Screening requirements for allogen</w:t>
      </w:r>
      <w:r w:rsidR="00126CF6">
        <w:t>e</w:t>
      </w:r>
      <w:r>
        <w:t>ic use</w:t>
      </w:r>
    </w:p>
    <w:p w:rsidR="00661BDF" w:rsidRDefault="003A03B4" w:rsidP="00E5022B">
      <w:pPr>
        <w:pStyle w:val="subsection"/>
      </w:pPr>
      <w:r>
        <w:tab/>
        <w:t>(</w:t>
      </w:r>
      <w:r w:rsidR="00853B5E">
        <w:t>6</w:t>
      </w:r>
      <w:r>
        <w:t>)</w:t>
      </w:r>
      <w:r>
        <w:tab/>
      </w:r>
      <w:r w:rsidR="00661BDF">
        <w:t xml:space="preserve">Where </w:t>
      </w:r>
      <w:r w:rsidR="00813441">
        <w:t xml:space="preserve">a proposed donor </w:t>
      </w:r>
      <w:r w:rsidR="00C90B4D">
        <w:t xml:space="preserve">or accepted donor </w:t>
      </w:r>
      <w:r w:rsidR="00E54C56">
        <w:t xml:space="preserve">meets any of the ineligibility criteria for donor selection specified in column 2 of an item in the table in Schedule 1, the </w:t>
      </w:r>
      <w:r w:rsidR="00C90B4D">
        <w:t>donor</w:t>
      </w:r>
      <w:r w:rsidR="00E54C56">
        <w:t xml:space="preserve"> is subject to the period of ineligibility specified in column 3 of that item in relation to the collection of stool </w:t>
      </w:r>
      <w:r w:rsidR="00774151">
        <w:t xml:space="preserve">from that donor </w:t>
      </w:r>
      <w:r w:rsidR="00E54C56">
        <w:t xml:space="preserve">for use in </w:t>
      </w:r>
      <w:r w:rsidR="00661BDF">
        <w:t>the manufacture of FMT products intended for allogen</w:t>
      </w:r>
      <w:r w:rsidR="00126CF6">
        <w:t>e</w:t>
      </w:r>
      <w:r w:rsidR="00661BDF">
        <w:t>ic use.</w:t>
      </w:r>
    </w:p>
    <w:p w:rsidR="00156D89" w:rsidRPr="00DB1E7C" w:rsidRDefault="00661BDF" w:rsidP="00E5022B">
      <w:pPr>
        <w:pStyle w:val="SubsectionHead"/>
      </w:pPr>
      <w:r>
        <w:t>Screening requirements for autologous use</w:t>
      </w:r>
    </w:p>
    <w:p w:rsidR="00156D89" w:rsidRPr="00DB1E7C" w:rsidRDefault="003A03B4" w:rsidP="00E5022B">
      <w:pPr>
        <w:pStyle w:val="subsection"/>
      </w:pPr>
      <w:r>
        <w:tab/>
        <w:t>(</w:t>
      </w:r>
      <w:r w:rsidR="00853B5E">
        <w:t>7</w:t>
      </w:r>
      <w:r>
        <w:t>)</w:t>
      </w:r>
      <w:r>
        <w:tab/>
      </w:r>
      <w:r w:rsidR="009845B1" w:rsidRPr="004530AE">
        <w:t>Where</w:t>
      </w:r>
      <w:r w:rsidR="00E54C56">
        <w:t xml:space="preserve"> a proposed donor </w:t>
      </w:r>
      <w:r w:rsidR="00C90B4D">
        <w:t xml:space="preserve">or accepted donor </w:t>
      </w:r>
      <w:r w:rsidR="00E54C56">
        <w:t xml:space="preserve">meets any of the ineligibility criteria for donor selection specified in column 2 of an item in the table in Schedule 1, a risk assessment must be conducted as to whether the donor should be subject to the period of ineligibility specified in column 3 of that item, in relation to the collection of stool </w:t>
      </w:r>
      <w:r w:rsidR="00774151">
        <w:t xml:space="preserve">from that donor </w:t>
      </w:r>
      <w:r w:rsidR="00E54C56">
        <w:t>for use in the manufacture of FMT products intended for autologous use</w:t>
      </w:r>
      <w:r w:rsidR="00E54C56" w:rsidRPr="00DB1E7C">
        <w:t>.</w:t>
      </w:r>
    </w:p>
    <w:p w:rsidR="00661BDF" w:rsidRDefault="00854075" w:rsidP="00E5022B">
      <w:pPr>
        <w:pStyle w:val="SubsectionHead"/>
      </w:pPr>
      <w:r>
        <w:t>Diseases or conditions not mentioned in Schedule 1</w:t>
      </w:r>
    </w:p>
    <w:p w:rsidR="009845B1" w:rsidRPr="00DB6EDB" w:rsidRDefault="003A03B4" w:rsidP="007738E0">
      <w:pPr>
        <w:pStyle w:val="subsection"/>
      </w:pPr>
      <w:r>
        <w:tab/>
        <w:t>(</w:t>
      </w:r>
      <w:r w:rsidR="00C90B4D">
        <w:t>8</w:t>
      </w:r>
      <w:r>
        <w:t>)</w:t>
      </w:r>
      <w:r>
        <w:tab/>
      </w:r>
      <w:r w:rsidR="009E1E97">
        <w:t xml:space="preserve">Where a proposed donor </w:t>
      </w:r>
      <w:r w:rsidR="00C90B4D">
        <w:t xml:space="preserve">or accepted donor </w:t>
      </w:r>
      <w:r w:rsidR="009E1E97">
        <w:t xml:space="preserve">has </w:t>
      </w:r>
      <w:r w:rsidR="009E1E97" w:rsidRPr="004530AE">
        <w:t>a disease or condition that</w:t>
      </w:r>
      <w:r w:rsidR="00853B5E">
        <w:t xml:space="preserve"> may compromise the </w:t>
      </w:r>
      <w:r w:rsidR="00853B5E" w:rsidRPr="00DB1E7C">
        <w:t xml:space="preserve">quality, safety </w:t>
      </w:r>
      <w:r w:rsidR="00853B5E">
        <w:t>or efficacy of FMT products manufactured using stool collected from the donor, and the disease or condition</w:t>
      </w:r>
      <w:r w:rsidR="00853B5E" w:rsidDel="00853B5E">
        <w:t xml:space="preserve"> </w:t>
      </w:r>
      <w:r w:rsidR="009E1E97" w:rsidRPr="00275506">
        <w:rPr>
          <w:szCs w:val="22"/>
        </w:rPr>
        <w:t>is</w:t>
      </w:r>
      <w:r w:rsidR="009E1E97" w:rsidRPr="004530AE">
        <w:t xml:space="preserve"> not mentioned in the table in Schedule 1</w:t>
      </w:r>
      <w:r w:rsidR="00853B5E">
        <w:t xml:space="preserve">, then </w:t>
      </w:r>
      <w:r w:rsidR="009E1E97">
        <w:t xml:space="preserve">stool </w:t>
      </w:r>
      <w:r w:rsidR="005D6D6F">
        <w:t>collected from th</w:t>
      </w:r>
      <w:r w:rsidR="00431384">
        <w:t xml:space="preserve">at </w:t>
      </w:r>
      <w:r w:rsidR="005D6D6F">
        <w:t>donor must not be used in the manufacture of FMT products</w:t>
      </w:r>
      <w:r w:rsidR="00853B5E">
        <w:t>,</w:t>
      </w:r>
      <w:r w:rsidR="005D6D6F">
        <w:t xml:space="preserve"> unless:</w:t>
      </w:r>
    </w:p>
    <w:p w:rsidR="009845B1" w:rsidRPr="003E7466" w:rsidRDefault="003A03B4" w:rsidP="00CA334E">
      <w:pPr>
        <w:pStyle w:val="paragraph"/>
        <w:rPr>
          <w:szCs w:val="22"/>
        </w:rPr>
      </w:pPr>
      <w:r>
        <w:rPr>
          <w:szCs w:val="22"/>
        </w:rPr>
        <w:tab/>
        <w:t>(</w:t>
      </w:r>
      <w:r w:rsidR="005D6D6F">
        <w:rPr>
          <w:szCs w:val="22"/>
        </w:rPr>
        <w:t>a</w:t>
      </w:r>
      <w:r>
        <w:rPr>
          <w:szCs w:val="22"/>
        </w:rPr>
        <w:t>)</w:t>
      </w:r>
      <w:r>
        <w:rPr>
          <w:szCs w:val="22"/>
        </w:rPr>
        <w:tab/>
      </w:r>
      <w:r w:rsidR="009845B1">
        <w:rPr>
          <w:szCs w:val="22"/>
        </w:rPr>
        <w:t>c</w:t>
      </w:r>
      <w:r w:rsidR="009845B1" w:rsidRPr="003E7466">
        <w:rPr>
          <w:szCs w:val="22"/>
        </w:rPr>
        <w:t xml:space="preserve">riteria for donor </w:t>
      </w:r>
      <w:r w:rsidR="005D6D6F">
        <w:rPr>
          <w:szCs w:val="22"/>
        </w:rPr>
        <w:t>selection</w:t>
      </w:r>
      <w:r w:rsidR="005D6D6F" w:rsidRPr="003E7466">
        <w:rPr>
          <w:szCs w:val="22"/>
        </w:rPr>
        <w:t xml:space="preserve"> </w:t>
      </w:r>
      <w:r w:rsidR="009845B1" w:rsidRPr="003E7466">
        <w:rPr>
          <w:szCs w:val="22"/>
        </w:rPr>
        <w:t>and</w:t>
      </w:r>
      <w:r w:rsidR="00275506">
        <w:rPr>
          <w:szCs w:val="22"/>
        </w:rPr>
        <w:t xml:space="preserve"> </w:t>
      </w:r>
      <w:r w:rsidR="009845B1" w:rsidRPr="003E7466">
        <w:rPr>
          <w:szCs w:val="22"/>
        </w:rPr>
        <w:t>period</w:t>
      </w:r>
      <w:r w:rsidR="002C3AC8">
        <w:rPr>
          <w:szCs w:val="22"/>
        </w:rPr>
        <w:t>s</w:t>
      </w:r>
      <w:r w:rsidR="009845B1" w:rsidRPr="003E7466">
        <w:rPr>
          <w:szCs w:val="22"/>
        </w:rPr>
        <w:t xml:space="preserve"> of ineligibility</w:t>
      </w:r>
      <w:r w:rsidR="009845B1">
        <w:rPr>
          <w:szCs w:val="22"/>
        </w:rPr>
        <w:t xml:space="preserve"> </w:t>
      </w:r>
      <w:r w:rsidR="002C3AC8">
        <w:rPr>
          <w:szCs w:val="22"/>
        </w:rPr>
        <w:t>are</w:t>
      </w:r>
      <w:r w:rsidR="00275506" w:rsidRPr="003E7466">
        <w:rPr>
          <w:szCs w:val="22"/>
        </w:rPr>
        <w:t xml:space="preserve"> </w:t>
      </w:r>
      <w:r w:rsidR="009845B1">
        <w:rPr>
          <w:szCs w:val="22"/>
        </w:rPr>
        <w:t xml:space="preserve">applied that support and </w:t>
      </w:r>
      <w:r w:rsidR="009845B1" w:rsidRPr="003E7466">
        <w:rPr>
          <w:szCs w:val="22"/>
        </w:rPr>
        <w:t>justif</w:t>
      </w:r>
      <w:r w:rsidR="009845B1">
        <w:rPr>
          <w:szCs w:val="22"/>
        </w:rPr>
        <w:t>y</w:t>
      </w:r>
      <w:r w:rsidR="009845B1" w:rsidRPr="003E7466">
        <w:rPr>
          <w:szCs w:val="22"/>
        </w:rPr>
        <w:t xml:space="preserve"> the </w:t>
      </w:r>
      <w:r w:rsidR="009845B1">
        <w:rPr>
          <w:szCs w:val="22"/>
        </w:rPr>
        <w:t>q</w:t>
      </w:r>
      <w:r w:rsidR="009845B1" w:rsidRPr="003E7466">
        <w:rPr>
          <w:szCs w:val="22"/>
        </w:rPr>
        <w:t>uality</w:t>
      </w:r>
      <w:r w:rsidR="002C3AC8">
        <w:rPr>
          <w:szCs w:val="22"/>
        </w:rPr>
        <w:t>, safety</w:t>
      </w:r>
      <w:r w:rsidR="009845B1">
        <w:rPr>
          <w:szCs w:val="22"/>
        </w:rPr>
        <w:t xml:space="preserve"> </w:t>
      </w:r>
      <w:r w:rsidR="009845B1" w:rsidRPr="003E7466">
        <w:rPr>
          <w:szCs w:val="22"/>
        </w:rPr>
        <w:t xml:space="preserve">and efficacy of the </w:t>
      </w:r>
      <w:r w:rsidR="009845B1">
        <w:rPr>
          <w:szCs w:val="22"/>
        </w:rPr>
        <w:t xml:space="preserve">FMT </w:t>
      </w:r>
      <w:r w:rsidR="009845B1" w:rsidRPr="003E7466">
        <w:rPr>
          <w:szCs w:val="22"/>
        </w:rPr>
        <w:t>product</w:t>
      </w:r>
      <w:r w:rsidR="002C3AC8">
        <w:rPr>
          <w:szCs w:val="22"/>
        </w:rPr>
        <w:t>s</w:t>
      </w:r>
      <w:r w:rsidR="009845B1" w:rsidRPr="003E7466">
        <w:rPr>
          <w:szCs w:val="22"/>
        </w:rPr>
        <w:t xml:space="preserve"> for </w:t>
      </w:r>
      <w:r w:rsidR="00F0711A">
        <w:rPr>
          <w:szCs w:val="22"/>
        </w:rPr>
        <w:t>the</w:t>
      </w:r>
      <w:r w:rsidR="00431384" w:rsidRPr="003E7466">
        <w:rPr>
          <w:szCs w:val="22"/>
        </w:rPr>
        <w:t xml:space="preserve"> </w:t>
      </w:r>
      <w:r w:rsidR="009845B1" w:rsidRPr="003E7466">
        <w:rPr>
          <w:szCs w:val="22"/>
        </w:rPr>
        <w:t xml:space="preserve">intended </w:t>
      </w:r>
      <w:r w:rsidR="009845B1">
        <w:rPr>
          <w:szCs w:val="22"/>
        </w:rPr>
        <w:t>use</w:t>
      </w:r>
      <w:r w:rsidR="00F0711A">
        <w:rPr>
          <w:szCs w:val="22"/>
        </w:rPr>
        <w:t xml:space="preserve"> of the products</w:t>
      </w:r>
      <w:r w:rsidR="009845B1">
        <w:rPr>
          <w:szCs w:val="22"/>
        </w:rPr>
        <w:t>, and the application of the criteria is documented</w:t>
      </w:r>
      <w:r w:rsidR="009845B1" w:rsidRPr="003E7466">
        <w:rPr>
          <w:szCs w:val="22"/>
        </w:rPr>
        <w:t>; or</w:t>
      </w:r>
    </w:p>
    <w:p w:rsidR="00853B5E" w:rsidRPr="007738E0" w:rsidRDefault="003A03B4" w:rsidP="00E5022B">
      <w:pPr>
        <w:pStyle w:val="paragraph"/>
        <w:rPr>
          <w:szCs w:val="22"/>
        </w:rPr>
      </w:pPr>
      <w:r>
        <w:rPr>
          <w:szCs w:val="22"/>
        </w:rPr>
        <w:tab/>
        <w:t>(</w:t>
      </w:r>
      <w:r w:rsidR="005D6D6F">
        <w:rPr>
          <w:szCs w:val="22"/>
        </w:rPr>
        <w:t>b</w:t>
      </w:r>
      <w:r>
        <w:rPr>
          <w:szCs w:val="22"/>
        </w:rPr>
        <w:t>)</w:t>
      </w:r>
      <w:r>
        <w:rPr>
          <w:szCs w:val="22"/>
        </w:rPr>
        <w:tab/>
      </w:r>
      <w:r w:rsidR="009845B1">
        <w:rPr>
          <w:szCs w:val="22"/>
        </w:rPr>
        <w:t>a</w:t>
      </w:r>
      <w:r w:rsidR="009845B1" w:rsidRPr="003E7466">
        <w:rPr>
          <w:szCs w:val="22"/>
        </w:rPr>
        <w:t xml:space="preserve"> </w:t>
      </w:r>
      <w:r w:rsidR="005D6D6F">
        <w:rPr>
          <w:szCs w:val="22"/>
        </w:rPr>
        <w:t>registered medical practitioner</w:t>
      </w:r>
      <w:r w:rsidR="009845B1">
        <w:rPr>
          <w:szCs w:val="22"/>
        </w:rPr>
        <w:t xml:space="preserve"> has agreed to</w:t>
      </w:r>
      <w:r w:rsidR="007738E0">
        <w:rPr>
          <w:szCs w:val="22"/>
        </w:rPr>
        <w:t>, and documented the rationale for,</w:t>
      </w:r>
      <w:r w:rsidR="009845B1">
        <w:rPr>
          <w:szCs w:val="22"/>
        </w:rPr>
        <w:t xml:space="preserve"> </w:t>
      </w:r>
      <w:r w:rsidR="007738E0">
        <w:rPr>
          <w:szCs w:val="22"/>
        </w:rPr>
        <w:t xml:space="preserve">the </w:t>
      </w:r>
      <w:r w:rsidR="002C3AC8">
        <w:rPr>
          <w:szCs w:val="22"/>
        </w:rPr>
        <w:t>use</w:t>
      </w:r>
      <w:r w:rsidR="009845B1">
        <w:rPr>
          <w:szCs w:val="22"/>
        </w:rPr>
        <w:t xml:space="preserve"> </w:t>
      </w:r>
      <w:r w:rsidR="007738E0">
        <w:rPr>
          <w:szCs w:val="22"/>
        </w:rPr>
        <w:t xml:space="preserve">of </w:t>
      </w:r>
      <w:r w:rsidR="009845B1">
        <w:rPr>
          <w:szCs w:val="22"/>
        </w:rPr>
        <w:t xml:space="preserve">the stool </w:t>
      </w:r>
      <w:r w:rsidR="002C3AC8">
        <w:rPr>
          <w:szCs w:val="22"/>
        </w:rPr>
        <w:t xml:space="preserve">in the </w:t>
      </w:r>
      <w:r w:rsidR="009845B1">
        <w:rPr>
          <w:szCs w:val="22"/>
        </w:rPr>
        <w:t>manufacture of FMT product</w:t>
      </w:r>
      <w:r w:rsidR="002C3AC8">
        <w:rPr>
          <w:szCs w:val="22"/>
        </w:rPr>
        <w:t>s</w:t>
      </w:r>
      <w:r w:rsidR="007B35AA">
        <w:rPr>
          <w:szCs w:val="22"/>
        </w:rPr>
        <w:t>.</w:t>
      </w:r>
    </w:p>
    <w:p w:rsidR="00C90B4D" w:rsidRPr="00DB1E7C" w:rsidRDefault="00C90B4D" w:rsidP="00C90B4D">
      <w:pPr>
        <w:pStyle w:val="SubsectionHead"/>
      </w:pPr>
      <w:r>
        <w:t>Stool collected outside Australia</w:t>
      </w:r>
    </w:p>
    <w:p w:rsidR="00C90B4D" w:rsidRDefault="00C90B4D" w:rsidP="00C90B4D">
      <w:pPr>
        <w:pStyle w:val="subsection"/>
      </w:pPr>
      <w:r>
        <w:tab/>
        <w:t>(9)</w:t>
      </w:r>
      <w:r>
        <w:tab/>
      </w:r>
      <w:r w:rsidRPr="007738E0">
        <w:t xml:space="preserve">Where stool is proposed to be collected outside Australia, </w:t>
      </w:r>
      <w:r w:rsidRPr="00E5022B">
        <w:t xml:space="preserve">a risk assessment must be conducted as to whether any additional matters, including </w:t>
      </w:r>
      <w:r>
        <w:t xml:space="preserve">additional medical and social history criteria and </w:t>
      </w:r>
      <w:r w:rsidRPr="00E5022B">
        <w:t>periods of ineligibility, need to be considered and documented in addition to the ineligibility criteria specified in Schedule 1.</w:t>
      </w:r>
    </w:p>
    <w:p w:rsidR="00853B5E" w:rsidRPr="00DB1E7C" w:rsidRDefault="00C02996" w:rsidP="00853B5E">
      <w:pPr>
        <w:pStyle w:val="SubsectionHead"/>
      </w:pPr>
      <w:r>
        <w:t>Upper and lower a</w:t>
      </w:r>
      <w:r w:rsidR="00853B5E">
        <w:t>ge limits</w:t>
      </w:r>
    </w:p>
    <w:p w:rsidR="009845B1" w:rsidRPr="000913C8" w:rsidRDefault="00853B5E" w:rsidP="00E5022B">
      <w:pPr>
        <w:pStyle w:val="subsection"/>
        <w:rPr>
          <w:szCs w:val="22"/>
        </w:rPr>
      </w:pPr>
      <w:r>
        <w:tab/>
        <w:t>(1</w:t>
      </w:r>
      <w:r w:rsidR="00C02996">
        <w:t>0</w:t>
      </w:r>
      <w:r>
        <w:t>)</w:t>
      </w:r>
      <w:r>
        <w:tab/>
        <w:t>Upper and lower age limits must be applied in relation to a proposed donor</w:t>
      </w:r>
      <w:r w:rsidR="00651794">
        <w:t>,</w:t>
      </w:r>
      <w:r w:rsidR="00C02996">
        <w:t xml:space="preserve"> </w:t>
      </w:r>
      <w:r>
        <w:t>having regard to</w:t>
      </w:r>
      <w:r w:rsidR="00C02996" w:rsidRPr="00C02996">
        <w:t xml:space="preserve"> </w:t>
      </w:r>
      <w:r w:rsidR="00C02996">
        <w:t xml:space="preserve">the intended use of the FMT products and </w:t>
      </w:r>
      <w:r>
        <w:t xml:space="preserve">the </w:t>
      </w:r>
      <w:r w:rsidR="007738E0">
        <w:t xml:space="preserve">extent to which the </w:t>
      </w:r>
      <w:r>
        <w:t xml:space="preserve">age of the proposed donor </w:t>
      </w:r>
      <w:r w:rsidR="007738E0">
        <w:t xml:space="preserve">may </w:t>
      </w:r>
      <w:r>
        <w:t xml:space="preserve">compromise the quality, safety, or efficacy of FMT products </w:t>
      </w:r>
      <w:r w:rsidR="007738E0">
        <w:t xml:space="preserve">that are </w:t>
      </w:r>
      <w:r>
        <w:t xml:space="preserve">manufactured using stool collected from </w:t>
      </w:r>
      <w:r w:rsidR="00431384">
        <w:t xml:space="preserve">that </w:t>
      </w:r>
      <w:r w:rsidR="007738E0">
        <w:t>donor</w:t>
      </w:r>
      <w:r>
        <w:t>.</w:t>
      </w:r>
    </w:p>
    <w:p w:rsidR="00C83A53" w:rsidRPr="00F10639" w:rsidRDefault="00E95196">
      <w:pPr>
        <w:pStyle w:val="ActHead5"/>
        <w:rPr>
          <w:bCs/>
          <w:sz w:val="22"/>
          <w:szCs w:val="22"/>
        </w:rPr>
      </w:pPr>
      <w:bookmarkStart w:id="23" w:name="_Toc47109914"/>
      <w:r w:rsidRPr="00B52F13">
        <w:t>1</w:t>
      </w:r>
      <w:r w:rsidR="00261B68">
        <w:t>3</w:t>
      </w:r>
      <w:r w:rsidR="00A96B14">
        <w:t xml:space="preserve"> </w:t>
      </w:r>
      <w:r w:rsidR="00C83A53" w:rsidRPr="00B52F13">
        <w:t xml:space="preserve"> </w:t>
      </w:r>
      <w:r w:rsidR="00F76BA1">
        <w:t>B</w:t>
      </w:r>
      <w:r w:rsidR="00C83A53" w:rsidRPr="00B52F13">
        <w:t>lood</w:t>
      </w:r>
      <w:r w:rsidR="00846452">
        <w:t xml:space="preserve">, </w:t>
      </w:r>
      <w:r w:rsidR="00C83A53" w:rsidRPr="00B52F13">
        <w:t>stool</w:t>
      </w:r>
      <w:r w:rsidR="00846452">
        <w:t xml:space="preserve"> and other</w:t>
      </w:r>
      <w:r w:rsidR="00C83A53" w:rsidRPr="00B52F13">
        <w:t xml:space="preserve"> </w:t>
      </w:r>
      <w:r w:rsidR="00EA0B49" w:rsidRPr="00B52F13">
        <w:t>sample</w:t>
      </w:r>
      <w:r w:rsidR="00FE68D4">
        <w:t>s</w:t>
      </w:r>
      <w:r w:rsidR="00F76BA1">
        <w:t>—taking</w:t>
      </w:r>
      <w:bookmarkEnd w:id="23"/>
    </w:p>
    <w:p w:rsidR="004D4904" w:rsidRPr="00DB1E7C" w:rsidRDefault="00CC365C" w:rsidP="004D4904">
      <w:pPr>
        <w:pStyle w:val="SubsectionHead"/>
      </w:pPr>
      <w:r>
        <w:t>F</w:t>
      </w:r>
      <w:r w:rsidR="007637B8">
        <w:t>resh FMT products</w:t>
      </w:r>
    </w:p>
    <w:p w:rsidR="00CC365C" w:rsidRDefault="00CC365C" w:rsidP="00FB4780">
      <w:pPr>
        <w:pStyle w:val="subsection"/>
      </w:pPr>
      <w:r>
        <w:tab/>
        <w:t>(1)</w:t>
      </w:r>
      <w:r>
        <w:tab/>
        <w:t>Where stool is to be collected from a person for use in the manufacture of fresh FMT products, blood samples must be taken:</w:t>
      </w:r>
    </w:p>
    <w:p w:rsidR="00CC365C" w:rsidRDefault="00CC365C" w:rsidP="007373D3">
      <w:pPr>
        <w:pStyle w:val="paragraph"/>
      </w:pPr>
      <w:r>
        <w:tab/>
        <w:t>(a)</w:t>
      </w:r>
      <w:r>
        <w:tab/>
        <w:t xml:space="preserve">from the person (as a proposed donor) </w:t>
      </w:r>
      <w:r w:rsidRPr="004530AE">
        <w:t>no</w:t>
      </w:r>
      <w:r>
        <w:t>t more</w:t>
      </w:r>
      <w:r w:rsidRPr="004530AE">
        <w:t xml:space="preserve"> than 30 days</w:t>
      </w:r>
      <w:r w:rsidRPr="00DB1E7C">
        <w:t xml:space="preserve"> </w:t>
      </w:r>
      <w:r>
        <w:t>before the first collection of stool; and</w:t>
      </w:r>
    </w:p>
    <w:p w:rsidR="00CC365C" w:rsidRDefault="00CC365C" w:rsidP="007373D3">
      <w:pPr>
        <w:pStyle w:val="paragraph"/>
      </w:pPr>
      <w:r>
        <w:tab/>
        <w:t>(b)</w:t>
      </w:r>
      <w:r>
        <w:tab/>
        <w:t xml:space="preserve">from the person (as an accepted donor) </w:t>
      </w:r>
      <w:r w:rsidRPr="00571AD4">
        <w:t>at the time of</w:t>
      </w:r>
      <w:r>
        <w:t xml:space="preserve"> the first </w:t>
      </w:r>
      <w:r w:rsidRPr="00571AD4">
        <w:t>collection</w:t>
      </w:r>
      <w:r>
        <w:t xml:space="preserve"> of stool; and</w:t>
      </w:r>
    </w:p>
    <w:p w:rsidR="00CC365C" w:rsidRDefault="00CC365C" w:rsidP="007373D3">
      <w:pPr>
        <w:pStyle w:val="paragraph"/>
      </w:pPr>
      <w:r>
        <w:tab/>
        <w:t>(c)</w:t>
      </w:r>
      <w:r>
        <w:tab/>
        <w:t xml:space="preserve">from the person (as an accepted donor) on an ongoing basis, </w:t>
      </w:r>
      <w:r w:rsidR="00AB053D">
        <w:t>such that</w:t>
      </w:r>
      <w:r>
        <w:t xml:space="preserve"> each blood sample is taken within 90 days of the last blood sample.</w:t>
      </w:r>
    </w:p>
    <w:p w:rsidR="00CC365C" w:rsidRDefault="004D4904" w:rsidP="00DA365A">
      <w:pPr>
        <w:pStyle w:val="subsection"/>
      </w:pPr>
      <w:r>
        <w:tab/>
      </w:r>
      <w:r w:rsidR="003A03B4">
        <w:t>(2)</w:t>
      </w:r>
      <w:r w:rsidR="003A03B4">
        <w:tab/>
      </w:r>
      <w:r w:rsidR="00CC365C">
        <w:t>Where stool is to be collected from a person for use in the manufacture of fresh FMT products, stool samples must be taken:</w:t>
      </w:r>
    </w:p>
    <w:p w:rsidR="00CC365C" w:rsidRDefault="00CC365C" w:rsidP="00CC365C">
      <w:pPr>
        <w:pStyle w:val="paragraph"/>
      </w:pPr>
      <w:r>
        <w:tab/>
        <w:t>(a)</w:t>
      </w:r>
      <w:r>
        <w:tab/>
        <w:t xml:space="preserve">from the person (as a proposed donor) </w:t>
      </w:r>
      <w:r w:rsidRPr="004530AE">
        <w:t>no</w:t>
      </w:r>
      <w:r>
        <w:t>t more</w:t>
      </w:r>
      <w:r w:rsidRPr="004530AE">
        <w:t xml:space="preserve"> than 30 days</w:t>
      </w:r>
      <w:r w:rsidRPr="00DB1E7C">
        <w:t xml:space="preserve"> </w:t>
      </w:r>
      <w:r>
        <w:t>before the first collection of stool; and</w:t>
      </w:r>
    </w:p>
    <w:p w:rsidR="00CC365C" w:rsidRDefault="00CC365C" w:rsidP="00CC365C">
      <w:pPr>
        <w:pStyle w:val="paragraph"/>
      </w:pPr>
      <w:r>
        <w:tab/>
        <w:t>(b)</w:t>
      </w:r>
      <w:r>
        <w:tab/>
        <w:t xml:space="preserve">from the person (as an accepted donor) </w:t>
      </w:r>
      <w:r w:rsidRPr="00571AD4">
        <w:t>at the time of</w:t>
      </w:r>
      <w:r>
        <w:t xml:space="preserve"> the first </w:t>
      </w:r>
      <w:r w:rsidRPr="00571AD4">
        <w:t>collection</w:t>
      </w:r>
      <w:r>
        <w:t xml:space="preserve"> of stool; and</w:t>
      </w:r>
    </w:p>
    <w:p w:rsidR="00CC365C" w:rsidRDefault="00CC365C" w:rsidP="007373D3">
      <w:pPr>
        <w:pStyle w:val="paragraph"/>
      </w:pPr>
      <w:r>
        <w:tab/>
        <w:t>(c)</w:t>
      </w:r>
      <w:r>
        <w:tab/>
        <w:t xml:space="preserve">from the person (as an accepted donor) </w:t>
      </w:r>
      <w:r w:rsidRPr="007F0892">
        <w:t>at regular intervals determined on the basis of a risk assessment</w:t>
      </w:r>
      <w:r w:rsidR="00CD55B3">
        <w:t>.</w:t>
      </w:r>
    </w:p>
    <w:p w:rsidR="009C35A5" w:rsidRPr="00DB1E7C" w:rsidRDefault="009C35A5" w:rsidP="009C35A5">
      <w:pPr>
        <w:pStyle w:val="SubsectionHead"/>
      </w:pPr>
      <w:r>
        <w:t>FMT products</w:t>
      </w:r>
      <w:r w:rsidR="00700470">
        <w:t xml:space="preserve"> other than fresh FMT products</w:t>
      </w:r>
    </w:p>
    <w:p w:rsidR="009C35A5" w:rsidRDefault="009C35A5" w:rsidP="007373D3">
      <w:pPr>
        <w:pStyle w:val="subsection"/>
      </w:pPr>
      <w:r>
        <w:tab/>
        <w:t>(3)</w:t>
      </w:r>
      <w:r>
        <w:tab/>
        <w:t xml:space="preserve">Where stool is to be collected from a person for use in the manufacture of FMT products, other than fresh FMT products, blood samples must be taken in accordance with either </w:t>
      </w:r>
      <w:r w:rsidR="00700470">
        <w:t xml:space="preserve">of the following </w:t>
      </w:r>
      <w:r>
        <w:t>paragraph</w:t>
      </w:r>
      <w:r w:rsidR="00700470">
        <w:t>s</w:t>
      </w:r>
      <w:r>
        <w:t>:</w:t>
      </w:r>
    </w:p>
    <w:p w:rsidR="009C35A5" w:rsidRDefault="009C35A5">
      <w:pPr>
        <w:pStyle w:val="paragraph"/>
      </w:pPr>
      <w:r>
        <w:tab/>
        <w:t>(a)</w:t>
      </w:r>
      <w:r>
        <w:tab/>
        <w:t>blood samples must be taken:</w:t>
      </w:r>
    </w:p>
    <w:p w:rsidR="009C35A5" w:rsidRDefault="009C35A5" w:rsidP="007373D3">
      <w:pPr>
        <w:pStyle w:val="paragraphsub"/>
      </w:pPr>
      <w:r>
        <w:tab/>
        <w:t>(i)</w:t>
      </w:r>
      <w:r>
        <w:tab/>
        <w:t xml:space="preserve">from the person (as a proposed donor) </w:t>
      </w:r>
      <w:r w:rsidRPr="004530AE">
        <w:t>no</w:t>
      </w:r>
      <w:r>
        <w:t>t more</w:t>
      </w:r>
      <w:r w:rsidRPr="004530AE">
        <w:t xml:space="preserve"> than 30 days</w:t>
      </w:r>
      <w:r w:rsidRPr="00DB1E7C">
        <w:t xml:space="preserve"> </w:t>
      </w:r>
      <w:r>
        <w:t>before the first collection of stool; and</w:t>
      </w:r>
    </w:p>
    <w:p w:rsidR="009C35A5" w:rsidRPr="00B641CA" w:rsidRDefault="009C35A5" w:rsidP="007373D3">
      <w:pPr>
        <w:pStyle w:val="paragraphsub"/>
      </w:pPr>
      <w:r>
        <w:tab/>
        <w:t>(ii)</w:t>
      </w:r>
      <w:r>
        <w:tab/>
        <w:t>from the person (</w:t>
      </w:r>
      <w:r w:rsidRPr="00B641CA">
        <w:t xml:space="preserve">as an accepted donor) </w:t>
      </w:r>
      <w:r w:rsidR="00F03E6A" w:rsidRPr="00B641CA">
        <w:t>on the day</w:t>
      </w:r>
      <w:r w:rsidR="00FB4780" w:rsidRPr="00B641CA">
        <w:t xml:space="preserve"> that</w:t>
      </w:r>
      <w:r w:rsidR="00F03E6A" w:rsidRPr="00B641CA">
        <w:t>, or no</w:t>
      </w:r>
      <w:r w:rsidR="00FC2DF5">
        <w:t>t more</w:t>
      </w:r>
      <w:r w:rsidR="00F03E6A" w:rsidRPr="00B641CA">
        <w:t xml:space="preserve"> than 30 days after, </w:t>
      </w:r>
      <w:r w:rsidR="00F03E6A" w:rsidRPr="007373D3">
        <w:t>the collection period</w:t>
      </w:r>
      <w:r w:rsidR="00F03E6A" w:rsidRPr="00B641CA">
        <w:t xml:space="preserve"> ends; and</w:t>
      </w:r>
    </w:p>
    <w:p w:rsidR="00F03E6A" w:rsidRDefault="00F03E6A" w:rsidP="007373D3">
      <w:pPr>
        <w:pStyle w:val="paragraphsub"/>
      </w:pPr>
      <w:r w:rsidRPr="00B641CA">
        <w:tab/>
        <w:t>(iii)</w:t>
      </w:r>
      <w:r w:rsidRPr="00B641CA">
        <w:tab/>
        <w:t>from the person (as an accepted donor) on</w:t>
      </w:r>
      <w:r>
        <w:t xml:space="preserve"> an ongoing basis, </w:t>
      </w:r>
      <w:r w:rsidR="00AB053D">
        <w:t>such that</w:t>
      </w:r>
      <w:r>
        <w:t xml:space="preserve"> each blood sample is taken within</w:t>
      </w:r>
      <w:r w:rsidRPr="004530AE">
        <w:t xml:space="preserve"> </w:t>
      </w:r>
      <w:r>
        <w:t>90 days</w:t>
      </w:r>
      <w:r w:rsidRPr="004530AE">
        <w:t xml:space="preserve"> </w:t>
      </w:r>
      <w:r w:rsidR="00700470">
        <w:t xml:space="preserve">of the last blood sample; </w:t>
      </w:r>
      <w:r>
        <w:t>or</w:t>
      </w:r>
    </w:p>
    <w:p w:rsidR="00F03E6A" w:rsidRDefault="00F03E6A">
      <w:pPr>
        <w:pStyle w:val="paragraph"/>
      </w:pPr>
      <w:r>
        <w:tab/>
        <w:t>(b)</w:t>
      </w:r>
      <w:r>
        <w:tab/>
        <w:t>blood samples must be taken:</w:t>
      </w:r>
    </w:p>
    <w:p w:rsidR="00F03E6A" w:rsidRDefault="00F03E6A" w:rsidP="007373D3">
      <w:pPr>
        <w:pStyle w:val="paragraphsub"/>
      </w:pPr>
      <w:r>
        <w:tab/>
        <w:t>(i)</w:t>
      </w:r>
      <w:r>
        <w:tab/>
        <w:t xml:space="preserve">from the person (as a proposed donor) </w:t>
      </w:r>
      <w:r w:rsidRPr="004530AE">
        <w:t>no</w:t>
      </w:r>
      <w:r>
        <w:t>t more</w:t>
      </w:r>
      <w:r w:rsidRPr="004530AE">
        <w:t xml:space="preserve"> than 30 days</w:t>
      </w:r>
      <w:r w:rsidRPr="00DB1E7C">
        <w:t xml:space="preserve"> </w:t>
      </w:r>
      <w:r>
        <w:t>before the first collection of stool; and</w:t>
      </w:r>
    </w:p>
    <w:p w:rsidR="00F03E6A" w:rsidRDefault="00F03E6A" w:rsidP="007373D3">
      <w:pPr>
        <w:pStyle w:val="paragraphsub"/>
      </w:pPr>
      <w:r>
        <w:tab/>
        <w:t>(ii)</w:t>
      </w:r>
      <w:r>
        <w:tab/>
        <w:t>from the person (as an accepted donor) no</w:t>
      </w:r>
      <w:r w:rsidR="00FC2DF5">
        <w:t>t</w:t>
      </w:r>
      <w:r>
        <w:t xml:space="preserve"> less than 90 days after the blood samples were collected in accordance with subparagraph (i); and</w:t>
      </w:r>
    </w:p>
    <w:p w:rsidR="009C35A5" w:rsidRDefault="00F03E6A" w:rsidP="007373D3">
      <w:pPr>
        <w:pStyle w:val="paragraphsub"/>
      </w:pPr>
      <w:r>
        <w:tab/>
        <w:t>(iii)</w:t>
      </w:r>
      <w:r>
        <w:tab/>
        <w:t xml:space="preserve">from the person (as an accepted donor) on an ongoing basis, </w:t>
      </w:r>
      <w:r w:rsidR="00AB053D">
        <w:t>such that</w:t>
      </w:r>
      <w:r>
        <w:t xml:space="preserve"> each blood sample is taken within</w:t>
      </w:r>
      <w:r w:rsidRPr="004530AE">
        <w:t xml:space="preserve"> </w:t>
      </w:r>
      <w:r>
        <w:t>90 days</w:t>
      </w:r>
      <w:r w:rsidRPr="004530AE">
        <w:t xml:space="preserve"> </w:t>
      </w:r>
      <w:r>
        <w:t>of the last blood sample.</w:t>
      </w:r>
    </w:p>
    <w:p w:rsidR="009C35A5" w:rsidRDefault="009C35A5" w:rsidP="00F07557">
      <w:pPr>
        <w:pStyle w:val="subsection"/>
        <w:tabs>
          <w:tab w:val="clear" w:pos="1021"/>
          <w:tab w:val="left" w:pos="709"/>
        </w:tabs>
      </w:pPr>
      <w:r>
        <w:tab/>
        <w:t>(4)</w:t>
      </w:r>
      <w:r>
        <w:tab/>
        <w:t>Where stool is to be collected from a person for use in the manufacture of FMT products, other than fresh FMT products, stool samples must be taken:</w:t>
      </w:r>
    </w:p>
    <w:p w:rsidR="00F03E6A" w:rsidRPr="00B641CA" w:rsidRDefault="00F03E6A" w:rsidP="007373D3">
      <w:pPr>
        <w:pStyle w:val="paragraph"/>
      </w:pPr>
      <w:r>
        <w:tab/>
        <w:t>(a)</w:t>
      </w:r>
      <w:r>
        <w:tab/>
        <w:t xml:space="preserve">from the person (as a proposed donor) </w:t>
      </w:r>
      <w:r w:rsidRPr="004530AE">
        <w:t>no</w:t>
      </w:r>
      <w:r>
        <w:t>t more</w:t>
      </w:r>
      <w:r w:rsidRPr="004530AE">
        <w:t xml:space="preserve"> than 30 days</w:t>
      </w:r>
      <w:r w:rsidRPr="00DB1E7C">
        <w:t xml:space="preserve"> </w:t>
      </w:r>
      <w:r>
        <w:t xml:space="preserve">before the first collection of </w:t>
      </w:r>
      <w:r w:rsidRPr="00B641CA">
        <w:t>stool; and</w:t>
      </w:r>
    </w:p>
    <w:p w:rsidR="00F03E6A" w:rsidRPr="00B641CA" w:rsidRDefault="00F03E6A">
      <w:pPr>
        <w:pStyle w:val="paragraph"/>
      </w:pPr>
      <w:r w:rsidRPr="00B641CA">
        <w:tab/>
        <w:t>(b)</w:t>
      </w:r>
      <w:r w:rsidRPr="00B641CA">
        <w:tab/>
        <w:t xml:space="preserve">from the person (as an accepted donor) </w:t>
      </w:r>
      <w:r w:rsidR="00FB4780" w:rsidRPr="00B641CA">
        <w:t>on the day that</w:t>
      </w:r>
      <w:r w:rsidRPr="00B641CA">
        <w:t>, or no</w:t>
      </w:r>
      <w:r w:rsidR="00FC2DF5">
        <w:t>t more</w:t>
      </w:r>
      <w:r w:rsidRPr="00B641CA">
        <w:t xml:space="preserve"> than 30 days after, </w:t>
      </w:r>
      <w:r w:rsidRPr="007373D3">
        <w:t xml:space="preserve">the </w:t>
      </w:r>
      <w:r w:rsidR="00FB4780" w:rsidRPr="007373D3">
        <w:t>collection period ends</w:t>
      </w:r>
      <w:r w:rsidRPr="00B641CA">
        <w:t>; and</w:t>
      </w:r>
    </w:p>
    <w:p w:rsidR="00F03E6A" w:rsidRDefault="008324C9" w:rsidP="00F03E6A">
      <w:pPr>
        <w:pStyle w:val="paragraph"/>
      </w:pPr>
      <w:r>
        <w:tab/>
        <w:t>(c</w:t>
      </w:r>
      <w:r w:rsidR="00F03E6A" w:rsidRPr="00B641CA">
        <w:t>)</w:t>
      </w:r>
      <w:r w:rsidR="00F03E6A" w:rsidRPr="00B641CA">
        <w:tab/>
      </w:r>
      <w:r w:rsidR="00FB4780" w:rsidRPr="00B641CA">
        <w:t xml:space="preserve">from the person (as an accepted donor) </w:t>
      </w:r>
      <w:r w:rsidR="00F03E6A" w:rsidRPr="00B641CA">
        <w:t xml:space="preserve">on an ongoing basis, </w:t>
      </w:r>
      <w:r w:rsidR="00AB053D">
        <w:t>such that</w:t>
      </w:r>
      <w:r w:rsidR="00F03E6A" w:rsidRPr="00B641CA">
        <w:t xml:space="preserve"> each stool sample is taken within 90 days</w:t>
      </w:r>
      <w:r w:rsidR="00F03E6A">
        <w:t xml:space="preserve"> of the last stool sample.</w:t>
      </w:r>
    </w:p>
    <w:p w:rsidR="00F07557" w:rsidRDefault="00F07557" w:rsidP="00F07557">
      <w:pPr>
        <w:pStyle w:val="SubsectionHead"/>
      </w:pPr>
      <w:r>
        <w:t>Other samples</w:t>
      </w:r>
    </w:p>
    <w:p w:rsidR="00F07557" w:rsidRPr="004F3588" w:rsidRDefault="00F07557" w:rsidP="00A53D5E">
      <w:pPr>
        <w:pStyle w:val="subsection"/>
      </w:pPr>
      <w:r>
        <w:tab/>
      </w:r>
      <w:r w:rsidRPr="004F3588">
        <w:t>(5)</w:t>
      </w:r>
      <w:r>
        <w:tab/>
      </w:r>
      <w:r w:rsidRPr="004F3588">
        <w:t>In addition to the samples required to be taken in accordance with this section, samples other than blood or stool samples may be taken from a proposed donor or an accepted donor where scientifically justified in the circumstances.</w:t>
      </w:r>
    </w:p>
    <w:p w:rsidR="00222DE3" w:rsidRPr="00DB1E7C" w:rsidRDefault="00385964" w:rsidP="00222DE3">
      <w:pPr>
        <w:pStyle w:val="SubsectionHead"/>
      </w:pPr>
      <w:r>
        <w:t xml:space="preserve">Stool samples for </w:t>
      </w:r>
      <w:r w:rsidR="00003981">
        <w:t>storage</w:t>
      </w:r>
    </w:p>
    <w:p w:rsidR="00146CA7" w:rsidRDefault="005C19AF" w:rsidP="00E5022B">
      <w:pPr>
        <w:pStyle w:val="subsection"/>
      </w:pPr>
      <w:r>
        <w:tab/>
        <w:t>(</w:t>
      </w:r>
      <w:r w:rsidR="00F07557">
        <w:t>6</w:t>
      </w:r>
      <w:r>
        <w:t>)</w:t>
      </w:r>
      <w:r>
        <w:tab/>
      </w:r>
      <w:r w:rsidR="0046330F">
        <w:t xml:space="preserve">A </w:t>
      </w:r>
      <w:r w:rsidR="00FF56B4">
        <w:t xml:space="preserve">stool </w:t>
      </w:r>
      <w:r w:rsidR="0046330F">
        <w:t xml:space="preserve">sample must be </w:t>
      </w:r>
      <w:r w:rsidR="00385964">
        <w:t xml:space="preserve">taken </w:t>
      </w:r>
      <w:r w:rsidR="0046330F" w:rsidRPr="004D4904">
        <w:t>from</w:t>
      </w:r>
      <w:r w:rsidR="0046330F">
        <w:t xml:space="preserve"> each stool </w:t>
      </w:r>
      <w:r w:rsidR="004D4904">
        <w:t xml:space="preserve">that is collected for use in the </w:t>
      </w:r>
      <w:r w:rsidR="0046330F">
        <w:t xml:space="preserve">manufacture </w:t>
      </w:r>
      <w:r w:rsidR="004D4904">
        <w:t xml:space="preserve">of </w:t>
      </w:r>
      <w:r w:rsidR="0046330F">
        <w:t>FMT product</w:t>
      </w:r>
      <w:r w:rsidR="004D4904">
        <w:t>s</w:t>
      </w:r>
      <w:r w:rsidR="007637B8">
        <w:t>,</w:t>
      </w:r>
      <w:r w:rsidR="00314D30">
        <w:t xml:space="preserve"> </w:t>
      </w:r>
      <w:r w:rsidR="007065D2">
        <w:t>and stored in accordance with subsection</w:t>
      </w:r>
      <w:r w:rsidR="00D50011">
        <w:t>s</w:t>
      </w:r>
      <w:r w:rsidR="007065D2">
        <w:t xml:space="preserve"> </w:t>
      </w:r>
      <w:r w:rsidR="00164578" w:rsidRPr="00982062">
        <w:t>14(1</w:t>
      </w:r>
      <w:r w:rsidR="00FB4780" w:rsidRPr="00982062">
        <w:t>6</w:t>
      </w:r>
      <w:r w:rsidR="007065D2" w:rsidRPr="00982062">
        <w:t>)</w:t>
      </w:r>
      <w:r w:rsidR="001A635E">
        <w:t xml:space="preserve"> </w:t>
      </w:r>
      <w:r w:rsidR="00A37402">
        <w:t>and</w:t>
      </w:r>
      <w:r w:rsidR="001A635E">
        <w:t xml:space="preserve"> 14(17)</w:t>
      </w:r>
      <w:r w:rsidR="00FF6BF3">
        <w:t>.</w:t>
      </w:r>
    </w:p>
    <w:p w:rsidR="00105720" w:rsidRPr="00696E21" w:rsidRDefault="00DF0B4F" w:rsidP="000F1C13">
      <w:pPr>
        <w:pStyle w:val="notetext"/>
      </w:pPr>
      <w:r w:rsidRPr="009C2562">
        <w:t>Note:</w:t>
      </w:r>
      <w:r w:rsidRPr="009C2562">
        <w:tab/>
      </w:r>
      <w:r>
        <w:t>Stool samples are taken under this subsection for the purposes of storage and do not need to be tested in accordance with section 14.</w:t>
      </w:r>
    </w:p>
    <w:p w:rsidR="00A12EFF" w:rsidRPr="00146CA7" w:rsidRDefault="00D861C2" w:rsidP="00214E59">
      <w:pPr>
        <w:pStyle w:val="ActHead5"/>
      </w:pPr>
      <w:bookmarkStart w:id="24" w:name="_Toc47109915"/>
      <w:r w:rsidRPr="00146CA7">
        <w:t>1</w:t>
      </w:r>
      <w:r w:rsidR="00261B68">
        <w:t>4</w:t>
      </w:r>
      <w:r w:rsidRPr="00146CA7">
        <w:t xml:space="preserve"> </w:t>
      </w:r>
      <w:r w:rsidR="00A96B14">
        <w:t xml:space="preserve"> </w:t>
      </w:r>
      <w:r w:rsidR="00F76BA1">
        <w:t>B</w:t>
      </w:r>
      <w:r w:rsidRPr="00146CA7">
        <w:t>lood</w:t>
      </w:r>
      <w:r w:rsidR="00846452">
        <w:t xml:space="preserve">, </w:t>
      </w:r>
      <w:r w:rsidRPr="00146CA7">
        <w:t xml:space="preserve">stool </w:t>
      </w:r>
      <w:r w:rsidR="00846452">
        <w:t xml:space="preserve">and other </w:t>
      </w:r>
      <w:r w:rsidRPr="00146CA7">
        <w:t>sample</w:t>
      </w:r>
      <w:r w:rsidR="00FE68D4">
        <w:t>s</w:t>
      </w:r>
      <w:r w:rsidR="00F76BA1">
        <w:t>—testing</w:t>
      </w:r>
      <w:bookmarkEnd w:id="24"/>
    </w:p>
    <w:p w:rsidR="00FD6F12" w:rsidRDefault="00FD6F12" w:rsidP="00E5022B">
      <w:pPr>
        <w:pStyle w:val="SubsectionHead"/>
      </w:pPr>
      <w:r>
        <w:t>General testing requirements</w:t>
      </w:r>
    </w:p>
    <w:p w:rsidR="00FD6F12" w:rsidRPr="003222AC" w:rsidRDefault="00FD6F12" w:rsidP="00FD6F12">
      <w:pPr>
        <w:pStyle w:val="subsection"/>
      </w:pPr>
      <w:r>
        <w:rPr>
          <w:szCs w:val="22"/>
        </w:rPr>
        <w:tab/>
        <w:t>(1)</w:t>
      </w:r>
      <w:r>
        <w:rPr>
          <w:szCs w:val="22"/>
        </w:rPr>
        <w:tab/>
      </w:r>
      <w:r w:rsidR="00846452">
        <w:rPr>
          <w:szCs w:val="22"/>
        </w:rPr>
        <w:t>S</w:t>
      </w:r>
      <w:r w:rsidRPr="003E7466">
        <w:rPr>
          <w:szCs w:val="22"/>
        </w:rPr>
        <w:t>amples</w:t>
      </w:r>
      <w:r>
        <w:rPr>
          <w:szCs w:val="22"/>
        </w:rPr>
        <w:t xml:space="preserve"> </w:t>
      </w:r>
      <w:r w:rsidR="00CD55B3">
        <w:rPr>
          <w:szCs w:val="22"/>
        </w:rPr>
        <w:t xml:space="preserve">taken </w:t>
      </w:r>
      <w:r>
        <w:rPr>
          <w:szCs w:val="22"/>
        </w:rPr>
        <w:t>in accordance with sectio</w:t>
      </w:r>
      <w:r w:rsidRPr="00982062">
        <w:rPr>
          <w:szCs w:val="22"/>
        </w:rPr>
        <w:t>n 1</w:t>
      </w:r>
      <w:r w:rsidR="00D059F0" w:rsidRPr="00982062">
        <w:rPr>
          <w:szCs w:val="22"/>
        </w:rPr>
        <w:t>3</w:t>
      </w:r>
      <w:r w:rsidR="00003981" w:rsidRPr="00982062">
        <w:rPr>
          <w:szCs w:val="22"/>
        </w:rPr>
        <w:t xml:space="preserve">, other than stool samples </w:t>
      </w:r>
      <w:r w:rsidR="00CD55B3" w:rsidRPr="00982062">
        <w:rPr>
          <w:szCs w:val="22"/>
        </w:rPr>
        <w:t>taken</w:t>
      </w:r>
      <w:r w:rsidR="00003981" w:rsidRPr="00982062">
        <w:rPr>
          <w:szCs w:val="22"/>
        </w:rPr>
        <w:t xml:space="preserve"> in</w:t>
      </w:r>
      <w:r w:rsidR="00DF0B4F" w:rsidRPr="00982062">
        <w:rPr>
          <w:szCs w:val="22"/>
        </w:rPr>
        <w:t xml:space="preserve"> accordance with subsection </w:t>
      </w:r>
      <w:r w:rsidR="00FB4780" w:rsidRPr="00982062">
        <w:rPr>
          <w:szCs w:val="22"/>
        </w:rPr>
        <w:t>13(</w:t>
      </w:r>
      <w:r w:rsidR="00F07557" w:rsidRPr="00982062">
        <w:rPr>
          <w:szCs w:val="22"/>
        </w:rPr>
        <w:t>6</w:t>
      </w:r>
      <w:r w:rsidR="00003981" w:rsidRPr="00982062">
        <w:rPr>
          <w:szCs w:val="22"/>
        </w:rPr>
        <w:t>),</w:t>
      </w:r>
      <w:r w:rsidRPr="00982062">
        <w:rPr>
          <w:szCs w:val="22"/>
        </w:rPr>
        <w:t xml:space="preserve"> must</w:t>
      </w:r>
      <w:r w:rsidRPr="003E7466">
        <w:rPr>
          <w:szCs w:val="22"/>
        </w:rPr>
        <w:t xml:space="preserve"> </w:t>
      </w:r>
      <w:r>
        <w:rPr>
          <w:szCs w:val="22"/>
        </w:rPr>
        <w:t xml:space="preserve">be </w:t>
      </w:r>
      <w:r w:rsidRPr="003E7466">
        <w:rPr>
          <w:szCs w:val="22"/>
        </w:rPr>
        <w:t>tested as soon as practicable</w:t>
      </w:r>
      <w:r>
        <w:rPr>
          <w:szCs w:val="22"/>
        </w:rPr>
        <w:t xml:space="preserve"> after collection</w:t>
      </w:r>
      <w:r w:rsidR="00EE679D">
        <w:rPr>
          <w:szCs w:val="22"/>
        </w:rPr>
        <w:t xml:space="preserve"> in accordance with this section</w:t>
      </w:r>
      <w:r>
        <w:rPr>
          <w:szCs w:val="22"/>
        </w:rPr>
        <w:t xml:space="preserve">, and within the </w:t>
      </w:r>
      <w:r w:rsidR="00014829">
        <w:rPr>
          <w:szCs w:val="22"/>
        </w:rPr>
        <w:t xml:space="preserve">claimed sample stability </w:t>
      </w:r>
      <w:r>
        <w:rPr>
          <w:szCs w:val="22"/>
        </w:rPr>
        <w:t xml:space="preserve">timeframe </w:t>
      </w:r>
      <w:r w:rsidR="00014829">
        <w:rPr>
          <w:szCs w:val="22"/>
        </w:rPr>
        <w:t>specified</w:t>
      </w:r>
      <w:r>
        <w:rPr>
          <w:szCs w:val="22"/>
        </w:rPr>
        <w:t xml:space="preserve"> by the manufacturer of the IVD medical device or in-house IVD medical device </w:t>
      </w:r>
      <w:r w:rsidR="00014829">
        <w:rPr>
          <w:szCs w:val="22"/>
        </w:rPr>
        <w:t xml:space="preserve">to be </w:t>
      </w:r>
      <w:r>
        <w:rPr>
          <w:szCs w:val="22"/>
        </w:rPr>
        <w:t>used for the testing.</w:t>
      </w:r>
    </w:p>
    <w:p w:rsidR="00FD6F12" w:rsidRPr="003222AC" w:rsidRDefault="00FD6F12" w:rsidP="00FD6F12">
      <w:pPr>
        <w:pStyle w:val="subsection"/>
      </w:pPr>
      <w:r>
        <w:rPr>
          <w:szCs w:val="22"/>
        </w:rPr>
        <w:tab/>
        <w:t>(2)</w:t>
      </w:r>
      <w:r>
        <w:rPr>
          <w:szCs w:val="22"/>
        </w:rPr>
        <w:tab/>
      </w:r>
      <w:r w:rsidR="00846452">
        <w:rPr>
          <w:szCs w:val="22"/>
        </w:rPr>
        <w:t>S</w:t>
      </w:r>
      <w:r>
        <w:rPr>
          <w:szCs w:val="22"/>
        </w:rPr>
        <w:t>amples that are tested for infectious diseases must be tested using IVD medical device</w:t>
      </w:r>
      <w:r w:rsidR="00274636">
        <w:rPr>
          <w:szCs w:val="22"/>
        </w:rPr>
        <w:t>s</w:t>
      </w:r>
      <w:r>
        <w:rPr>
          <w:szCs w:val="22"/>
        </w:rPr>
        <w:t xml:space="preserve"> or in-house IVD medical device</w:t>
      </w:r>
      <w:r w:rsidR="00274636">
        <w:rPr>
          <w:szCs w:val="22"/>
        </w:rPr>
        <w:t>s</w:t>
      </w:r>
      <w:r>
        <w:rPr>
          <w:szCs w:val="22"/>
        </w:rPr>
        <w:t xml:space="preserve"> </w:t>
      </w:r>
      <w:r w:rsidR="00981ADC">
        <w:rPr>
          <w:szCs w:val="22"/>
        </w:rPr>
        <w:t>that</w:t>
      </w:r>
      <w:r w:rsidRPr="003E7466">
        <w:rPr>
          <w:szCs w:val="22"/>
        </w:rPr>
        <w:t>:</w:t>
      </w:r>
    </w:p>
    <w:p w:rsidR="00FD6F12" w:rsidRPr="004F54AC" w:rsidRDefault="00FD6F12" w:rsidP="00FD6F12">
      <w:pPr>
        <w:pStyle w:val="paragraph"/>
      </w:pPr>
      <w:r>
        <w:rPr>
          <w:szCs w:val="22"/>
        </w:rPr>
        <w:tab/>
        <w:t>(a)</w:t>
      </w:r>
      <w:r>
        <w:rPr>
          <w:szCs w:val="22"/>
        </w:rPr>
        <w:tab/>
      </w:r>
      <w:r w:rsidR="00182104">
        <w:rPr>
          <w:szCs w:val="22"/>
        </w:rPr>
        <w:t xml:space="preserve">use </w:t>
      </w:r>
      <w:r>
        <w:rPr>
          <w:szCs w:val="22"/>
        </w:rPr>
        <w:t xml:space="preserve">the most </w:t>
      </w:r>
      <w:r w:rsidR="00014829">
        <w:rPr>
          <w:szCs w:val="22"/>
        </w:rPr>
        <w:t xml:space="preserve">appropriate </w:t>
      </w:r>
      <w:r>
        <w:rPr>
          <w:szCs w:val="22"/>
        </w:rPr>
        <w:t xml:space="preserve">methodology </w:t>
      </w:r>
      <w:r w:rsidR="00014829">
        <w:rPr>
          <w:szCs w:val="22"/>
        </w:rPr>
        <w:t xml:space="preserve">available </w:t>
      </w:r>
      <w:r>
        <w:rPr>
          <w:szCs w:val="22"/>
        </w:rPr>
        <w:t>for testing the sample</w:t>
      </w:r>
      <w:r w:rsidR="00274636">
        <w:rPr>
          <w:szCs w:val="22"/>
        </w:rPr>
        <w:t>s</w:t>
      </w:r>
      <w:r>
        <w:rPr>
          <w:szCs w:val="22"/>
        </w:rPr>
        <w:t xml:space="preserve"> in relation to the </w:t>
      </w:r>
      <w:r w:rsidR="00014829">
        <w:rPr>
          <w:szCs w:val="22"/>
        </w:rPr>
        <w:t xml:space="preserve">target </w:t>
      </w:r>
      <w:r>
        <w:rPr>
          <w:szCs w:val="22"/>
        </w:rPr>
        <w:t>organism</w:t>
      </w:r>
      <w:r w:rsidR="00274636">
        <w:rPr>
          <w:szCs w:val="22"/>
        </w:rPr>
        <w:t>s</w:t>
      </w:r>
      <w:r w:rsidRPr="003E7466">
        <w:rPr>
          <w:szCs w:val="22"/>
        </w:rPr>
        <w:t>; and</w:t>
      </w:r>
    </w:p>
    <w:p w:rsidR="00FD6F12" w:rsidRPr="004F54AC" w:rsidRDefault="00FD6F12" w:rsidP="00FD6F12">
      <w:pPr>
        <w:pStyle w:val="paragraph"/>
      </w:pPr>
      <w:r>
        <w:rPr>
          <w:szCs w:val="22"/>
        </w:rPr>
        <w:tab/>
        <w:t>(b)</w:t>
      </w:r>
      <w:r>
        <w:rPr>
          <w:szCs w:val="22"/>
        </w:rPr>
        <w:tab/>
        <w:t xml:space="preserve">where testing is </w:t>
      </w:r>
      <w:r w:rsidR="00C67349">
        <w:rPr>
          <w:szCs w:val="22"/>
        </w:rPr>
        <w:t xml:space="preserve">conducted </w:t>
      </w:r>
      <w:r>
        <w:rPr>
          <w:szCs w:val="22"/>
        </w:rPr>
        <w:t>in Australia—</w:t>
      </w:r>
      <w:r w:rsidR="00182104">
        <w:rPr>
          <w:szCs w:val="22"/>
        </w:rPr>
        <w:t xml:space="preserve">are </w:t>
      </w:r>
      <w:r>
        <w:rPr>
          <w:szCs w:val="22"/>
        </w:rPr>
        <w:t>either included in the Register or exempt from the requirement to be included in the Register, or the subject of an approval or authority under the Act;</w:t>
      </w:r>
      <w:r w:rsidR="00981ADC">
        <w:rPr>
          <w:szCs w:val="22"/>
        </w:rPr>
        <w:t xml:space="preserve"> and</w:t>
      </w:r>
    </w:p>
    <w:p w:rsidR="00FD6F12" w:rsidRPr="004F54AC" w:rsidRDefault="00FD6F12" w:rsidP="00FD6F12">
      <w:pPr>
        <w:pStyle w:val="paragraph"/>
      </w:pPr>
      <w:r>
        <w:rPr>
          <w:szCs w:val="22"/>
        </w:rPr>
        <w:tab/>
        <w:t>(c)</w:t>
      </w:r>
      <w:r>
        <w:rPr>
          <w:szCs w:val="22"/>
        </w:rPr>
        <w:tab/>
        <w:t xml:space="preserve">where testing is </w:t>
      </w:r>
      <w:r w:rsidR="00C67349">
        <w:rPr>
          <w:szCs w:val="22"/>
        </w:rPr>
        <w:t xml:space="preserve">conducted </w:t>
      </w:r>
      <w:r>
        <w:rPr>
          <w:szCs w:val="22"/>
        </w:rPr>
        <w:t>outside Australia:</w:t>
      </w:r>
    </w:p>
    <w:p w:rsidR="00FD6F12" w:rsidRPr="004F54AC" w:rsidRDefault="00FD6F12" w:rsidP="00FD6F12">
      <w:pPr>
        <w:pStyle w:val="paragraphsub"/>
      </w:pPr>
      <w:r>
        <w:rPr>
          <w:szCs w:val="22"/>
        </w:rPr>
        <w:tab/>
        <w:t>(i)</w:t>
      </w:r>
      <w:r>
        <w:rPr>
          <w:szCs w:val="22"/>
        </w:rPr>
        <w:tab/>
      </w:r>
      <w:r w:rsidR="00182104">
        <w:rPr>
          <w:szCs w:val="22"/>
        </w:rPr>
        <w:t xml:space="preserve">are </w:t>
      </w:r>
      <w:r>
        <w:rPr>
          <w:szCs w:val="22"/>
        </w:rPr>
        <w:t xml:space="preserve">approved by a relevant </w:t>
      </w:r>
      <w:r w:rsidRPr="003E7466">
        <w:rPr>
          <w:szCs w:val="22"/>
        </w:rPr>
        <w:t xml:space="preserve">regulatory authority in the </w:t>
      </w:r>
      <w:r>
        <w:rPr>
          <w:szCs w:val="22"/>
        </w:rPr>
        <w:t xml:space="preserve">country in which the testing is </w:t>
      </w:r>
      <w:r w:rsidR="00A268FE">
        <w:rPr>
          <w:szCs w:val="22"/>
        </w:rPr>
        <w:t>conducted</w:t>
      </w:r>
      <w:r w:rsidRPr="003E7466">
        <w:rPr>
          <w:szCs w:val="22"/>
        </w:rPr>
        <w:t>; and</w:t>
      </w:r>
    </w:p>
    <w:p w:rsidR="00FD6F12" w:rsidRPr="004F54AC" w:rsidRDefault="00FD6F12" w:rsidP="00FD6F12">
      <w:pPr>
        <w:pStyle w:val="paragraphsub"/>
      </w:pPr>
      <w:r>
        <w:rPr>
          <w:szCs w:val="22"/>
        </w:rPr>
        <w:tab/>
        <w:t>(ii)</w:t>
      </w:r>
      <w:r>
        <w:rPr>
          <w:szCs w:val="22"/>
        </w:rPr>
        <w:tab/>
      </w:r>
      <w:r w:rsidR="00182104">
        <w:rPr>
          <w:szCs w:val="22"/>
        </w:rPr>
        <w:t xml:space="preserve">are </w:t>
      </w:r>
      <w:r w:rsidRPr="00BD7018">
        <w:rPr>
          <w:szCs w:val="22"/>
        </w:rPr>
        <w:t xml:space="preserve">used in a facility that has been approved for such testing by a relevant regulatory authority in the country in which the testing is </w:t>
      </w:r>
      <w:r w:rsidR="00A268FE">
        <w:rPr>
          <w:szCs w:val="22"/>
        </w:rPr>
        <w:t>conducted</w:t>
      </w:r>
      <w:r>
        <w:rPr>
          <w:szCs w:val="22"/>
        </w:rPr>
        <w:t>; and</w:t>
      </w:r>
    </w:p>
    <w:p w:rsidR="00C95EB8" w:rsidRDefault="00FD6F12" w:rsidP="00FD6F12">
      <w:pPr>
        <w:pStyle w:val="paragraphsub"/>
        <w:rPr>
          <w:szCs w:val="22"/>
        </w:rPr>
      </w:pPr>
      <w:r>
        <w:rPr>
          <w:szCs w:val="22"/>
        </w:rPr>
        <w:tab/>
        <w:t>(iii)</w:t>
      </w:r>
      <w:r>
        <w:rPr>
          <w:szCs w:val="22"/>
        </w:rPr>
        <w:tab/>
      </w:r>
      <w:r w:rsidR="00182104">
        <w:rPr>
          <w:szCs w:val="22"/>
        </w:rPr>
        <w:t xml:space="preserve">are </w:t>
      </w:r>
      <w:r>
        <w:rPr>
          <w:szCs w:val="22"/>
        </w:rPr>
        <w:t>considered acceptable by the Therapeutic Goods Administration</w:t>
      </w:r>
      <w:r w:rsidR="00274636">
        <w:rPr>
          <w:szCs w:val="22"/>
        </w:rPr>
        <w:t>.</w:t>
      </w:r>
    </w:p>
    <w:p w:rsidR="00944596" w:rsidRPr="000A60DA" w:rsidRDefault="00C95EB8" w:rsidP="00E5022B">
      <w:pPr>
        <w:pStyle w:val="subsection"/>
        <w:rPr>
          <w:szCs w:val="22"/>
        </w:rPr>
      </w:pPr>
      <w:r>
        <w:rPr>
          <w:szCs w:val="22"/>
        </w:rPr>
        <w:tab/>
      </w:r>
      <w:r w:rsidRPr="00C8358E">
        <w:rPr>
          <w:szCs w:val="22"/>
        </w:rPr>
        <w:t>(3)</w:t>
      </w:r>
      <w:r w:rsidRPr="00C8358E">
        <w:rPr>
          <w:szCs w:val="22"/>
        </w:rPr>
        <w:tab/>
        <w:t xml:space="preserve">Where testing is </w:t>
      </w:r>
      <w:r w:rsidR="00C67349" w:rsidRPr="00C8358E">
        <w:rPr>
          <w:szCs w:val="22"/>
        </w:rPr>
        <w:t xml:space="preserve">conducted </w:t>
      </w:r>
      <w:r w:rsidR="00981ADC" w:rsidRPr="000A60DA">
        <w:rPr>
          <w:szCs w:val="22"/>
        </w:rPr>
        <w:t xml:space="preserve">by </w:t>
      </w:r>
      <w:r w:rsidRPr="000A60DA">
        <w:rPr>
          <w:szCs w:val="22"/>
        </w:rPr>
        <w:t xml:space="preserve">a laboratory that is not under the </w:t>
      </w:r>
      <w:r w:rsidR="00014829" w:rsidRPr="000A60DA">
        <w:rPr>
          <w:szCs w:val="22"/>
        </w:rPr>
        <w:t xml:space="preserve">direct </w:t>
      </w:r>
      <w:r w:rsidRPr="000A60DA">
        <w:rPr>
          <w:szCs w:val="22"/>
        </w:rPr>
        <w:t>control of the manufacturer</w:t>
      </w:r>
      <w:r w:rsidR="00981ADC" w:rsidRPr="000A60DA">
        <w:rPr>
          <w:szCs w:val="22"/>
        </w:rPr>
        <w:t xml:space="preserve"> of the FMT products</w:t>
      </w:r>
      <w:r w:rsidR="00944596" w:rsidRPr="000A60DA">
        <w:rPr>
          <w:szCs w:val="22"/>
        </w:rPr>
        <w:t>:</w:t>
      </w:r>
    </w:p>
    <w:p w:rsidR="00944596" w:rsidRPr="000A60DA" w:rsidRDefault="00944596" w:rsidP="000323F6">
      <w:pPr>
        <w:pStyle w:val="paragraph"/>
        <w:rPr>
          <w:szCs w:val="22"/>
        </w:rPr>
      </w:pPr>
      <w:r w:rsidRPr="000A60DA">
        <w:rPr>
          <w:szCs w:val="22"/>
        </w:rPr>
        <w:tab/>
        <w:t>(a)</w:t>
      </w:r>
      <w:r w:rsidRPr="000A60DA">
        <w:rPr>
          <w:szCs w:val="22"/>
        </w:rPr>
        <w:tab/>
      </w:r>
      <w:r w:rsidR="00981ADC" w:rsidRPr="000A60DA">
        <w:rPr>
          <w:szCs w:val="22"/>
        </w:rPr>
        <w:t>the testing must be conducted under a contract b</w:t>
      </w:r>
      <w:r w:rsidR="00C95EB8" w:rsidRPr="000A60DA">
        <w:rPr>
          <w:szCs w:val="22"/>
        </w:rPr>
        <w:t>etween the manufacturer and the laboratory</w:t>
      </w:r>
      <w:r w:rsidRPr="000A60DA">
        <w:rPr>
          <w:szCs w:val="22"/>
        </w:rPr>
        <w:t>; and</w:t>
      </w:r>
    </w:p>
    <w:p w:rsidR="00FD6F12" w:rsidRPr="00C95EB8" w:rsidRDefault="00944596" w:rsidP="000323F6">
      <w:pPr>
        <w:pStyle w:val="paragraph"/>
        <w:rPr>
          <w:szCs w:val="22"/>
        </w:rPr>
      </w:pPr>
      <w:r w:rsidRPr="000A60DA">
        <w:rPr>
          <w:szCs w:val="22"/>
        </w:rPr>
        <w:tab/>
        <w:t>(b)</w:t>
      </w:r>
      <w:r w:rsidRPr="000A60DA">
        <w:rPr>
          <w:szCs w:val="22"/>
        </w:rPr>
        <w:tab/>
        <w:t xml:space="preserve">the contract mentioned in paragraph (a) must </w:t>
      </w:r>
      <w:r w:rsidR="000A60DA">
        <w:rPr>
          <w:szCs w:val="22"/>
        </w:rPr>
        <w:t>clearly set out the responsibilities of the manufacturer and the laboratory</w:t>
      </w:r>
      <w:r w:rsidR="00EC0517">
        <w:rPr>
          <w:szCs w:val="22"/>
        </w:rPr>
        <w:t>,</w:t>
      </w:r>
      <w:r w:rsidR="000A60DA">
        <w:rPr>
          <w:szCs w:val="22"/>
        </w:rPr>
        <w:t xml:space="preserve"> and </w:t>
      </w:r>
      <w:r w:rsidRPr="00C8358E">
        <w:rPr>
          <w:szCs w:val="22"/>
        </w:rPr>
        <w:t xml:space="preserve">include </w:t>
      </w:r>
      <w:r w:rsidRPr="000A60DA">
        <w:rPr>
          <w:szCs w:val="22"/>
        </w:rPr>
        <w:t>arrangements to ensure i</w:t>
      </w:r>
      <w:r w:rsidR="00014829" w:rsidRPr="000A60DA">
        <w:rPr>
          <w:szCs w:val="22"/>
        </w:rPr>
        <w:t xml:space="preserve">nformation </w:t>
      </w:r>
      <w:r w:rsidRPr="000A60DA">
        <w:rPr>
          <w:szCs w:val="22"/>
        </w:rPr>
        <w:t>relating to</w:t>
      </w:r>
      <w:r w:rsidR="00C95EB8" w:rsidRPr="000A60DA">
        <w:rPr>
          <w:szCs w:val="22"/>
        </w:rPr>
        <w:t xml:space="preserve"> matters in this section</w:t>
      </w:r>
      <w:r w:rsidR="00014829" w:rsidRPr="000A60DA">
        <w:rPr>
          <w:szCs w:val="22"/>
        </w:rPr>
        <w:t xml:space="preserve"> and any other relevant details relating to </w:t>
      </w:r>
      <w:r w:rsidR="00C95EB8" w:rsidRPr="000A60DA">
        <w:rPr>
          <w:szCs w:val="22"/>
        </w:rPr>
        <w:t>the IVD medical devices or in-house IVD medical devices used for such testing</w:t>
      </w:r>
      <w:r w:rsidRPr="000A60DA">
        <w:rPr>
          <w:szCs w:val="22"/>
        </w:rPr>
        <w:t xml:space="preserve"> can be obtained from the laboratory</w:t>
      </w:r>
      <w:r w:rsidR="00C95EB8" w:rsidRPr="000A60DA">
        <w:rPr>
          <w:szCs w:val="22"/>
        </w:rPr>
        <w:t>.</w:t>
      </w:r>
    </w:p>
    <w:p w:rsidR="00D127D3" w:rsidRPr="00D127D3" w:rsidRDefault="00D127D3" w:rsidP="00E5022B">
      <w:pPr>
        <w:pStyle w:val="SubsectionHead"/>
      </w:pPr>
      <w:r w:rsidRPr="00D127D3">
        <w:t>Blood sample testing</w:t>
      </w:r>
    </w:p>
    <w:p w:rsidR="005A27F4" w:rsidRPr="00705FE7" w:rsidRDefault="00D127D3" w:rsidP="00E5022B">
      <w:pPr>
        <w:pStyle w:val="subsection"/>
      </w:pPr>
      <w:r>
        <w:tab/>
      </w:r>
      <w:r w:rsidR="005A27F4" w:rsidRPr="00D161F0">
        <w:t>(</w:t>
      </w:r>
      <w:r w:rsidR="00274636" w:rsidRPr="00D161F0">
        <w:t>4</w:t>
      </w:r>
      <w:r w:rsidR="005A27F4" w:rsidRPr="00D161F0">
        <w:t>)</w:t>
      </w:r>
      <w:r w:rsidR="005A27F4" w:rsidRPr="00D161F0">
        <w:tab/>
      </w:r>
      <w:r w:rsidR="005F6503">
        <w:t>T</w:t>
      </w:r>
      <w:r w:rsidR="005A27F4" w:rsidRPr="00D161F0">
        <w:t>he following tests must be conducted in relation to</w:t>
      </w:r>
      <w:r w:rsidR="005A27F4" w:rsidRPr="00705FE7">
        <w:t xml:space="preserve"> blood samples</w:t>
      </w:r>
      <w:r w:rsidR="00F564BC">
        <w:t xml:space="preserve"> </w:t>
      </w:r>
      <w:r w:rsidR="0057322D">
        <w:t xml:space="preserve">taken </w:t>
      </w:r>
      <w:r w:rsidR="00F564BC">
        <w:t xml:space="preserve">in accordance with </w:t>
      </w:r>
      <w:r w:rsidR="005F6503">
        <w:t>sub</w:t>
      </w:r>
      <w:r w:rsidR="00F564BC">
        <w:t>sectio</w:t>
      </w:r>
      <w:r w:rsidR="005F6503" w:rsidRPr="000323F6">
        <w:t>n</w:t>
      </w:r>
      <w:r w:rsidR="00F564BC" w:rsidRPr="000323F6">
        <w:t xml:space="preserve"> 13</w:t>
      </w:r>
      <w:r w:rsidR="005F6503" w:rsidRPr="000323F6">
        <w:t>(1) or paragraph 13(3)(a)</w:t>
      </w:r>
      <w:r w:rsidR="000A60DA" w:rsidRPr="000323F6">
        <w:t>:</w:t>
      </w:r>
    </w:p>
    <w:p w:rsidR="005A27F4" w:rsidRPr="00D161F0" w:rsidRDefault="00D161F0" w:rsidP="00705FE7">
      <w:pPr>
        <w:pStyle w:val="paragraph"/>
      </w:pPr>
      <w:r w:rsidRPr="00314D30">
        <w:rPr>
          <w:szCs w:val="22"/>
        </w:rPr>
        <w:tab/>
        <w:t>(</w:t>
      </w:r>
      <w:r w:rsidRPr="00705FE7">
        <w:rPr>
          <w:szCs w:val="22"/>
        </w:rPr>
        <w:t>a</w:t>
      </w:r>
      <w:r w:rsidRPr="00314D30">
        <w:rPr>
          <w:szCs w:val="22"/>
        </w:rPr>
        <w:t>)</w:t>
      </w:r>
      <w:r w:rsidRPr="00314D30">
        <w:rPr>
          <w:szCs w:val="22"/>
        </w:rPr>
        <w:tab/>
      </w:r>
      <w:r w:rsidR="005A27F4" w:rsidRPr="00D161F0">
        <w:rPr>
          <w:szCs w:val="22"/>
        </w:rPr>
        <w:t xml:space="preserve">C-reactive protein (CRP), </w:t>
      </w:r>
      <w:r w:rsidR="00B5626C">
        <w:rPr>
          <w:szCs w:val="22"/>
        </w:rPr>
        <w:t>f</w:t>
      </w:r>
      <w:r w:rsidR="00014829">
        <w:rPr>
          <w:szCs w:val="22"/>
        </w:rPr>
        <w:t xml:space="preserve">ull </w:t>
      </w:r>
      <w:r w:rsidR="00B5626C">
        <w:rPr>
          <w:szCs w:val="22"/>
        </w:rPr>
        <w:t>b</w:t>
      </w:r>
      <w:r w:rsidR="00014829">
        <w:rPr>
          <w:szCs w:val="22"/>
        </w:rPr>
        <w:t xml:space="preserve">lood </w:t>
      </w:r>
      <w:r w:rsidR="00B5626C">
        <w:rPr>
          <w:szCs w:val="22"/>
        </w:rPr>
        <w:t>c</w:t>
      </w:r>
      <w:r w:rsidR="00014829">
        <w:rPr>
          <w:szCs w:val="22"/>
        </w:rPr>
        <w:t>ount (FBC)</w:t>
      </w:r>
      <w:r w:rsidR="005A27F4" w:rsidRPr="00D161F0">
        <w:rPr>
          <w:szCs w:val="22"/>
        </w:rPr>
        <w:t xml:space="preserve"> and </w:t>
      </w:r>
      <w:r w:rsidR="00B5626C">
        <w:rPr>
          <w:szCs w:val="22"/>
        </w:rPr>
        <w:t>l</w:t>
      </w:r>
      <w:r w:rsidR="005A27F4" w:rsidRPr="00D161F0">
        <w:rPr>
          <w:szCs w:val="22"/>
        </w:rPr>
        <w:t xml:space="preserve">iver </w:t>
      </w:r>
      <w:r w:rsidR="00B5626C">
        <w:rPr>
          <w:szCs w:val="22"/>
        </w:rPr>
        <w:t>f</w:t>
      </w:r>
      <w:r w:rsidR="005A27F4" w:rsidRPr="00D161F0">
        <w:rPr>
          <w:szCs w:val="22"/>
        </w:rPr>
        <w:t xml:space="preserve">unction </w:t>
      </w:r>
      <w:r w:rsidR="00B5626C">
        <w:rPr>
          <w:szCs w:val="22"/>
        </w:rPr>
        <w:t>t</w:t>
      </w:r>
      <w:r w:rsidR="005A27F4" w:rsidRPr="00D161F0">
        <w:rPr>
          <w:szCs w:val="22"/>
        </w:rPr>
        <w:t>ests (LFTs); and</w:t>
      </w:r>
    </w:p>
    <w:p w:rsidR="005A27F4" w:rsidRPr="00705FE7" w:rsidRDefault="005A27F4" w:rsidP="00705FE7">
      <w:pPr>
        <w:pStyle w:val="paragraph"/>
      </w:pPr>
      <w:r w:rsidRPr="00D161F0">
        <w:rPr>
          <w:szCs w:val="22"/>
        </w:rPr>
        <w:tab/>
        <w:t>(</w:t>
      </w:r>
      <w:r w:rsidR="00D161F0" w:rsidRPr="00705FE7">
        <w:rPr>
          <w:szCs w:val="22"/>
        </w:rPr>
        <w:t>b</w:t>
      </w:r>
      <w:r w:rsidRPr="00D161F0">
        <w:rPr>
          <w:szCs w:val="22"/>
        </w:rPr>
        <w:t>)</w:t>
      </w:r>
      <w:r w:rsidRPr="00D161F0">
        <w:rPr>
          <w:szCs w:val="22"/>
        </w:rPr>
        <w:tab/>
        <w:t xml:space="preserve">serology testing for </w:t>
      </w:r>
      <w:r w:rsidR="00014829">
        <w:rPr>
          <w:szCs w:val="22"/>
        </w:rPr>
        <w:t xml:space="preserve">antibodies to </w:t>
      </w:r>
      <w:r w:rsidRPr="00D161F0">
        <w:rPr>
          <w:szCs w:val="22"/>
        </w:rPr>
        <w:t xml:space="preserve">HIV-1 / HIV-2, HBV, HCV, HTLV-1 / HTLV-2, </w:t>
      </w:r>
      <w:r w:rsidRPr="006A2EFE">
        <w:rPr>
          <w:i/>
          <w:szCs w:val="22"/>
        </w:rPr>
        <w:t>Strongyloides stercoralis</w:t>
      </w:r>
      <w:r w:rsidRPr="00D161F0">
        <w:rPr>
          <w:szCs w:val="22"/>
        </w:rPr>
        <w:t>, and syphilis (</w:t>
      </w:r>
      <w:r w:rsidRPr="003800BE">
        <w:rPr>
          <w:i/>
          <w:szCs w:val="22"/>
        </w:rPr>
        <w:t>Treponema pallidum</w:t>
      </w:r>
      <w:r w:rsidRPr="00D161F0">
        <w:rPr>
          <w:szCs w:val="22"/>
        </w:rPr>
        <w:t>); and</w:t>
      </w:r>
    </w:p>
    <w:p w:rsidR="005A27F4" w:rsidRPr="00705FE7" w:rsidRDefault="005A27F4" w:rsidP="00705FE7">
      <w:pPr>
        <w:pStyle w:val="paragraph"/>
      </w:pPr>
      <w:r w:rsidRPr="00705FE7">
        <w:rPr>
          <w:szCs w:val="22"/>
        </w:rPr>
        <w:tab/>
        <w:t>(</w:t>
      </w:r>
      <w:r w:rsidR="00D161F0" w:rsidRPr="00705FE7">
        <w:rPr>
          <w:szCs w:val="22"/>
        </w:rPr>
        <w:t>c</w:t>
      </w:r>
      <w:r w:rsidRPr="00D161F0">
        <w:rPr>
          <w:szCs w:val="22"/>
        </w:rPr>
        <w:t>)</w:t>
      </w:r>
      <w:r w:rsidRPr="00D161F0">
        <w:rPr>
          <w:szCs w:val="22"/>
        </w:rPr>
        <w:tab/>
        <w:t xml:space="preserve">HAV testing (unless RNA testing is </w:t>
      </w:r>
      <w:r w:rsidR="00A268FE">
        <w:rPr>
          <w:szCs w:val="22"/>
        </w:rPr>
        <w:t>conducted</w:t>
      </w:r>
      <w:r w:rsidR="00A268FE" w:rsidRPr="00D161F0">
        <w:rPr>
          <w:szCs w:val="22"/>
        </w:rPr>
        <w:t xml:space="preserve"> </w:t>
      </w:r>
      <w:r w:rsidRPr="00D161F0">
        <w:rPr>
          <w:szCs w:val="22"/>
        </w:rPr>
        <w:t>on the stool samples); and</w:t>
      </w:r>
    </w:p>
    <w:p w:rsidR="00D161F0" w:rsidRDefault="005A27F4" w:rsidP="00705FE7">
      <w:pPr>
        <w:pStyle w:val="paragraph"/>
        <w:rPr>
          <w:szCs w:val="22"/>
        </w:rPr>
      </w:pPr>
      <w:r w:rsidRPr="00705FE7">
        <w:rPr>
          <w:szCs w:val="22"/>
        </w:rPr>
        <w:tab/>
        <w:t>(</w:t>
      </w:r>
      <w:r w:rsidR="00D161F0" w:rsidRPr="00705FE7">
        <w:rPr>
          <w:szCs w:val="22"/>
        </w:rPr>
        <w:t>d</w:t>
      </w:r>
      <w:r w:rsidRPr="00D161F0">
        <w:rPr>
          <w:szCs w:val="22"/>
        </w:rPr>
        <w:t>)</w:t>
      </w:r>
      <w:r w:rsidRPr="00D161F0">
        <w:rPr>
          <w:szCs w:val="22"/>
        </w:rPr>
        <w:tab/>
      </w:r>
      <w:r w:rsidR="007F633F" w:rsidRPr="00D161F0">
        <w:t>nucleic acid amplification testing</w:t>
      </w:r>
      <w:r w:rsidRPr="00705FE7">
        <w:rPr>
          <w:szCs w:val="22"/>
        </w:rPr>
        <w:t xml:space="preserve"> for HIV-1, HBV and HCV</w:t>
      </w:r>
      <w:r w:rsidR="00D161F0" w:rsidRPr="00705FE7">
        <w:rPr>
          <w:szCs w:val="22"/>
        </w:rPr>
        <w:t>.</w:t>
      </w:r>
    </w:p>
    <w:p w:rsidR="00D161F0" w:rsidRPr="00314D30" w:rsidRDefault="00D161F0" w:rsidP="00314D30">
      <w:pPr>
        <w:pStyle w:val="subsection"/>
        <w:rPr>
          <w:szCs w:val="22"/>
        </w:rPr>
      </w:pPr>
      <w:r>
        <w:rPr>
          <w:szCs w:val="22"/>
        </w:rPr>
        <w:tab/>
        <w:t>(5)</w:t>
      </w:r>
      <w:r>
        <w:rPr>
          <w:szCs w:val="22"/>
        </w:rPr>
        <w:tab/>
      </w:r>
      <w:r w:rsidR="005F6503">
        <w:rPr>
          <w:szCs w:val="22"/>
        </w:rPr>
        <w:t>T</w:t>
      </w:r>
      <w:r>
        <w:rPr>
          <w:szCs w:val="22"/>
        </w:rPr>
        <w:t xml:space="preserve">he following tests </w:t>
      </w:r>
      <w:r w:rsidR="00F564BC" w:rsidRPr="00526ECB">
        <w:rPr>
          <w:szCs w:val="22"/>
        </w:rPr>
        <w:t>must</w:t>
      </w:r>
      <w:r w:rsidRPr="00526ECB">
        <w:rPr>
          <w:szCs w:val="22"/>
        </w:rPr>
        <w:t xml:space="preserve"> </w:t>
      </w:r>
      <w:r>
        <w:rPr>
          <w:szCs w:val="22"/>
        </w:rPr>
        <w:t xml:space="preserve">be </w:t>
      </w:r>
      <w:r w:rsidR="00C67349">
        <w:rPr>
          <w:szCs w:val="22"/>
        </w:rPr>
        <w:t>conducted</w:t>
      </w:r>
      <w:r>
        <w:rPr>
          <w:szCs w:val="22"/>
        </w:rPr>
        <w:t xml:space="preserve"> in relation to </w:t>
      </w:r>
      <w:r w:rsidR="0057322D">
        <w:rPr>
          <w:szCs w:val="22"/>
        </w:rPr>
        <w:t xml:space="preserve">the </w:t>
      </w:r>
      <w:r>
        <w:rPr>
          <w:szCs w:val="22"/>
        </w:rPr>
        <w:t xml:space="preserve">blood samples </w:t>
      </w:r>
      <w:r w:rsidR="0057322D">
        <w:rPr>
          <w:szCs w:val="22"/>
        </w:rPr>
        <w:t>taken</w:t>
      </w:r>
      <w:r w:rsidR="000A60DA">
        <w:rPr>
          <w:szCs w:val="22"/>
        </w:rPr>
        <w:t xml:space="preserve"> in accordance with subsection </w:t>
      </w:r>
      <w:r w:rsidR="000A60DA" w:rsidRPr="000323F6">
        <w:rPr>
          <w:szCs w:val="22"/>
        </w:rPr>
        <w:t>13(</w:t>
      </w:r>
      <w:r w:rsidR="005F6503" w:rsidRPr="000323F6">
        <w:rPr>
          <w:szCs w:val="22"/>
        </w:rPr>
        <w:t>3</w:t>
      </w:r>
      <w:r w:rsidR="000A60DA" w:rsidRPr="000323F6">
        <w:rPr>
          <w:szCs w:val="22"/>
        </w:rPr>
        <w:t>)</w:t>
      </w:r>
      <w:r w:rsidR="005F6503" w:rsidRPr="000323F6">
        <w:rPr>
          <w:szCs w:val="22"/>
        </w:rPr>
        <w:t>(b):</w:t>
      </w:r>
    </w:p>
    <w:p w:rsidR="00F359CE" w:rsidRPr="00D161F0" w:rsidRDefault="00F359CE" w:rsidP="00F359CE">
      <w:pPr>
        <w:pStyle w:val="paragraph"/>
      </w:pPr>
      <w:r w:rsidRPr="00FA1C29">
        <w:rPr>
          <w:szCs w:val="22"/>
        </w:rPr>
        <w:tab/>
        <w:t>(a)</w:t>
      </w:r>
      <w:r w:rsidRPr="00FA1C29">
        <w:rPr>
          <w:szCs w:val="22"/>
        </w:rPr>
        <w:tab/>
      </w:r>
      <w:r w:rsidRPr="00D161F0">
        <w:rPr>
          <w:szCs w:val="22"/>
        </w:rPr>
        <w:t xml:space="preserve">C-reactive protein (CRP), </w:t>
      </w:r>
      <w:r w:rsidR="00B5626C">
        <w:rPr>
          <w:szCs w:val="22"/>
        </w:rPr>
        <w:t>f</w:t>
      </w:r>
      <w:r w:rsidR="00003981">
        <w:rPr>
          <w:szCs w:val="22"/>
        </w:rPr>
        <w:t>ull</w:t>
      </w:r>
      <w:r w:rsidR="00003981" w:rsidRPr="00D161F0">
        <w:rPr>
          <w:szCs w:val="22"/>
        </w:rPr>
        <w:t xml:space="preserve"> </w:t>
      </w:r>
      <w:r w:rsidR="00B5626C">
        <w:rPr>
          <w:szCs w:val="22"/>
        </w:rPr>
        <w:t>b</w:t>
      </w:r>
      <w:r w:rsidRPr="00D161F0">
        <w:rPr>
          <w:szCs w:val="22"/>
        </w:rPr>
        <w:t xml:space="preserve">lood </w:t>
      </w:r>
      <w:r w:rsidR="00B5626C">
        <w:rPr>
          <w:szCs w:val="22"/>
        </w:rPr>
        <w:t>c</w:t>
      </w:r>
      <w:r w:rsidR="00003981">
        <w:rPr>
          <w:szCs w:val="22"/>
        </w:rPr>
        <w:t>ount</w:t>
      </w:r>
      <w:r w:rsidR="00003981" w:rsidRPr="00D161F0">
        <w:rPr>
          <w:szCs w:val="22"/>
        </w:rPr>
        <w:t xml:space="preserve"> </w:t>
      </w:r>
      <w:r w:rsidRPr="00D161F0">
        <w:rPr>
          <w:szCs w:val="22"/>
        </w:rPr>
        <w:t>(</w:t>
      </w:r>
      <w:r w:rsidR="00003981">
        <w:rPr>
          <w:szCs w:val="22"/>
        </w:rPr>
        <w:t>FBC</w:t>
      </w:r>
      <w:r w:rsidRPr="00D161F0">
        <w:rPr>
          <w:szCs w:val="22"/>
        </w:rPr>
        <w:t xml:space="preserve">) and </w:t>
      </w:r>
      <w:r w:rsidR="00B5626C">
        <w:rPr>
          <w:szCs w:val="22"/>
        </w:rPr>
        <w:t>l</w:t>
      </w:r>
      <w:r w:rsidRPr="00D161F0">
        <w:rPr>
          <w:szCs w:val="22"/>
        </w:rPr>
        <w:t xml:space="preserve">iver </w:t>
      </w:r>
      <w:r w:rsidR="00B5626C">
        <w:rPr>
          <w:szCs w:val="22"/>
        </w:rPr>
        <w:t>f</w:t>
      </w:r>
      <w:r w:rsidRPr="00D161F0">
        <w:rPr>
          <w:szCs w:val="22"/>
        </w:rPr>
        <w:t xml:space="preserve">unction </w:t>
      </w:r>
      <w:r w:rsidR="00B5626C">
        <w:rPr>
          <w:szCs w:val="22"/>
        </w:rPr>
        <w:t>t</w:t>
      </w:r>
      <w:r w:rsidRPr="00D161F0">
        <w:rPr>
          <w:szCs w:val="22"/>
        </w:rPr>
        <w:t>ests (LFTs); and</w:t>
      </w:r>
    </w:p>
    <w:p w:rsidR="00F359CE" w:rsidRPr="004F54AC" w:rsidRDefault="00F359CE" w:rsidP="00F359CE">
      <w:pPr>
        <w:pStyle w:val="paragraph"/>
      </w:pPr>
      <w:r w:rsidRPr="00FA1C29">
        <w:rPr>
          <w:szCs w:val="22"/>
        </w:rPr>
        <w:tab/>
      </w:r>
      <w:r>
        <w:rPr>
          <w:szCs w:val="22"/>
        </w:rPr>
        <w:t>(b</w:t>
      </w:r>
      <w:r w:rsidRPr="00FA1C29">
        <w:rPr>
          <w:szCs w:val="22"/>
        </w:rPr>
        <w:t>)</w:t>
      </w:r>
      <w:r w:rsidRPr="00FA1C29">
        <w:rPr>
          <w:szCs w:val="22"/>
        </w:rPr>
        <w:tab/>
      </w:r>
      <w:r w:rsidRPr="00D161F0">
        <w:rPr>
          <w:szCs w:val="22"/>
        </w:rPr>
        <w:t xml:space="preserve">serology testing for </w:t>
      </w:r>
      <w:r w:rsidR="00014829">
        <w:rPr>
          <w:szCs w:val="22"/>
        </w:rPr>
        <w:t xml:space="preserve">antibodies to </w:t>
      </w:r>
      <w:r w:rsidRPr="00D161F0">
        <w:rPr>
          <w:szCs w:val="22"/>
        </w:rPr>
        <w:t xml:space="preserve">HIV-1 / HIV-2, </w:t>
      </w:r>
      <w:r>
        <w:rPr>
          <w:szCs w:val="22"/>
        </w:rPr>
        <w:t>HBV, HCV</w:t>
      </w:r>
      <w:r w:rsidR="00003981" w:rsidRPr="00D161F0">
        <w:rPr>
          <w:szCs w:val="22"/>
        </w:rPr>
        <w:t xml:space="preserve">, HTLV-1 / HTLV-2, </w:t>
      </w:r>
      <w:r w:rsidR="00003981" w:rsidRPr="006A2EFE">
        <w:rPr>
          <w:i/>
          <w:szCs w:val="22"/>
        </w:rPr>
        <w:t>Strongyloides stercoralis</w:t>
      </w:r>
      <w:r w:rsidR="00003981" w:rsidRPr="00D161F0">
        <w:rPr>
          <w:szCs w:val="22"/>
        </w:rPr>
        <w:t>, and syphilis (</w:t>
      </w:r>
      <w:r w:rsidR="00003981" w:rsidRPr="003800BE">
        <w:rPr>
          <w:i/>
          <w:szCs w:val="22"/>
        </w:rPr>
        <w:t>Treponema pallidum</w:t>
      </w:r>
      <w:r w:rsidR="00003981" w:rsidRPr="00D161F0">
        <w:rPr>
          <w:szCs w:val="22"/>
        </w:rPr>
        <w:t>)</w:t>
      </w:r>
      <w:r>
        <w:rPr>
          <w:szCs w:val="22"/>
        </w:rPr>
        <w:t>; and</w:t>
      </w:r>
    </w:p>
    <w:p w:rsidR="00F359CE" w:rsidRPr="00705FE7" w:rsidRDefault="00F359CE" w:rsidP="00705FE7">
      <w:pPr>
        <w:pStyle w:val="paragraph"/>
      </w:pPr>
      <w:r w:rsidRPr="00FA1C29">
        <w:rPr>
          <w:szCs w:val="22"/>
        </w:rPr>
        <w:tab/>
        <w:t>(c</w:t>
      </w:r>
      <w:r w:rsidRPr="00D161F0">
        <w:rPr>
          <w:szCs w:val="22"/>
        </w:rPr>
        <w:t>)</w:t>
      </w:r>
      <w:r w:rsidRPr="00D161F0">
        <w:rPr>
          <w:szCs w:val="22"/>
        </w:rPr>
        <w:tab/>
        <w:t xml:space="preserve">HAV testing (unless RNA testing is </w:t>
      </w:r>
      <w:r w:rsidR="00A268FE">
        <w:rPr>
          <w:szCs w:val="22"/>
        </w:rPr>
        <w:t>conducted</w:t>
      </w:r>
      <w:r>
        <w:rPr>
          <w:szCs w:val="22"/>
        </w:rPr>
        <w:t xml:space="preserve"> on the stool samples)</w:t>
      </w:r>
      <w:r w:rsidRPr="00FA1C29">
        <w:rPr>
          <w:szCs w:val="22"/>
        </w:rPr>
        <w:t>.</w:t>
      </w:r>
    </w:p>
    <w:p w:rsidR="00D127D3" w:rsidRPr="00D127D3" w:rsidRDefault="00D127D3" w:rsidP="00D127D3">
      <w:pPr>
        <w:pStyle w:val="SubsectionHead"/>
      </w:pPr>
      <w:r>
        <w:t xml:space="preserve">Stool </w:t>
      </w:r>
      <w:r w:rsidRPr="00D127D3">
        <w:t>sample testing</w:t>
      </w:r>
    </w:p>
    <w:p w:rsidR="00DE77EB" w:rsidRPr="005A27F4" w:rsidRDefault="00DE77EB" w:rsidP="00DE77EB">
      <w:pPr>
        <w:pStyle w:val="subsection"/>
      </w:pPr>
      <w:r w:rsidRPr="005A27F4">
        <w:tab/>
        <w:t>(</w:t>
      </w:r>
      <w:r w:rsidR="00F359CE">
        <w:t>6</w:t>
      </w:r>
      <w:r w:rsidRPr="005A27F4">
        <w:t>)</w:t>
      </w:r>
      <w:r w:rsidRPr="005A27F4">
        <w:tab/>
      </w:r>
      <w:r w:rsidR="002875DD">
        <w:t xml:space="preserve">Subject to subsections </w:t>
      </w:r>
      <w:r w:rsidR="002875DD" w:rsidRPr="00182CD5">
        <w:t>(7) and (8), s</w:t>
      </w:r>
      <w:r w:rsidRPr="00182CD5">
        <w:t>tool samples</w:t>
      </w:r>
      <w:r>
        <w:t xml:space="preserve"> must be tested </w:t>
      </w:r>
      <w:r w:rsidR="0062210B">
        <w:t xml:space="preserve">for </w:t>
      </w:r>
      <w:r>
        <w:t>each of the following microorganisms:</w:t>
      </w:r>
    </w:p>
    <w:p w:rsidR="004D4904" w:rsidRPr="00E52509" w:rsidRDefault="004D4904" w:rsidP="004D4904">
      <w:pPr>
        <w:pStyle w:val="paragraph"/>
        <w:rPr>
          <w:szCs w:val="22"/>
        </w:rPr>
      </w:pPr>
      <w:r w:rsidRPr="00CA334E">
        <w:rPr>
          <w:szCs w:val="22"/>
        </w:rPr>
        <w:tab/>
        <w:t>(a)</w:t>
      </w:r>
      <w:r w:rsidRPr="00CA334E">
        <w:rPr>
          <w:szCs w:val="22"/>
        </w:rPr>
        <w:tab/>
      </w:r>
      <w:r w:rsidRPr="00314D30">
        <w:rPr>
          <w:i/>
          <w:szCs w:val="22"/>
        </w:rPr>
        <w:t>Campylobacter</w:t>
      </w:r>
      <w:r w:rsidRPr="00E52509">
        <w:rPr>
          <w:szCs w:val="22"/>
        </w:rPr>
        <w:t xml:space="preserve"> spp.;</w:t>
      </w:r>
    </w:p>
    <w:p w:rsidR="004D4904" w:rsidRPr="00E52509" w:rsidRDefault="004D4904" w:rsidP="004D4904">
      <w:pPr>
        <w:pStyle w:val="paragraph"/>
        <w:rPr>
          <w:szCs w:val="22"/>
        </w:rPr>
      </w:pPr>
      <w:r w:rsidRPr="00E5022B">
        <w:rPr>
          <w:szCs w:val="22"/>
        </w:rPr>
        <w:tab/>
      </w:r>
      <w:r w:rsidRPr="00E52509">
        <w:rPr>
          <w:szCs w:val="22"/>
        </w:rPr>
        <w:t>(b)</w:t>
      </w:r>
      <w:r w:rsidRPr="00E52509">
        <w:rPr>
          <w:szCs w:val="22"/>
        </w:rPr>
        <w:tab/>
      </w:r>
      <w:r w:rsidRPr="00314D30">
        <w:rPr>
          <w:i/>
          <w:szCs w:val="22"/>
        </w:rPr>
        <w:t>Cryptosporidium</w:t>
      </w:r>
      <w:r w:rsidRPr="00E52509">
        <w:rPr>
          <w:szCs w:val="22"/>
        </w:rPr>
        <w:t xml:space="preserve"> spp.;</w:t>
      </w:r>
    </w:p>
    <w:p w:rsidR="004D4904" w:rsidRPr="00E52509" w:rsidRDefault="004D4904" w:rsidP="004D4904">
      <w:pPr>
        <w:pStyle w:val="paragraph"/>
        <w:rPr>
          <w:szCs w:val="22"/>
        </w:rPr>
      </w:pPr>
      <w:r w:rsidRPr="00E52509">
        <w:rPr>
          <w:szCs w:val="22"/>
        </w:rPr>
        <w:tab/>
        <w:t>(c)</w:t>
      </w:r>
      <w:r w:rsidRPr="00E52509">
        <w:rPr>
          <w:szCs w:val="22"/>
        </w:rPr>
        <w:tab/>
      </w:r>
      <w:r w:rsidRPr="00314D30">
        <w:rPr>
          <w:i/>
          <w:szCs w:val="22"/>
        </w:rPr>
        <w:t>Entamoeba histolytica</w:t>
      </w:r>
      <w:r w:rsidRPr="00E52509">
        <w:rPr>
          <w:szCs w:val="22"/>
        </w:rPr>
        <w:t>;</w:t>
      </w:r>
    </w:p>
    <w:p w:rsidR="004D4904" w:rsidRPr="00E52509" w:rsidRDefault="004D4904" w:rsidP="004D4904">
      <w:pPr>
        <w:pStyle w:val="paragraph"/>
        <w:rPr>
          <w:szCs w:val="22"/>
        </w:rPr>
      </w:pPr>
      <w:r w:rsidRPr="00E52509">
        <w:rPr>
          <w:szCs w:val="22"/>
        </w:rPr>
        <w:tab/>
        <w:t>(d)</w:t>
      </w:r>
      <w:r w:rsidRPr="00E52509">
        <w:rPr>
          <w:szCs w:val="22"/>
        </w:rPr>
        <w:tab/>
      </w:r>
      <w:r w:rsidRPr="00314D30">
        <w:rPr>
          <w:i/>
          <w:szCs w:val="22"/>
        </w:rPr>
        <w:t>Giardia</w:t>
      </w:r>
      <w:r w:rsidRPr="00E52509">
        <w:rPr>
          <w:szCs w:val="22"/>
        </w:rPr>
        <w:t>;</w:t>
      </w:r>
    </w:p>
    <w:p w:rsidR="0062210B" w:rsidRPr="00E52509" w:rsidRDefault="004D4904" w:rsidP="004D4904">
      <w:pPr>
        <w:pStyle w:val="paragraph"/>
        <w:rPr>
          <w:szCs w:val="22"/>
        </w:rPr>
      </w:pPr>
      <w:r w:rsidRPr="00E52509">
        <w:rPr>
          <w:szCs w:val="22"/>
        </w:rPr>
        <w:tab/>
        <w:t>(e)</w:t>
      </w:r>
      <w:r w:rsidRPr="00E52509">
        <w:rPr>
          <w:szCs w:val="22"/>
        </w:rPr>
        <w:tab/>
      </w:r>
      <w:r w:rsidR="0062210B" w:rsidRPr="00314D30">
        <w:rPr>
          <w:i/>
          <w:szCs w:val="22"/>
        </w:rPr>
        <w:t>Helicobacter pylori</w:t>
      </w:r>
      <w:r w:rsidR="0062210B" w:rsidRPr="00E52509">
        <w:rPr>
          <w:szCs w:val="22"/>
        </w:rPr>
        <w:t xml:space="preserve">, where </w:t>
      </w:r>
      <w:r w:rsidR="00593711" w:rsidRPr="00E52509">
        <w:rPr>
          <w:szCs w:val="22"/>
        </w:rPr>
        <w:t xml:space="preserve">stool is proposed to be collected for use in the manufacture of </w:t>
      </w:r>
      <w:r w:rsidR="0062210B" w:rsidRPr="00E52509">
        <w:rPr>
          <w:szCs w:val="22"/>
        </w:rPr>
        <w:t>FMT products delivered by the upper gastrointestinal route;</w:t>
      </w:r>
    </w:p>
    <w:p w:rsidR="004D4904" w:rsidRPr="00E52509" w:rsidRDefault="0062210B" w:rsidP="004D4904">
      <w:pPr>
        <w:pStyle w:val="paragraph"/>
        <w:rPr>
          <w:szCs w:val="22"/>
        </w:rPr>
      </w:pPr>
      <w:r w:rsidRPr="00E52509">
        <w:rPr>
          <w:szCs w:val="22"/>
        </w:rPr>
        <w:tab/>
        <w:t>(f)</w:t>
      </w:r>
      <w:r w:rsidRPr="00E52509">
        <w:rPr>
          <w:szCs w:val="22"/>
        </w:rPr>
        <w:tab/>
      </w:r>
      <w:r w:rsidR="004D4904" w:rsidRPr="00E52509">
        <w:rPr>
          <w:szCs w:val="22"/>
        </w:rPr>
        <w:t xml:space="preserve">multidrug-resistant organisms </w:t>
      </w:r>
      <w:r w:rsidR="00CF06B2">
        <w:rPr>
          <w:szCs w:val="22"/>
        </w:rPr>
        <w:t xml:space="preserve">(MDROs) </w:t>
      </w:r>
      <w:r w:rsidR="004D4904" w:rsidRPr="00E52509">
        <w:rPr>
          <w:szCs w:val="22"/>
        </w:rPr>
        <w:t>including:</w:t>
      </w:r>
    </w:p>
    <w:p w:rsidR="004D4904" w:rsidRPr="00E52509" w:rsidRDefault="004D4904" w:rsidP="004D4904">
      <w:pPr>
        <w:pStyle w:val="paragraphsub"/>
      </w:pPr>
      <w:r w:rsidRPr="00E52509">
        <w:rPr>
          <w:szCs w:val="22"/>
        </w:rPr>
        <w:tab/>
        <w:t>(i)</w:t>
      </w:r>
      <w:r w:rsidRPr="00E52509">
        <w:rPr>
          <w:szCs w:val="22"/>
        </w:rPr>
        <w:tab/>
        <w:t xml:space="preserve">extended spectrum beta-lactamase (ESBL)-producing </w:t>
      </w:r>
      <w:r w:rsidRPr="000323F6">
        <w:rPr>
          <w:szCs w:val="22"/>
        </w:rPr>
        <w:t>Enterobacter</w:t>
      </w:r>
      <w:r w:rsidR="00003981" w:rsidRPr="000323F6">
        <w:rPr>
          <w:szCs w:val="22"/>
        </w:rPr>
        <w:t>ales</w:t>
      </w:r>
      <w:r w:rsidRPr="00E52509">
        <w:rPr>
          <w:szCs w:val="22"/>
        </w:rPr>
        <w:t>;</w:t>
      </w:r>
    </w:p>
    <w:p w:rsidR="004D4904" w:rsidRPr="00E52509" w:rsidRDefault="004D4904" w:rsidP="004D4904">
      <w:pPr>
        <w:pStyle w:val="paragraphsub"/>
      </w:pPr>
      <w:r w:rsidRPr="00E52509">
        <w:rPr>
          <w:szCs w:val="22"/>
        </w:rPr>
        <w:tab/>
        <w:t>(ii)</w:t>
      </w:r>
      <w:r w:rsidRPr="00E52509">
        <w:rPr>
          <w:szCs w:val="22"/>
        </w:rPr>
        <w:tab/>
        <w:t>vancomycin-</w:t>
      </w:r>
      <w:r w:rsidRPr="00510B03">
        <w:rPr>
          <w:szCs w:val="22"/>
        </w:rPr>
        <w:t xml:space="preserve">resistant </w:t>
      </w:r>
      <w:r w:rsidR="00003981" w:rsidRPr="000323F6">
        <w:rPr>
          <w:szCs w:val="22"/>
        </w:rPr>
        <w:t>e</w:t>
      </w:r>
      <w:r w:rsidRPr="000323F6">
        <w:rPr>
          <w:szCs w:val="22"/>
        </w:rPr>
        <w:t>nterococci</w:t>
      </w:r>
      <w:r w:rsidRPr="00E52509">
        <w:rPr>
          <w:szCs w:val="22"/>
        </w:rPr>
        <w:t xml:space="preserve"> (VRE)</w:t>
      </w:r>
      <w:r w:rsidRPr="00E52509">
        <w:t>;</w:t>
      </w:r>
    </w:p>
    <w:p w:rsidR="004D4904" w:rsidRPr="00E52509" w:rsidRDefault="004D4904" w:rsidP="004D4904">
      <w:pPr>
        <w:pStyle w:val="paragraphsub"/>
      </w:pPr>
      <w:r w:rsidRPr="00E52509">
        <w:rPr>
          <w:szCs w:val="22"/>
        </w:rPr>
        <w:tab/>
        <w:t>(iii)</w:t>
      </w:r>
      <w:r w:rsidRPr="00E52509">
        <w:rPr>
          <w:szCs w:val="22"/>
        </w:rPr>
        <w:tab/>
      </w:r>
      <w:r w:rsidR="0062210B" w:rsidRPr="00E52509">
        <w:rPr>
          <w:szCs w:val="22"/>
        </w:rPr>
        <w:t>c</w:t>
      </w:r>
      <w:r w:rsidRPr="00E52509">
        <w:rPr>
          <w:szCs w:val="22"/>
        </w:rPr>
        <w:t>arbapenem</w:t>
      </w:r>
      <w:r w:rsidR="008C131A">
        <w:rPr>
          <w:szCs w:val="22"/>
        </w:rPr>
        <w:t>ase</w:t>
      </w:r>
      <w:r w:rsidRPr="00E52509">
        <w:rPr>
          <w:szCs w:val="22"/>
        </w:rPr>
        <w:t xml:space="preserve">-producing </w:t>
      </w:r>
      <w:r w:rsidRPr="000323F6">
        <w:rPr>
          <w:szCs w:val="22"/>
        </w:rPr>
        <w:t>Enterobacter</w:t>
      </w:r>
      <w:r w:rsidR="00003981" w:rsidRPr="000323F6">
        <w:rPr>
          <w:szCs w:val="22"/>
        </w:rPr>
        <w:t>ales</w:t>
      </w:r>
      <w:r w:rsidRPr="00510B03">
        <w:rPr>
          <w:szCs w:val="22"/>
        </w:rPr>
        <w:t xml:space="preserve"> </w:t>
      </w:r>
      <w:r w:rsidRPr="00E52509">
        <w:rPr>
          <w:szCs w:val="22"/>
        </w:rPr>
        <w:t>(CPE)</w:t>
      </w:r>
      <w:r w:rsidRPr="00E52509">
        <w:t>;</w:t>
      </w:r>
    </w:p>
    <w:p w:rsidR="0062210B" w:rsidRPr="00E5022B" w:rsidRDefault="0062210B" w:rsidP="004D4904">
      <w:pPr>
        <w:pStyle w:val="paragraphsub"/>
        <w:rPr>
          <w:b/>
        </w:rPr>
      </w:pPr>
      <w:r w:rsidRPr="00E52509">
        <w:tab/>
        <w:t>(iv)</w:t>
      </w:r>
      <w:r w:rsidRPr="00E52509">
        <w:tab/>
      </w:r>
      <w:r w:rsidRPr="00E52509">
        <w:rPr>
          <w:szCs w:val="22"/>
        </w:rPr>
        <w:t xml:space="preserve">methicillin-resistant </w:t>
      </w:r>
      <w:r w:rsidRPr="00314D30">
        <w:rPr>
          <w:i/>
          <w:szCs w:val="22"/>
        </w:rPr>
        <w:t>Staphylococcus</w:t>
      </w:r>
      <w:r w:rsidRPr="00E52509">
        <w:rPr>
          <w:szCs w:val="22"/>
        </w:rPr>
        <w:t xml:space="preserve"> </w:t>
      </w:r>
      <w:r w:rsidRPr="00314D30">
        <w:rPr>
          <w:i/>
          <w:szCs w:val="22"/>
        </w:rPr>
        <w:t>aureus</w:t>
      </w:r>
      <w:r w:rsidR="00593711" w:rsidRPr="00E52509">
        <w:rPr>
          <w:szCs w:val="22"/>
        </w:rPr>
        <w:t>;</w:t>
      </w:r>
    </w:p>
    <w:p w:rsidR="004D4904" w:rsidRPr="00E52509" w:rsidRDefault="004D4904" w:rsidP="004D4904">
      <w:pPr>
        <w:pStyle w:val="paragraph"/>
        <w:rPr>
          <w:szCs w:val="22"/>
        </w:rPr>
      </w:pPr>
      <w:r w:rsidRPr="00E5022B">
        <w:rPr>
          <w:szCs w:val="22"/>
        </w:rPr>
        <w:tab/>
      </w:r>
      <w:r w:rsidRPr="00E52509">
        <w:rPr>
          <w:szCs w:val="22"/>
        </w:rPr>
        <w:t>(g)</w:t>
      </w:r>
      <w:r w:rsidRPr="00E52509">
        <w:rPr>
          <w:szCs w:val="22"/>
        </w:rPr>
        <w:tab/>
        <w:t>norovirus;</w:t>
      </w:r>
    </w:p>
    <w:p w:rsidR="004D4904" w:rsidRPr="00E52509" w:rsidRDefault="004D4904" w:rsidP="004D4904">
      <w:pPr>
        <w:pStyle w:val="paragraph"/>
        <w:rPr>
          <w:szCs w:val="22"/>
        </w:rPr>
      </w:pPr>
      <w:r w:rsidRPr="00E52509">
        <w:rPr>
          <w:szCs w:val="22"/>
        </w:rPr>
        <w:tab/>
        <w:t>(h)</w:t>
      </w:r>
      <w:r w:rsidRPr="00E52509">
        <w:rPr>
          <w:szCs w:val="22"/>
        </w:rPr>
        <w:tab/>
        <w:t>rotavirus;</w:t>
      </w:r>
    </w:p>
    <w:p w:rsidR="004D4904" w:rsidRPr="00E52509" w:rsidRDefault="004D4904" w:rsidP="000323F6">
      <w:pPr>
        <w:pStyle w:val="paragraph"/>
        <w:rPr>
          <w:szCs w:val="22"/>
        </w:rPr>
      </w:pPr>
      <w:r w:rsidRPr="00E5022B">
        <w:rPr>
          <w:szCs w:val="22"/>
        </w:rPr>
        <w:tab/>
      </w:r>
      <w:r w:rsidRPr="00E52509">
        <w:rPr>
          <w:szCs w:val="22"/>
        </w:rPr>
        <w:t>(i)</w:t>
      </w:r>
      <w:r w:rsidRPr="00E52509">
        <w:rPr>
          <w:szCs w:val="22"/>
        </w:rPr>
        <w:tab/>
      </w:r>
      <w:r w:rsidRPr="00314D30">
        <w:rPr>
          <w:i/>
          <w:szCs w:val="22"/>
        </w:rPr>
        <w:t>Salmonella</w:t>
      </w:r>
      <w:r w:rsidR="000323F6">
        <w:rPr>
          <w:szCs w:val="22"/>
        </w:rPr>
        <w:t xml:space="preserve"> spp.;</w:t>
      </w:r>
    </w:p>
    <w:p w:rsidR="004D4904" w:rsidRPr="00E52509" w:rsidRDefault="000323F6" w:rsidP="004D4904">
      <w:pPr>
        <w:pStyle w:val="paragraph"/>
        <w:rPr>
          <w:szCs w:val="22"/>
        </w:rPr>
      </w:pPr>
      <w:r>
        <w:rPr>
          <w:szCs w:val="22"/>
        </w:rPr>
        <w:tab/>
        <w:t>(j</w:t>
      </w:r>
      <w:r w:rsidR="004D4904" w:rsidRPr="00E52509">
        <w:rPr>
          <w:szCs w:val="22"/>
        </w:rPr>
        <w:t>)</w:t>
      </w:r>
      <w:r w:rsidR="004D4904" w:rsidRPr="00E52509">
        <w:rPr>
          <w:szCs w:val="22"/>
        </w:rPr>
        <w:tab/>
      </w:r>
      <w:r w:rsidR="004D4904" w:rsidRPr="00314D30">
        <w:rPr>
          <w:i/>
          <w:szCs w:val="22"/>
        </w:rPr>
        <w:t>Shigella</w:t>
      </w:r>
      <w:r w:rsidR="004D4904" w:rsidRPr="00E52509">
        <w:rPr>
          <w:szCs w:val="22"/>
        </w:rPr>
        <w:t xml:space="preserve"> spp.;</w:t>
      </w:r>
    </w:p>
    <w:p w:rsidR="004D4904" w:rsidRPr="00E52509" w:rsidRDefault="000323F6" w:rsidP="004D4904">
      <w:pPr>
        <w:pStyle w:val="paragraph"/>
        <w:rPr>
          <w:szCs w:val="22"/>
        </w:rPr>
      </w:pPr>
      <w:r>
        <w:rPr>
          <w:szCs w:val="22"/>
        </w:rPr>
        <w:tab/>
        <w:t>(k</w:t>
      </w:r>
      <w:r w:rsidR="004D4904" w:rsidRPr="00E52509">
        <w:rPr>
          <w:szCs w:val="22"/>
        </w:rPr>
        <w:t>)</w:t>
      </w:r>
      <w:r w:rsidR="004D4904" w:rsidRPr="00E52509">
        <w:rPr>
          <w:szCs w:val="22"/>
        </w:rPr>
        <w:tab/>
        <w:t xml:space="preserve">toxigenic </w:t>
      </w:r>
      <w:r w:rsidR="004D4904" w:rsidRPr="00314D30">
        <w:rPr>
          <w:i/>
          <w:szCs w:val="22"/>
        </w:rPr>
        <w:t>Clostridioides difficile</w:t>
      </w:r>
      <w:r w:rsidR="004D4904" w:rsidRPr="00E52509">
        <w:rPr>
          <w:szCs w:val="22"/>
        </w:rPr>
        <w:t>;</w:t>
      </w:r>
    </w:p>
    <w:p w:rsidR="004D4904" w:rsidRPr="00B84F5F" w:rsidRDefault="000323F6" w:rsidP="004D4904">
      <w:pPr>
        <w:pStyle w:val="paragraph"/>
        <w:rPr>
          <w:i/>
          <w:szCs w:val="22"/>
        </w:rPr>
      </w:pPr>
      <w:r>
        <w:rPr>
          <w:szCs w:val="22"/>
        </w:rPr>
        <w:tab/>
        <w:t>(l</w:t>
      </w:r>
      <w:r w:rsidR="004D4904">
        <w:rPr>
          <w:szCs w:val="22"/>
        </w:rPr>
        <w:t>)</w:t>
      </w:r>
      <w:r w:rsidR="004D4904">
        <w:rPr>
          <w:szCs w:val="22"/>
        </w:rPr>
        <w:tab/>
      </w:r>
      <w:r w:rsidR="004D4904" w:rsidRPr="00E5022B">
        <w:rPr>
          <w:szCs w:val="22"/>
        </w:rPr>
        <w:t xml:space="preserve">any other microorganism </w:t>
      </w:r>
      <w:r w:rsidR="00E52509" w:rsidRPr="00E5022B">
        <w:rPr>
          <w:szCs w:val="22"/>
        </w:rPr>
        <w:t xml:space="preserve">of clinical significance </w:t>
      </w:r>
      <w:r w:rsidR="004D4904" w:rsidRPr="00E5022B">
        <w:rPr>
          <w:szCs w:val="22"/>
        </w:rPr>
        <w:t xml:space="preserve">that may affect the quality or safety of the stool </w:t>
      </w:r>
      <w:r w:rsidR="00E52509" w:rsidRPr="00E5022B">
        <w:rPr>
          <w:szCs w:val="22"/>
        </w:rPr>
        <w:t xml:space="preserve">collected for </w:t>
      </w:r>
      <w:r w:rsidR="004D4904" w:rsidRPr="00E5022B">
        <w:rPr>
          <w:szCs w:val="22"/>
        </w:rPr>
        <w:t>use in the manufacture of FMT products</w:t>
      </w:r>
      <w:r w:rsidR="00601D78">
        <w:rPr>
          <w:szCs w:val="22"/>
        </w:rPr>
        <w:t>, determined on the basis of a risk assessment</w:t>
      </w:r>
      <w:r w:rsidR="004D4904" w:rsidRPr="00E5022B">
        <w:rPr>
          <w:szCs w:val="22"/>
        </w:rPr>
        <w:t>.</w:t>
      </w:r>
    </w:p>
    <w:p w:rsidR="005F6503" w:rsidRDefault="00593711" w:rsidP="00696E21">
      <w:pPr>
        <w:pStyle w:val="subsection"/>
        <w:rPr>
          <w:szCs w:val="22"/>
        </w:rPr>
      </w:pPr>
      <w:r>
        <w:rPr>
          <w:szCs w:val="22"/>
        </w:rPr>
        <w:tab/>
        <w:t>(</w:t>
      </w:r>
      <w:r w:rsidR="00635937">
        <w:rPr>
          <w:szCs w:val="22"/>
        </w:rPr>
        <w:t>7</w:t>
      </w:r>
      <w:r>
        <w:rPr>
          <w:szCs w:val="22"/>
        </w:rPr>
        <w:t>)</w:t>
      </w:r>
      <w:r>
        <w:rPr>
          <w:szCs w:val="22"/>
        </w:rPr>
        <w:tab/>
      </w:r>
      <w:r w:rsidR="008333DE">
        <w:rPr>
          <w:szCs w:val="22"/>
        </w:rPr>
        <w:t>S</w:t>
      </w:r>
      <w:r>
        <w:rPr>
          <w:szCs w:val="22"/>
        </w:rPr>
        <w:t>tool sample</w:t>
      </w:r>
      <w:r w:rsidR="008333DE">
        <w:rPr>
          <w:szCs w:val="22"/>
        </w:rPr>
        <w:t>s</w:t>
      </w:r>
      <w:r>
        <w:rPr>
          <w:szCs w:val="22"/>
        </w:rPr>
        <w:t xml:space="preserve"> </w:t>
      </w:r>
      <w:r w:rsidR="0057322D">
        <w:rPr>
          <w:szCs w:val="22"/>
        </w:rPr>
        <w:t xml:space="preserve">taken </w:t>
      </w:r>
      <w:r>
        <w:rPr>
          <w:szCs w:val="22"/>
        </w:rPr>
        <w:t xml:space="preserve">in accordance </w:t>
      </w:r>
      <w:r w:rsidRPr="00696E21">
        <w:rPr>
          <w:szCs w:val="22"/>
        </w:rPr>
        <w:t xml:space="preserve">with </w:t>
      </w:r>
      <w:r w:rsidR="005F6503" w:rsidRPr="00696E21">
        <w:rPr>
          <w:szCs w:val="22"/>
        </w:rPr>
        <w:t>paragrap</w:t>
      </w:r>
      <w:r w:rsidR="005F6503" w:rsidRPr="00182CD5">
        <w:rPr>
          <w:szCs w:val="22"/>
        </w:rPr>
        <w:t xml:space="preserve">h </w:t>
      </w:r>
      <w:r w:rsidRPr="00182CD5">
        <w:rPr>
          <w:szCs w:val="22"/>
        </w:rPr>
        <w:t>1</w:t>
      </w:r>
      <w:r w:rsidR="002875DD" w:rsidRPr="00182CD5">
        <w:rPr>
          <w:szCs w:val="22"/>
        </w:rPr>
        <w:t>3</w:t>
      </w:r>
      <w:r w:rsidRPr="00182CD5">
        <w:rPr>
          <w:szCs w:val="22"/>
        </w:rPr>
        <w:t>(</w:t>
      </w:r>
      <w:r w:rsidR="005F6503" w:rsidRPr="00182CD5">
        <w:rPr>
          <w:szCs w:val="22"/>
        </w:rPr>
        <w:t>2</w:t>
      </w:r>
      <w:r w:rsidRPr="00182CD5">
        <w:rPr>
          <w:szCs w:val="22"/>
        </w:rPr>
        <w:t>)</w:t>
      </w:r>
      <w:r w:rsidR="005F6503" w:rsidRPr="00182CD5">
        <w:rPr>
          <w:szCs w:val="22"/>
        </w:rPr>
        <w:t>(c)</w:t>
      </w:r>
      <w:r w:rsidRPr="00182CD5">
        <w:rPr>
          <w:szCs w:val="22"/>
        </w:rPr>
        <w:t xml:space="preserve"> must be</w:t>
      </w:r>
      <w:r w:rsidR="00846452" w:rsidRPr="00182CD5">
        <w:rPr>
          <w:szCs w:val="22"/>
        </w:rPr>
        <w:t xml:space="preserve"> tested</w:t>
      </w:r>
      <w:r w:rsidR="008333DE" w:rsidRPr="00182CD5">
        <w:rPr>
          <w:szCs w:val="22"/>
        </w:rPr>
        <w:t xml:space="preserve"> for </w:t>
      </w:r>
      <w:r w:rsidR="00846452" w:rsidRPr="00182CD5">
        <w:rPr>
          <w:szCs w:val="22"/>
        </w:rPr>
        <w:t xml:space="preserve">the </w:t>
      </w:r>
      <w:r w:rsidRPr="00182CD5">
        <w:rPr>
          <w:szCs w:val="22"/>
        </w:rPr>
        <w:t xml:space="preserve">microorganisms mentioned in </w:t>
      </w:r>
      <w:r w:rsidR="00274636" w:rsidRPr="00182CD5">
        <w:rPr>
          <w:szCs w:val="22"/>
        </w:rPr>
        <w:t>sub</w:t>
      </w:r>
      <w:r w:rsidRPr="00182CD5">
        <w:rPr>
          <w:szCs w:val="22"/>
        </w:rPr>
        <w:t>section (</w:t>
      </w:r>
      <w:r w:rsidR="002875DD" w:rsidRPr="00182CD5">
        <w:rPr>
          <w:szCs w:val="22"/>
        </w:rPr>
        <w:t>6</w:t>
      </w:r>
      <w:r w:rsidRPr="00182CD5">
        <w:rPr>
          <w:szCs w:val="22"/>
        </w:rPr>
        <w:t>)</w:t>
      </w:r>
      <w:r w:rsidR="00E52509" w:rsidRPr="00182CD5">
        <w:rPr>
          <w:szCs w:val="22"/>
        </w:rPr>
        <w:t xml:space="preserve"> dete</w:t>
      </w:r>
      <w:r w:rsidR="00E52509" w:rsidRPr="00696E21">
        <w:rPr>
          <w:szCs w:val="22"/>
        </w:rPr>
        <w:t xml:space="preserve">rmined </w:t>
      </w:r>
      <w:r w:rsidRPr="00FD256D">
        <w:rPr>
          <w:szCs w:val="22"/>
        </w:rPr>
        <w:t>on the basis of a risk assessmen</w:t>
      </w:r>
      <w:r w:rsidR="00C8358E" w:rsidRPr="00FD256D">
        <w:rPr>
          <w:szCs w:val="22"/>
        </w:rPr>
        <w:t>t</w:t>
      </w:r>
      <w:r w:rsidR="008333DE" w:rsidRPr="00FD256D">
        <w:rPr>
          <w:szCs w:val="22"/>
        </w:rPr>
        <w:t xml:space="preserve">, </w:t>
      </w:r>
      <w:r w:rsidR="00846452" w:rsidRPr="00FD256D">
        <w:rPr>
          <w:szCs w:val="22"/>
        </w:rPr>
        <w:t>such that every microorganism</w:t>
      </w:r>
      <w:r w:rsidR="00846452">
        <w:rPr>
          <w:szCs w:val="22"/>
        </w:rPr>
        <w:t xml:space="preserve"> is tested at least once every 90 days.</w:t>
      </w:r>
    </w:p>
    <w:p w:rsidR="00846452" w:rsidRPr="00696E21" w:rsidRDefault="00846452" w:rsidP="00182CD5">
      <w:pPr>
        <w:pStyle w:val="SubsectionHead"/>
      </w:pPr>
      <w:r>
        <w:t>Other sample testing</w:t>
      </w:r>
    </w:p>
    <w:p w:rsidR="006F1894" w:rsidRPr="00696E21" w:rsidRDefault="00635937" w:rsidP="00B641CA">
      <w:pPr>
        <w:pStyle w:val="subsection"/>
        <w:rPr>
          <w:szCs w:val="22"/>
        </w:rPr>
      </w:pPr>
      <w:r>
        <w:rPr>
          <w:i/>
          <w:szCs w:val="22"/>
        </w:rPr>
        <w:tab/>
      </w:r>
      <w:r w:rsidRPr="00E5022B">
        <w:rPr>
          <w:szCs w:val="22"/>
        </w:rPr>
        <w:t>(</w:t>
      </w:r>
      <w:r>
        <w:rPr>
          <w:szCs w:val="22"/>
        </w:rPr>
        <w:t>8</w:t>
      </w:r>
      <w:r w:rsidRPr="00E5022B">
        <w:rPr>
          <w:szCs w:val="22"/>
        </w:rPr>
        <w:t>)</w:t>
      </w:r>
      <w:r w:rsidRPr="00E5022B">
        <w:rPr>
          <w:szCs w:val="22"/>
        </w:rPr>
        <w:tab/>
      </w:r>
      <w:r>
        <w:rPr>
          <w:szCs w:val="22"/>
        </w:rPr>
        <w:t>The microorganisms mentioned in subse</w:t>
      </w:r>
      <w:r w:rsidRPr="00182CD5">
        <w:rPr>
          <w:szCs w:val="22"/>
        </w:rPr>
        <w:t xml:space="preserve">ction (6) may be tested using a </w:t>
      </w:r>
      <w:r w:rsidR="00846452" w:rsidRPr="00182CD5">
        <w:rPr>
          <w:szCs w:val="22"/>
        </w:rPr>
        <w:t>sample taken in</w:t>
      </w:r>
      <w:r w:rsidR="00182104" w:rsidRPr="00182CD5">
        <w:rPr>
          <w:szCs w:val="22"/>
        </w:rPr>
        <w:t xml:space="preserve"> accordance with subsection 13(</w:t>
      </w:r>
      <w:r w:rsidR="00F07557" w:rsidRPr="00182CD5">
        <w:rPr>
          <w:szCs w:val="22"/>
        </w:rPr>
        <w:t>5</w:t>
      </w:r>
      <w:r w:rsidR="00846452" w:rsidRPr="00182CD5">
        <w:rPr>
          <w:szCs w:val="22"/>
        </w:rPr>
        <w:t>)</w:t>
      </w:r>
      <w:r w:rsidR="00182CD5" w:rsidRPr="00182CD5">
        <w:rPr>
          <w:szCs w:val="22"/>
        </w:rPr>
        <w:t>,</w:t>
      </w:r>
      <w:r w:rsidR="00846452">
        <w:rPr>
          <w:szCs w:val="22"/>
        </w:rPr>
        <w:t xml:space="preserve"> </w:t>
      </w:r>
      <w:r>
        <w:rPr>
          <w:szCs w:val="22"/>
        </w:rPr>
        <w:t xml:space="preserve">where </w:t>
      </w:r>
      <w:r w:rsidR="00846452">
        <w:rPr>
          <w:szCs w:val="22"/>
        </w:rPr>
        <w:t>the test</w:t>
      </w:r>
      <w:r>
        <w:rPr>
          <w:szCs w:val="22"/>
        </w:rPr>
        <w:t xml:space="preserve"> method is scientifically justified in the circumstances.</w:t>
      </w:r>
    </w:p>
    <w:p w:rsidR="00D127D3" w:rsidRPr="00DB1E7C" w:rsidRDefault="00FD6F12" w:rsidP="00D127D3">
      <w:pPr>
        <w:pStyle w:val="SubsectionHead"/>
      </w:pPr>
      <w:r>
        <w:t>Additional testing requirements</w:t>
      </w:r>
    </w:p>
    <w:p w:rsidR="00430263" w:rsidRDefault="005C19AF" w:rsidP="00E5022B">
      <w:pPr>
        <w:pStyle w:val="subsection"/>
      </w:pPr>
      <w:r>
        <w:tab/>
      </w:r>
      <w:r w:rsidR="004D4904">
        <w:t>(</w:t>
      </w:r>
      <w:r w:rsidR="00F359CE">
        <w:t>9</w:t>
      </w:r>
      <w:r w:rsidR="004D4904">
        <w:t>)</w:t>
      </w:r>
      <w:r w:rsidR="004D4904">
        <w:tab/>
      </w:r>
      <w:r w:rsidR="000D0BB2" w:rsidRPr="004530AE">
        <w:t xml:space="preserve">Where stool is to be collected outside Australia, </w:t>
      </w:r>
      <w:r w:rsidR="00D127D3">
        <w:t>a risk assessment must be conducted</w:t>
      </w:r>
      <w:r w:rsidR="009462AA">
        <w:t xml:space="preserve"> and documented in relation to </w:t>
      </w:r>
      <w:r w:rsidR="000931ED">
        <w:t xml:space="preserve">whether additional </w:t>
      </w:r>
      <w:r w:rsidR="00FC2DF5" w:rsidRPr="004530AE">
        <w:t>blood</w:t>
      </w:r>
      <w:r w:rsidR="00FC2DF5">
        <w:t>,</w:t>
      </w:r>
      <w:r w:rsidR="00FC2DF5" w:rsidRPr="004530AE">
        <w:t xml:space="preserve"> </w:t>
      </w:r>
      <w:r w:rsidR="000931ED">
        <w:t>s</w:t>
      </w:r>
      <w:r w:rsidR="003E299E">
        <w:t>tool</w:t>
      </w:r>
      <w:r w:rsidR="00182CD5">
        <w:t xml:space="preserve"> or other </w:t>
      </w:r>
      <w:r w:rsidR="000D0BB2" w:rsidRPr="00DB1E7C">
        <w:t>samples</w:t>
      </w:r>
      <w:r w:rsidR="000931ED">
        <w:t xml:space="preserve"> may be needed</w:t>
      </w:r>
      <w:r w:rsidR="00182CD5">
        <w:t xml:space="preserve"> to </w:t>
      </w:r>
      <w:r w:rsidR="00A53D5E">
        <w:t xml:space="preserve">be tested to </w:t>
      </w:r>
      <w:r w:rsidR="00182CD5">
        <w:t>ensure the quality, safety and efficacy of the FMT products</w:t>
      </w:r>
      <w:r w:rsidR="009462AA">
        <w:t>.</w:t>
      </w:r>
    </w:p>
    <w:p w:rsidR="009462AA" w:rsidRDefault="00E04331" w:rsidP="00E5022B">
      <w:pPr>
        <w:pStyle w:val="subsection"/>
      </w:pPr>
      <w:r>
        <w:tab/>
      </w:r>
      <w:r w:rsidR="00FD6F12">
        <w:t>(</w:t>
      </w:r>
      <w:r w:rsidR="00F359CE">
        <w:t>10</w:t>
      </w:r>
      <w:r w:rsidR="00FD6F12">
        <w:t>)</w:t>
      </w:r>
      <w:r w:rsidR="009462AA">
        <w:rPr>
          <w:color w:val="0070C0"/>
        </w:rPr>
        <w:tab/>
      </w:r>
      <w:r w:rsidR="009462AA">
        <w:t xml:space="preserve">Where FMT products are </w:t>
      </w:r>
      <w:r w:rsidR="000D237E">
        <w:t xml:space="preserve">intended to be administered to, or applied in the treatment of, </w:t>
      </w:r>
      <w:r w:rsidR="000931ED">
        <w:t>patients with increased susceptibility to infection</w:t>
      </w:r>
      <w:r w:rsidR="009462AA">
        <w:t xml:space="preserve">, </w:t>
      </w:r>
      <w:r w:rsidR="000D237E">
        <w:t>f</w:t>
      </w:r>
      <w:r w:rsidR="009462AA">
        <w:t>urther testing of blood</w:t>
      </w:r>
      <w:r w:rsidR="00B633FF">
        <w:t>,</w:t>
      </w:r>
      <w:r w:rsidR="009462AA">
        <w:t xml:space="preserve"> stool </w:t>
      </w:r>
      <w:r w:rsidR="00B633FF">
        <w:t xml:space="preserve">and other </w:t>
      </w:r>
      <w:r w:rsidR="009462AA">
        <w:t>samples must be considered</w:t>
      </w:r>
      <w:r w:rsidR="000D237E">
        <w:t xml:space="preserve"> in order to ensure patient safety.</w:t>
      </w:r>
    </w:p>
    <w:p w:rsidR="00FD6F12" w:rsidRPr="00DB1E7C" w:rsidRDefault="00C8358E" w:rsidP="00FD6F12">
      <w:pPr>
        <w:pStyle w:val="SubsectionHead"/>
      </w:pPr>
      <w:r>
        <w:t xml:space="preserve">Assessment of </w:t>
      </w:r>
      <w:r w:rsidR="00FD6F12">
        <w:t>results</w:t>
      </w:r>
    </w:p>
    <w:p w:rsidR="00C42009" w:rsidRPr="00DB6EDB" w:rsidRDefault="00E04331" w:rsidP="00E5022B">
      <w:pPr>
        <w:pStyle w:val="subsection"/>
      </w:pPr>
      <w:r>
        <w:tab/>
        <w:t>(</w:t>
      </w:r>
      <w:r w:rsidR="00274636">
        <w:t>1</w:t>
      </w:r>
      <w:r w:rsidR="00F359CE">
        <w:t>1</w:t>
      </w:r>
      <w:r>
        <w:t>)</w:t>
      </w:r>
      <w:r>
        <w:tab/>
      </w:r>
      <w:r w:rsidR="00C42009" w:rsidRPr="004530AE">
        <w:t xml:space="preserve">Where </w:t>
      </w:r>
      <w:r w:rsidR="000D237E">
        <w:t xml:space="preserve">FMT products are </w:t>
      </w:r>
      <w:r w:rsidR="00C42009" w:rsidRPr="004530AE">
        <w:t xml:space="preserve">intended </w:t>
      </w:r>
      <w:r w:rsidR="000D237E">
        <w:t xml:space="preserve">for </w:t>
      </w:r>
      <w:r w:rsidR="00C42009" w:rsidRPr="004530AE">
        <w:t>autologous use</w:t>
      </w:r>
      <w:r w:rsidR="00A63A23" w:rsidRPr="004530AE">
        <w:t>,</w:t>
      </w:r>
      <w:r w:rsidR="00C42009" w:rsidRPr="004530AE">
        <w:t xml:space="preserve"> and </w:t>
      </w:r>
      <w:r w:rsidR="000D237E">
        <w:t xml:space="preserve">the </w:t>
      </w:r>
      <w:r w:rsidR="00C42009" w:rsidRPr="004530AE">
        <w:t xml:space="preserve">testing of </w:t>
      </w:r>
      <w:r w:rsidR="000D237E">
        <w:t>blood</w:t>
      </w:r>
      <w:r w:rsidR="00EE679D">
        <w:t>, stool</w:t>
      </w:r>
      <w:r w:rsidR="000D237E">
        <w:t xml:space="preserve"> or </w:t>
      </w:r>
      <w:r w:rsidR="00EE679D">
        <w:t xml:space="preserve">other </w:t>
      </w:r>
      <w:r w:rsidR="00C42009" w:rsidRPr="004530AE">
        <w:t xml:space="preserve">samples </w:t>
      </w:r>
      <w:r w:rsidR="00FB3EC3">
        <w:t xml:space="preserve">in accordance with this section </w:t>
      </w:r>
      <w:r w:rsidR="00C42009" w:rsidRPr="00A5226B">
        <w:t>has resulted in repeated</w:t>
      </w:r>
      <w:r w:rsidR="004A7D2A">
        <w:t>ly</w:t>
      </w:r>
      <w:r w:rsidR="00C42009" w:rsidRPr="00A5226B">
        <w:t xml:space="preserve"> reactive results:</w:t>
      </w:r>
    </w:p>
    <w:p w:rsidR="00E04331" w:rsidRPr="004F54AC" w:rsidRDefault="00E04331" w:rsidP="00E04331">
      <w:pPr>
        <w:pStyle w:val="paragraph"/>
      </w:pPr>
      <w:r>
        <w:rPr>
          <w:szCs w:val="22"/>
        </w:rPr>
        <w:tab/>
        <w:t>(a)</w:t>
      </w:r>
      <w:r>
        <w:rPr>
          <w:szCs w:val="22"/>
        </w:rPr>
        <w:tab/>
      </w:r>
      <w:r w:rsidR="00DF69B2">
        <w:rPr>
          <w:szCs w:val="22"/>
        </w:rPr>
        <w:t>the</w:t>
      </w:r>
      <w:r w:rsidR="000D237E">
        <w:rPr>
          <w:szCs w:val="22"/>
        </w:rPr>
        <w:t xml:space="preserve"> </w:t>
      </w:r>
      <w:r w:rsidR="00DF69B2">
        <w:rPr>
          <w:szCs w:val="22"/>
        </w:rPr>
        <w:t xml:space="preserve">FMT products and </w:t>
      </w:r>
      <w:r w:rsidR="000D237E" w:rsidRPr="000D237E">
        <w:rPr>
          <w:szCs w:val="22"/>
        </w:rPr>
        <w:t xml:space="preserve">stool </w:t>
      </w:r>
      <w:r w:rsidR="000D237E">
        <w:rPr>
          <w:szCs w:val="22"/>
        </w:rPr>
        <w:t xml:space="preserve">collected for </w:t>
      </w:r>
      <w:r w:rsidR="00DF69B2">
        <w:rPr>
          <w:szCs w:val="22"/>
        </w:rPr>
        <w:t xml:space="preserve">use in </w:t>
      </w:r>
      <w:r w:rsidR="000D237E">
        <w:rPr>
          <w:szCs w:val="22"/>
        </w:rPr>
        <w:t>the manufacture</w:t>
      </w:r>
      <w:r w:rsidR="00DF69B2">
        <w:rPr>
          <w:szCs w:val="22"/>
        </w:rPr>
        <w:t xml:space="preserve"> of those products </w:t>
      </w:r>
      <w:r w:rsidR="00C42009">
        <w:rPr>
          <w:szCs w:val="22"/>
        </w:rPr>
        <w:t>must be segregated</w:t>
      </w:r>
      <w:r w:rsidR="00C42009" w:rsidRPr="003E7466">
        <w:rPr>
          <w:szCs w:val="22"/>
        </w:rPr>
        <w:t xml:space="preserve"> and quarantine</w:t>
      </w:r>
      <w:r w:rsidR="00C42009">
        <w:rPr>
          <w:szCs w:val="22"/>
        </w:rPr>
        <w:t>d from any other stool or FMT product</w:t>
      </w:r>
      <w:r w:rsidR="00DF69B2">
        <w:rPr>
          <w:szCs w:val="22"/>
        </w:rPr>
        <w:t>s</w:t>
      </w:r>
      <w:r w:rsidR="00C42009">
        <w:rPr>
          <w:szCs w:val="22"/>
        </w:rPr>
        <w:t>; and</w:t>
      </w:r>
    </w:p>
    <w:p w:rsidR="00E04331" w:rsidRPr="004F54AC" w:rsidRDefault="00E04331" w:rsidP="00E04331">
      <w:pPr>
        <w:pStyle w:val="paragraph"/>
      </w:pPr>
      <w:r>
        <w:rPr>
          <w:szCs w:val="22"/>
        </w:rPr>
        <w:tab/>
        <w:t>(b)</w:t>
      </w:r>
      <w:r>
        <w:rPr>
          <w:szCs w:val="22"/>
        </w:rPr>
        <w:tab/>
      </w:r>
      <w:r w:rsidR="00C42009">
        <w:rPr>
          <w:szCs w:val="22"/>
        </w:rPr>
        <w:t xml:space="preserve">the </w:t>
      </w:r>
      <w:r w:rsidR="00F037FC">
        <w:rPr>
          <w:szCs w:val="22"/>
        </w:rPr>
        <w:t>justification</w:t>
      </w:r>
      <w:r w:rsidR="00C42009">
        <w:rPr>
          <w:szCs w:val="22"/>
        </w:rPr>
        <w:t xml:space="preserve"> for </w:t>
      </w:r>
      <w:r w:rsidR="00DF69B2">
        <w:rPr>
          <w:szCs w:val="22"/>
        </w:rPr>
        <w:t xml:space="preserve">the autologous </w:t>
      </w:r>
      <w:r w:rsidR="00C42009">
        <w:rPr>
          <w:szCs w:val="22"/>
        </w:rPr>
        <w:t xml:space="preserve">use </w:t>
      </w:r>
      <w:r w:rsidR="00C42009" w:rsidRPr="003E7466">
        <w:rPr>
          <w:szCs w:val="22"/>
        </w:rPr>
        <w:t xml:space="preserve">must be </w:t>
      </w:r>
      <w:r w:rsidR="00AE5DE1">
        <w:rPr>
          <w:szCs w:val="22"/>
        </w:rPr>
        <w:t xml:space="preserve">documented </w:t>
      </w:r>
      <w:r w:rsidR="00C42009">
        <w:rPr>
          <w:szCs w:val="22"/>
        </w:rPr>
        <w:t>and maintained</w:t>
      </w:r>
      <w:r w:rsidR="00C42009" w:rsidRPr="003E7466">
        <w:rPr>
          <w:szCs w:val="22"/>
        </w:rPr>
        <w:t>.</w:t>
      </w:r>
    </w:p>
    <w:p w:rsidR="00E04331" w:rsidRPr="003222AC" w:rsidRDefault="009C2219" w:rsidP="00DF69B2">
      <w:pPr>
        <w:pStyle w:val="subsection"/>
      </w:pPr>
      <w:r>
        <w:rPr>
          <w:szCs w:val="22"/>
        </w:rPr>
        <w:tab/>
        <w:t>(</w:t>
      </w:r>
      <w:r w:rsidR="001A7B7C">
        <w:rPr>
          <w:szCs w:val="22"/>
        </w:rPr>
        <w:t>1</w:t>
      </w:r>
      <w:r w:rsidR="00F359CE">
        <w:rPr>
          <w:szCs w:val="22"/>
        </w:rPr>
        <w:t>2</w:t>
      </w:r>
      <w:r>
        <w:rPr>
          <w:szCs w:val="22"/>
        </w:rPr>
        <w:t>)</w:t>
      </w:r>
      <w:r>
        <w:rPr>
          <w:szCs w:val="22"/>
        </w:rPr>
        <w:tab/>
      </w:r>
      <w:r w:rsidR="00DF69B2">
        <w:rPr>
          <w:szCs w:val="22"/>
        </w:rPr>
        <w:t>Where the FMT products are intended for allogen</w:t>
      </w:r>
      <w:r w:rsidR="00126CF6">
        <w:rPr>
          <w:szCs w:val="22"/>
        </w:rPr>
        <w:t>e</w:t>
      </w:r>
      <w:r w:rsidR="00DF69B2">
        <w:rPr>
          <w:szCs w:val="22"/>
        </w:rPr>
        <w:t>ic use, and the testing of blood</w:t>
      </w:r>
      <w:r w:rsidR="00EE679D">
        <w:rPr>
          <w:szCs w:val="22"/>
        </w:rPr>
        <w:t>, stool</w:t>
      </w:r>
      <w:r w:rsidR="00DF69B2">
        <w:rPr>
          <w:szCs w:val="22"/>
        </w:rPr>
        <w:t xml:space="preserve"> or </w:t>
      </w:r>
      <w:r w:rsidR="00EE679D">
        <w:rPr>
          <w:szCs w:val="22"/>
        </w:rPr>
        <w:t xml:space="preserve">other </w:t>
      </w:r>
      <w:r w:rsidR="00DF69B2">
        <w:rPr>
          <w:szCs w:val="22"/>
        </w:rPr>
        <w:t>samples in accordance with this section</w:t>
      </w:r>
      <w:r w:rsidR="000931ED">
        <w:rPr>
          <w:szCs w:val="22"/>
        </w:rPr>
        <w:t xml:space="preserve">, other than testing of blood samples in accordance with paragraphs </w:t>
      </w:r>
      <w:r w:rsidR="000931ED" w:rsidRPr="00461A3C">
        <w:rPr>
          <w:szCs w:val="22"/>
        </w:rPr>
        <w:t>(4)(a) and (5)(a),</w:t>
      </w:r>
      <w:r w:rsidR="00DF69B2">
        <w:rPr>
          <w:szCs w:val="22"/>
        </w:rPr>
        <w:t xml:space="preserve"> has resulted in a reactive result, </w:t>
      </w:r>
      <w:r w:rsidR="00DF69B2" w:rsidRPr="002875DD">
        <w:rPr>
          <w:szCs w:val="22"/>
        </w:rPr>
        <w:t>then</w:t>
      </w:r>
      <w:r w:rsidR="00DF69B2">
        <w:rPr>
          <w:szCs w:val="22"/>
        </w:rPr>
        <w:t xml:space="preserve"> the </w:t>
      </w:r>
      <w:r w:rsidR="00C42009" w:rsidRPr="00BC2AEC">
        <w:rPr>
          <w:szCs w:val="22"/>
        </w:rPr>
        <w:t xml:space="preserve">stool collected </w:t>
      </w:r>
      <w:r w:rsidR="00FB3EC3">
        <w:rPr>
          <w:szCs w:val="22"/>
        </w:rPr>
        <w:t>for use in the manufacture of FMT products</w:t>
      </w:r>
      <w:r w:rsidR="00FD6F12">
        <w:rPr>
          <w:szCs w:val="22"/>
        </w:rPr>
        <w:t xml:space="preserve"> </w:t>
      </w:r>
      <w:r w:rsidR="00C42009" w:rsidRPr="00BC2AEC">
        <w:rPr>
          <w:szCs w:val="22"/>
        </w:rPr>
        <w:t xml:space="preserve">must not be used </w:t>
      </w:r>
      <w:r w:rsidR="00FD6F12">
        <w:rPr>
          <w:szCs w:val="22"/>
        </w:rPr>
        <w:t xml:space="preserve">in </w:t>
      </w:r>
      <w:r w:rsidR="00AB053D">
        <w:rPr>
          <w:szCs w:val="22"/>
        </w:rPr>
        <w:t xml:space="preserve">such </w:t>
      </w:r>
      <w:r w:rsidR="00C42009" w:rsidRPr="00BC2AEC">
        <w:rPr>
          <w:szCs w:val="22"/>
        </w:rPr>
        <w:t>manufacture</w:t>
      </w:r>
      <w:r w:rsidR="002D5921">
        <w:rPr>
          <w:szCs w:val="22"/>
        </w:rPr>
        <w:t xml:space="preserve"> or</w:t>
      </w:r>
      <w:r w:rsidR="00EE679D">
        <w:rPr>
          <w:szCs w:val="22"/>
        </w:rPr>
        <w:t>,</w:t>
      </w:r>
      <w:r w:rsidR="002D5921">
        <w:rPr>
          <w:szCs w:val="22"/>
        </w:rPr>
        <w:t xml:space="preserve"> </w:t>
      </w:r>
      <w:r w:rsidR="00FB3EC3">
        <w:rPr>
          <w:szCs w:val="22"/>
        </w:rPr>
        <w:t xml:space="preserve">if </w:t>
      </w:r>
      <w:r w:rsidR="00AB053D">
        <w:rPr>
          <w:szCs w:val="22"/>
        </w:rPr>
        <w:t xml:space="preserve">FMT </w:t>
      </w:r>
      <w:r w:rsidR="00FB3EC3">
        <w:rPr>
          <w:szCs w:val="22"/>
        </w:rPr>
        <w:t xml:space="preserve">products are </w:t>
      </w:r>
      <w:r w:rsidR="002D5921" w:rsidRPr="00DC2F7E">
        <w:rPr>
          <w:szCs w:val="22"/>
        </w:rPr>
        <w:t>manufactured</w:t>
      </w:r>
      <w:r w:rsidR="00AB053D">
        <w:rPr>
          <w:szCs w:val="22"/>
        </w:rPr>
        <w:t xml:space="preserve"> from the stool</w:t>
      </w:r>
      <w:r w:rsidR="002D5921" w:rsidRPr="00DC2F7E">
        <w:rPr>
          <w:szCs w:val="22"/>
        </w:rPr>
        <w:t>,</w:t>
      </w:r>
      <w:r w:rsidR="00FD6F12">
        <w:rPr>
          <w:szCs w:val="22"/>
        </w:rPr>
        <w:t xml:space="preserve"> the products</w:t>
      </w:r>
      <w:r w:rsidR="002D5921" w:rsidRPr="00DC2F7E">
        <w:rPr>
          <w:szCs w:val="22"/>
        </w:rPr>
        <w:t xml:space="preserve"> must not be released for supply</w:t>
      </w:r>
      <w:r w:rsidR="00C42009" w:rsidRPr="000A5B1C">
        <w:rPr>
          <w:szCs w:val="22"/>
        </w:rPr>
        <w:t xml:space="preserve">, </w:t>
      </w:r>
      <w:r w:rsidR="00FD609C" w:rsidRPr="00214E59">
        <w:rPr>
          <w:szCs w:val="22"/>
        </w:rPr>
        <w:t>unless</w:t>
      </w:r>
      <w:r w:rsidR="00455B0A">
        <w:rPr>
          <w:szCs w:val="22"/>
        </w:rPr>
        <w:t>:</w:t>
      </w:r>
    </w:p>
    <w:p w:rsidR="00C42009" w:rsidRPr="004530AE" w:rsidRDefault="009C2219" w:rsidP="00E5022B">
      <w:pPr>
        <w:pStyle w:val="paragraph"/>
      </w:pPr>
      <w:r>
        <w:tab/>
        <w:t>(a)</w:t>
      </w:r>
      <w:r>
        <w:tab/>
      </w:r>
      <w:r w:rsidR="00C42009" w:rsidRPr="004530AE">
        <w:t xml:space="preserve">confirmatory testing of an initial reactive result in relation to such samples confirms that the result was a </w:t>
      </w:r>
      <w:r w:rsidR="00C42009" w:rsidRPr="000A5B1C">
        <w:t>biological false reactive</w:t>
      </w:r>
      <w:r w:rsidR="00455B0A" w:rsidRPr="004530AE">
        <w:t>;</w:t>
      </w:r>
      <w:r w:rsidR="00DF69B2">
        <w:t xml:space="preserve"> or</w:t>
      </w:r>
    </w:p>
    <w:p w:rsidR="00FD609C" w:rsidRDefault="009C2219" w:rsidP="00E5022B">
      <w:pPr>
        <w:pStyle w:val="paragraph"/>
      </w:pPr>
      <w:r>
        <w:tab/>
        <w:t>(b)</w:t>
      </w:r>
      <w:r>
        <w:tab/>
      </w:r>
      <w:r w:rsidR="00FD609C" w:rsidRPr="004530AE">
        <w:t>further testing of samples indicates that the</w:t>
      </w:r>
      <w:r w:rsidR="004A7D2A">
        <w:t xml:space="preserve"> presence of </w:t>
      </w:r>
      <w:r w:rsidR="00FD609C" w:rsidRPr="004530AE">
        <w:t>the specified microorganism has cleared.</w:t>
      </w:r>
    </w:p>
    <w:p w:rsidR="000931ED" w:rsidRPr="004530AE" w:rsidRDefault="000931ED" w:rsidP="00461A3C">
      <w:pPr>
        <w:pStyle w:val="subsection"/>
      </w:pPr>
      <w:r>
        <w:tab/>
        <w:t>(13)</w:t>
      </w:r>
      <w:r>
        <w:tab/>
        <w:t xml:space="preserve">Where abnormal results are obtained from testing conducted in accordance with paragraphs </w:t>
      </w:r>
      <w:r w:rsidRPr="00461A3C">
        <w:t xml:space="preserve">(4)(a) </w:t>
      </w:r>
      <w:r w:rsidR="003124AF" w:rsidRPr="00461A3C">
        <w:t>or</w:t>
      </w:r>
      <w:r w:rsidRPr="00461A3C">
        <w:t xml:space="preserve"> (5)(a), </w:t>
      </w:r>
      <w:r w:rsidR="003124AF" w:rsidRPr="00461A3C">
        <w:t>a</w:t>
      </w:r>
      <w:r w:rsidR="003124AF">
        <w:t xml:space="preserve"> medical practitioner must </w:t>
      </w:r>
      <w:r w:rsidR="00696E21">
        <w:t>assess</w:t>
      </w:r>
      <w:r w:rsidR="003124AF">
        <w:t xml:space="preserve"> </w:t>
      </w:r>
      <w:r>
        <w:t xml:space="preserve">the </w:t>
      </w:r>
      <w:r w:rsidR="003124AF">
        <w:t xml:space="preserve">potential impact on the quality, </w:t>
      </w:r>
      <w:r w:rsidRPr="00FD256D">
        <w:t xml:space="preserve">safety </w:t>
      </w:r>
      <w:r w:rsidR="003124AF" w:rsidRPr="00FD256D">
        <w:t xml:space="preserve">or efficacy </w:t>
      </w:r>
      <w:r w:rsidRPr="00FD256D">
        <w:t>of</w:t>
      </w:r>
      <w:r>
        <w:t xml:space="preserve"> stool collected</w:t>
      </w:r>
      <w:r w:rsidR="003124AF">
        <w:t>, or to be collected,</w:t>
      </w:r>
      <w:r>
        <w:t xml:space="preserve"> </w:t>
      </w:r>
      <w:r w:rsidR="00FD256D">
        <w:t>for use in the manufacture of FMT products intended for allogeneic use.</w:t>
      </w:r>
    </w:p>
    <w:p w:rsidR="001A7B7C" w:rsidRPr="00DB1E7C" w:rsidRDefault="001A7B7C" w:rsidP="001A7B7C">
      <w:pPr>
        <w:pStyle w:val="SubsectionHead"/>
      </w:pPr>
      <w:r>
        <w:t>Notification and record-keeping</w:t>
      </w:r>
    </w:p>
    <w:p w:rsidR="00FD6F12" w:rsidRPr="003222AC" w:rsidRDefault="009C2219" w:rsidP="00FD6F12">
      <w:pPr>
        <w:pStyle w:val="subsection"/>
      </w:pPr>
      <w:r>
        <w:rPr>
          <w:szCs w:val="22"/>
        </w:rPr>
        <w:tab/>
      </w:r>
      <w:r w:rsidR="00FD6F12">
        <w:rPr>
          <w:szCs w:val="22"/>
        </w:rPr>
        <w:t>(</w:t>
      </w:r>
      <w:r w:rsidR="001A7B7C">
        <w:rPr>
          <w:szCs w:val="22"/>
        </w:rPr>
        <w:t>1</w:t>
      </w:r>
      <w:r w:rsidR="000931ED">
        <w:rPr>
          <w:szCs w:val="22"/>
        </w:rPr>
        <w:t>4</w:t>
      </w:r>
      <w:r w:rsidR="00FD6F12">
        <w:rPr>
          <w:szCs w:val="22"/>
        </w:rPr>
        <w:t>)</w:t>
      </w:r>
      <w:r w:rsidR="00FD6F12">
        <w:rPr>
          <w:szCs w:val="22"/>
        </w:rPr>
        <w:tab/>
        <w:t>P</w:t>
      </w:r>
      <w:r w:rsidR="00FD6F12" w:rsidRPr="003E7466">
        <w:rPr>
          <w:szCs w:val="22"/>
        </w:rPr>
        <w:t>roce</w:t>
      </w:r>
      <w:r w:rsidR="00FD6F12">
        <w:rPr>
          <w:szCs w:val="22"/>
        </w:rPr>
        <w:t>dures</w:t>
      </w:r>
      <w:r w:rsidR="00FD6F12" w:rsidRPr="003E7466">
        <w:rPr>
          <w:szCs w:val="22"/>
        </w:rPr>
        <w:t xml:space="preserve"> </w:t>
      </w:r>
      <w:r w:rsidR="00FD6F12">
        <w:rPr>
          <w:szCs w:val="22"/>
        </w:rPr>
        <w:t xml:space="preserve">must be </w:t>
      </w:r>
      <w:r w:rsidR="00C95EB8">
        <w:rPr>
          <w:szCs w:val="22"/>
        </w:rPr>
        <w:t xml:space="preserve">implemented </w:t>
      </w:r>
      <w:r w:rsidR="00FD6F12" w:rsidRPr="003E7466">
        <w:rPr>
          <w:szCs w:val="22"/>
        </w:rPr>
        <w:t>for notifying</w:t>
      </w:r>
      <w:r w:rsidR="00FD6F12">
        <w:rPr>
          <w:szCs w:val="22"/>
        </w:rPr>
        <w:t xml:space="preserve"> the proposed donor, </w:t>
      </w:r>
      <w:r w:rsidR="00182104">
        <w:rPr>
          <w:szCs w:val="22"/>
        </w:rPr>
        <w:t xml:space="preserve">the </w:t>
      </w:r>
      <w:r w:rsidR="00FD6F12">
        <w:rPr>
          <w:szCs w:val="22"/>
        </w:rPr>
        <w:t xml:space="preserve">accepted donor, health practitioners, hospitals </w:t>
      </w:r>
      <w:r w:rsidR="00060ACB">
        <w:rPr>
          <w:szCs w:val="22"/>
        </w:rPr>
        <w:t xml:space="preserve">and </w:t>
      </w:r>
      <w:r w:rsidR="00FD6F12">
        <w:rPr>
          <w:szCs w:val="22"/>
        </w:rPr>
        <w:t>other health facilities, about</w:t>
      </w:r>
      <w:r w:rsidR="00FD6F12" w:rsidRPr="003E7466">
        <w:rPr>
          <w:szCs w:val="22"/>
        </w:rPr>
        <w:t xml:space="preserve"> a test result</w:t>
      </w:r>
      <w:r w:rsidR="00FD6F12">
        <w:rPr>
          <w:szCs w:val="22"/>
        </w:rPr>
        <w:t xml:space="preserve"> </w:t>
      </w:r>
      <w:r w:rsidR="00FD6F12" w:rsidRPr="003E7466">
        <w:rPr>
          <w:szCs w:val="22"/>
        </w:rPr>
        <w:t xml:space="preserve">that is </w:t>
      </w:r>
      <w:r w:rsidR="00FD6F12">
        <w:rPr>
          <w:szCs w:val="22"/>
        </w:rPr>
        <w:t>indicative of a disease or carrier state at the time of the collection of the sample.</w:t>
      </w:r>
    </w:p>
    <w:p w:rsidR="00E04331" w:rsidRPr="003222AC" w:rsidRDefault="00FD6F12" w:rsidP="00FD6F12">
      <w:pPr>
        <w:pStyle w:val="subsection"/>
      </w:pPr>
      <w:r>
        <w:rPr>
          <w:szCs w:val="22"/>
        </w:rPr>
        <w:tab/>
      </w:r>
      <w:r w:rsidR="009C2219">
        <w:rPr>
          <w:szCs w:val="22"/>
        </w:rPr>
        <w:t>(1</w:t>
      </w:r>
      <w:r w:rsidR="000931ED">
        <w:rPr>
          <w:szCs w:val="22"/>
        </w:rPr>
        <w:t>5</w:t>
      </w:r>
      <w:r w:rsidR="009C2219">
        <w:rPr>
          <w:szCs w:val="22"/>
        </w:rPr>
        <w:t>)</w:t>
      </w:r>
      <w:r w:rsidR="009C2219">
        <w:rPr>
          <w:szCs w:val="22"/>
        </w:rPr>
        <w:tab/>
      </w:r>
      <w:r w:rsidR="001A7B7C">
        <w:rPr>
          <w:szCs w:val="22"/>
        </w:rPr>
        <w:t xml:space="preserve">Records must </w:t>
      </w:r>
      <w:r w:rsidR="0027494A">
        <w:rPr>
          <w:szCs w:val="22"/>
        </w:rPr>
        <w:t>be maintained</w:t>
      </w:r>
      <w:r w:rsidR="001A7B7C">
        <w:rPr>
          <w:szCs w:val="22"/>
        </w:rPr>
        <w:t xml:space="preserve"> in relation to the following</w:t>
      </w:r>
      <w:r w:rsidR="0027494A">
        <w:rPr>
          <w:szCs w:val="22"/>
        </w:rPr>
        <w:t>:</w:t>
      </w:r>
    </w:p>
    <w:p w:rsidR="009C2219" w:rsidRPr="004F54AC" w:rsidRDefault="009C2219" w:rsidP="009C2219">
      <w:pPr>
        <w:pStyle w:val="paragraph"/>
      </w:pPr>
      <w:r>
        <w:rPr>
          <w:szCs w:val="22"/>
        </w:rPr>
        <w:tab/>
        <w:t>(a)</w:t>
      </w:r>
      <w:r>
        <w:rPr>
          <w:szCs w:val="22"/>
        </w:rPr>
        <w:tab/>
      </w:r>
      <w:r w:rsidR="00D002F3">
        <w:rPr>
          <w:szCs w:val="22"/>
        </w:rPr>
        <w:t>t</w:t>
      </w:r>
      <w:r w:rsidR="00D002F3" w:rsidRPr="003E7466">
        <w:rPr>
          <w:szCs w:val="22"/>
        </w:rPr>
        <w:t xml:space="preserve">he </w:t>
      </w:r>
      <w:r w:rsidR="00D002F3">
        <w:rPr>
          <w:szCs w:val="22"/>
        </w:rPr>
        <w:t>IVD medical device or in-house IVD medical device</w:t>
      </w:r>
      <w:r w:rsidR="00D002F3" w:rsidRPr="003E7466">
        <w:rPr>
          <w:szCs w:val="22"/>
        </w:rPr>
        <w:t xml:space="preserve"> used for infectious disease testing</w:t>
      </w:r>
      <w:r w:rsidR="0027494A">
        <w:rPr>
          <w:szCs w:val="22"/>
        </w:rPr>
        <w:t>;</w:t>
      </w:r>
    </w:p>
    <w:p w:rsidR="004A7D2A" w:rsidRPr="00461A3C" w:rsidRDefault="009C2219" w:rsidP="00461A3C">
      <w:pPr>
        <w:pStyle w:val="paragraph"/>
      </w:pPr>
      <w:r>
        <w:rPr>
          <w:szCs w:val="22"/>
        </w:rPr>
        <w:tab/>
        <w:t>(b)</w:t>
      </w:r>
      <w:r>
        <w:rPr>
          <w:szCs w:val="22"/>
        </w:rPr>
        <w:tab/>
      </w:r>
      <w:r w:rsidR="0027494A">
        <w:rPr>
          <w:szCs w:val="22"/>
        </w:rPr>
        <w:t xml:space="preserve">any </w:t>
      </w:r>
      <w:r w:rsidR="00C83A53" w:rsidRPr="003E7466">
        <w:rPr>
          <w:szCs w:val="22"/>
        </w:rPr>
        <w:t>test modifications</w:t>
      </w:r>
      <w:r w:rsidR="0027494A">
        <w:rPr>
          <w:szCs w:val="22"/>
        </w:rPr>
        <w:t>;</w:t>
      </w:r>
    </w:p>
    <w:p w:rsidR="009C2219" w:rsidRPr="004F54AC" w:rsidRDefault="00461A3C" w:rsidP="009C2219">
      <w:pPr>
        <w:pStyle w:val="paragraph"/>
      </w:pPr>
      <w:r>
        <w:rPr>
          <w:szCs w:val="22"/>
        </w:rPr>
        <w:tab/>
        <w:t>(c</w:t>
      </w:r>
      <w:r w:rsidR="004A7D2A">
        <w:rPr>
          <w:szCs w:val="22"/>
        </w:rPr>
        <w:t>)</w:t>
      </w:r>
      <w:r w:rsidR="004A7D2A">
        <w:rPr>
          <w:szCs w:val="22"/>
        </w:rPr>
        <w:tab/>
      </w:r>
      <w:r w:rsidR="001A7B7C">
        <w:rPr>
          <w:szCs w:val="22"/>
        </w:rPr>
        <w:t xml:space="preserve">the </w:t>
      </w:r>
      <w:r w:rsidR="00C83A53" w:rsidRPr="003E7466">
        <w:rPr>
          <w:szCs w:val="22"/>
        </w:rPr>
        <w:t>results</w:t>
      </w:r>
      <w:r w:rsidR="004A7D2A">
        <w:rPr>
          <w:szCs w:val="22"/>
        </w:rPr>
        <w:t xml:space="preserve"> of analytical and clinical performance testing</w:t>
      </w:r>
      <w:r w:rsidR="0027494A">
        <w:rPr>
          <w:szCs w:val="22"/>
        </w:rPr>
        <w:t>;</w:t>
      </w:r>
    </w:p>
    <w:p w:rsidR="009C2219" w:rsidRPr="004F54AC" w:rsidRDefault="009C2219" w:rsidP="009C2219">
      <w:pPr>
        <w:pStyle w:val="paragraph"/>
      </w:pPr>
      <w:r>
        <w:rPr>
          <w:szCs w:val="22"/>
        </w:rPr>
        <w:tab/>
        <w:t>(</w:t>
      </w:r>
      <w:r w:rsidR="00461A3C">
        <w:rPr>
          <w:szCs w:val="22"/>
        </w:rPr>
        <w:t>d</w:t>
      </w:r>
      <w:r>
        <w:rPr>
          <w:szCs w:val="22"/>
        </w:rPr>
        <w:t>)</w:t>
      </w:r>
      <w:r>
        <w:rPr>
          <w:szCs w:val="22"/>
        </w:rPr>
        <w:tab/>
      </w:r>
      <w:r w:rsidR="0027494A">
        <w:rPr>
          <w:szCs w:val="22"/>
        </w:rPr>
        <w:t xml:space="preserve">any </w:t>
      </w:r>
      <w:r w:rsidR="00B8655C">
        <w:rPr>
          <w:szCs w:val="22"/>
        </w:rPr>
        <w:t>evaluation</w:t>
      </w:r>
      <w:r w:rsidR="0027494A">
        <w:rPr>
          <w:szCs w:val="22"/>
        </w:rPr>
        <w:t xml:space="preserve"> of</w:t>
      </w:r>
      <w:r w:rsidR="001A7B7C">
        <w:rPr>
          <w:szCs w:val="22"/>
        </w:rPr>
        <w:t>, and anomalies in,</w:t>
      </w:r>
      <w:r w:rsidR="0027494A">
        <w:rPr>
          <w:szCs w:val="22"/>
        </w:rPr>
        <w:t xml:space="preserve"> the test results</w:t>
      </w:r>
      <w:r w:rsidR="001A7B7C">
        <w:rPr>
          <w:szCs w:val="22"/>
        </w:rPr>
        <w:t>.</w:t>
      </w:r>
    </w:p>
    <w:p w:rsidR="001A7B7C" w:rsidRPr="00DB1E7C" w:rsidRDefault="001A7B7C" w:rsidP="001A7B7C">
      <w:pPr>
        <w:pStyle w:val="SubsectionHead"/>
      </w:pPr>
      <w:r>
        <w:t>Storage of blood and stool samples</w:t>
      </w:r>
    </w:p>
    <w:p w:rsidR="009C2219" w:rsidRPr="003222AC" w:rsidRDefault="009C2219" w:rsidP="001A7B7C">
      <w:pPr>
        <w:pStyle w:val="subsection"/>
      </w:pPr>
      <w:r>
        <w:rPr>
          <w:szCs w:val="22"/>
        </w:rPr>
        <w:tab/>
        <w:t>(1</w:t>
      </w:r>
      <w:r w:rsidR="000931ED">
        <w:rPr>
          <w:szCs w:val="22"/>
        </w:rPr>
        <w:t>6</w:t>
      </w:r>
      <w:r>
        <w:rPr>
          <w:szCs w:val="22"/>
        </w:rPr>
        <w:t>)</w:t>
      </w:r>
      <w:r>
        <w:rPr>
          <w:szCs w:val="22"/>
        </w:rPr>
        <w:tab/>
      </w:r>
      <w:r w:rsidR="001A7B7C">
        <w:rPr>
          <w:szCs w:val="22"/>
        </w:rPr>
        <w:t>B</w:t>
      </w:r>
      <w:r w:rsidR="0093071A">
        <w:rPr>
          <w:szCs w:val="22"/>
        </w:rPr>
        <w:t>lood and stool samples</w:t>
      </w:r>
      <w:r w:rsidR="00C83A53">
        <w:rPr>
          <w:szCs w:val="22"/>
        </w:rPr>
        <w:t xml:space="preserve"> </w:t>
      </w:r>
      <w:r w:rsidR="00CA680E">
        <w:rPr>
          <w:szCs w:val="22"/>
        </w:rPr>
        <w:t>collected</w:t>
      </w:r>
      <w:r w:rsidR="00601D78">
        <w:rPr>
          <w:szCs w:val="22"/>
        </w:rPr>
        <w:t xml:space="preserve"> from an accepted donor </w:t>
      </w:r>
      <w:r w:rsidR="00C83A53">
        <w:rPr>
          <w:szCs w:val="22"/>
        </w:rPr>
        <w:t>(</w:t>
      </w:r>
      <w:r w:rsidR="0077257E">
        <w:rPr>
          <w:szCs w:val="22"/>
        </w:rPr>
        <w:t xml:space="preserve">including </w:t>
      </w:r>
      <w:r w:rsidR="0093071A">
        <w:rPr>
          <w:szCs w:val="22"/>
        </w:rPr>
        <w:t xml:space="preserve">any </w:t>
      </w:r>
      <w:r w:rsidR="00C83A53">
        <w:rPr>
          <w:szCs w:val="22"/>
        </w:rPr>
        <w:t xml:space="preserve">serum </w:t>
      </w:r>
      <w:r w:rsidR="0077257E">
        <w:rPr>
          <w:szCs w:val="22"/>
        </w:rPr>
        <w:t>or</w:t>
      </w:r>
      <w:r w:rsidR="00C83A53">
        <w:rPr>
          <w:szCs w:val="22"/>
        </w:rPr>
        <w:t xml:space="preserve"> plasma)</w:t>
      </w:r>
      <w:r w:rsidR="00C83A53" w:rsidRPr="003E7466">
        <w:rPr>
          <w:szCs w:val="22"/>
        </w:rPr>
        <w:t xml:space="preserve"> must be</w:t>
      </w:r>
      <w:r w:rsidR="00C83A53">
        <w:rPr>
          <w:szCs w:val="22"/>
        </w:rPr>
        <w:t xml:space="preserve"> placed in long-term storage </w:t>
      </w:r>
      <w:r w:rsidR="0077257E">
        <w:rPr>
          <w:szCs w:val="22"/>
        </w:rPr>
        <w:t>in accordance with the</w:t>
      </w:r>
      <w:r w:rsidR="0093071A">
        <w:rPr>
          <w:szCs w:val="22"/>
        </w:rPr>
        <w:t xml:space="preserve"> following conditions</w:t>
      </w:r>
      <w:r w:rsidR="00C83A53" w:rsidRPr="003E7466">
        <w:rPr>
          <w:szCs w:val="22"/>
        </w:rPr>
        <w:t>:</w:t>
      </w:r>
    </w:p>
    <w:p w:rsidR="009C2219" w:rsidRPr="004F54AC" w:rsidRDefault="009C2219" w:rsidP="009C2219">
      <w:pPr>
        <w:pStyle w:val="paragraph"/>
      </w:pPr>
      <w:r>
        <w:rPr>
          <w:szCs w:val="22"/>
        </w:rPr>
        <w:tab/>
        <w:t>(a)</w:t>
      </w:r>
      <w:r>
        <w:rPr>
          <w:szCs w:val="22"/>
        </w:rPr>
        <w:tab/>
      </w:r>
      <w:r w:rsidR="00C83A53" w:rsidRPr="000E5E61">
        <w:rPr>
          <w:szCs w:val="22"/>
        </w:rPr>
        <w:t>blood samples</w:t>
      </w:r>
      <w:r w:rsidR="0077257E">
        <w:rPr>
          <w:szCs w:val="22"/>
        </w:rPr>
        <w:t xml:space="preserve"> </w:t>
      </w:r>
      <w:r w:rsidR="00C83A53" w:rsidRPr="000E5E61">
        <w:rPr>
          <w:szCs w:val="22"/>
        </w:rPr>
        <w:t>mus</w:t>
      </w:r>
      <w:r w:rsidR="00E95AAF">
        <w:rPr>
          <w:szCs w:val="22"/>
        </w:rPr>
        <w:t>t be stored at or below minus 20</w:t>
      </w:r>
      <w:r w:rsidR="00C83A53" w:rsidRPr="000E5E61">
        <w:rPr>
          <w:szCs w:val="22"/>
        </w:rPr>
        <w:t>°C;</w:t>
      </w:r>
      <w:r w:rsidR="00182104">
        <w:rPr>
          <w:szCs w:val="22"/>
        </w:rPr>
        <w:t xml:space="preserve"> and</w:t>
      </w:r>
    </w:p>
    <w:p w:rsidR="009C2219" w:rsidRPr="004F54AC" w:rsidRDefault="009C2219" w:rsidP="001A7B7C">
      <w:pPr>
        <w:pStyle w:val="paragraph"/>
      </w:pPr>
      <w:r>
        <w:rPr>
          <w:szCs w:val="22"/>
        </w:rPr>
        <w:tab/>
        <w:t>(b)</w:t>
      </w:r>
      <w:r>
        <w:rPr>
          <w:szCs w:val="22"/>
        </w:rPr>
        <w:tab/>
      </w:r>
      <w:r w:rsidR="00C83A53" w:rsidRPr="000E5E61">
        <w:rPr>
          <w:szCs w:val="22"/>
        </w:rPr>
        <w:t>stool samples</w:t>
      </w:r>
      <w:r w:rsidR="0077257E">
        <w:rPr>
          <w:szCs w:val="22"/>
        </w:rPr>
        <w:t xml:space="preserve"> </w:t>
      </w:r>
      <w:r w:rsidR="00C83A53" w:rsidRPr="000E5E61">
        <w:rPr>
          <w:szCs w:val="22"/>
        </w:rPr>
        <w:t xml:space="preserve">must be stored at or below minus </w:t>
      </w:r>
      <w:r w:rsidR="00C83A53">
        <w:rPr>
          <w:szCs w:val="22"/>
        </w:rPr>
        <w:t>7</w:t>
      </w:r>
      <w:r w:rsidR="00C83A53" w:rsidRPr="000E5E61">
        <w:rPr>
          <w:szCs w:val="22"/>
        </w:rPr>
        <w:t>0°C</w:t>
      </w:r>
      <w:r w:rsidR="00274636">
        <w:rPr>
          <w:szCs w:val="22"/>
        </w:rPr>
        <w:t>; and</w:t>
      </w:r>
    </w:p>
    <w:p w:rsidR="001A7B7C" w:rsidRDefault="009C2219" w:rsidP="001A7B7C">
      <w:pPr>
        <w:pStyle w:val="paragraph"/>
        <w:rPr>
          <w:szCs w:val="22"/>
        </w:rPr>
      </w:pPr>
      <w:r>
        <w:rPr>
          <w:szCs w:val="22"/>
        </w:rPr>
        <w:tab/>
        <w:t>(</w:t>
      </w:r>
      <w:r w:rsidR="005059D4">
        <w:rPr>
          <w:szCs w:val="22"/>
        </w:rPr>
        <w:t>c</w:t>
      </w:r>
      <w:r>
        <w:rPr>
          <w:szCs w:val="22"/>
        </w:rPr>
        <w:t>)</w:t>
      </w:r>
      <w:r>
        <w:rPr>
          <w:szCs w:val="22"/>
        </w:rPr>
        <w:tab/>
      </w:r>
      <w:r w:rsidR="0077257E">
        <w:rPr>
          <w:szCs w:val="22"/>
        </w:rPr>
        <w:t>r</w:t>
      </w:r>
      <w:r w:rsidR="00C83A53" w:rsidRPr="003E7466">
        <w:rPr>
          <w:szCs w:val="22"/>
        </w:rPr>
        <w:t>etained for a minimum of two years after the expiry date of the products.</w:t>
      </w:r>
      <w:r w:rsidR="001A7B7C" w:rsidRPr="001A7B7C">
        <w:rPr>
          <w:szCs w:val="22"/>
        </w:rPr>
        <w:t xml:space="preserve"> </w:t>
      </w:r>
    </w:p>
    <w:p w:rsidR="001A7B7C" w:rsidRPr="00274636" w:rsidRDefault="00274636" w:rsidP="00E5022B">
      <w:pPr>
        <w:pStyle w:val="subsection"/>
        <w:rPr>
          <w:szCs w:val="22"/>
        </w:rPr>
      </w:pPr>
      <w:r>
        <w:rPr>
          <w:szCs w:val="22"/>
        </w:rPr>
        <w:tab/>
        <w:t>(1</w:t>
      </w:r>
      <w:r w:rsidR="000931ED">
        <w:rPr>
          <w:szCs w:val="22"/>
        </w:rPr>
        <w:t>7</w:t>
      </w:r>
      <w:r>
        <w:rPr>
          <w:szCs w:val="22"/>
        </w:rPr>
        <w:t>)</w:t>
      </w:r>
      <w:r>
        <w:rPr>
          <w:szCs w:val="22"/>
        </w:rPr>
        <w:tab/>
        <w:t>Despite paragrap</w:t>
      </w:r>
      <w:r w:rsidRPr="00461A3C">
        <w:rPr>
          <w:szCs w:val="22"/>
        </w:rPr>
        <w:t>hs 1</w:t>
      </w:r>
      <w:r w:rsidR="002875DD" w:rsidRPr="00461A3C">
        <w:rPr>
          <w:szCs w:val="22"/>
        </w:rPr>
        <w:t>4(1</w:t>
      </w:r>
      <w:r w:rsidR="00182104" w:rsidRPr="00461A3C">
        <w:rPr>
          <w:szCs w:val="22"/>
        </w:rPr>
        <w:t>6</w:t>
      </w:r>
      <w:r w:rsidR="00601D78" w:rsidRPr="00461A3C">
        <w:rPr>
          <w:szCs w:val="22"/>
        </w:rPr>
        <w:t>)</w:t>
      </w:r>
      <w:r w:rsidRPr="00461A3C">
        <w:rPr>
          <w:szCs w:val="22"/>
        </w:rPr>
        <w:t>(a) and (b), oth</w:t>
      </w:r>
      <w:r>
        <w:rPr>
          <w:szCs w:val="22"/>
        </w:rPr>
        <w:t xml:space="preserve">er </w:t>
      </w:r>
      <w:r w:rsidR="001A7B7C" w:rsidRPr="003E7466">
        <w:rPr>
          <w:szCs w:val="22"/>
        </w:rPr>
        <w:t xml:space="preserve">storage </w:t>
      </w:r>
      <w:r w:rsidR="001A7B7C">
        <w:rPr>
          <w:szCs w:val="22"/>
        </w:rPr>
        <w:t>specifications</w:t>
      </w:r>
      <w:r w:rsidR="001A7B7C" w:rsidRPr="003E7466">
        <w:rPr>
          <w:szCs w:val="22"/>
        </w:rPr>
        <w:t xml:space="preserve"> may be used</w:t>
      </w:r>
      <w:r>
        <w:rPr>
          <w:szCs w:val="22"/>
        </w:rPr>
        <w:t xml:space="preserve"> in relation to the samples,</w:t>
      </w:r>
      <w:r w:rsidR="001A7B7C" w:rsidRPr="003E7466">
        <w:rPr>
          <w:szCs w:val="22"/>
        </w:rPr>
        <w:t xml:space="preserve"> </w:t>
      </w:r>
      <w:r w:rsidR="001A7B7C">
        <w:rPr>
          <w:szCs w:val="22"/>
        </w:rPr>
        <w:t>if</w:t>
      </w:r>
      <w:r w:rsidR="001A7B7C" w:rsidRPr="003E7466">
        <w:rPr>
          <w:szCs w:val="22"/>
        </w:rPr>
        <w:t xml:space="preserve"> </w:t>
      </w:r>
      <w:r>
        <w:rPr>
          <w:szCs w:val="22"/>
        </w:rPr>
        <w:t xml:space="preserve">those specifications are </w:t>
      </w:r>
      <w:r w:rsidR="001A7B7C" w:rsidRPr="003E7466">
        <w:rPr>
          <w:szCs w:val="22"/>
        </w:rPr>
        <w:t>validated</w:t>
      </w:r>
      <w:r w:rsidR="001A7B7C">
        <w:rPr>
          <w:szCs w:val="22"/>
        </w:rPr>
        <w:t xml:space="preserve"> </w:t>
      </w:r>
      <w:r>
        <w:rPr>
          <w:szCs w:val="22"/>
        </w:rPr>
        <w:t>(</w:t>
      </w:r>
      <w:r w:rsidR="001A7B7C">
        <w:rPr>
          <w:szCs w:val="22"/>
        </w:rPr>
        <w:t>including</w:t>
      </w:r>
      <w:r w:rsidR="001A7B7C" w:rsidRPr="003E7466">
        <w:rPr>
          <w:szCs w:val="22"/>
        </w:rPr>
        <w:t xml:space="preserve"> in relation to temperature</w:t>
      </w:r>
      <w:r>
        <w:rPr>
          <w:szCs w:val="22"/>
        </w:rPr>
        <w:t>)</w:t>
      </w:r>
      <w:r w:rsidR="001A7B7C" w:rsidRPr="003E7466">
        <w:rPr>
          <w:szCs w:val="22"/>
        </w:rPr>
        <w:t xml:space="preserve"> or recommended by the manufacturer</w:t>
      </w:r>
      <w:r w:rsidR="001A7B7C">
        <w:rPr>
          <w:szCs w:val="22"/>
        </w:rPr>
        <w:t xml:space="preserve"> of the IVD medical device or in-house IVD medical device used to test the sample</w:t>
      </w:r>
      <w:r>
        <w:rPr>
          <w:szCs w:val="22"/>
        </w:rPr>
        <w:t>s.</w:t>
      </w:r>
    </w:p>
    <w:p w:rsidR="00E37BB5" w:rsidRPr="00146CA7" w:rsidRDefault="00E37BB5" w:rsidP="00214E59">
      <w:pPr>
        <w:pStyle w:val="ActHead5"/>
      </w:pPr>
      <w:bookmarkStart w:id="25" w:name="_Toc47109916"/>
      <w:r w:rsidRPr="00B52F13">
        <w:t>1</w:t>
      </w:r>
      <w:r w:rsidR="00261B68">
        <w:t>5</w:t>
      </w:r>
      <w:r w:rsidRPr="00B52F13">
        <w:t xml:space="preserve"> </w:t>
      </w:r>
      <w:r w:rsidR="00A96B14">
        <w:t xml:space="preserve"> </w:t>
      </w:r>
      <w:r w:rsidRPr="00B52F13">
        <w:t xml:space="preserve">Physical </w:t>
      </w:r>
      <w:r w:rsidR="00EC3776">
        <w:t>assessment</w:t>
      </w:r>
      <w:bookmarkEnd w:id="25"/>
    </w:p>
    <w:p w:rsidR="00B4130E" w:rsidRDefault="00F40628" w:rsidP="00274636">
      <w:pPr>
        <w:pStyle w:val="subsection"/>
        <w:rPr>
          <w:szCs w:val="22"/>
        </w:rPr>
      </w:pPr>
      <w:r>
        <w:rPr>
          <w:szCs w:val="22"/>
        </w:rPr>
        <w:tab/>
        <w:t>(1)</w:t>
      </w:r>
      <w:r>
        <w:rPr>
          <w:szCs w:val="22"/>
        </w:rPr>
        <w:tab/>
      </w:r>
      <w:r w:rsidR="0070424A">
        <w:rPr>
          <w:szCs w:val="22"/>
        </w:rPr>
        <w:t>A</w:t>
      </w:r>
      <w:r w:rsidR="0012268B">
        <w:rPr>
          <w:szCs w:val="22"/>
        </w:rPr>
        <w:t xml:space="preserve"> </w:t>
      </w:r>
      <w:r w:rsidR="00274636">
        <w:rPr>
          <w:szCs w:val="22"/>
        </w:rPr>
        <w:t xml:space="preserve">physical </w:t>
      </w:r>
      <w:r w:rsidR="00EC3776">
        <w:rPr>
          <w:szCs w:val="22"/>
        </w:rPr>
        <w:t>assessment</w:t>
      </w:r>
      <w:r w:rsidR="0070424A">
        <w:rPr>
          <w:szCs w:val="22"/>
        </w:rPr>
        <w:t xml:space="preserve"> must be</w:t>
      </w:r>
      <w:r w:rsidR="00274636">
        <w:rPr>
          <w:szCs w:val="22"/>
        </w:rPr>
        <w:t xml:space="preserve"> conducted </w:t>
      </w:r>
      <w:r w:rsidR="0070424A">
        <w:rPr>
          <w:szCs w:val="22"/>
        </w:rPr>
        <w:t xml:space="preserve">in relation to a proposed donor </w:t>
      </w:r>
      <w:r w:rsidR="00274636">
        <w:rPr>
          <w:szCs w:val="22"/>
        </w:rPr>
        <w:t>not more than 30 days before the first collection of stool</w:t>
      </w:r>
      <w:r w:rsidR="00182104">
        <w:rPr>
          <w:szCs w:val="22"/>
        </w:rPr>
        <w:t xml:space="preserve"> for use in the manufacture of FMT products</w:t>
      </w:r>
      <w:r w:rsidR="00274636">
        <w:rPr>
          <w:szCs w:val="22"/>
        </w:rPr>
        <w:t>.</w:t>
      </w:r>
    </w:p>
    <w:p w:rsidR="001A67F5" w:rsidRDefault="00274636" w:rsidP="00274636">
      <w:pPr>
        <w:pStyle w:val="subsection"/>
        <w:rPr>
          <w:szCs w:val="22"/>
        </w:rPr>
      </w:pPr>
      <w:r>
        <w:rPr>
          <w:szCs w:val="22"/>
        </w:rPr>
        <w:tab/>
        <w:t>(2)</w:t>
      </w:r>
      <w:r>
        <w:rPr>
          <w:szCs w:val="22"/>
        </w:rPr>
        <w:tab/>
      </w:r>
      <w:r w:rsidR="0012268B">
        <w:rPr>
          <w:szCs w:val="22"/>
        </w:rPr>
        <w:t>S</w:t>
      </w:r>
      <w:r w:rsidR="00EE28BB">
        <w:rPr>
          <w:szCs w:val="22"/>
        </w:rPr>
        <w:t xml:space="preserve">ubsequent </w:t>
      </w:r>
      <w:r>
        <w:rPr>
          <w:szCs w:val="22"/>
        </w:rPr>
        <w:t xml:space="preserve">physical </w:t>
      </w:r>
      <w:r w:rsidR="00EC3776">
        <w:rPr>
          <w:szCs w:val="22"/>
        </w:rPr>
        <w:t>assessment</w:t>
      </w:r>
      <w:r w:rsidR="0012268B">
        <w:rPr>
          <w:szCs w:val="22"/>
        </w:rPr>
        <w:t>s</w:t>
      </w:r>
      <w:r w:rsidR="00EC3776">
        <w:rPr>
          <w:szCs w:val="22"/>
        </w:rPr>
        <w:t xml:space="preserve"> </w:t>
      </w:r>
      <w:r w:rsidR="0070424A">
        <w:rPr>
          <w:szCs w:val="22"/>
        </w:rPr>
        <w:t xml:space="preserve">must be conducted in relation to an accepted donor </w:t>
      </w:r>
      <w:r w:rsidR="00EE28BB">
        <w:rPr>
          <w:szCs w:val="22"/>
        </w:rPr>
        <w:t xml:space="preserve">on </w:t>
      </w:r>
      <w:r w:rsidR="00107F16">
        <w:rPr>
          <w:szCs w:val="22"/>
        </w:rPr>
        <w:t xml:space="preserve">an ongoing basis, </w:t>
      </w:r>
      <w:r w:rsidR="00AB053D">
        <w:rPr>
          <w:szCs w:val="22"/>
        </w:rPr>
        <w:t>such that</w:t>
      </w:r>
      <w:r w:rsidR="00107F16">
        <w:rPr>
          <w:szCs w:val="22"/>
        </w:rPr>
        <w:t xml:space="preserve"> each physical assessment </w:t>
      </w:r>
      <w:r w:rsidR="00AB053D">
        <w:rPr>
          <w:szCs w:val="22"/>
        </w:rPr>
        <w:t>is</w:t>
      </w:r>
      <w:r w:rsidR="00107F16">
        <w:rPr>
          <w:szCs w:val="22"/>
        </w:rPr>
        <w:t xml:space="preserve"> conducted </w:t>
      </w:r>
      <w:r w:rsidR="00F76BA1">
        <w:rPr>
          <w:szCs w:val="22"/>
        </w:rPr>
        <w:t>within</w:t>
      </w:r>
      <w:r w:rsidR="00EE28BB">
        <w:rPr>
          <w:szCs w:val="22"/>
        </w:rPr>
        <w:t xml:space="preserve"> </w:t>
      </w:r>
      <w:r w:rsidR="00751E3A">
        <w:rPr>
          <w:szCs w:val="22"/>
        </w:rPr>
        <w:t>90 days of the last</w:t>
      </w:r>
      <w:r w:rsidR="001A67F5">
        <w:rPr>
          <w:szCs w:val="22"/>
        </w:rPr>
        <w:t xml:space="preserve"> physical assessment.</w:t>
      </w:r>
    </w:p>
    <w:p w:rsidR="000E70E2" w:rsidRDefault="000E70E2" w:rsidP="000E70E2">
      <w:pPr>
        <w:pStyle w:val="subsection"/>
        <w:rPr>
          <w:szCs w:val="22"/>
        </w:rPr>
      </w:pPr>
      <w:r>
        <w:rPr>
          <w:szCs w:val="22"/>
        </w:rPr>
        <w:tab/>
        <w:t>(3)</w:t>
      </w:r>
      <w:r>
        <w:rPr>
          <w:szCs w:val="22"/>
        </w:rPr>
        <w:tab/>
        <w:t>A physical assessment must:</w:t>
      </w:r>
    </w:p>
    <w:p w:rsidR="000E70E2" w:rsidRDefault="000E70E2" w:rsidP="000E70E2">
      <w:pPr>
        <w:pStyle w:val="paragraph"/>
        <w:rPr>
          <w:szCs w:val="22"/>
        </w:rPr>
      </w:pPr>
      <w:r>
        <w:rPr>
          <w:szCs w:val="22"/>
        </w:rPr>
        <w:tab/>
        <w:t>(a)</w:t>
      </w:r>
      <w:r>
        <w:rPr>
          <w:szCs w:val="22"/>
        </w:rPr>
        <w:tab/>
        <w:t xml:space="preserve">include a clinical </w:t>
      </w:r>
      <w:r w:rsidRPr="00EC3776">
        <w:rPr>
          <w:szCs w:val="22"/>
        </w:rPr>
        <w:t>assessment</w:t>
      </w:r>
      <w:r>
        <w:rPr>
          <w:szCs w:val="22"/>
        </w:rPr>
        <w:t xml:space="preserve"> of any physical features or characteristics that may indicate that </w:t>
      </w:r>
      <w:r w:rsidR="00272C80">
        <w:rPr>
          <w:szCs w:val="22"/>
        </w:rPr>
        <w:t>a</w:t>
      </w:r>
      <w:r>
        <w:rPr>
          <w:szCs w:val="22"/>
        </w:rPr>
        <w:t xml:space="preserve"> proposed donor or accepted donor is at risk of a communicable disease potentially transmissible by </w:t>
      </w:r>
      <w:r w:rsidRPr="0072351F">
        <w:rPr>
          <w:szCs w:val="22"/>
        </w:rPr>
        <w:t>faecal microbiota transplant</w:t>
      </w:r>
      <w:r w:rsidR="003E299E">
        <w:rPr>
          <w:szCs w:val="22"/>
        </w:rPr>
        <w:t>;</w:t>
      </w:r>
      <w:r>
        <w:rPr>
          <w:szCs w:val="22"/>
        </w:rPr>
        <w:t xml:space="preserve"> and</w:t>
      </w:r>
    </w:p>
    <w:p w:rsidR="000E70E2" w:rsidRPr="00194FEB" w:rsidRDefault="000E70E2" w:rsidP="000E70E2">
      <w:pPr>
        <w:pStyle w:val="paragraph"/>
      </w:pPr>
      <w:r>
        <w:rPr>
          <w:szCs w:val="22"/>
        </w:rPr>
        <w:tab/>
        <w:t>(b)</w:t>
      </w:r>
      <w:r>
        <w:rPr>
          <w:szCs w:val="22"/>
        </w:rPr>
        <w:tab/>
        <w:t>be conducted by an appropriate health practitioner.</w:t>
      </w:r>
    </w:p>
    <w:p w:rsidR="00187DDF" w:rsidRDefault="00187DDF" w:rsidP="00274636">
      <w:pPr>
        <w:pStyle w:val="subsection"/>
        <w:rPr>
          <w:szCs w:val="22"/>
        </w:rPr>
      </w:pPr>
      <w:r>
        <w:rPr>
          <w:szCs w:val="22"/>
        </w:rPr>
        <w:tab/>
        <w:t>(</w:t>
      </w:r>
      <w:r w:rsidR="000E70E2">
        <w:rPr>
          <w:szCs w:val="22"/>
        </w:rPr>
        <w:t>4</w:t>
      </w:r>
      <w:r>
        <w:rPr>
          <w:szCs w:val="22"/>
        </w:rPr>
        <w:t>)</w:t>
      </w:r>
      <w:r>
        <w:rPr>
          <w:szCs w:val="22"/>
        </w:rPr>
        <w:tab/>
      </w:r>
      <w:r w:rsidR="000E70E2">
        <w:rPr>
          <w:szCs w:val="22"/>
        </w:rPr>
        <w:t>Where</w:t>
      </w:r>
      <w:r>
        <w:rPr>
          <w:szCs w:val="22"/>
        </w:rPr>
        <w:t xml:space="preserve"> </w:t>
      </w:r>
      <w:r w:rsidR="00272C80">
        <w:rPr>
          <w:szCs w:val="22"/>
        </w:rPr>
        <w:t>a</w:t>
      </w:r>
      <w:r>
        <w:rPr>
          <w:szCs w:val="22"/>
        </w:rPr>
        <w:t xml:space="preserve"> physical assessment identifies an unacceptable risk of communicable disease transmission in relation to </w:t>
      </w:r>
      <w:r w:rsidR="00272C80">
        <w:rPr>
          <w:szCs w:val="22"/>
        </w:rPr>
        <w:t>a</w:t>
      </w:r>
      <w:r>
        <w:rPr>
          <w:szCs w:val="22"/>
        </w:rPr>
        <w:t xml:space="preserve"> </w:t>
      </w:r>
      <w:r w:rsidR="00272C80">
        <w:rPr>
          <w:szCs w:val="22"/>
        </w:rPr>
        <w:t xml:space="preserve">proposed </w:t>
      </w:r>
      <w:r>
        <w:rPr>
          <w:szCs w:val="22"/>
        </w:rPr>
        <w:t>donor</w:t>
      </w:r>
      <w:r w:rsidR="00272C80">
        <w:rPr>
          <w:szCs w:val="22"/>
        </w:rPr>
        <w:t xml:space="preserve"> or accepted donor</w:t>
      </w:r>
      <w:r>
        <w:rPr>
          <w:szCs w:val="22"/>
        </w:rPr>
        <w:t xml:space="preserve">, the donor is ineligible </w:t>
      </w:r>
      <w:r w:rsidR="00272C80">
        <w:rPr>
          <w:szCs w:val="22"/>
        </w:rPr>
        <w:t xml:space="preserve">to donate stool for use in the manufacture of FMT products </w:t>
      </w:r>
      <w:r>
        <w:rPr>
          <w:szCs w:val="22"/>
        </w:rPr>
        <w:t>until a subsequent physical assessment is conducted that does not identify the risk.</w:t>
      </w:r>
    </w:p>
    <w:p w:rsidR="00A96B14" w:rsidRDefault="00A96B14" w:rsidP="00A96B14">
      <w:pPr>
        <w:pStyle w:val="ActHead3"/>
        <w:rPr>
          <w:rStyle w:val="CharDivNo"/>
        </w:rPr>
      </w:pPr>
      <w:bookmarkStart w:id="26" w:name="_Toc47109917"/>
      <w:r>
        <w:rPr>
          <w:rStyle w:val="CharDivNo"/>
        </w:rPr>
        <w:t xml:space="preserve">Division </w:t>
      </w:r>
      <w:r w:rsidR="0072351F">
        <w:rPr>
          <w:rStyle w:val="CharDivNo"/>
        </w:rPr>
        <w:t>3</w:t>
      </w:r>
      <w:r w:rsidRPr="00702D8C">
        <w:rPr>
          <w:rStyle w:val="CharDivNo"/>
        </w:rPr>
        <w:sym w:font="Symbol" w:char="F0BE"/>
      </w:r>
      <w:r w:rsidR="00302BCD">
        <w:rPr>
          <w:rStyle w:val="CharDivNo"/>
        </w:rPr>
        <w:t>R</w:t>
      </w:r>
      <w:r>
        <w:rPr>
          <w:rStyle w:val="CharDivNo"/>
        </w:rPr>
        <w:t xml:space="preserve">equirements </w:t>
      </w:r>
      <w:r w:rsidRPr="00302BCD">
        <w:rPr>
          <w:rStyle w:val="CharDivNo"/>
        </w:rPr>
        <w:t>following collection</w:t>
      </w:r>
      <w:bookmarkEnd w:id="26"/>
    </w:p>
    <w:p w:rsidR="00B53666" w:rsidRPr="00B53666" w:rsidRDefault="00B53666" w:rsidP="00B53666">
      <w:pPr>
        <w:pStyle w:val="ActHead5"/>
      </w:pPr>
      <w:bookmarkStart w:id="27" w:name="_Toc47109918"/>
      <w:r>
        <w:t>1</w:t>
      </w:r>
      <w:r w:rsidR="00261B68">
        <w:t>6</w:t>
      </w:r>
      <w:r w:rsidRPr="00B53666">
        <w:t xml:space="preserve">  What this Division is about</w:t>
      </w:r>
      <w:bookmarkEnd w:id="27"/>
    </w:p>
    <w:p w:rsidR="00B53666" w:rsidRDefault="00B53666" w:rsidP="00B53666">
      <w:pPr>
        <w:pBdr>
          <w:top w:val="single" w:sz="6" w:space="5" w:color="auto"/>
          <w:left w:val="single" w:sz="6" w:space="5" w:color="auto"/>
          <w:bottom w:val="single" w:sz="6" w:space="5" w:color="auto"/>
          <w:right w:val="single" w:sz="6" w:space="5" w:color="auto"/>
        </w:pBdr>
        <w:spacing w:before="240" w:line="240" w:lineRule="auto"/>
        <w:ind w:left="1134"/>
      </w:pPr>
      <w:r>
        <w:t>This Division specifies procedures relating to microbial control that must be implemented in the manufacture of FMT products.</w:t>
      </w:r>
    </w:p>
    <w:p w:rsidR="002A3214" w:rsidRDefault="00356B0A" w:rsidP="00214E59">
      <w:pPr>
        <w:pStyle w:val="ActHead5"/>
      </w:pPr>
      <w:bookmarkStart w:id="28" w:name="_Toc47109919"/>
      <w:r w:rsidRPr="00B52F13">
        <w:t>1</w:t>
      </w:r>
      <w:r w:rsidR="00261B68">
        <w:t>7</w:t>
      </w:r>
      <w:r w:rsidR="008D28F1" w:rsidRPr="00B52F13">
        <w:t xml:space="preserve"> </w:t>
      </w:r>
      <w:r w:rsidR="00A96B14">
        <w:t xml:space="preserve"> </w:t>
      </w:r>
      <w:r w:rsidR="00777F52" w:rsidRPr="00B52F13">
        <w:t xml:space="preserve">Microbial control </w:t>
      </w:r>
      <w:r w:rsidR="00B53666">
        <w:t>procedures</w:t>
      </w:r>
      <w:bookmarkEnd w:id="28"/>
    </w:p>
    <w:p w:rsidR="00777F52" w:rsidRPr="00B52F13" w:rsidRDefault="002A3214" w:rsidP="00C75EFA">
      <w:pPr>
        <w:pStyle w:val="SubsectionHead"/>
      </w:pPr>
      <w:r w:rsidRPr="006D2416">
        <w:t xml:space="preserve">General </w:t>
      </w:r>
      <w:r>
        <w:t>requirements</w:t>
      </w:r>
    </w:p>
    <w:p w:rsidR="00F924C7" w:rsidRDefault="002A3214" w:rsidP="002A3214">
      <w:pPr>
        <w:pStyle w:val="subsection"/>
        <w:rPr>
          <w:szCs w:val="22"/>
        </w:rPr>
      </w:pPr>
      <w:r>
        <w:rPr>
          <w:szCs w:val="22"/>
        </w:rPr>
        <w:tab/>
        <w:t>(1)</w:t>
      </w:r>
      <w:r>
        <w:rPr>
          <w:szCs w:val="22"/>
        </w:rPr>
        <w:tab/>
      </w:r>
      <w:r w:rsidR="000A29B3">
        <w:rPr>
          <w:szCs w:val="22"/>
        </w:rPr>
        <w:t>Microbial control p</w:t>
      </w:r>
      <w:r w:rsidR="00883B3F">
        <w:rPr>
          <w:szCs w:val="22"/>
        </w:rPr>
        <w:t xml:space="preserve">rocedures </w:t>
      </w:r>
      <w:r w:rsidR="00DB1D6C">
        <w:rPr>
          <w:szCs w:val="22"/>
        </w:rPr>
        <w:t>that are validated must be implemented in the manufacture of FMT products and must</w:t>
      </w:r>
      <w:r w:rsidR="005059D4">
        <w:rPr>
          <w:szCs w:val="22"/>
        </w:rPr>
        <w:t>:</w:t>
      </w:r>
    </w:p>
    <w:p w:rsidR="002A3214" w:rsidRPr="004F54AC" w:rsidRDefault="00724DBF" w:rsidP="002A3214">
      <w:pPr>
        <w:pStyle w:val="paragraph"/>
      </w:pPr>
      <w:r>
        <w:rPr>
          <w:szCs w:val="22"/>
        </w:rPr>
        <w:tab/>
        <w:t>(</w:t>
      </w:r>
      <w:r w:rsidR="00DB1D6C">
        <w:rPr>
          <w:szCs w:val="22"/>
        </w:rPr>
        <w:t>a</w:t>
      </w:r>
      <w:r>
        <w:rPr>
          <w:szCs w:val="22"/>
        </w:rPr>
        <w:t>)</w:t>
      </w:r>
      <w:r>
        <w:rPr>
          <w:szCs w:val="22"/>
        </w:rPr>
        <w:tab/>
      </w:r>
      <w:r w:rsidR="00F924C7">
        <w:rPr>
          <w:szCs w:val="22"/>
        </w:rPr>
        <w:t xml:space="preserve">include </w:t>
      </w:r>
      <w:r w:rsidR="002A3214">
        <w:rPr>
          <w:szCs w:val="22"/>
        </w:rPr>
        <w:t>a s</w:t>
      </w:r>
      <w:r w:rsidR="002A3214" w:rsidRPr="00EB4628">
        <w:rPr>
          <w:szCs w:val="22"/>
        </w:rPr>
        <w:t>trate</w:t>
      </w:r>
      <w:r w:rsidR="002A3214">
        <w:rPr>
          <w:szCs w:val="22"/>
        </w:rPr>
        <w:t>gy to minimise the proliferation of intrinsic</w:t>
      </w:r>
      <w:r w:rsidR="002A3214" w:rsidRPr="00EB4628">
        <w:rPr>
          <w:szCs w:val="22"/>
        </w:rPr>
        <w:t xml:space="preserve"> micro</w:t>
      </w:r>
      <w:r w:rsidR="002A3214">
        <w:rPr>
          <w:szCs w:val="22"/>
        </w:rPr>
        <w:t xml:space="preserve">bial contamination </w:t>
      </w:r>
      <w:r w:rsidR="002A3214" w:rsidRPr="00EB4628">
        <w:rPr>
          <w:szCs w:val="22"/>
        </w:rPr>
        <w:t xml:space="preserve">and </w:t>
      </w:r>
      <w:r w:rsidR="00EE679D">
        <w:rPr>
          <w:szCs w:val="22"/>
        </w:rPr>
        <w:t xml:space="preserve">to </w:t>
      </w:r>
      <w:r w:rsidR="002A3214" w:rsidRPr="00EB4628">
        <w:rPr>
          <w:szCs w:val="22"/>
        </w:rPr>
        <w:t>prevent extrinsic microbial contamination</w:t>
      </w:r>
      <w:r w:rsidR="002A3214">
        <w:rPr>
          <w:szCs w:val="22"/>
        </w:rPr>
        <w:t xml:space="preserve"> </w:t>
      </w:r>
      <w:r w:rsidR="00F924C7">
        <w:rPr>
          <w:szCs w:val="22"/>
        </w:rPr>
        <w:t>of</w:t>
      </w:r>
      <w:r w:rsidR="002A3214">
        <w:rPr>
          <w:szCs w:val="22"/>
        </w:rPr>
        <w:t xml:space="preserve"> stool</w:t>
      </w:r>
      <w:r w:rsidR="007D4345">
        <w:rPr>
          <w:szCs w:val="22"/>
        </w:rPr>
        <w:t xml:space="preserve"> </w:t>
      </w:r>
      <w:r w:rsidR="007D4345" w:rsidRPr="00E5022B">
        <w:rPr>
          <w:szCs w:val="22"/>
        </w:rPr>
        <w:t xml:space="preserve">during </w:t>
      </w:r>
      <w:r w:rsidR="00F924C7" w:rsidRPr="00E5022B">
        <w:rPr>
          <w:szCs w:val="22"/>
        </w:rPr>
        <w:t>the manufacture of FMT products</w:t>
      </w:r>
      <w:r w:rsidR="002A3214" w:rsidRPr="0072351F">
        <w:rPr>
          <w:szCs w:val="22"/>
        </w:rPr>
        <w:t>; and</w:t>
      </w:r>
    </w:p>
    <w:p w:rsidR="002A3214" w:rsidRPr="004F54AC" w:rsidRDefault="00724DBF" w:rsidP="00D50011">
      <w:pPr>
        <w:pStyle w:val="paragraph"/>
      </w:pPr>
      <w:r>
        <w:rPr>
          <w:szCs w:val="22"/>
        </w:rPr>
        <w:tab/>
        <w:t>(</w:t>
      </w:r>
      <w:r w:rsidR="00DB1D6C">
        <w:rPr>
          <w:szCs w:val="22"/>
        </w:rPr>
        <w:t>b</w:t>
      </w:r>
      <w:r w:rsidR="002A3214">
        <w:rPr>
          <w:szCs w:val="22"/>
        </w:rPr>
        <w:t>)</w:t>
      </w:r>
      <w:r w:rsidR="002A3214">
        <w:rPr>
          <w:szCs w:val="22"/>
        </w:rPr>
        <w:tab/>
      </w:r>
      <w:r>
        <w:rPr>
          <w:szCs w:val="22"/>
        </w:rPr>
        <w:t xml:space="preserve">specify storage, handling and transportation </w:t>
      </w:r>
      <w:r w:rsidRPr="00060ACB">
        <w:rPr>
          <w:szCs w:val="22"/>
        </w:rPr>
        <w:t xml:space="preserve">requirements </w:t>
      </w:r>
      <w:r w:rsidR="00601D78" w:rsidRPr="00060ACB">
        <w:rPr>
          <w:szCs w:val="22"/>
        </w:rPr>
        <w:t>(</w:t>
      </w:r>
      <w:r w:rsidR="00060ACB" w:rsidRPr="00797E16">
        <w:rPr>
          <w:szCs w:val="22"/>
        </w:rPr>
        <w:t xml:space="preserve">including in relation to </w:t>
      </w:r>
      <w:r w:rsidR="00601D78" w:rsidRPr="00060ACB">
        <w:rPr>
          <w:szCs w:val="22"/>
        </w:rPr>
        <w:t xml:space="preserve">temperature and </w:t>
      </w:r>
      <w:r w:rsidR="00601D78" w:rsidRPr="00A268FE">
        <w:rPr>
          <w:szCs w:val="22"/>
        </w:rPr>
        <w:t>duration</w:t>
      </w:r>
      <w:r w:rsidR="00601D78" w:rsidRPr="00060ACB">
        <w:rPr>
          <w:szCs w:val="22"/>
        </w:rPr>
        <w:t>)</w:t>
      </w:r>
      <w:r w:rsidR="00601D78">
        <w:rPr>
          <w:szCs w:val="22"/>
        </w:rPr>
        <w:t xml:space="preserve"> </w:t>
      </w:r>
      <w:r>
        <w:rPr>
          <w:szCs w:val="22"/>
        </w:rPr>
        <w:t>for stool used in the manufacture of FMT products</w:t>
      </w:r>
      <w:r w:rsidR="005059D4">
        <w:t>.</w:t>
      </w:r>
    </w:p>
    <w:p w:rsidR="005C1E9E" w:rsidRPr="0025258B" w:rsidRDefault="005C1E9E" w:rsidP="005C1E9E">
      <w:pPr>
        <w:pStyle w:val="SubsectionHead"/>
      </w:pPr>
      <w:r>
        <w:t>Immediate processing of stool following collection</w:t>
      </w:r>
    </w:p>
    <w:p w:rsidR="005C1E9E" w:rsidRPr="003222AC" w:rsidRDefault="005C1E9E" w:rsidP="005C1E9E">
      <w:pPr>
        <w:pStyle w:val="subsection"/>
      </w:pPr>
      <w:r>
        <w:rPr>
          <w:szCs w:val="22"/>
        </w:rPr>
        <w:tab/>
        <w:t>(2)</w:t>
      </w:r>
      <w:r>
        <w:rPr>
          <w:szCs w:val="22"/>
        </w:rPr>
        <w:tab/>
        <w:t>Stool used in the manufacture of FMT products, other than fresh FMT products, must:</w:t>
      </w:r>
    </w:p>
    <w:p w:rsidR="005C1E9E" w:rsidRPr="004F54AC" w:rsidRDefault="005C1E9E" w:rsidP="005C1E9E">
      <w:pPr>
        <w:pStyle w:val="paragraph"/>
      </w:pPr>
      <w:r>
        <w:rPr>
          <w:szCs w:val="22"/>
        </w:rPr>
        <w:tab/>
        <w:t>(a)</w:t>
      </w:r>
      <w:r>
        <w:rPr>
          <w:szCs w:val="22"/>
        </w:rPr>
        <w:tab/>
      </w:r>
      <w:r w:rsidRPr="00E5022B">
        <w:rPr>
          <w:szCs w:val="22"/>
        </w:rPr>
        <w:t xml:space="preserve">be processed as soon as possible, </w:t>
      </w:r>
      <w:r w:rsidR="00FA78EE">
        <w:rPr>
          <w:szCs w:val="22"/>
        </w:rPr>
        <w:t xml:space="preserve">and not later </w:t>
      </w:r>
      <w:r>
        <w:rPr>
          <w:szCs w:val="22"/>
        </w:rPr>
        <w:t>than 6 hours after def</w:t>
      </w:r>
      <w:r w:rsidR="006B630F">
        <w:rPr>
          <w:szCs w:val="22"/>
        </w:rPr>
        <w:t>a</w:t>
      </w:r>
      <w:r>
        <w:rPr>
          <w:szCs w:val="22"/>
        </w:rPr>
        <w:t>ecation; and</w:t>
      </w:r>
    </w:p>
    <w:p w:rsidR="005C1E9E" w:rsidRPr="009E5804" w:rsidRDefault="005C1E9E" w:rsidP="005C1E9E">
      <w:pPr>
        <w:pStyle w:val="paragraph"/>
      </w:pPr>
      <w:r>
        <w:rPr>
          <w:szCs w:val="22"/>
        </w:rPr>
        <w:tab/>
        <w:t>(b)</w:t>
      </w:r>
      <w:r>
        <w:rPr>
          <w:szCs w:val="22"/>
        </w:rPr>
        <w:tab/>
        <w:t>during any interval to the processing mentioned in para</w:t>
      </w:r>
      <w:r w:rsidRPr="009E5804">
        <w:rPr>
          <w:szCs w:val="22"/>
        </w:rPr>
        <w:t>graph (a) including transportation of the stool—be cooled to 4</w:t>
      </w:r>
      <w:r w:rsidRPr="009E5804">
        <w:rPr>
          <w:szCs w:val="22"/>
        </w:rPr>
        <w:sym w:font="Symbol" w:char="F0B0"/>
      </w:r>
      <w:r w:rsidRPr="009E5804">
        <w:rPr>
          <w:szCs w:val="22"/>
        </w:rPr>
        <w:t>C or kept as otherwise validated by the manufacturer; and</w:t>
      </w:r>
    </w:p>
    <w:p w:rsidR="005C1E9E" w:rsidRPr="004F54AC" w:rsidRDefault="005C1E9E" w:rsidP="005C1E9E">
      <w:pPr>
        <w:pStyle w:val="paragraph"/>
      </w:pPr>
      <w:r w:rsidRPr="009E5804">
        <w:rPr>
          <w:szCs w:val="22"/>
        </w:rPr>
        <w:tab/>
        <w:t>(c)</w:t>
      </w:r>
      <w:r w:rsidRPr="009E5804">
        <w:rPr>
          <w:szCs w:val="22"/>
        </w:rPr>
        <w:tab/>
        <w:t>following the processing mentioned in paragraph (a)—be stored in accordance with subsection (5).</w:t>
      </w:r>
    </w:p>
    <w:p w:rsidR="00DC3412" w:rsidRPr="00DC3412" w:rsidRDefault="00B06960" w:rsidP="00C75EFA">
      <w:pPr>
        <w:pStyle w:val="SubsectionHead"/>
      </w:pPr>
      <w:r>
        <w:t xml:space="preserve">Processing and storage of </w:t>
      </w:r>
      <w:r w:rsidR="009D07D3">
        <w:t xml:space="preserve">stool used in the manufacture of </w:t>
      </w:r>
      <w:r>
        <w:t xml:space="preserve">fresh </w:t>
      </w:r>
      <w:r w:rsidR="009D07D3">
        <w:t>FMT products</w:t>
      </w:r>
    </w:p>
    <w:p w:rsidR="00DC3412" w:rsidRPr="000A29B3" w:rsidRDefault="00FA1E2E" w:rsidP="00F40628">
      <w:pPr>
        <w:pStyle w:val="subsection"/>
        <w:rPr>
          <w:szCs w:val="22"/>
        </w:rPr>
      </w:pPr>
      <w:r>
        <w:rPr>
          <w:szCs w:val="22"/>
        </w:rPr>
        <w:tab/>
        <w:t>(</w:t>
      </w:r>
      <w:r w:rsidR="005C1E9E">
        <w:rPr>
          <w:szCs w:val="22"/>
        </w:rPr>
        <w:t>3</w:t>
      </w:r>
      <w:r>
        <w:rPr>
          <w:szCs w:val="22"/>
        </w:rPr>
        <w:t>)</w:t>
      </w:r>
      <w:r>
        <w:rPr>
          <w:szCs w:val="22"/>
        </w:rPr>
        <w:tab/>
      </w:r>
      <w:r w:rsidR="009D07D3">
        <w:rPr>
          <w:szCs w:val="22"/>
        </w:rPr>
        <w:t>S</w:t>
      </w:r>
      <w:r w:rsidR="00DC3412" w:rsidRPr="00E5022B">
        <w:rPr>
          <w:szCs w:val="22"/>
        </w:rPr>
        <w:t xml:space="preserve">tool collected from an </w:t>
      </w:r>
      <w:r w:rsidR="000A29B3" w:rsidRPr="00E5022B">
        <w:rPr>
          <w:szCs w:val="22"/>
        </w:rPr>
        <w:t>accepted</w:t>
      </w:r>
      <w:r w:rsidR="00DC3412" w:rsidRPr="00E5022B">
        <w:rPr>
          <w:szCs w:val="22"/>
        </w:rPr>
        <w:t xml:space="preserve"> donor </w:t>
      </w:r>
      <w:r w:rsidR="009D07D3">
        <w:rPr>
          <w:szCs w:val="22"/>
        </w:rPr>
        <w:t xml:space="preserve">for use </w:t>
      </w:r>
      <w:r w:rsidR="00DC3412" w:rsidRPr="000A29B3">
        <w:rPr>
          <w:szCs w:val="22"/>
        </w:rPr>
        <w:t xml:space="preserve">in the manufacture of </w:t>
      </w:r>
      <w:r w:rsidR="009D07D3">
        <w:rPr>
          <w:szCs w:val="22"/>
        </w:rPr>
        <w:t xml:space="preserve">fresh </w:t>
      </w:r>
      <w:r w:rsidR="00DC3412" w:rsidRPr="000A29B3">
        <w:rPr>
          <w:szCs w:val="22"/>
        </w:rPr>
        <w:t>FMT products</w:t>
      </w:r>
      <w:r w:rsidR="009D07D3">
        <w:rPr>
          <w:szCs w:val="22"/>
        </w:rPr>
        <w:t xml:space="preserve"> must be </w:t>
      </w:r>
      <w:r w:rsidR="009D07D3" w:rsidRPr="003E299E">
        <w:rPr>
          <w:szCs w:val="22"/>
        </w:rPr>
        <w:t>processed</w:t>
      </w:r>
      <w:r w:rsidR="00DC3412" w:rsidRPr="003E299E">
        <w:rPr>
          <w:szCs w:val="22"/>
        </w:rPr>
        <w:t xml:space="preserve"> no</w:t>
      </w:r>
      <w:r w:rsidR="009738D4" w:rsidRPr="003E299E">
        <w:rPr>
          <w:szCs w:val="22"/>
        </w:rPr>
        <w:t>t</w:t>
      </w:r>
      <w:r w:rsidR="00DC3412" w:rsidRPr="003E299E">
        <w:rPr>
          <w:szCs w:val="22"/>
        </w:rPr>
        <w:t xml:space="preserve"> late</w:t>
      </w:r>
      <w:r w:rsidR="0025258B" w:rsidRPr="003E299E">
        <w:rPr>
          <w:szCs w:val="22"/>
        </w:rPr>
        <w:t xml:space="preserve">r </w:t>
      </w:r>
      <w:r w:rsidR="0025258B" w:rsidRPr="000A29B3">
        <w:rPr>
          <w:szCs w:val="22"/>
        </w:rPr>
        <w:t xml:space="preserve">than 6 hours after </w:t>
      </w:r>
      <w:r w:rsidR="00DE4F45" w:rsidRPr="005C1E9E">
        <w:rPr>
          <w:szCs w:val="22"/>
        </w:rPr>
        <w:t>def</w:t>
      </w:r>
      <w:r w:rsidR="009844FF">
        <w:rPr>
          <w:szCs w:val="22"/>
        </w:rPr>
        <w:t>a</w:t>
      </w:r>
      <w:r w:rsidR="00DE4F45" w:rsidRPr="005C1E9E">
        <w:rPr>
          <w:szCs w:val="22"/>
        </w:rPr>
        <w:t>ecation</w:t>
      </w:r>
      <w:r w:rsidR="00DC3412" w:rsidRPr="005C1E9E">
        <w:rPr>
          <w:szCs w:val="22"/>
        </w:rPr>
        <w:t>:</w:t>
      </w:r>
    </w:p>
    <w:p w:rsidR="00DC3412" w:rsidRPr="000A29B3" w:rsidRDefault="00DC3412" w:rsidP="00C75EFA">
      <w:pPr>
        <w:pStyle w:val="paragraph"/>
        <w:rPr>
          <w:szCs w:val="22"/>
        </w:rPr>
      </w:pPr>
      <w:r w:rsidRPr="000A29B3">
        <w:rPr>
          <w:szCs w:val="22"/>
        </w:rPr>
        <w:tab/>
        <w:t>(a)</w:t>
      </w:r>
      <w:r w:rsidRPr="000A29B3">
        <w:rPr>
          <w:szCs w:val="22"/>
        </w:rPr>
        <w:tab/>
        <w:t>at ambient temperature (maximum 37°C); or</w:t>
      </w:r>
    </w:p>
    <w:p w:rsidR="00DC3412" w:rsidRDefault="00DC3412" w:rsidP="00C75EFA">
      <w:pPr>
        <w:pStyle w:val="paragraph"/>
        <w:rPr>
          <w:szCs w:val="22"/>
        </w:rPr>
      </w:pPr>
      <w:r w:rsidRPr="000A29B3">
        <w:rPr>
          <w:szCs w:val="22"/>
        </w:rPr>
        <w:tab/>
        <w:t>(b)</w:t>
      </w:r>
      <w:r w:rsidRPr="000A29B3">
        <w:rPr>
          <w:szCs w:val="22"/>
        </w:rPr>
        <w:tab/>
        <w:t xml:space="preserve">under specifications set and validated by the </w:t>
      </w:r>
      <w:r w:rsidRPr="00E5022B">
        <w:rPr>
          <w:szCs w:val="22"/>
        </w:rPr>
        <w:t>manufacturer</w:t>
      </w:r>
      <w:r w:rsidRPr="000A29B3">
        <w:rPr>
          <w:szCs w:val="22"/>
        </w:rPr>
        <w:t>.</w:t>
      </w:r>
    </w:p>
    <w:p w:rsidR="00655EC2" w:rsidRDefault="00655EC2" w:rsidP="00655EC2">
      <w:pPr>
        <w:pStyle w:val="subsection"/>
        <w:rPr>
          <w:szCs w:val="22"/>
        </w:rPr>
      </w:pPr>
      <w:r>
        <w:rPr>
          <w:szCs w:val="22"/>
        </w:rPr>
        <w:tab/>
        <w:t>(</w:t>
      </w:r>
      <w:r w:rsidR="005C1E9E">
        <w:rPr>
          <w:szCs w:val="22"/>
        </w:rPr>
        <w:t>4</w:t>
      </w:r>
      <w:r>
        <w:rPr>
          <w:szCs w:val="22"/>
        </w:rPr>
        <w:t>)</w:t>
      </w:r>
      <w:r>
        <w:rPr>
          <w:szCs w:val="22"/>
        </w:rPr>
        <w:tab/>
      </w:r>
      <w:r w:rsidR="009D07D3">
        <w:rPr>
          <w:szCs w:val="22"/>
        </w:rPr>
        <w:t xml:space="preserve">Fresh </w:t>
      </w:r>
      <w:r>
        <w:rPr>
          <w:szCs w:val="22"/>
        </w:rPr>
        <w:t>FMT products must be</w:t>
      </w:r>
      <w:r w:rsidR="000606CD">
        <w:rPr>
          <w:szCs w:val="22"/>
        </w:rPr>
        <w:t xml:space="preserve"> administered to, or applied in the treatment of, a person</w:t>
      </w:r>
      <w:r>
        <w:rPr>
          <w:szCs w:val="22"/>
        </w:rPr>
        <w:t>:</w:t>
      </w:r>
    </w:p>
    <w:p w:rsidR="00655EC2" w:rsidRDefault="00655EC2" w:rsidP="00C75EFA">
      <w:pPr>
        <w:pStyle w:val="paragraph"/>
        <w:rPr>
          <w:szCs w:val="22"/>
        </w:rPr>
      </w:pPr>
      <w:r>
        <w:rPr>
          <w:szCs w:val="22"/>
        </w:rPr>
        <w:tab/>
        <w:t>(a)</w:t>
      </w:r>
      <w:r>
        <w:rPr>
          <w:szCs w:val="22"/>
        </w:rPr>
        <w:tab/>
        <w:t xml:space="preserve">on the same day </w:t>
      </w:r>
      <w:r w:rsidR="009D07D3">
        <w:rPr>
          <w:szCs w:val="22"/>
        </w:rPr>
        <w:t xml:space="preserve">the </w:t>
      </w:r>
      <w:r>
        <w:rPr>
          <w:szCs w:val="22"/>
        </w:rPr>
        <w:t>stool is collected; or</w:t>
      </w:r>
    </w:p>
    <w:p w:rsidR="00655EC2" w:rsidRDefault="00655EC2" w:rsidP="00C75EFA">
      <w:pPr>
        <w:pStyle w:val="paragraph"/>
        <w:rPr>
          <w:szCs w:val="22"/>
        </w:rPr>
      </w:pPr>
      <w:r>
        <w:rPr>
          <w:szCs w:val="22"/>
        </w:rPr>
        <w:tab/>
        <w:t>(b)</w:t>
      </w:r>
      <w:r>
        <w:rPr>
          <w:szCs w:val="22"/>
        </w:rPr>
        <w:tab/>
      </w:r>
      <w:r w:rsidR="000606CD">
        <w:rPr>
          <w:szCs w:val="22"/>
        </w:rPr>
        <w:t>no</w:t>
      </w:r>
      <w:r w:rsidR="009738D4">
        <w:rPr>
          <w:szCs w:val="22"/>
        </w:rPr>
        <w:t>t</w:t>
      </w:r>
      <w:r w:rsidR="000606CD">
        <w:rPr>
          <w:szCs w:val="22"/>
        </w:rPr>
        <w:t xml:space="preserve"> later than 5 days after the stool is collected where the </w:t>
      </w:r>
      <w:r w:rsidR="009D07D3">
        <w:rPr>
          <w:szCs w:val="22"/>
        </w:rPr>
        <w:t xml:space="preserve">fresh </w:t>
      </w:r>
      <w:r w:rsidR="000606CD">
        <w:rPr>
          <w:szCs w:val="22"/>
        </w:rPr>
        <w:t>FMT product</w:t>
      </w:r>
      <w:r w:rsidR="00B633FF">
        <w:rPr>
          <w:szCs w:val="22"/>
        </w:rPr>
        <w:t>s</w:t>
      </w:r>
      <w:r w:rsidR="000606CD">
        <w:rPr>
          <w:szCs w:val="22"/>
        </w:rPr>
        <w:t xml:space="preserve"> </w:t>
      </w:r>
      <w:r w:rsidR="00B633FF">
        <w:rPr>
          <w:szCs w:val="22"/>
        </w:rPr>
        <w:t xml:space="preserve">are </w:t>
      </w:r>
      <w:r w:rsidR="000606CD">
        <w:rPr>
          <w:szCs w:val="22"/>
        </w:rPr>
        <w:t>stored under conditions</w:t>
      </w:r>
      <w:r w:rsidR="003F1F6B">
        <w:rPr>
          <w:szCs w:val="22"/>
        </w:rPr>
        <w:t xml:space="preserve"> that will not impact the quality, safety or efficacy of </w:t>
      </w:r>
      <w:r w:rsidR="00B633FF">
        <w:rPr>
          <w:szCs w:val="22"/>
        </w:rPr>
        <w:t xml:space="preserve">those </w:t>
      </w:r>
      <w:r w:rsidR="003F1F6B">
        <w:rPr>
          <w:szCs w:val="22"/>
        </w:rPr>
        <w:t>products</w:t>
      </w:r>
      <w:r w:rsidR="000606CD">
        <w:rPr>
          <w:szCs w:val="22"/>
        </w:rPr>
        <w:t>.</w:t>
      </w:r>
    </w:p>
    <w:p w:rsidR="00B06960" w:rsidRPr="00B06960" w:rsidRDefault="00B06960" w:rsidP="00C75EFA">
      <w:pPr>
        <w:pStyle w:val="SubsectionHead"/>
      </w:pPr>
      <w:r>
        <w:rPr>
          <w:szCs w:val="22"/>
        </w:rPr>
        <w:t xml:space="preserve">Storage </w:t>
      </w:r>
      <w:r w:rsidR="00FD5E06">
        <w:rPr>
          <w:szCs w:val="22"/>
        </w:rPr>
        <w:t xml:space="preserve">and transportation </w:t>
      </w:r>
      <w:r>
        <w:rPr>
          <w:szCs w:val="22"/>
        </w:rPr>
        <w:t>of stool and FMT products</w:t>
      </w:r>
    </w:p>
    <w:p w:rsidR="00F40628" w:rsidRPr="003222AC" w:rsidRDefault="00B06960" w:rsidP="00F40628">
      <w:pPr>
        <w:pStyle w:val="subsection"/>
      </w:pPr>
      <w:r>
        <w:rPr>
          <w:szCs w:val="22"/>
        </w:rPr>
        <w:tab/>
      </w:r>
      <w:r w:rsidR="00F40628">
        <w:rPr>
          <w:szCs w:val="22"/>
        </w:rPr>
        <w:t>(</w:t>
      </w:r>
      <w:r w:rsidR="005059D4">
        <w:rPr>
          <w:szCs w:val="22"/>
        </w:rPr>
        <w:t>5</w:t>
      </w:r>
      <w:r w:rsidR="00F40628">
        <w:rPr>
          <w:szCs w:val="22"/>
        </w:rPr>
        <w:t>)</w:t>
      </w:r>
      <w:r>
        <w:rPr>
          <w:szCs w:val="22"/>
        </w:rPr>
        <w:tab/>
      </w:r>
      <w:r w:rsidR="000B73B3">
        <w:rPr>
          <w:szCs w:val="22"/>
        </w:rPr>
        <w:t>FMT products</w:t>
      </w:r>
      <w:r w:rsidR="007637B8">
        <w:rPr>
          <w:szCs w:val="22"/>
        </w:rPr>
        <w:t xml:space="preserve">, </w:t>
      </w:r>
      <w:r w:rsidR="009D07D3">
        <w:rPr>
          <w:szCs w:val="22"/>
        </w:rPr>
        <w:t>other than fresh FMT products</w:t>
      </w:r>
      <w:r w:rsidR="007637B8">
        <w:rPr>
          <w:szCs w:val="22"/>
        </w:rPr>
        <w:t>,</w:t>
      </w:r>
      <w:r w:rsidR="000B73B3">
        <w:rPr>
          <w:szCs w:val="22"/>
        </w:rPr>
        <w:t xml:space="preserve"> and stool </w:t>
      </w:r>
      <w:r w:rsidR="002875DD">
        <w:rPr>
          <w:szCs w:val="22"/>
        </w:rPr>
        <w:t xml:space="preserve">to be </w:t>
      </w:r>
      <w:r w:rsidR="000B73B3">
        <w:rPr>
          <w:szCs w:val="22"/>
        </w:rPr>
        <w:t>used in the manufacture of FMT products</w:t>
      </w:r>
      <w:r w:rsidR="00777F52">
        <w:rPr>
          <w:szCs w:val="22"/>
        </w:rPr>
        <w:t xml:space="preserve"> must be</w:t>
      </w:r>
      <w:r w:rsidR="006520F6">
        <w:rPr>
          <w:szCs w:val="22"/>
        </w:rPr>
        <w:t xml:space="preserve"> </w:t>
      </w:r>
      <w:r w:rsidR="009B33CB">
        <w:rPr>
          <w:szCs w:val="22"/>
        </w:rPr>
        <w:t>stored</w:t>
      </w:r>
      <w:r w:rsidR="00777F52" w:rsidRPr="003E7466">
        <w:rPr>
          <w:szCs w:val="22"/>
        </w:rPr>
        <w:t>:</w:t>
      </w:r>
    </w:p>
    <w:p w:rsidR="00611F14" w:rsidRPr="004F54AC" w:rsidRDefault="00611F14">
      <w:pPr>
        <w:pStyle w:val="paragraph"/>
      </w:pPr>
      <w:r>
        <w:rPr>
          <w:szCs w:val="22"/>
        </w:rPr>
        <w:tab/>
        <w:t>(a)</w:t>
      </w:r>
      <w:r>
        <w:rPr>
          <w:szCs w:val="22"/>
        </w:rPr>
        <w:tab/>
      </w:r>
      <w:r w:rsidR="006520F6">
        <w:rPr>
          <w:szCs w:val="22"/>
        </w:rPr>
        <w:t>a</w:t>
      </w:r>
      <w:r w:rsidR="00777F52" w:rsidRPr="003E7466">
        <w:rPr>
          <w:szCs w:val="22"/>
        </w:rPr>
        <w:t xml:space="preserve">t </w:t>
      </w:r>
      <w:r w:rsidR="00777F52">
        <w:rPr>
          <w:szCs w:val="22"/>
        </w:rPr>
        <w:t>or below</w:t>
      </w:r>
      <w:r w:rsidR="00777F52" w:rsidRPr="003E7466">
        <w:rPr>
          <w:szCs w:val="22"/>
        </w:rPr>
        <w:t xml:space="preserve"> minus </w:t>
      </w:r>
      <w:r w:rsidR="00777F52">
        <w:rPr>
          <w:szCs w:val="22"/>
        </w:rPr>
        <w:t>7</w:t>
      </w:r>
      <w:r w:rsidR="00777F52" w:rsidRPr="003E7466">
        <w:rPr>
          <w:szCs w:val="22"/>
        </w:rPr>
        <w:t>0°C in a suitable cryo</w:t>
      </w:r>
      <w:r w:rsidR="006520F6">
        <w:rPr>
          <w:szCs w:val="22"/>
        </w:rPr>
        <w:t>preservation agent</w:t>
      </w:r>
      <w:r w:rsidR="00601D78">
        <w:rPr>
          <w:szCs w:val="22"/>
        </w:rPr>
        <w:t xml:space="preserve"> for no</w:t>
      </w:r>
      <w:r w:rsidR="009738D4">
        <w:rPr>
          <w:szCs w:val="22"/>
        </w:rPr>
        <w:t>t</w:t>
      </w:r>
      <w:r w:rsidR="00601D78">
        <w:rPr>
          <w:szCs w:val="22"/>
        </w:rPr>
        <w:t xml:space="preserve"> longer than 12 months</w:t>
      </w:r>
      <w:r w:rsidR="00777F52" w:rsidRPr="009B33CB">
        <w:rPr>
          <w:szCs w:val="22"/>
        </w:rPr>
        <w:t>; or</w:t>
      </w:r>
    </w:p>
    <w:p w:rsidR="009B33CB" w:rsidRPr="00977060" w:rsidRDefault="00611F14" w:rsidP="00C75EFA">
      <w:pPr>
        <w:pStyle w:val="paragraph"/>
      </w:pPr>
      <w:r>
        <w:rPr>
          <w:szCs w:val="22"/>
        </w:rPr>
        <w:tab/>
        <w:t>(b)</w:t>
      </w:r>
      <w:r>
        <w:rPr>
          <w:szCs w:val="22"/>
        </w:rPr>
        <w:tab/>
      </w:r>
      <w:r w:rsidR="009B33CB">
        <w:rPr>
          <w:szCs w:val="22"/>
        </w:rPr>
        <w:t xml:space="preserve">in accordance with </w:t>
      </w:r>
      <w:r w:rsidR="006520F6">
        <w:rPr>
          <w:szCs w:val="22"/>
        </w:rPr>
        <w:t xml:space="preserve">justified </w:t>
      </w:r>
      <w:r w:rsidR="00777F52">
        <w:rPr>
          <w:szCs w:val="22"/>
        </w:rPr>
        <w:t>time and temperature specifications</w:t>
      </w:r>
      <w:r w:rsidR="00777F52" w:rsidRPr="003E7466">
        <w:t>.</w:t>
      </w:r>
    </w:p>
    <w:p w:rsidR="00A15143" w:rsidRPr="0002240F" w:rsidRDefault="00F40628" w:rsidP="00A15143">
      <w:pPr>
        <w:pStyle w:val="subsection"/>
        <w:rPr>
          <w:szCs w:val="22"/>
        </w:rPr>
      </w:pPr>
      <w:r>
        <w:rPr>
          <w:szCs w:val="22"/>
        </w:rPr>
        <w:tab/>
        <w:t>(</w:t>
      </w:r>
      <w:r w:rsidR="00A15143">
        <w:rPr>
          <w:szCs w:val="22"/>
        </w:rPr>
        <w:t>6</w:t>
      </w:r>
      <w:r>
        <w:rPr>
          <w:szCs w:val="22"/>
        </w:rPr>
        <w:t>)</w:t>
      </w:r>
      <w:r>
        <w:rPr>
          <w:szCs w:val="22"/>
        </w:rPr>
        <w:tab/>
      </w:r>
      <w:r w:rsidR="00A15143">
        <w:rPr>
          <w:szCs w:val="22"/>
        </w:rPr>
        <w:t>FMT products</w:t>
      </w:r>
      <w:r w:rsidR="00A15143" w:rsidRPr="003E7466">
        <w:rPr>
          <w:szCs w:val="22"/>
        </w:rPr>
        <w:t xml:space="preserve"> must be </w:t>
      </w:r>
      <w:r w:rsidR="00A15143">
        <w:rPr>
          <w:szCs w:val="22"/>
        </w:rPr>
        <w:t xml:space="preserve">appropriately </w:t>
      </w:r>
      <w:r w:rsidR="00A15143" w:rsidRPr="003E7466">
        <w:rPr>
          <w:szCs w:val="22"/>
        </w:rPr>
        <w:t>seale</w:t>
      </w:r>
      <w:r w:rsidR="00A15143">
        <w:rPr>
          <w:szCs w:val="22"/>
        </w:rPr>
        <w:t>d within a sterile container that</w:t>
      </w:r>
      <w:r w:rsidR="00A15143" w:rsidRPr="003E7466">
        <w:rPr>
          <w:szCs w:val="22"/>
        </w:rPr>
        <w:t>:</w:t>
      </w:r>
    </w:p>
    <w:p w:rsidR="00A15143" w:rsidRPr="004F54AC" w:rsidRDefault="00A15143" w:rsidP="00A15143">
      <w:pPr>
        <w:pStyle w:val="paragraph"/>
      </w:pPr>
      <w:r>
        <w:rPr>
          <w:szCs w:val="22"/>
        </w:rPr>
        <w:tab/>
        <w:t>(a)</w:t>
      </w:r>
      <w:r>
        <w:rPr>
          <w:szCs w:val="22"/>
        </w:rPr>
        <w:tab/>
        <w:t>p</w:t>
      </w:r>
      <w:r w:rsidRPr="003E7466">
        <w:rPr>
          <w:szCs w:val="22"/>
        </w:rPr>
        <w:t>revent</w:t>
      </w:r>
      <w:r>
        <w:rPr>
          <w:szCs w:val="22"/>
        </w:rPr>
        <w:t>s</w:t>
      </w:r>
      <w:r w:rsidRPr="003E7466">
        <w:rPr>
          <w:szCs w:val="22"/>
        </w:rPr>
        <w:t xml:space="preserve"> </w:t>
      </w:r>
      <w:r>
        <w:rPr>
          <w:szCs w:val="22"/>
        </w:rPr>
        <w:t>leakage</w:t>
      </w:r>
      <w:r w:rsidRPr="003E7466">
        <w:rPr>
          <w:szCs w:val="22"/>
        </w:rPr>
        <w:t xml:space="preserve"> of the </w:t>
      </w:r>
      <w:r>
        <w:rPr>
          <w:szCs w:val="22"/>
        </w:rPr>
        <w:t>FMT products from the container</w:t>
      </w:r>
      <w:r w:rsidRPr="003E7466">
        <w:rPr>
          <w:szCs w:val="22"/>
        </w:rPr>
        <w:t>; and</w:t>
      </w:r>
    </w:p>
    <w:p w:rsidR="00A15143" w:rsidRDefault="00A15143" w:rsidP="00A15143">
      <w:pPr>
        <w:pStyle w:val="paragraph"/>
        <w:rPr>
          <w:szCs w:val="22"/>
        </w:rPr>
      </w:pPr>
      <w:r>
        <w:rPr>
          <w:szCs w:val="22"/>
        </w:rPr>
        <w:tab/>
        <w:t>(b)</w:t>
      </w:r>
      <w:r>
        <w:rPr>
          <w:szCs w:val="22"/>
        </w:rPr>
        <w:tab/>
        <w:t>e</w:t>
      </w:r>
      <w:r w:rsidRPr="003E7466">
        <w:rPr>
          <w:szCs w:val="22"/>
        </w:rPr>
        <w:t>nsure</w:t>
      </w:r>
      <w:r>
        <w:rPr>
          <w:szCs w:val="22"/>
        </w:rPr>
        <w:t>s</w:t>
      </w:r>
      <w:r w:rsidRPr="003E7466">
        <w:rPr>
          <w:szCs w:val="22"/>
        </w:rPr>
        <w:t xml:space="preserve"> that any breach of integrity of the container </w:t>
      </w:r>
      <w:r>
        <w:rPr>
          <w:szCs w:val="22"/>
        </w:rPr>
        <w:t xml:space="preserve">is </w:t>
      </w:r>
      <w:r w:rsidRPr="003E7466">
        <w:rPr>
          <w:szCs w:val="22"/>
        </w:rPr>
        <w:t>evident.</w:t>
      </w:r>
    </w:p>
    <w:p w:rsidR="00A15143" w:rsidRDefault="004368E7" w:rsidP="00A15143">
      <w:pPr>
        <w:pStyle w:val="subsection"/>
        <w:rPr>
          <w:szCs w:val="22"/>
        </w:rPr>
      </w:pPr>
      <w:r>
        <w:rPr>
          <w:szCs w:val="22"/>
        </w:rPr>
        <w:tab/>
      </w:r>
      <w:r w:rsidR="00A15143">
        <w:rPr>
          <w:szCs w:val="22"/>
        </w:rPr>
        <w:t>(7</w:t>
      </w:r>
      <w:r>
        <w:rPr>
          <w:szCs w:val="22"/>
        </w:rPr>
        <w:t>)</w:t>
      </w:r>
      <w:r>
        <w:rPr>
          <w:szCs w:val="22"/>
        </w:rPr>
        <w:tab/>
      </w:r>
      <w:r w:rsidR="00A15143">
        <w:rPr>
          <w:szCs w:val="22"/>
        </w:rPr>
        <w:t>FMT products, other than fresh FMT products, must be transported in accordance with justified time and temperature specifications.</w:t>
      </w:r>
    </w:p>
    <w:p w:rsidR="00D224CC" w:rsidRDefault="00D224CC" w:rsidP="00611F14">
      <w:pPr>
        <w:pStyle w:val="paragraph"/>
      </w:pPr>
    </w:p>
    <w:p w:rsidR="00D224CC" w:rsidRDefault="00D224CC">
      <w:pPr>
        <w:spacing w:line="240" w:lineRule="auto"/>
        <w:rPr>
          <w:rFonts w:eastAsia="Times New Roman" w:cs="Times New Roman"/>
          <w:lang w:eastAsia="en-AU"/>
        </w:rPr>
      </w:pPr>
      <w:r>
        <w:br w:type="page"/>
      </w:r>
    </w:p>
    <w:p w:rsidR="00C80EF8" w:rsidRDefault="00C80EF8" w:rsidP="00E5022B">
      <w:pPr>
        <w:pStyle w:val="ActHead6"/>
        <w:ind w:left="0" w:firstLine="0"/>
      </w:pPr>
      <w:bookmarkStart w:id="29" w:name="_Toc45012902"/>
      <w:bookmarkStart w:id="30" w:name="_Toc47109920"/>
      <w:bookmarkEnd w:id="8"/>
      <w:r>
        <w:t xml:space="preserve">Schedule </w:t>
      </w:r>
      <w:r w:rsidRPr="004E1307">
        <w:t>1—</w:t>
      </w:r>
      <w:r w:rsidR="00D224CC">
        <w:t>Ineligibility criteria for donor selection</w:t>
      </w:r>
      <w:bookmarkEnd w:id="29"/>
      <w:bookmarkEnd w:id="30"/>
    </w:p>
    <w:p w:rsidR="00C80EF8" w:rsidRDefault="00C80EF8" w:rsidP="00C80EF8">
      <w:pPr>
        <w:pStyle w:val="notemargin"/>
        <w:spacing w:after="240"/>
        <w:ind w:left="0" w:firstLine="0"/>
      </w:pPr>
      <w:r>
        <w:t>Note:</w:t>
      </w:r>
      <w:r>
        <w:tab/>
        <w:t>See section</w:t>
      </w:r>
      <w:r w:rsidR="00854075">
        <w:t xml:space="preserve"> </w:t>
      </w:r>
      <w:r w:rsidR="00854075" w:rsidRPr="009E5804">
        <w:t>1</w:t>
      </w:r>
      <w:r w:rsidR="00182104" w:rsidRPr="009E5804">
        <w:t>2</w:t>
      </w:r>
      <w:r w:rsidR="00854075">
        <w:t>.</w:t>
      </w: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276"/>
        <w:gridCol w:w="4111"/>
        <w:gridCol w:w="2977"/>
      </w:tblGrid>
      <w:tr w:rsidR="00C80EF8" w:rsidRPr="003D127F" w:rsidTr="00C80EF8">
        <w:trPr>
          <w:tblHeader/>
          <w:jc w:val="center"/>
        </w:trPr>
        <w:tc>
          <w:tcPr>
            <w:tcW w:w="8364" w:type="dxa"/>
            <w:gridSpan w:val="3"/>
            <w:tcBorders>
              <w:top w:val="single" w:sz="12" w:space="0" w:color="auto"/>
              <w:bottom w:val="single" w:sz="6" w:space="0" w:color="auto"/>
            </w:tcBorders>
            <w:shd w:val="clear" w:color="auto" w:fill="auto"/>
            <w:hideMark/>
          </w:tcPr>
          <w:p w:rsidR="00C80EF8" w:rsidRPr="003D127F" w:rsidRDefault="00C80EF8" w:rsidP="00C80EF8">
            <w:pPr>
              <w:pStyle w:val="TableHeading"/>
            </w:pPr>
            <w:r w:rsidRPr="003D127F">
              <w:t xml:space="preserve">Ineligibility criteria for donor selection </w:t>
            </w:r>
          </w:p>
        </w:tc>
      </w:tr>
      <w:tr w:rsidR="00C80EF8" w:rsidRPr="003D127F" w:rsidTr="00C80EF8">
        <w:trPr>
          <w:tblHeader/>
          <w:jc w:val="center"/>
        </w:trPr>
        <w:tc>
          <w:tcPr>
            <w:tcW w:w="1276" w:type="dxa"/>
            <w:tcBorders>
              <w:top w:val="single" w:sz="6" w:space="0" w:color="auto"/>
              <w:bottom w:val="single" w:sz="6" w:space="0" w:color="auto"/>
            </w:tcBorders>
            <w:shd w:val="clear" w:color="auto" w:fill="auto"/>
            <w:hideMark/>
          </w:tcPr>
          <w:p w:rsidR="00C80EF8" w:rsidRPr="003D127F" w:rsidRDefault="00C80EF8" w:rsidP="00C80EF8">
            <w:pPr>
              <w:pStyle w:val="TableHeading"/>
            </w:pPr>
            <w:r w:rsidRPr="003D127F">
              <w:t>Column 1</w:t>
            </w:r>
          </w:p>
        </w:tc>
        <w:tc>
          <w:tcPr>
            <w:tcW w:w="4111" w:type="dxa"/>
            <w:tcBorders>
              <w:top w:val="single" w:sz="6" w:space="0" w:color="auto"/>
              <w:bottom w:val="single" w:sz="6" w:space="0" w:color="auto"/>
            </w:tcBorders>
            <w:shd w:val="clear" w:color="auto" w:fill="auto"/>
            <w:hideMark/>
          </w:tcPr>
          <w:p w:rsidR="00C80EF8" w:rsidRPr="003D127F" w:rsidRDefault="00C80EF8" w:rsidP="00C80EF8">
            <w:pPr>
              <w:pStyle w:val="TableHeading"/>
            </w:pPr>
            <w:r w:rsidRPr="003D127F">
              <w:t>Column 2</w:t>
            </w:r>
          </w:p>
        </w:tc>
        <w:tc>
          <w:tcPr>
            <w:tcW w:w="2977" w:type="dxa"/>
            <w:tcBorders>
              <w:top w:val="single" w:sz="6" w:space="0" w:color="auto"/>
              <w:bottom w:val="single" w:sz="6" w:space="0" w:color="auto"/>
            </w:tcBorders>
            <w:shd w:val="clear" w:color="auto" w:fill="auto"/>
            <w:hideMark/>
          </w:tcPr>
          <w:p w:rsidR="00C80EF8" w:rsidRPr="003D127F" w:rsidRDefault="00C80EF8" w:rsidP="00C80EF8">
            <w:pPr>
              <w:pStyle w:val="TableHeading"/>
            </w:pPr>
            <w:r w:rsidRPr="003D127F">
              <w:t>Column 3</w:t>
            </w:r>
          </w:p>
        </w:tc>
      </w:tr>
      <w:tr w:rsidR="00C80EF8" w:rsidRPr="003D127F" w:rsidTr="00C80EF8">
        <w:trPr>
          <w:tblHeader/>
          <w:jc w:val="center"/>
        </w:trPr>
        <w:tc>
          <w:tcPr>
            <w:tcW w:w="1276" w:type="dxa"/>
            <w:tcBorders>
              <w:top w:val="single" w:sz="6" w:space="0" w:color="auto"/>
              <w:bottom w:val="single" w:sz="12" w:space="0" w:color="auto"/>
            </w:tcBorders>
            <w:shd w:val="clear" w:color="auto" w:fill="auto"/>
            <w:hideMark/>
          </w:tcPr>
          <w:p w:rsidR="00C80EF8" w:rsidRPr="003D127F" w:rsidRDefault="00C80EF8" w:rsidP="00C80EF8">
            <w:pPr>
              <w:pStyle w:val="TableHeading"/>
            </w:pPr>
            <w:r w:rsidRPr="003D127F">
              <w:t>Item</w:t>
            </w:r>
          </w:p>
        </w:tc>
        <w:tc>
          <w:tcPr>
            <w:tcW w:w="4111" w:type="dxa"/>
            <w:tcBorders>
              <w:top w:val="single" w:sz="6" w:space="0" w:color="auto"/>
              <w:bottom w:val="single" w:sz="12" w:space="0" w:color="auto"/>
            </w:tcBorders>
            <w:shd w:val="clear" w:color="auto" w:fill="auto"/>
            <w:hideMark/>
          </w:tcPr>
          <w:p w:rsidR="00C80EF8" w:rsidRPr="003D127F" w:rsidRDefault="00C80EF8" w:rsidP="00C80EF8">
            <w:pPr>
              <w:pStyle w:val="TableHeading"/>
            </w:pPr>
            <w:r w:rsidRPr="003D127F">
              <w:t>Medical and social history criteria</w:t>
            </w:r>
          </w:p>
        </w:tc>
        <w:tc>
          <w:tcPr>
            <w:tcW w:w="2977" w:type="dxa"/>
            <w:tcBorders>
              <w:top w:val="single" w:sz="6" w:space="0" w:color="auto"/>
              <w:bottom w:val="single" w:sz="12" w:space="0" w:color="auto"/>
            </w:tcBorders>
            <w:shd w:val="clear" w:color="auto" w:fill="auto"/>
            <w:hideMark/>
          </w:tcPr>
          <w:p w:rsidR="00C80EF8" w:rsidRPr="003D127F" w:rsidRDefault="00C80EF8" w:rsidP="008033FA">
            <w:pPr>
              <w:pStyle w:val="TableHeading"/>
            </w:pPr>
            <w:r w:rsidRPr="003D127F">
              <w:t>Period of ineligibilit</w:t>
            </w:r>
            <w:r w:rsidR="00FD256D">
              <w:t>y</w:t>
            </w:r>
          </w:p>
        </w:tc>
      </w:tr>
      <w:tr w:rsidR="00C80EF8" w:rsidRPr="003D127F" w:rsidTr="00C80EF8">
        <w:trPr>
          <w:jc w:val="center"/>
        </w:trPr>
        <w:tc>
          <w:tcPr>
            <w:tcW w:w="1276" w:type="dxa"/>
            <w:tcBorders>
              <w:top w:val="single" w:sz="12" w:space="0" w:color="auto"/>
              <w:bottom w:val="single" w:sz="6" w:space="0" w:color="auto"/>
            </w:tcBorders>
            <w:shd w:val="clear" w:color="auto" w:fill="auto"/>
            <w:hideMark/>
          </w:tcPr>
          <w:p w:rsidR="00C80EF8" w:rsidRPr="003D127F" w:rsidRDefault="00C80EF8" w:rsidP="00C80EF8">
            <w:pPr>
              <w:pStyle w:val="Tabletext"/>
              <w:rPr>
                <w:i/>
              </w:rPr>
            </w:pPr>
            <w:r w:rsidRPr="003D127F">
              <w:t>1</w:t>
            </w:r>
          </w:p>
        </w:tc>
        <w:tc>
          <w:tcPr>
            <w:tcW w:w="4111" w:type="dxa"/>
            <w:tcBorders>
              <w:top w:val="single" w:sz="12" w:space="0" w:color="auto"/>
              <w:bottom w:val="single" w:sz="6" w:space="0" w:color="auto"/>
            </w:tcBorders>
            <w:shd w:val="clear" w:color="auto" w:fill="auto"/>
            <w:hideMark/>
          </w:tcPr>
          <w:p w:rsidR="00C80EF8" w:rsidRPr="003D127F" w:rsidRDefault="00C80EF8" w:rsidP="00C80EF8">
            <w:pPr>
              <w:pStyle w:val="Tabletext"/>
              <w:ind w:left="370" w:hanging="370"/>
            </w:pPr>
            <w:r w:rsidRPr="003D127F">
              <w:t>a person who is infected with:</w:t>
            </w:r>
          </w:p>
          <w:p w:rsidR="00C80EF8" w:rsidRPr="003D127F" w:rsidRDefault="00C80EF8" w:rsidP="00C80EF8">
            <w:pPr>
              <w:pStyle w:val="Tabletext"/>
              <w:ind w:left="370" w:hanging="370"/>
            </w:pPr>
            <w:r w:rsidRPr="003D127F">
              <w:t>(a)</w:t>
            </w:r>
            <w:r w:rsidRPr="003D127F">
              <w:tab/>
              <w:t>HIV-1;</w:t>
            </w:r>
          </w:p>
          <w:p w:rsidR="00C80EF8" w:rsidRPr="003D127F" w:rsidRDefault="00C80EF8" w:rsidP="00C80EF8">
            <w:pPr>
              <w:pStyle w:val="Tabletext"/>
              <w:ind w:left="370" w:hanging="370"/>
            </w:pPr>
            <w:r w:rsidRPr="003D127F">
              <w:t>(b)</w:t>
            </w:r>
            <w:r w:rsidRPr="003D127F">
              <w:tab/>
              <w:t>HIV-2;</w:t>
            </w:r>
          </w:p>
          <w:p w:rsidR="00C80EF8" w:rsidRPr="003D127F" w:rsidRDefault="00C80EF8" w:rsidP="00C80EF8">
            <w:pPr>
              <w:pStyle w:val="Tabletext"/>
              <w:ind w:left="370" w:hanging="370"/>
            </w:pPr>
            <w:r w:rsidRPr="003D127F">
              <w:t>(c)</w:t>
            </w:r>
            <w:r w:rsidRPr="003D127F">
              <w:tab/>
              <w:t>HTLV-1;</w:t>
            </w:r>
          </w:p>
          <w:p w:rsidR="00C80EF8" w:rsidRPr="003D127F" w:rsidRDefault="00C80EF8" w:rsidP="00C80EF8">
            <w:pPr>
              <w:pStyle w:val="Tabletext"/>
              <w:ind w:left="370" w:hanging="370"/>
            </w:pPr>
            <w:r w:rsidRPr="003D127F">
              <w:t>(d)</w:t>
            </w:r>
            <w:r w:rsidRPr="003D127F">
              <w:tab/>
              <w:t>HTLV-2; or</w:t>
            </w:r>
          </w:p>
          <w:p w:rsidR="00C80EF8" w:rsidRPr="003D127F" w:rsidRDefault="00C80EF8" w:rsidP="00C80EF8">
            <w:pPr>
              <w:pStyle w:val="Tabletext"/>
              <w:ind w:left="370" w:hanging="370"/>
            </w:pPr>
            <w:r w:rsidRPr="003D127F">
              <w:t>(e)</w:t>
            </w:r>
            <w:r w:rsidRPr="003D127F">
              <w:tab/>
              <w:t>syphilis</w:t>
            </w:r>
          </w:p>
        </w:tc>
        <w:tc>
          <w:tcPr>
            <w:tcW w:w="2977" w:type="dxa"/>
            <w:tcBorders>
              <w:top w:val="single" w:sz="12" w:space="0" w:color="auto"/>
              <w:bottom w:val="single" w:sz="6" w:space="0" w:color="auto"/>
            </w:tcBorders>
            <w:shd w:val="clear" w:color="auto" w:fill="auto"/>
          </w:tcPr>
          <w:p w:rsidR="00C80EF8" w:rsidRPr="003D127F" w:rsidRDefault="00C80EF8" w:rsidP="00C80EF8">
            <w:pPr>
              <w:pStyle w:val="Tabletext"/>
              <w:ind w:left="370" w:hanging="370"/>
            </w:pPr>
            <w:r w:rsidRPr="003D127F">
              <w:t>permanently ineligible</w:t>
            </w:r>
          </w:p>
        </w:tc>
      </w:tr>
      <w:tr w:rsidR="00C80EF8" w:rsidRPr="003D127F" w:rsidTr="00C80EF8">
        <w:trPr>
          <w:jc w:val="center"/>
        </w:trPr>
        <w:tc>
          <w:tcPr>
            <w:tcW w:w="1276" w:type="dxa"/>
            <w:tcBorders>
              <w:top w:val="single" w:sz="6" w:space="0" w:color="auto"/>
              <w:bottom w:val="single" w:sz="6" w:space="0" w:color="auto"/>
            </w:tcBorders>
            <w:shd w:val="clear" w:color="auto" w:fill="auto"/>
          </w:tcPr>
          <w:p w:rsidR="00C80EF8" w:rsidRPr="003D127F" w:rsidRDefault="00601D78" w:rsidP="00C80EF8">
            <w:pPr>
              <w:pStyle w:val="Tabletext"/>
            </w:pPr>
            <w:r>
              <w:t>2</w:t>
            </w:r>
          </w:p>
        </w:tc>
        <w:tc>
          <w:tcPr>
            <w:tcW w:w="4111" w:type="dxa"/>
            <w:tcBorders>
              <w:top w:val="single" w:sz="6" w:space="0" w:color="auto"/>
              <w:bottom w:val="single" w:sz="6" w:space="0" w:color="auto"/>
            </w:tcBorders>
            <w:shd w:val="clear" w:color="auto" w:fill="auto"/>
          </w:tcPr>
          <w:p w:rsidR="00C80EF8" w:rsidRPr="003D127F" w:rsidRDefault="00C80EF8" w:rsidP="00C80EF8">
            <w:pPr>
              <w:pStyle w:val="Tabletext"/>
              <w:ind w:left="370" w:hanging="370"/>
            </w:pPr>
            <w:r w:rsidRPr="003D127F">
              <w:t>a person who is infected with:</w:t>
            </w:r>
          </w:p>
          <w:p w:rsidR="00C80EF8" w:rsidRPr="003D127F" w:rsidRDefault="00C80EF8" w:rsidP="00C80EF8">
            <w:pPr>
              <w:pStyle w:val="Tabletext"/>
              <w:ind w:left="370" w:hanging="370"/>
            </w:pPr>
            <w:r w:rsidRPr="003D127F">
              <w:t>(a)</w:t>
            </w:r>
            <w:r w:rsidRPr="003D127F">
              <w:tab/>
              <w:t>HAV;</w:t>
            </w:r>
          </w:p>
          <w:p w:rsidR="00C80EF8" w:rsidRPr="003D127F" w:rsidRDefault="00C80EF8" w:rsidP="00C80EF8">
            <w:pPr>
              <w:pStyle w:val="Tabletext"/>
              <w:ind w:left="370" w:hanging="370"/>
            </w:pPr>
            <w:r w:rsidRPr="003D127F">
              <w:t>(b)</w:t>
            </w:r>
            <w:r w:rsidRPr="003D127F">
              <w:tab/>
              <w:t>HBV; or</w:t>
            </w:r>
          </w:p>
          <w:p w:rsidR="00C80EF8" w:rsidRPr="003D127F" w:rsidRDefault="00C80EF8" w:rsidP="00C80EF8">
            <w:pPr>
              <w:pStyle w:val="Tabletext"/>
              <w:ind w:left="370" w:hanging="370"/>
            </w:pPr>
            <w:r w:rsidRPr="003D127F">
              <w:t>(c)</w:t>
            </w:r>
            <w:r w:rsidRPr="003D127F">
              <w:tab/>
              <w:t>HCV</w:t>
            </w:r>
          </w:p>
        </w:tc>
        <w:tc>
          <w:tcPr>
            <w:tcW w:w="2977" w:type="dxa"/>
            <w:tcBorders>
              <w:top w:val="single" w:sz="6" w:space="0" w:color="auto"/>
              <w:bottom w:val="single" w:sz="6" w:space="0" w:color="auto"/>
            </w:tcBorders>
            <w:shd w:val="clear" w:color="auto" w:fill="auto"/>
          </w:tcPr>
          <w:p w:rsidR="00C80EF8" w:rsidRPr="003D127F" w:rsidRDefault="00C80EF8" w:rsidP="00C80EF8">
            <w:pPr>
              <w:pStyle w:val="Tabletext"/>
            </w:pPr>
            <w:r w:rsidRPr="003D127F">
              <w:t>ineligible until an uninfected state is established</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3D127F" w:rsidRDefault="00601D78" w:rsidP="00C80EF8">
            <w:pPr>
              <w:pStyle w:val="Tabletext"/>
            </w:pPr>
            <w:r>
              <w:t>3</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been a recipient of viable, non-human animal cells or tissues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4</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a person who </w:t>
            </w:r>
            <w:r w:rsidRPr="00E5022B">
              <w:t>is at risk of prion disease because the person</w:t>
            </w:r>
            <w:r w:rsidRPr="000A29B3">
              <w:t xml:space="preserve"> </w:t>
            </w:r>
            <w:r w:rsidRPr="00E5022B">
              <w:t xml:space="preserve">has </w:t>
            </w:r>
            <w:r w:rsidR="002875DD">
              <w:t xml:space="preserve">been, or </w:t>
            </w:r>
            <w:r w:rsidR="00C640D7">
              <w:t xml:space="preserve">potentially </w:t>
            </w:r>
            <w:r w:rsidRPr="00E5022B">
              <w:t>been</w:t>
            </w:r>
            <w:r w:rsidR="002875DD">
              <w:t>,</w:t>
            </w:r>
            <w:r w:rsidRPr="000A29B3">
              <w:t xml:space="preserve"> exposed to the putative causative agent of one of the family of pathogenic transmissible spongiform encephalopathies, including:</w:t>
            </w:r>
          </w:p>
          <w:p w:rsidR="00C80EF8" w:rsidRPr="00E5022B" w:rsidRDefault="00C80EF8" w:rsidP="00C80EF8">
            <w:pPr>
              <w:pStyle w:val="Tabletext"/>
              <w:ind w:left="370" w:hanging="370"/>
            </w:pPr>
            <w:r w:rsidRPr="00E5022B">
              <w:t>(a)</w:t>
            </w:r>
            <w:r w:rsidRPr="00E5022B">
              <w:tab/>
              <w:t>genetic (familial) exposure;</w:t>
            </w:r>
          </w:p>
          <w:p w:rsidR="00C80EF8" w:rsidRPr="00E5022B" w:rsidRDefault="00C80EF8" w:rsidP="00C80EF8">
            <w:pPr>
              <w:pStyle w:val="Tabletext"/>
              <w:ind w:left="370" w:hanging="370"/>
            </w:pPr>
            <w:r w:rsidRPr="00E5022B">
              <w:t>(b)</w:t>
            </w:r>
            <w:r w:rsidRPr="00E5022B">
              <w:tab/>
              <w:t xml:space="preserve">environmental exposure, including living in or visiting England, Scotland, Wales, Northern Ireland or the Isle of Man for a cumulative period of </w:t>
            </w:r>
            <w:r w:rsidR="007A611D">
              <w:t>6</w:t>
            </w:r>
            <w:r w:rsidR="007A611D" w:rsidRPr="00E5022B">
              <w:t xml:space="preserve"> </w:t>
            </w:r>
            <w:r w:rsidRPr="00E5022B">
              <w:t>months or more, at any time between 1 January 1980 and 31 December 1996; or</w:t>
            </w:r>
          </w:p>
          <w:p w:rsidR="00C80EF8" w:rsidRPr="000A29B3" w:rsidRDefault="00C80EF8" w:rsidP="00C80EF8">
            <w:pPr>
              <w:pStyle w:val="Tabletext"/>
              <w:ind w:left="370" w:hanging="370"/>
            </w:pPr>
            <w:r w:rsidRPr="00E5022B">
              <w:t>(c)</w:t>
            </w:r>
            <w:r w:rsidRPr="00E5022B">
              <w:tab/>
              <w:t xml:space="preserve">iatrogenic exposure, including receiving a transfusion or injection of blood or blood components while in England, </w:t>
            </w:r>
            <w:r w:rsidRPr="000A29B3">
              <w:t>Scotland</w:t>
            </w:r>
            <w:r w:rsidRPr="00E5022B">
              <w:t>, Wales, Northern Ireland or the Isle of Man  at any time on or after 1 January 1980</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5</w:t>
            </w:r>
          </w:p>
        </w:tc>
        <w:tc>
          <w:tcPr>
            <w:tcW w:w="4111" w:type="dxa"/>
            <w:tcBorders>
              <w:top w:val="single" w:sz="6" w:space="0" w:color="auto"/>
              <w:bottom w:val="single" w:sz="6" w:space="0" w:color="auto"/>
            </w:tcBorders>
            <w:shd w:val="clear" w:color="auto" w:fill="auto"/>
          </w:tcPr>
          <w:p w:rsidR="00C80EF8" w:rsidRPr="000A29B3" w:rsidRDefault="00C80EF8" w:rsidP="00C640D7">
            <w:pPr>
              <w:pStyle w:val="Tabletext"/>
            </w:pPr>
            <w:r w:rsidRPr="000A29B3">
              <w:t xml:space="preserve">a person who </w:t>
            </w:r>
            <w:r w:rsidRPr="00E5022B">
              <w:t xml:space="preserve">has </w:t>
            </w:r>
            <w:r w:rsidR="00C640D7">
              <w:t xml:space="preserve">received an </w:t>
            </w:r>
            <w:r w:rsidRPr="00E5022B">
              <w:t>inject</w:t>
            </w:r>
            <w:r w:rsidR="00C640D7">
              <w:t>ion of any substance in connection with a use that is not a therapeutic use</w:t>
            </w:r>
            <w:r w:rsidR="003F1F6B">
              <w:t xml:space="preserve"> or cosmetic use</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ineligible for at least 5 years from the </w:t>
            </w:r>
            <w:r w:rsidRPr="00E5022B">
              <w:t>last</w:t>
            </w:r>
            <w:r w:rsidRPr="000A29B3">
              <w:t xml:space="preserve"> injection</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6</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engaged in sexual activity that puts the person at an increased risk of acquiring infectious diseases that could be transmitted through stool</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ineligible for at least 12 months from the last sexual </w:t>
            </w:r>
            <w:r w:rsidRPr="00E5022B">
              <w:t>contact</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7</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a person who has been exposed to any of the following risks of acquiring a blood borne infection </w:t>
            </w:r>
            <w:r w:rsidRPr="00E5022B">
              <w:t>transmissible by stool</w:t>
            </w:r>
            <w:r w:rsidRPr="000A29B3">
              <w:t>:</w:t>
            </w:r>
          </w:p>
          <w:p w:rsidR="00C80EF8" w:rsidRPr="000A29B3" w:rsidRDefault="00C80EF8" w:rsidP="00C80EF8">
            <w:pPr>
              <w:pStyle w:val="Tabletext"/>
              <w:ind w:left="370" w:hanging="370"/>
            </w:pPr>
            <w:r w:rsidRPr="000A29B3">
              <w:t>(a)</w:t>
            </w:r>
            <w:r w:rsidRPr="000A29B3">
              <w:tab/>
              <w:t>mucosal splash with blood or other bodily fluids;</w:t>
            </w:r>
          </w:p>
          <w:p w:rsidR="00C80EF8" w:rsidRPr="000A29B3" w:rsidRDefault="00C80EF8" w:rsidP="00C80EF8">
            <w:pPr>
              <w:pStyle w:val="Tabletext"/>
              <w:ind w:left="370" w:hanging="370"/>
            </w:pPr>
            <w:r w:rsidRPr="000A29B3">
              <w:t>(b)</w:t>
            </w:r>
            <w:r w:rsidRPr="000A29B3">
              <w:tab/>
              <w:t>needle stick injury;</w:t>
            </w:r>
          </w:p>
          <w:p w:rsidR="00C80EF8" w:rsidRPr="000A29B3" w:rsidRDefault="00C80EF8" w:rsidP="00C80EF8">
            <w:pPr>
              <w:pStyle w:val="Tabletext"/>
              <w:ind w:left="370" w:hanging="370"/>
            </w:pPr>
            <w:r w:rsidRPr="000A29B3">
              <w:t>(c)</w:t>
            </w:r>
            <w:r w:rsidRPr="000A29B3">
              <w:tab/>
              <w:t>tattoo;</w:t>
            </w:r>
          </w:p>
          <w:p w:rsidR="00C80EF8" w:rsidRPr="000A29B3" w:rsidRDefault="00C80EF8" w:rsidP="00C80EF8">
            <w:pPr>
              <w:pStyle w:val="Tabletext"/>
              <w:ind w:left="370" w:hanging="370"/>
            </w:pPr>
            <w:r w:rsidRPr="000A29B3">
              <w:t>(d)</w:t>
            </w:r>
            <w:r w:rsidRPr="000A29B3">
              <w:tab/>
              <w:t>body piercing (including earring); or</w:t>
            </w:r>
          </w:p>
          <w:p w:rsidR="00C80EF8" w:rsidRPr="000A29B3" w:rsidRDefault="00C80EF8" w:rsidP="00C80EF8">
            <w:pPr>
              <w:pStyle w:val="Tabletext"/>
              <w:ind w:left="370" w:hanging="370"/>
            </w:pPr>
            <w:r w:rsidRPr="000A29B3">
              <w:t>(e)</w:t>
            </w:r>
            <w:r w:rsidRPr="000A29B3">
              <w:tab/>
              <w:t>acupuncture or dry-needling, unless performed using sterile, single-use needles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ind w:left="370" w:hanging="370"/>
            </w:pPr>
            <w:r w:rsidRPr="000A29B3">
              <w:t>(a)</w:t>
            </w:r>
            <w:r w:rsidRPr="000A29B3">
              <w:tab/>
              <w:t xml:space="preserve">where the person tests negative for HCV using </w:t>
            </w:r>
            <w:r w:rsidR="00B641CA">
              <w:t>nucleic acid amplification testing</w:t>
            </w:r>
            <w:r w:rsidRPr="000A29B3">
              <w:t>—ineligible for at least 4 months from exposure; or</w:t>
            </w:r>
          </w:p>
          <w:p w:rsidR="00C80EF8" w:rsidRPr="000A29B3" w:rsidRDefault="00C80EF8" w:rsidP="00C80EF8">
            <w:pPr>
              <w:pStyle w:val="Tabletext"/>
              <w:ind w:left="370" w:hanging="370"/>
            </w:pPr>
            <w:r w:rsidRPr="000A29B3">
              <w:t>(b)</w:t>
            </w:r>
            <w:r w:rsidRPr="000A29B3">
              <w:tab/>
              <w:t>in all other circumstances—ineligible for at least 6 months from exposure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8</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a person who </w:t>
            </w:r>
            <w:r w:rsidRPr="00E5022B">
              <w:t>has been a recipient of</w:t>
            </w:r>
            <w:r w:rsidRPr="000A29B3">
              <w:t xml:space="preserve"> human pituitary-derived hormone</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9</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an active infection, fever or infectious illness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ineligible for at least 2 weeks from the date of full recovery</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10</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history of functional gastrointestinal disorders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11</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history of gastrointestinal malignancy</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12</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known genetic polyp condition</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13</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history of major gastrointestinal surgery</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14</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using antibiotics or immunosuppressive agents</w:t>
            </w:r>
          </w:p>
        </w:tc>
        <w:tc>
          <w:tcPr>
            <w:tcW w:w="2977" w:type="dxa"/>
            <w:tcBorders>
              <w:top w:val="single" w:sz="6" w:space="0" w:color="auto"/>
              <w:bottom w:val="single" w:sz="6" w:space="0" w:color="auto"/>
            </w:tcBorders>
            <w:shd w:val="clear" w:color="auto" w:fill="auto"/>
          </w:tcPr>
          <w:p w:rsidR="00C80EF8" w:rsidRPr="000A29B3" w:rsidRDefault="00C80EF8" w:rsidP="00817CB8">
            <w:pPr>
              <w:pStyle w:val="Tabletext"/>
            </w:pPr>
            <w:r w:rsidRPr="000A29B3">
              <w:t xml:space="preserve">ineligible for at least </w:t>
            </w:r>
            <w:r w:rsidR="003E07C1">
              <w:t>90 days</w:t>
            </w:r>
            <w:r w:rsidRPr="000A29B3">
              <w:t xml:space="preserve"> from </w:t>
            </w:r>
            <w:r w:rsidRPr="00E5022B">
              <w:t>ceasing</w:t>
            </w:r>
            <w:r w:rsidRPr="000A29B3">
              <w:t xml:space="preserve"> use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15</w:t>
            </w:r>
          </w:p>
        </w:tc>
        <w:tc>
          <w:tcPr>
            <w:tcW w:w="4111" w:type="dxa"/>
            <w:tcBorders>
              <w:top w:val="single" w:sz="6" w:space="0" w:color="auto"/>
              <w:bottom w:val="single" w:sz="6" w:space="0" w:color="auto"/>
            </w:tcBorders>
            <w:shd w:val="clear" w:color="auto" w:fill="auto"/>
          </w:tcPr>
          <w:p w:rsidR="00C80EF8" w:rsidRPr="000A29B3" w:rsidRDefault="00C80EF8" w:rsidP="009E5804">
            <w:pPr>
              <w:pStyle w:val="Tabletext"/>
            </w:pPr>
            <w:r w:rsidRPr="000A29B3">
              <w:t>a person who has symptoms of a gastrointestinal illness</w:t>
            </w:r>
            <w:r w:rsidR="00C640D7">
              <w:t xml:space="preserve"> </w:t>
            </w:r>
            <w:r w:rsidRPr="000A29B3">
              <w:t xml:space="preserve">including </w:t>
            </w:r>
            <w:r w:rsidR="00C640D7">
              <w:t xml:space="preserve">abdominal pain, </w:t>
            </w:r>
            <w:r w:rsidRPr="000A29B3">
              <w:t xml:space="preserve">diarrhoea, </w:t>
            </w:r>
            <w:r w:rsidR="00C640D7">
              <w:t xml:space="preserve">fever, nausea, </w:t>
            </w:r>
            <w:r w:rsidRPr="000A29B3">
              <w:t xml:space="preserve">vomiting, </w:t>
            </w:r>
            <w:r w:rsidR="00C640D7">
              <w:t xml:space="preserve">and </w:t>
            </w:r>
            <w:r w:rsidRPr="000A29B3">
              <w:t>haematochezia</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ineligible for at least 30 days since last showing symptoms</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16</w:t>
            </w:r>
          </w:p>
        </w:tc>
        <w:tc>
          <w:tcPr>
            <w:tcW w:w="4111" w:type="dxa"/>
            <w:tcBorders>
              <w:top w:val="single" w:sz="6" w:space="0" w:color="auto"/>
              <w:bottom w:val="single" w:sz="6" w:space="0" w:color="auto"/>
            </w:tcBorders>
            <w:shd w:val="clear" w:color="auto" w:fill="auto"/>
          </w:tcPr>
          <w:p w:rsidR="00C80EF8" w:rsidRPr="000A29B3" w:rsidRDefault="00C80EF8" w:rsidP="00D024FE">
            <w:pPr>
              <w:pStyle w:val="Tabletext"/>
            </w:pPr>
            <w:r w:rsidRPr="000A29B3">
              <w:t xml:space="preserve">a person who has had contact with a household member who has symptoms of a gastrointestinal illness including </w:t>
            </w:r>
            <w:r w:rsidR="00C640D7">
              <w:t xml:space="preserve">abdominal pain, </w:t>
            </w:r>
            <w:r w:rsidRPr="000A29B3">
              <w:t xml:space="preserve">diarrhoea, </w:t>
            </w:r>
            <w:r w:rsidR="00C640D7">
              <w:t xml:space="preserve">fever, nausea, </w:t>
            </w:r>
            <w:r w:rsidRPr="000A29B3">
              <w:t>vomiting, haematochezia</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ineligible for at least 30 days since contact </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17</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history of any autoimmune disease</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18</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metabolic syndrome or diabetes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permanently ineligible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19</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a body mass index</w:t>
            </w:r>
            <w:r w:rsidR="001A635E">
              <w:t xml:space="preserve"> of, or</w:t>
            </w:r>
            <w:r w:rsidR="00D50011">
              <w:t xml:space="preserve"> </w:t>
            </w:r>
            <w:r w:rsidRPr="000A29B3">
              <w:t>greater than</w:t>
            </w:r>
            <w:r w:rsidR="001A635E">
              <w:t>,</w:t>
            </w:r>
            <w:r w:rsidRPr="000A29B3">
              <w:t xml:space="preserve"> 30 kg per m</w:t>
            </w:r>
            <w:r w:rsidRPr="000A29B3">
              <w:rPr>
                <w:vertAlign w:val="superscript"/>
              </w:rPr>
              <w:t>2</w:t>
            </w:r>
          </w:p>
        </w:tc>
        <w:tc>
          <w:tcPr>
            <w:tcW w:w="2977" w:type="dxa"/>
            <w:tcBorders>
              <w:top w:val="single" w:sz="6" w:space="0" w:color="auto"/>
              <w:bottom w:val="single" w:sz="6" w:space="0" w:color="auto"/>
            </w:tcBorders>
            <w:shd w:val="clear" w:color="auto" w:fill="auto"/>
          </w:tcPr>
          <w:p w:rsidR="00C80EF8" w:rsidRPr="00805515" w:rsidRDefault="00C80EF8" w:rsidP="001A635E">
            <w:pPr>
              <w:pStyle w:val="Tabletext"/>
              <w:rPr>
                <w:highlight w:val="yellow"/>
                <w:vertAlign w:val="superscript"/>
              </w:rPr>
            </w:pPr>
            <w:r w:rsidRPr="00FD256D">
              <w:t>ineligible</w:t>
            </w:r>
            <w:r w:rsidR="00805515">
              <w:t xml:space="preserve"> until that person has a body mass index less than 30 kg per m</w:t>
            </w:r>
            <w:r w:rsidR="00805515">
              <w:rPr>
                <w:vertAlign w:val="superscript"/>
              </w:rPr>
              <w:t>2</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20</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w:t>
            </w:r>
          </w:p>
          <w:p w:rsidR="00C80EF8" w:rsidRPr="000A29B3" w:rsidRDefault="00C80EF8" w:rsidP="00C80EF8">
            <w:pPr>
              <w:pStyle w:val="Tabletext"/>
              <w:ind w:left="370" w:hanging="370"/>
            </w:pPr>
            <w:r w:rsidRPr="000A29B3">
              <w:t>(a)</w:t>
            </w:r>
            <w:r w:rsidRPr="000A29B3">
              <w:tab/>
              <w:t>has travelled to a country or place in Australia with a high endemic risk of travellers’ diarrhoea or multidrug-resistant organisms; or</w:t>
            </w:r>
          </w:p>
          <w:p w:rsidR="00C80EF8" w:rsidRPr="000A29B3" w:rsidRDefault="00C80EF8" w:rsidP="00C80EF8">
            <w:pPr>
              <w:pStyle w:val="Tabletext"/>
              <w:ind w:left="370" w:hanging="370"/>
            </w:pPr>
            <w:r w:rsidRPr="000A29B3">
              <w:t>(b)</w:t>
            </w:r>
            <w:r w:rsidRPr="000A29B3">
              <w:tab/>
              <w:t>has had exposure to similar epidemiological situations as described in paragraph (a)</w:t>
            </w:r>
          </w:p>
        </w:tc>
        <w:tc>
          <w:tcPr>
            <w:tcW w:w="2977" w:type="dxa"/>
            <w:tcBorders>
              <w:top w:val="single" w:sz="6" w:space="0" w:color="auto"/>
              <w:bottom w:val="single" w:sz="6" w:space="0" w:color="auto"/>
            </w:tcBorders>
            <w:shd w:val="clear" w:color="auto" w:fill="auto"/>
          </w:tcPr>
          <w:p w:rsidR="00C80EF8" w:rsidRPr="00E5022B" w:rsidRDefault="00C80EF8" w:rsidP="00C80EF8">
            <w:pPr>
              <w:pStyle w:val="Tabletext"/>
              <w:ind w:left="370" w:hanging="370"/>
            </w:pPr>
            <w:r w:rsidRPr="00E5022B">
              <w:t>(a)</w:t>
            </w:r>
            <w:r w:rsidRPr="00E5022B">
              <w:tab/>
              <w:t xml:space="preserve">ineligible for a period of time </w:t>
            </w:r>
            <w:r w:rsidRPr="000A29B3">
              <w:t>based</w:t>
            </w:r>
            <w:r w:rsidRPr="00E5022B">
              <w:t xml:space="preserve"> on a risk assessment using the most up-to-date epidemiological data; or</w:t>
            </w:r>
          </w:p>
          <w:p w:rsidR="00C80EF8" w:rsidRPr="000A29B3" w:rsidRDefault="00C80EF8" w:rsidP="00817CB8">
            <w:pPr>
              <w:pStyle w:val="Tabletext"/>
              <w:ind w:left="370" w:hanging="370"/>
            </w:pPr>
            <w:r w:rsidRPr="00E5022B">
              <w:t>(b)</w:t>
            </w:r>
            <w:r w:rsidRPr="00E5022B">
              <w:tab/>
              <w:t xml:space="preserve">where epidemiological data is not </w:t>
            </w:r>
            <w:r w:rsidRPr="000A29B3">
              <w:t>available</w:t>
            </w:r>
            <w:r w:rsidRPr="00E5022B">
              <w:t xml:space="preserve">—ineligible for at least </w:t>
            </w:r>
            <w:r w:rsidR="003E07C1">
              <w:t>90 days</w:t>
            </w:r>
            <w:r w:rsidRPr="00E5022B">
              <w:t xml:space="preserve"> from exposure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21</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is at risk of being a carrier of</w:t>
            </w:r>
            <w:r w:rsidRPr="00E5022B">
              <w:t xml:space="preserve"> multidrug-resistant organisms</w:t>
            </w:r>
            <w:r w:rsidRPr="000A29B3">
              <w:t>, including a person who:</w:t>
            </w:r>
          </w:p>
          <w:p w:rsidR="00C80EF8" w:rsidRPr="000A29B3" w:rsidRDefault="00C80EF8" w:rsidP="00C80EF8">
            <w:pPr>
              <w:pStyle w:val="Tabletext"/>
              <w:ind w:left="370" w:hanging="370"/>
            </w:pPr>
            <w:r w:rsidRPr="000A29B3">
              <w:t>(a)</w:t>
            </w:r>
            <w:r w:rsidRPr="000A29B3">
              <w:tab/>
              <w:t>is or has been a healthcare worker with exposure to patients in hospitals or long-term care facilities;</w:t>
            </w:r>
          </w:p>
          <w:p w:rsidR="00C80EF8" w:rsidRPr="000A29B3" w:rsidRDefault="00C80EF8" w:rsidP="00C80EF8">
            <w:pPr>
              <w:pStyle w:val="Tabletext"/>
              <w:ind w:left="370" w:hanging="370"/>
            </w:pPr>
            <w:r w:rsidRPr="000A29B3">
              <w:t>(b)</w:t>
            </w:r>
            <w:r w:rsidRPr="000A29B3">
              <w:tab/>
              <w:t>has recently been hospitalised or discharged from long-term care facilities;</w:t>
            </w:r>
          </w:p>
          <w:p w:rsidR="00C80EF8" w:rsidRPr="000A29B3" w:rsidRDefault="00C80EF8" w:rsidP="00C80EF8">
            <w:pPr>
              <w:pStyle w:val="Tabletext"/>
              <w:ind w:left="370" w:hanging="370"/>
            </w:pPr>
            <w:r w:rsidRPr="000A29B3">
              <w:t>(c)</w:t>
            </w:r>
            <w:r w:rsidRPr="000A29B3">
              <w:tab/>
              <w:t>has regularly attended or regularly attends outpatient medical or surgical clinics;</w:t>
            </w:r>
          </w:p>
          <w:p w:rsidR="00C80EF8" w:rsidRPr="000A29B3" w:rsidRDefault="00C80EF8" w:rsidP="00C80EF8">
            <w:pPr>
              <w:pStyle w:val="Tabletext"/>
              <w:ind w:left="370" w:hanging="370"/>
            </w:pPr>
            <w:r w:rsidRPr="000A29B3">
              <w:t>(d)</w:t>
            </w:r>
            <w:r w:rsidRPr="000A29B3">
              <w:tab/>
              <w:t>has recently engaged in medical tourism</w:t>
            </w:r>
          </w:p>
        </w:tc>
        <w:tc>
          <w:tcPr>
            <w:tcW w:w="2977" w:type="dxa"/>
            <w:tcBorders>
              <w:top w:val="single" w:sz="6" w:space="0" w:color="auto"/>
              <w:bottom w:val="single" w:sz="6" w:space="0" w:color="auto"/>
            </w:tcBorders>
            <w:shd w:val="clear" w:color="auto" w:fill="auto"/>
          </w:tcPr>
          <w:p w:rsidR="00C80EF8" w:rsidRPr="00E5022B" w:rsidRDefault="00C80EF8" w:rsidP="00C80EF8">
            <w:pPr>
              <w:pStyle w:val="Tabletext"/>
            </w:pPr>
            <w:r w:rsidRPr="000A29B3">
              <w:t>ineligible until it has been demonstrated that the person is not a carrier of a multidrug-resistant organism</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22</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been vaccinated with a live vaccine, where there is a risk of transmission of the vaccine strain</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 xml:space="preserve">ineligible for a period of time that is consistent with </w:t>
            </w:r>
            <w:r w:rsidRPr="00E5022B">
              <w:t>defined criteria</w:t>
            </w:r>
            <w:r w:rsidRPr="000A29B3">
              <w:t xml:space="preserve"> for the vaccine</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23</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ind w:left="370" w:hanging="370"/>
            </w:pPr>
            <w:r w:rsidRPr="000A29B3">
              <w:t>a person who has potentially been exposed to:</w:t>
            </w:r>
          </w:p>
          <w:p w:rsidR="00C80EF8" w:rsidRPr="000A29B3" w:rsidRDefault="00C80EF8" w:rsidP="00C80EF8">
            <w:pPr>
              <w:pStyle w:val="Tabletext"/>
              <w:ind w:left="370" w:hanging="370"/>
            </w:pPr>
            <w:r w:rsidRPr="000A29B3">
              <w:t>(a)</w:t>
            </w:r>
            <w:r w:rsidRPr="000A29B3">
              <w:tab/>
              <w:t>HCV;</w:t>
            </w:r>
          </w:p>
          <w:p w:rsidR="00C80EF8" w:rsidRPr="000A29B3" w:rsidRDefault="00C80EF8" w:rsidP="00C80EF8">
            <w:pPr>
              <w:pStyle w:val="Tabletext"/>
              <w:ind w:left="370" w:hanging="370"/>
            </w:pPr>
            <w:r w:rsidRPr="000A29B3">
              <w:t>(b)</w:t>
            </w:r>
            <w:r w:rsidRPr="000A29B3">
              <w:tab/>
              <w:t>HIV-1</w:t>
            </w:r>
            <w:r w:rsidR="00FC2DF5">
              <w:t>;</w:t>
            </w:r>
          </w:p>
          <w:p w:rsidR="00C80EF8" w:rsidRPr="000A29B3" w:rsidRDefault="00C80EF8" w:rsidP="00C80EF8">
            <w:pPr>
              <w:pStyle w:val="Tabletext"/>
              <w:ind w:left="370" w:hanging="370"/>
            </w:pPr>
            <w:r w:rsidRPr="000A29B3">
              <w:t>(c)</w:t>
            </w:r>
            <w:r w:rsidRPr="000A29B3">
              <w:tab/>
              <w:t>HIV-2;</w:t>
            </w:r>
          </w:p>
          <w:p w:rsidR="00C80EF8" w:rsidRPr="000A29B3" w:rsidRDefault="00C80EF8" w:rsidP="00C80EF8">
            <w:pPr>
              <w:pStyle w:val="Tabletext"/>
              <w:ind w:left="370" w:hanging="370"/>
            </w:pPr>
            <w:r w:rsidRPr="000A29B3">
              <w:t>(d)</w:t>
            </w:r>
            <w:r w:rsidRPr="000A29B3">
              <w:tab/>
              <w:t>HTLV-1</w:t>
            </w:r>
            <w:r w:rsidR="00FC2DF5">
              <w:t>;</w:t>
            </w:r>
          </w:p>
          <w:p w:rsidR="00C80EF8" w:rsidRPr="000A29B3" w:rsidRDefault="00C80EF8" w:rsidP="00C80EF8">
            <w:pPr>
              <w:pStyle w:val="Tabletext"/>
              <w:ind w:left="370" w:hanging="370"/>
            </w:pPr>
            <w:r w:rsidRPr="000A29B3">
              <w:t>(e)</w:t>
            </w:r>
            <w:r w:rsidRPr="000A29B3">
              <w:tab/>
              <w:t>HTLV-2; or</w:t>
            </w:r>
          </w:p>
          <w:p w:rsidR="00C80EF8" w:rsidRPr="000A29B3" w:rsidRDefault="00C80EF8" w:rsidP="00C80EF8">
            <w:pPr>
              <w:pStyle w:val="Tabletext"/>
              <w:ind w:left="370" w:hanging="370"/>
            </w:pPr>
            <w:r w:rsidRPr="000A29B3">
              <w:t>(f)</w:t>
            </w:r>
            <w:r w:rsidRPr="000A29B3">
              <w:tab/>
              <w:t>syphilis</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ineligible until it has been demonstrated that the person is not infected</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24</w:t>
            </w:r>
          </w:p>
        </w:tc>
        <w:tc>
          <w:tcPr>
            <w:tcW w:w="4111" w:type="dxa"/>
            <w:tcBorders>
              <w:top w:val="single" w:sz="6" w:space="0" w:color="auto"/>
              <w:bottom w:val="single" w:sz="6" w:space="0" w:color="auto"/>
            </w:tcBorders>
            <w:shd w:val="clear" w:color="auto" w:fill="auto"/>
          </w:tcPr>
          <w:p w:rsidR="00C80EF8" w:rsidRPr="000A29B3" w:rsidRDefault="00C80EF8" w:rsidP="00D024FE">
            <w:pPr>
              <w:pStyle w:val="Tabletext"/>
            </w:pPr>
            <w:r w:rsidRPr="000A29B3">
              <w:t>a person who</w:t>
            </w:r>
            <w:r w:rsidR="003F1F6B">
              <w:t xml:space="preserve"> has potentially been exposed to HBV</w:t>
            </w:r>
          </w:p>
        </w:tc>
        <w:tc>
          <w:tcPr>
            <w:tcW w:w="2977" w:type="dxa"/>
            <w:tcBorders>
              <w:top w:val="single" w:sz="6" w:space="0" w:color="auto"/>
              <w:bottom w:val="single" w:sz="6" w:space="0" w:color="auto"/>
            </w:tcBorders>
            <w:shd w:val="clear" w:color="auto" w:fill="auto"/>
          </w:tcPr>
          <w:p w:rsidR="003F1F6B" w:rsidRPr="000A29B3" w:rsidRDefault="00C80EF8" w:rsidP="003F1F6B">
            <w:pPr>
              <w:pStyle w:val="Tabletext"/>
            </w:pPr>
            <w:r w:rsidRPr="000A29B3">
              <w:t>ineligible</w:t>
            </w:r>
            <w:r w:rsidR="003F1F6B">
              <w:t xml:space="preserve"> until it has been demonstrated that the person is</w:t>
            </w:r>
            <w:r w:rsidR="003F1F6B" w:rsidRPr="000A29B3">
              <w:t>:</w:t>
            </w:r>
          </w:p>
          <w:p w:rsidR="003F1F6B" w:rsidRPr="000A29B3" w:rsidRDefault="003F1F6B" w:rsidP="003F1F6B">
            <w:pPr>
              <w:pStyle w:val="Tabletext"/>
              <w:ind w:left="370" w:hanging="370"/>
            </w:pPr>
            <w:r w:rsidRPr="000A29B3">
              <w:t>(a)</w:t>
            </w:r>
            <w:r w:rsidRPr="000A29B3">
              <w:tab/>
            </w:r>
            <w:r>
              <w:t>immune from HBV infection; or</w:t>
            </w:r>
          </w:p>
          <w:p w:rsidR="00C80EF8" w:rsidRPr="000A29B3" w:rsidRDefault="003F1F6B" w:rsidP="00D024FE">
            <w:pPr>
              <w:tabs>
                <w:tab w:val="left" w:pos="-757"/>
              </w:tabs>
              <w:autoSpaceDE w:val="0"/>
              <w:autoSpaceDN w:val="0"/>
              <w:adjustRightInd w:val="0"/>
              <w:spacing w:before="120" w:line="240" w:lineRule="auto"/>
              <w:ind w:left="370" w:hanging="370"/>
            </w:pPr>
            <w:r w:rsidRPr="00D024FE">
              <w:rPr>
                <w:rFonts w:eastAsia="Times New Roman" w:cs="Times New Roman"/>
                <w:sz w:val="20"/>
                <w:lang w:eastAsia="en-AU"/>
              </w:rPr>
              <w:t>(b)</w:t>
            </w:r>
            <w:r w:rsidRPr="00D024FE">
              <w:rPr>
                <w:rFonts w:eastAsia="Times New Roman" w:cs="Times New Roman"/>
                <w:sz w:val="20"/>
                <w:lang w:eastAsia="en-AU"/>
              </w:rPr>
              <w:tab/>
              <w:t>not infected with HBV, as confirmed by a nucleic acid amplification test</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w:t>
            </w:r>
            <w:r w:rsidR="003F1F6B">
              <w:t>5</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been a recipient of allogeneic blood, blood components, human derived clotting factors, organs, cells or tissues that did not conform with TGO 88</w:t>
            </w: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ind w:left="370" w:hanging="370"/>
            </w:pPr>
            <w:r w:rsidRPr="000A29B3">
              <w:t>(a)</w:t>
            </w:r>
            <w:r w:rsidRPr="000A29B3">
              <w:tab/>
              <w:t xml:space="preserve">where the person tests negative for HCV using </w:t>
            </w:r>
            <w:r w:rsidR="00B641CA">
              <w:t>nucleic acid amplification testing</w:t>
            </w:r>
            <w:r w:rsidRPr="000A29B3">
              <w:t>—ineligible for at least 4 months from receiving the allogeneic blood, blood components, human derived clotting factors, organs, cells or tissues</w:t>
            </w:r>
            <w:r w:rsidR="00FC2DF5">
              <w:t>;</w:t>
            </w:r>
          </w:p>
          <w:p w:rsidR="00C80EF8" w:rsidRPr="000A29B3" w:rsidRDefault="00C80EF8" w:rsidP="00C80EF8">
            <w:pPr>
              <w:tabs>
                <w:tab w:val="left" w:pos="-757"/>
              </w:tabs>
              <w:autoSpaceDE w:val="0"/>
              <w:autoSpaceDN w:val="0"/>
              <w:adjustRightInd w:val="0"/>
              <w:spacing w:before="120" w:line="240" w:lineRule="auto"/>
              <w:ind w:left="370" w:hanging="370"/>
              <w:rPr>
                <w:rFonts w:eastAsia="Times New Roman" w:cs="Times New Roman"/>
                <w:sz w:val="20"/>
                <w:lang w:eastAsia="en-AU"/>
              </w:rPr>
            </w:pPr>
            <w:r w:rsidRPr="000A29B3">
              <w:rPr>
                <w:rFonts w:cs="Times New Roman"/>
                <w:sz w:val="20"/>
              </w:rPr>
              <w:t>(b)</w:t>
            </w:r>
            <w:r w:rsidRPr="000A29B3">
              <w:rPr>
                <w:rFonts w:cs="Times New Roman"/>
                <w:sz w:val="20"/>
              </w:rPr>
              <w:tab/>
              <w:t>in all other circumstances—ineligible for at least 6 months from receiving the allogeneic blood, blood components, human derived clotting factors, organs, cells or tissues</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w:t>
            </w:r>
            <w:r w:rsidR="003F1F6B">
              <w:t>6</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has been imprisoned for a consecutive period of 72 hours or longer</w:t>
            </w:r>
          </w:p>
          <w:p w:rsidR="00C80EF8" w:rsidRPr="000A29B3" w:rsidRDefault="00C80EF8" w:rsidP="00D50011">
            <w:pPr>
              <w:pStyle w:val="Tabletext"/>
            </w:pPr>
          </w:p>
        </w:tc>
        <w:tc>
          <w:tcPr>
            <w:tcW w:w="2977"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ineligible for 12 months from the date of release from prison</w:t>
            </w:r>
          </w:p>
        </w:tc>
      </w:tr>
      <w:tr w:rsidR="00C80EF8" w:rsidRPr="000A29B3" w:rsidTr="00C80EF8">
        <w:trPr>
          <w:jc w:val="center"/>
        </w:trPr>
        <w:tc>
          <w:tcPr>
            <w:tcW w:w="1276" w:type="dxa"/>
            <w:tcBorders>
              <w:top w:val="single" w:sz="6" w:space="0" w:color="auto"/>
              <w:bottom w:val="single" w:sz="6" w:space="0" w:color="auto"/>
            </w:tcBorders>
            <w:shd w:val="clear" w:color="auto" w:fill="auto"/>
          </w:tcPr>
          <w:p w:rsidR="00C80EF8" w:rsidRPr="000A29B3" w:rsidRDefault="00601D78" w:rsidP="00C80EF8">
            <w:pPr>
              <w:pStyle w:val="Tabletext"/>
            </w:pPr>
            <w:r>
              <w:t>2</w:t>
            </w:r>
            <w:r w:rsidR="003F1F6B">
              <w:t>7</w:t>
            </w:r>
          </w:p>
        </w:tc>
        <w:tc>
          <w:tcPr>
            <w:tcW w:w="4111" w:type="dxa"/>
            <w:tcBorders>
              <w:top w:val="single" w:sz="6" w:space="0" w:color="auto"/>
              <w:bottom w:val="single" w:sz="6" w:space="0" w:color="auto"/>
            </w:tcBorders>
            <w:shd w:val="clear" w:color="auto" w:fill="auto"/>
          </w:tcPr>
          <w:p w:rsidR="00C80EF8" w:rsidRPr="000A29B3" w:rsidRDefault="00C80EF8" w:rsidP="00C80EF8">
            <w:pPr>
              <w:pStyle w:val="Tabletext"/>
            </w:pPr>
            <w:r w:rsidRPr="000A29B3">
              <w:t>a person who works or has worked with animals, in an environment where transmission of zoonotic infections is likely</w:t>
            </w:r>
          </w:p>
        </w:tc>
        <w:tc>
          <w:tcPr>
            <w:tcW w:w="2977" w:type="dxa"/>
            <w:tcBorders>
              <w:top w:val="single" w:sz="6" w:space="0" w:color="auto"/>
              <w:bottom w:val="single" w:sz="6" w:space="0" w:color="auto"/>
            </w:tcBorders>
            <w:shd w:val="clear" w:color="auto" w:fill="auto"/>
          </w:tcPr>
          <w:p w:rsidR="00C80EF8" w:rsidRPr="000A29B3" w:rsidRDefault="00C80EF8" w:rsidP="00817CB8">
            <w:pPr>
              <w:pStyle w:val="Tabletext"/>
            </w:pPr>
            <w:r w:rsidRPr="000A29B3">
              <w:t xml:space="preserve">ineligible for at least </w:t>
            </w:r>
            <w:r w:rsidR="003E07C1">
              <w:t>90 days</w:t>
            </w:r>
            <w:r w:rsidRPr="000A29B3">
              <w:t xml:space="preserve"> following exposure to the work environment</w:t>
            </w:r>
          </w:p>
        </w:tc>
      </w:tr>
      <w:tr w:rsidR="00C80EF8" w:rsidRPr="000A29B3" w:rsidTr="00C80EF8">
        <w:trPr>
          <w:jc w:val="center"/>
        </w:trPr>
        <w:tc>
          <w:tcPr>
            <w:tcW w:w="1276" w:type="dxa"/>
            <w:tcBorders>
              <w:top w:val="single" w:sz="6" w:space="0" w:color="auto"/>
              <w:bottom w:val="single" w:sz="12" w:space="0" w:color="auto"/>
            </w:tcBorders>
            <w:shd w:val="clear" w:color="auto" w:fill="auto"/>
          </w:tcPr>
          <w:p w:rsidR="00C80EF8" w:rsidRPr="000A29B3" w:rsidRDefault="00601D78" w:rsidP="00C80EF8">
            <w:pPr>
              <w:pStyle w:val="Tabletext"/>
            </w:pPr>
            <w:r>
              <w:t>2</w:t>
            </w:r>
            <w:r w:rsidR="003F1F6B">
              <w:t>8</w:t>
            </w:r>
          </w:p>
        </w:tc>
        <w:tc>
          <w:tcPr>
            <w:tcW w:w="4111" w:type="dxa"/>
            <w:tcBorders>
              <w:top w:val="single" w:sz="6" w:space="0" w:color="auto"/>
              <w:bottom w:val="single" w:sz="12" w:space="0" w:color="auto"/>
            </w:tcBorders>
            <w:shd w:val="clear" w:color="auto" w:fill="auto"/>
          </w:tcPr>
          <w:p w:rsidR="00C80EF8" w:rsidRPr="000A29B3" w:rsidRDefault="00C80EF8" w:rsidP="00C80EF8">
            <w:pPr>
              <w:pStyle w:val="Tabletext"/>
            </w:pPr>
            <w:r w:rsidRPr="000A29B3">
              <w:t>a person who has had chronic therapy with proton pump inhibitors</w:t>
            </w:r>
          </w:p>
        </w:tc>
        <w:tc>
          <w:tcPr>
            <w:tcW w:w="2977" w:type="dxa"/>
            <w:tcBorders>
              <w:top w:val="single" w:sz="6" w:space="0" w:color="auto"/>
              <w:bottom w:val="single" w:sz="12" w:space="0" w:color="auto"/>
            </w:tcBorders>
            <w:shd w:val="clear" w:color="auto" w:fill="auto"/>
          </w:tcPr>
          <w:p w:rsidR="00C80EF8" w:rsidRPr="000A29B3" w:rsidRDefault="00C80EF8" w:rsidP="00C80EF8">
            <w:pPr>
              <w:pStyle w:val="Tabletext"/>
            </w:pPr>
            <w:r w:rsidRPr="000A29B3">
              <w:t xml:space="preserve">ineligible for at least 6 months from </w:t>
            </w:r>
            <w:r w:rsidRPr="00E5022B">
              <w:t>ceasing</w:t>
            </w:r>
            <w:r w:rsidRPr="000A29B3">
              <w:t xml:space="preserve"> therapy</w:t>
            </w:r>
          </w:p>
        </w:tc>
      </w:tr>
    </w:tbl>
    <w:p w:rsidR="00E8736D" w:rsidRPr="00E5022B" w:rsidRDefault="00E8736D" w:rsidP="00E5022B">
      <w:pPr>
        <w:rPr>
          <w:sz w:val="20"/>
        </w:rPr>
      </w:pPr>
    </w:p>
    <w:sectPr w:rsidR="00E8736D" w:rsidRPr="00E5022B" w:rsidSect="00525EBF">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6" w:rsidRDefault="008E5D66" w:rsidP="00715914">
      <w:pPr>
        <w:spacing w:line="240" w:lineRule="auto"/>
      </w:pPr>
      <w:r>
        <w:separator/>
      </w:r>
    </w:p>
  </w:endnote>
  <w:endnote w:type="continuationSeparator" w:id="0">
    <w:p w:rsidR="008E5D66" w:rsidRDefault="008E5D6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E33C1C" w:rsidRDefault="00DB1D6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1D6C" w:rsidTr="00B33709">
      <w:tc>
        <w:tcPr>
          <w:tcW w:w="709" w:type="dxa"/>
          <w:tcBorders>
            <w:top w:val="nil"/>
            <w:left w:val="nil"/>
            <w:bottom w:val="nil"/>
            <w:right w:val="nil"/>
          </w:tcBorders>
        </w:tcPr>
        <w:p w:rsidR="00DB1D6C" w:rsidRDefault="00DB1D6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DB1D6C" w:rsidRPr="004E1307" w:rsidRDefault="00DB1D6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Faecal Microbiota Transplant Products) (TGO 105) Order 2020</w:t>
          </w:r>
          <w:r w:rsidRPr="004E1307">
            <w:rPr>
              <w:i/>
              <w:sz w:val="18"/>
            </w:rPr>
            <w:fldChar w:fldCharType="end"/>
          </w:r>
        </w:p>
      </w:tc>
      <w:tc>
        <w:tcPr>
          <w:tcW w:w="1383" w:type="dxa"/>
          <w:tcBorders>
            <w:top w:val="nil"/>
            <w:left w:val="nil"/>
            <w:bottom w:val="nil"/>
            <w:right w:val="nil"/>
          </w:tcBorders>
        </w:tcPr>
        <w:p w:rsidR="00DB1D6C" w:rsidRDefault="00DB1D6C" w:rsidP="00A369E3">
          <w:pPr>
            <w:spacing w:line="0" w:lineRule="atLeast"/>
            <w:jc w:val="right"/>
            <w:rPr>
              <w:sz w:val="18"/>
            </w:rPr>
          </w:pPr>
        </w:p>
      </w:tc>
    </w:tr>
    <w:tr w:rsidR="00DB1D6C"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B1D6C" w:rsidRDefault="00DB1D6C" w:rsidP="00A369E3">
          <w:pPr>
            <w:jc w:val="right"/>
            <w:rPr>
              <w:sz w:val="18"/>
            </w:rPr>
          </w:pPr>
        </w:p>
      </w:tc>
    </w:tr>
  </w:tbl>
  <w:p w:rsidR="00DB1D6C" w:rsidRPr="00ED79B6" w:rsidRDefault="00DB1D6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B1D6C" w:rsidTr="00A369E3">
      <w:tc>
        <w:tcPr>
          <w:tcW w:w="8472" w:type="dxa"/>
        </w:tcPr>
        <w:p w:rsidR="00DB1D6C" w:rsidRDefault="00DB1D6C" w:rsidP="00E5022B">
          <w:pPr>
            <w:spacing w:line="240" w:lineRule="auto"/>
            <w:rPr>
              <w:sz w:val="18"/>
            </w:rPr>
          </w:pPr>
        </w:p>
      </w:tc>
    </w:tr>
  </w:tbl>
  <w:p w:rsidR="00DB1D6C" w:rsidRPr="00ED79B6" w:rsidRDefault="00DB1D6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2B0EA5" w:rsidRDefault="00DB1D6C" w:rsidP="00611F1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132"/>
      <w:gridCol w:w="607"/>
      <w:gridCol w:w="299"/>
    </w:tblGrid>
    <w:tr w:rsidR="00DB1D6C" w:rsidTr="004530AE">
      <w:trPr>
        <w:gridAfter w:val="1"/>
        <w:wAfter w:w="179" w:type="pct"/>
      </w:trPr>
      <w:tc>
        <w:tcPr>
          <w:tcW w:w="767" w:type="pct"/>
        </w:tcPr>
        <w:p w:rsidR="00DB1D6C" w:rsidRDefault="00DB1D6C" w:rsidP="00611F14">
          <w:pPr>
            <w:spacing w:line="0" w:lineRule="atLeast"/>
            <w:rPr>
              <w:sz w:val="18"/>
            </w:rPr>
          </w:pPr>
        </w:p>
      </w:tc>
      <w:tc>
        <w:tcPr>
          <w:tcW w:w="3688" w:type="pct"/>
        </w:tcPr>
        <w:p w:rsidR="00DB1D6C" w:rsidRDefault="00DB1D6C" w:rsidP="00611F14">
          <w:pPr>
            <w:spacing w:line="0" w:lineRule="atLeast"/>
            <w:ind w:left="-267"/>
            <w:jc w:val="center"/>
            <w:rPr>
              <w:sz w:val="18"/>
            </w:rPr>
          </w:pPr>
          <w:r>
            <w:rPr>
              <w:i/>
              <w:sz w:val="18"/>
            </w:rPr>
            <w:t>Therapeutic Goods (Standard for Faecal Microbiota Transplant Products) (TGO 105) Order 2020</w:t>
          </w:r>
        </w:p>
      </w:tc>
      <w:tc>
        <w:tcPr>
          <w:tcW w:w="365" w:type="pct"/>
        </w:tcPr>
        <w:p w:rsidR="00DB1D6C" w:rsidRDefault="00DB1D6C" w:rsidP="00611F1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1D6C" w:rsidTr="004530AE">
      <w:tc>
        <w:tcPr>
          <w:tcW w:w="5000" w:type="pct"/>
          <w:gridSpan w:val="4"/>
        </w:tcPr>
        <w:p w:rsidR="00DB1D6C" w:rsidRDefault="00DB1D6C" w:rsidP="00611F14">
          <w:pPr>
            <w:rPr>
              <w:sz w:val="18"/>
            </w:rPr>
          </w:pPr>
        </w:p>
      </w:tc>
    </w:tr>
  </w:tbl>
  <w:p w:rsidR="00DB1D6C" w:rsidRPr="00ED79B6" w:rsidRDefault="00DB1D6C">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2B0EA5" w:rsidRDefault="00DB1D6C" w:rsidP="00CE65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B1D6C" w:rsidTr="00CE653F">
      <w:tc>
        <w:tcPr>
          <w:tcW w:w="365" w:type="pct"/>
        </w:tcPr>
        <w:p w:rsidR="00DB1D6C" w:rsidRDefault="00DB1D6C" w:rsidP="00CE65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rsidR="00DB1D6C" w:rsidRDefault="00DB1D6C" w:rsidP="00CE653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Faecal Microbiota Transplant Products) (TGO 105) Order 2020</w:t>
          </w:r>
          <w:r w:rsidRPr="004E1307">
            <w:rPr>
              <w:i/>
              <w:sz w:val="18"/>
            </w:rPr>
            <w:fldChar w:fldCharType="end"/>
          </w:r>
        </w:p>
      </w:tc>
      <w:tc>
        <w:tcPr>
          <w:tcW w:w="947" w:type="pct"/>
        </w:tcPr>
        <w:p w:rsidR="00DB1D6C" w:rsidRDefault="00DB1D6C" w:rsidP="00CE653F">
          <w:pPr>
            <w:spacing w:line="0" w:lineRule="atLeast"/>
            <w:jc w:val="right"/>
            <w:rPr>
              <w:sz w:val="18"/>
            </w:rPr>
          </w:pPr>
        </w:p>
      </w:tc>
    </w:tr>
    <w:tr w:rsidR="00DB1D6C" w:rsidTr="00CE653F">
      <w:tc>
        <w:tcPr>
          <w:tcW w:w="5000" w:type="pct"/>
          <w:gridSpan w:val="3"/>
        </w:tcPr>
        <w:p w:rsidR="00DB1D6C" w:rsidRDefault="00DB1D6C" w:rsidP="00CE653F">
          <w:pPr>
            <w:jc w:val="right"/>
            <w:rPr>
              <w:sz w:val="18"/>
            </w:rPr>
          </w:pPr>
        </w:p>
      </w:tc>
    </w:tr>
  </w:tbl>
  <w:p w:rsidR="00DB1D6C" w:rsidRPr="00ED79B6" w:rsidRDefault="00DB1D6C" w:rsidP="00CE653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2B0EA5" w:rsidRDefault="00DB1D6C" w:rsidP="00CE653F">
    <w:pPr>
      <w:pBdr>
        <w:top w:val="single" w:sz="6" w:space="1" w:color="auto"/>
      </w:pBdr>
      <w:spacing w:before="120" w:line="0" w:lineRule="atLeast"/>
      <w:rPr>
        <w:sz w:val="16"/>
        <w:szCs w:val="16"/>
      </w:rPr>
    </w:pPr>
  </w:p>
  <w:tbl>
    <w:tblPr>
      <w:tblStyle w:val="TableGrid"/>
      <w:tblW w:w="50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6093"/>
      <w:gridCol w:w="599"/>
      <w:gridCol w:w="254"/>
    </w:tblGrid>
    <w:tr w:rsidR="00DB1D6C" w:rsidTr="00E5022B">
      <w:tc>
        <w:tcPr>
          <w:tcW w:w="848" w:type="pct"/>
        </w:tcPr>
        <w:p w:rsidR="00DB1D6C" w:rsidRDefault="00DB1D6C" w:rsidP="00CE653F">
          <w:pPr>
            <w:spacing w:line="0" w:lineRule="atLeast"/>
            <w:rPr>
              <w:sz w:val="18"/>
            </w:rPr>
          </w:pPr>
        </w:p>
      </w:tc>
      <w:tc>
        <w:tcPr>
          <w:tcW w:w="3642" w:type="pct"/>
        </w:tcPr>
        <w:p w:rsidR="00DB1D6C" w:rsidRDefault="00DB1D6C" w:rsidP="00DE16F1">
          <w:pPr>
            <w:spacing w:line="0" w:lineRule="atLeast"/>
            <w:ind w:left="30" w:right="207"/>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7C9F">
            <w:rPr>
              <w:i/>
              <w:noProof/>
              <w:sz w:val="18"/>
            </w:rPr>
            <w:t>Therapeutic Goods (Standard for Faecal Microbiota Transplant Products) (TGO 105) Order 2020</w:t>
          </w:r>
          <w:r w:rsidRPr="004E1307">
            <w:rPr>
              <w:i/>
              <w:sz w:val="18"/>
            </w:rPr>
            <w:fldChar w:fldCharType="end"/>
          </w:r>
        </w:p>
      </w:tc>
      <w:tc>
        <w:tcPr>
          <w:tcW w:w="509" w:type="pct"/>
          <w:gridSpan w:val="2"/>
        </w:tcPr>
        <w:p w:rsidR="00DB1D6C" w:rsidRDefault="00DB1D6C" w:rsidP="00CE65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7C9F">
            <w:rPr>
              <w:i/>
              <w:noProof/>
              <w:sz w:val="18"/>
            </w:rPr>
            <w:t>i</w:t>
          </w:r>
          <w:r w:rsidRPr="00ED79B6">
            <w:rPr>
              <w:i/>
              <w:sz w:val="18"/>
            </w:rPr>
            <w:fldChar w:fldCharType="end"/>
          </w:r>
        </w:p>
      </w:tc>
    </w:tr>
    <w:tr w:rsidR="00DB1D6C" w:rsidTr="00E5022B">
      <w:trPr>
        <w:gridAfter w:val="1"/>
        <w:wAfter w:w="152" w:type="pct"/>
      </w:trPr>
      <w:tc>
        <w:tcPr>
          <w:tcW w:w="4848" w:type="pct"/>
          <w:gridSpan w:val="3"/>
        </w:tcPr>
        <w:p w:rsidR="00DB1D6C" w:rsidRDefault="00DB1D6C" w:rsidP="00CE653F">
          <w:pPr>
            <w:rPr>
              <w:sz w:val="18"/>
            </w:rPr>
          </w:pPr>
        </w:p>
      </w:tc>
    </w:tr>
  </w:tbl>
  <w:p w:rsidR="00DB1D6C" w:rsidRPr="00FF40FB" w:rsidRDefault="00DB1D6C" w:rsidP="00CE653F">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2B0EA5" w:rsidRDefault="00DB1D6C" w:rsidP="00CE653F">
    <w:pPr>
      <w:pBdr>
        <w:top w:val="single" w:sz="6" w:space="1" w:color="auto"/>
      </w:pBdr>
      <w:spacing w:before="120" w:line="0" w:lineRule="atLeast"/>
      <w:rPr>
        <w:sz w:val="16"/>
        <w:szCs w:val="16"/>
      </w:rPr>
    </w:pPr>
  </w:p>
  <w:tbl>
    <w:tblPr>
      <w:tblStyle w:val="TableGrid"/>
      <w:tblW w:w="52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132"/>
      <w:gridCol w:w="1574"/>
      <w:gridCol w:w="7"/>
    </w:tblGrid>
    <w:tr w:rsidR="00DB1D6C" w:rsidTr="00E5022B">
      <w:trPr>
        <w:gridAfter w:val="1"/>
        <w:wAfter w:w="4" w:type="pct"/>
      </w:trPr>
      <w:tc>
        <w:tcPr>
          <w:tcW w:w="570" w:type="pct"/>
        </w:tcPr>
        <w:p w:rsidR="00DB1D6C" w:rsidRDefault="00DB1D6C" w:rsidP="00CE65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920A1">
            <w:rPr>
              <w:i/>
              <w:noProof/>
              <w:sz w:val="18"/>
            </w:rPr>
            <w:t>16</w:t>
          </w:r>
          <w:r w:rsidRPr="00ED79B6">
            <w:rPr>
              <w:i/>
              <w:sz w:val="18"/>
            </w:rPr>
            <w:fldChar w:fldCharType="end"/>
          </w:r>
        </w:p>
      </w:tc>
      <w:tc>
        <w:tcPr>
          <w:tcW w:w="3522" w:type="pct"/>
        </w:tcPr>
        <w:p w:rsidR="00DB1D6C" w:rsidRDefault="00DB1D6C" w:rsidP="00194FEB">
          <w:pPr>
            <w:spacing w:line="0" w:lineRule="atLeast"/>
            <w:ind w:left="414"/>
            <w:jc w:val="center"/>
            <w:rPr>
              <w:sz w:val="18"/>
            </w:rPr>
          </w:pPr>
          <w:r>
            <w:rPr>
              <w:i/>
              <w:sz w:val="18"/>
            </w:rPr>
            <w:t>Therapeutic Goods (Standard for Faecal Microbiota Transplant Products) (TGO 105) Order 2020</w:t>
          </w:r>
        </w:p>
      </w:tc>
      <w:tc>
        <w:tcPr>
          <w:tcW w:w="904" w:type="pct"/>
        </w:tcPr>
        <w:p w:rsidR="00DB1D6C" w:rsidRDefault="00DB1D6C" w:rsidP="00CE653F">
          <w:pPr>
            <w:spacing w:line="0" w:lineRule="atLeast"/>
            <w:jc w:val="right"/>
            <w:rPr>
              <w:sz w:val="18"/>
            </w:rPr>
          </w:pPr>
        </w:p>
      </w:tc>
    </w:tr>
    <w:tr w:rsidR="00DB1D6C" w:rsidTr="00E5022B">
      <w:tc>
        <w:tcPr>
          <w:tcW w:w="5000" w:type="pct"/>
          <w:gridSpan w:val="4"/>
        </w:tcPr>
        <w:p w:rsidR="00DB1D6C" w:rsidRDefault="00DB1D6C" w:rsidP="00CE653F">
          <w:pPr>
            <w:jc w:val="right"/>
            <w:rPr>
              <w:sz w:val="18"/>
            </w:rPr>
          </w:pPr>
        </w:p>
      </w:tc>
    </w:tr>
  </w:tbl>
  <w:p w:rsidR="00DB1D6C" w:rsidRPr="00ED79B6" w:rsidRDefault="00DB1D6C" w:rsidP="00CE653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2B0EA5" w:rsidRDefault="00DB1D6C" w:rsidP="00CE653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6185"/>
      <w:gridCol w:w="1157"/>
    </w:tblGrid>
    <w:tr w:rsidR="00DB1D6C" w:rsidTr="00FF40FB">
      <w:tc>
        <w:tcPr>
          <w:tcW w:w="584" w:type="pct"/>
        </w:tcPr>
        <w:p w:rsidR="00DB1D6C" w:rsidRDefault="00DB1D6C" w:rsidP="00CE653F">
          <w:pPr>
            <w:spacing w:line="0" w:lineRule="atLeast"/>
            <w:rPr>
              <w:sz w:val="18"/>
            </w:rPr>
          </w:pPr>
        </w:p>
      </w:tc>
      <w:tc>
        <w:tcPr>
          <w:tcW w:w="3720" w:type="pct"/>
        </w:tcPr>
        <w:p w:rsidR="00DB1D6C" w:rsidRDefault="00DB1D6C" w:rsidP="00DE16F1">
          <w:pPr>
            <w:spacing w:line="0" w:lineRule="atLeast"/>
            <w:ind w:left="38"/>
            <w:jc w:val="center"/>
            <w:rPr>
              <w:sz w:val="18"/>
            </w:rPr>
          </w:pPr>
          <w:r>
            <w:rPr>
              <w:i/>
              <w:sz w:val="18"/>
            </w:rPr>
            <w:t>Therapeutic Goods (Standard for Faecal Microbiota Transplant Products) (TGO 105) Order 2020</w:t>
          </w:r>
        </w:p>
      </w:tc>
      <w:tc>
        <w:tcPr>
          <w:tcW w:w="697" w:type="pct"/>
        </w:tcPr>
        <w:p w:rsidR="00DB1D6C" w:rsidRDefault="00DB1D6C" w:rsidP="00CE65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7C9F">
            <w:rPr>
              <w:i/>
              <w:noProof/>
              <w:sz w:val="18"/>
            </w:rPr>
            <w:t>1</w:t>
          </w:r>
          <w:r w:rsidRPr="00ED79B6">
            <w:rPr>
              <w:i/>
              <w:sz w:val="18"/>
            </w:rPr>
            <w:fldChar w:fldCharType="end"/>
          </w:r>
        </w:p>
      </w:tc>
    </w:tr>
    <w:tr w:rsidR="00DB1D6C" w:rsidTr="00FF40FB">
      <w:tc>
        <w:tcPr>
          <w:tcW w:w="5000" w:type="pct"/>
          <w:gridSpan w:val="3"/>
        </w:tcPr>
        <w:p w:rsidR="00DB1D6C" w:rsidRDefault="00DB1D6C" w:rsidP="00CE653F">
          <w:pPr>
            <w:rPr>
              <w:sz w:val="18"/>
            </w:rPr>
          </w:pPr>
        </w:p>
      </w:tc>
    </w:tr>
  </w:tbl>
  <w:p w:rsidR="00DB1D6C" w:rsidRPr="00ED79B6" w:rsidRDefault="00DB1D6C" w:rsidP="00CE653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6" w:rsidRDefault="008E5D66" w:rsidP="00715914">
      <w:pPr>
        <w:spacing w:line="240" w:lineRule="auto"/>
      </w:pPr>
      <w:r>
        <w:separator/>
      </w:r>
    </w:p>
  </w:footnote>
  <w:footnote w:type="continuationSeparator" w:id="0">
    <w:p w:rsidR="008E5D66" w:rsidRDefault="008E5D6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5F1388" w:rsidRDefault="00DB1D6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5F1388" w:rsidRDefault="00DB1D6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ED79B6" w:rsidRDefault="00DB1D6C" w:rsidP="00CE653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ED79B6" w:rsidRDefault="00DB1D6C" w:rsidP="00CE653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7A1328" w:rsidRDefault="00DB1D6C" w:rsidP="00A96B14">
    <w:pPr>
      <w:jc w:val="right"/>
      <w:rPr>
        <w:sz w:val="20"/>
      </w:rPr>
    </w:pPr>
  </w:p>
  <w:p w:rsidR="00DB1D6C" w:rsidRPr="007A1328" w:rsidRDefault="00DB1D6C" w:rsidP="00A96B14">
    <w:pPr>
      <w:jc w:val="right"/>
      <w:rPr>
        <w:sz w:val="20"/>
      </w:rPr>
    </w:pPr>
  </w:p>
  <w:p w:rsidR="00DB1D6C" w:rsidRPr="007A1328" w:rsidRDefault="00DB1D6C" w:rsidP="00A96B14">
    <w:pPr>
      <w:jc w:val="right"/>
      <w:rPr>
        <w:sz w:val="20"/>
      </w:rPr>
    </w:pPr>
  </w:p>
  <w:p w:rsidR="00DB1D6C" w:rsidRPr="007A1328" w:rsidRDefault="00DB1D6C" w:rsidP="00A96B14">
    <w:pPr>
      <w:jc w:val="right"/>
      <w:rPr>
        <w:b/>
        <w:sz w:val="24"/>
      </w:rPr>
    </w:pPr>
  </w:p>
  <w:p w:rsidR="00DB1D6C" w:rsidRPr="007A1328" w:rsidRDefault="00DB1D6C" w:rsidP="00A96B14">
    <w:pPr>
      <w:pBdr>
        <w:bottom w:val="single" w:sz="6" w:space="1" w:color="auto"/>
      </w:pBdr>
      <w:spacing w:after="120"/>
      <w:jc w:val="right"/>
      <w:rPr>
        <w:sz w:val="24"/>
      </w:rPr>
    </w:pPr>
  </w:p>
  <w:p w:rsidR="00DB1D6C" w:rsidRPr="00ED79B6" w:rsidRDefault="00DB1D6C">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Default="00DB1D6C" w:rsidP="00715914">
    <w:pPr>
      <w:rPr>
        <w:sz w:val="20"/>
      </w:rPr>
    </w:pPr>
  </w:p>
  <w:p w:rsidR="00DB1D6C" w:rsidRDefault="00DB1D6C" w:rsidP="00715914">
    <w:pPr>
      <w:rPr>
        <w:sz w:val="20"/>
      </w:rPr>
    </w:pPr>
  </w:p>
  <w:p w:rsidR="00DB1D6C" w:rsidRPr="007A1328" w:rsidRDefault="00DB1D6C" w:rsidP="00715914">
    <w:pPr>
      <w:rPr>
        <w:sz w:val="20"/>
      </w:rPr>
    </w:pPr>
  </w:p>
  <w:p w:rsidR="00DB1D6C" w:rsidRPr="007A1328" w:rsidRDefault="00DB1D6C" w:rsidP="00715914">
    <w:pPr>
      <w:rPr>
        <w:b/>
        <w:sz w:val="24"/>
      </w:rPr>
    </w:pPr>
  </w:p>
  <w:p w:rsidR="00DB1D6C" w:rsidRPr="007A1328" w:rsidRDefault="00DB1D6C"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7A1328" w:rsidRDefault="00DB1D6C" w:rsidP="00715914">
    <w:pPr>
      <w:jc w:val="right"/>
      <w:rPr>
        <w:sz w:val="20"/>
      </w:rPr>
    </w:pPr>
  </w:p>
  <w:p w:rsidR="00DB1D6C" w:rsidRPr="007A1328" w:rsidRDefault="00DB1D6C" w:rsidP="00715914">
    <w:pPr>
      <w:jc w:val="right"/>
      <w:rPr>
        <w:sz w:val="20"/>
      </w:rPr>
    </w:pPr>
  </w:p>
  <w:p w:rsidR="00DB1D6C" w:rsidRPr="007A1328" w:rsidRDefault="00DB1D6C" w:rsidP="00715914">
    <w:pPr>
      <w:jc w:val="right"/>
      <w:rPr>
        <w:b/>
        <w:sz w:val="24"/>
      </w:rPr>
    </w:pPr>
  </w:p>
  <w:p w:rsidR="00DB1D6C" w:rsidRPr="007A1328" w:rsidRDefault="00DB1D6C"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D6C" w:rsidRPr="007A1328" w:rsidRDefault="00DB1D6C" w:rsidP="00A96B14">
    <w:pPr>
      <w:jc w:val="right"/>
      <w:rPr>
        <w:sz w:val="20"/>
      </w:rPr>
    </w:pPr>
  </w:p>
  <w:p w:rsidR="00DB1D6C" w:rsidRPr="007A1328" w:rsidRDefault="00DB1D6C" w:rsidP="00A96B14">
    <w:pPr>
      <w:jc w:val="right"/>
      <w:rPr>
        <w:sz w:val="20"/>
      </w:rPr>
    </w:pPr>
  </w:p>
  <w:p w:rsidR="00DB1D6C" w:rsidRPr="007A1328" w:rsidRDefault="00DB1D6C" w:rsidP="00A96B14">
    <w:pPr>
      <w:jc w:val="right"/>
      <w:rPr>
        <w:sz w:val="20"/>
      </w:rPr>
    </w:pPr>
  </w:p>
  <w:p w:rsidR="00DB1D6C" w:rsidRPr="007A1328" w:rsidRDefault="00DB1D6C" w:rsidP="00A96B14">
    <w:pPr>
      <w:jc w:val="right"/>
      <w:rPr>
        <w:b/>
        <w:sz w:val="24"/>
      </w:rPr>
    </w:pPr>
  </w:p>
  <w:p w:rsidR="00DB1D6C" w:rsidRPr="007A1328" w:rsidRDefault="00DB1D6C" w:rsidP="00A96B14">
    <w:pPr>
      <w:pBdr>
        <w:bottom w:val="single" w:sz="6" w:space="1" w:color="auto"/>
      </w:pBdr>
      <w:spacing w:after="120"/>
      <w:jc w:val="right"/>
      <w:rPr>
        <w:sz w:val="24"/>
      </w:rPr>
    </w:pPr>
  </w:p>
  <w:p w:rsidR="00DB1D6C" w:rsidRPr="00ED79B6" w:rsidRDefault="00DB1D6C">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D01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787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ECA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8E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B48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CD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CCE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8A22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78C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8C3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6DF5"/>
    <w:multiLevelType w:val="hybridMultilevel"/>
    <w:tmpl w:val="B4CA2F3C"/>
    <w:lvl w:ilvl="0" w:tplc="0248D242">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BC3829"/>
    <w:multiLevelType w:val="hybridMultilevel"/>
    <w:tmpl w:val="5FA46BF6"/>
    <w:lvl w:ilvl="0" w:tplc="C498A45A">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639BA"/>
    <w:multiLevelType w:val="hybridMultilevel"/>
    <w:tmpl w:val="0A3AB666"/>
    <w:lvl w:ilvl="0" w:tplc="D4FA0A4A">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0DA40616"/>
    <w:multiLevelType w:val="hybridMultilevel"/>
    <w:tmpl w:val="48705466"/>
    <w:lvl w:ilvl="0" w:tplc="721C1C90">
      <w:start w:val="9"/>
      <w:numFmt w:val="decimal"/>
      <w:lvlText w:val="(%1)"/>
      <w:lvlJc w:val="left"/>
      <w:pPr>
        <w:tabs>
          <w:tab w:val="num" w:pos="-138"/>
        </w:tabs>
        <w:ind w:left="-138" w:hanging="36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974138"/>
    <w:multiLevelType w:val="hybridMultilevel"/>
    <w:tmpl w:val="DD5E0470"/>
    <w:lvl w:ilvl="0" w:tplc="C498A45A">
      <w:start w:val="1"/>
      <w:numFmt w:val="decimal"/>
      <w:lvlText w:val="(%1)"/>
      <w:lvlJc w:val="left"/>
      <w:pPr>
        <w:tabs>
          <w:tab w:val="num" w:pos="532"/>
        </w:tabs>
        <w:ind w:left="532"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1232FF3"/>
    <w:multiLevelType w:val="hybridMultilevel"/>
    <w:tmpl w:val="B57AAD7A"/>
    <w:lvl w:ilvl="0" w:tplc="C498A45A">
      <w:start w:val="1"/>
      <w:numFmt w:val="decimal"/>
      <w:lvlText w:val="(%1)"/>
      <w:lvlJc w:val="left"/>
      <w:pPr>
        <w:tabs>
          <w:tab w:val="num" w:pos="750"/>
        </w:tabs>
        <w:ind w:left="750"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5454EB"/>
    <w:multiLevelType w:val="hybridMultilevel"/>
    <w:tmpl w:val="3B6CEEBA"/>
    <w:lvl w:ilvl="0" w:tplc="C498A4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911257"/>
    <w:multiLevelType w:val="hybridMultilevel"/>
    <w:tmpl w:val="702A7E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68F13E9"/>
    <w:multiLevelType w:val="multilevel"/>
    <w:tmpl w:val="CB32B508"/>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17AC4CC6"/>
    <w:multiLevelType w:val="hybridMultilevel"/>
    <w:tmpl w:val="AC907A74"/>
    <w:lvl w:ilvl="0" w:tplc="DC62287A">
      <w:start w:val="1"/>
      <w:numFmt w:val="decimal"/>
      <w:lvlText w:val="(%1)"/>
      <w:lvlJc w:val="left"/>
      <w:pPr>
        <w:tabs>
          <w:tab w:val="num" w:pos="750"/>
        </w:tabs>
        <w:ind w:left="750"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BF2651"/>
    <w:multiLevelType w:val="hybridMultilevel"/>
    <w:tmpl w:val="3402A720"/>
    <w:lvl w:ilvl="0" w:tplc="C498A45A">
      <w:start w:val="1"/>
      <w:numFmt w:val="decimal"/>
      <w:lvlText w:val="(%1)"/>
      <w:lvlJc w:val="left"/>
      <w:pPr>
        <w:tabs>
          <w:tab w:val="num" w:pos="-138"/>
        </w:tabs>
        <w:ind w:left="-138" w:hanging="360"/>
      </w:pPr>
      <w:rPr>
        <w:rFonts w:hint="default"/>
        <w:vertAlign w:val="baseline"/>
      </w:rPr>
    </w:lvl>
    <w:lvl w:ilvl="1" w:tplc="0C090019">
      <w:start w:val="1"/>
      <w:numFmt w:val="lowerLetter"/>
      <w:lvlText w:val="%2."/>
      <w:lvlJc w:val="left"/>
      <w:pPr>
        <w:ind w:left="-138" w:hanging="360"/>
      </w:pPr>
    </w:lvl>
    <w:lvl w:ilvl="2" w:tplc="0C09001B" w:tentative="1">
      <w:start w:val="1"/>
      <w:numFmt w:val="lowerRoman"/>
      <w:lvlText w:val="%3."/>
      <w:lvlJc w:val="right"/>
      <w:pPr>
        <w:ind w:left="582" w:hanging="180"/>
      </w:pPr>
    </w:lvl>
    <w:lvl w:ilvl="3" w:tplc="0C09000F" w:tentative="1">
      <w:start w:val="1"/>
      <w:numFmt w:val="decimal"/>
      <w:lvlText w:val="%4."/>
      <w:lvlJc w:val="left"/>
      <w:pPr>
        <w:ind w:left="1302" w:hanging="360"/>
      </w:pPr>
    </w:lvl>
    <w:lvl w:ilvl="4" w:tplc="0C090019" w:tentative="1">
      <w:start w:val="1"/>
      <w:numFmt w:val="lowerLetter"/>
      <w:lvlText w:val="%5."/>
      <w:lvlJc w:val="left"/>
      <w:pPr>
        <w:ind w:left="2022" w:hanging="360"/>
      </w:pPr>
    </w:lvl>
    <w:lvl w:ilvl="5" w:tplc="0C09001B" w:tentative="1">
      <w:start w:val="1"/>
      <w:numFmt w:val="lowerRoman"/>
      <w:lvlText w:val="%6."/>
      <w:lvlJc w:val="right"/>
      <w:pPr>
        <w:ind w:left="2742" w:hanging="180"/>
      </w:pPr>
    </w:lvl>
    <w:lvl w:ilvl="6" w:tplc="0C09000F" w:tentative="1">
      <w:start w:val="1"/>
      <w:numFmt w:val="decimal"/>
      <w:lvlText w:val="%7."/>
      <w:lvlJc w:val="left"/>
      <w:pPr>
        <w:ind w:left="3462" w:hanging="360"/>
      </w:pPr>
    </w:lvl>
    <w:lvl w:ilvl="7" w:tplc="0C090019" w:tentative="1">
      <w:start w:val="1"/>
      <w:numFmt w:val="lowerLetter"/>
      <w:lvlText w:val="%8."/>
      <w:lvlJc w:val="left"/>
      <w:pPr>
        <w:ind w:left="4182" w:hanging="360"/>
      </w:pPr>
    </w:lvl>
    <w:lvl w:ilvl="8" w:tplc="0C09001B" w:tentative="1">
      <w:start w:val="1"/>
      <w:numFmt w:val="lowerRoman"/>
      <w:lvlText w:val="%9."/>
      <w:lvlJc w:val="right"/>
      <w:pPr>
        <w:ind w:left="4902" w:hanging="180"/>
      </w:pPr>
    </w:lvl>
  </w:abstractNum>
  <w:abstractNum w:abstractNumId="23" w15:restartNumberingAfterBreak="0">
    <w:nsid w:val="20050F97"/>
    <w:multiLevelType w:val="hybridMultilevel"/>
    <w:tmpl w:val="DD5E0470"/>
    <w:lvl w:ilvl="0" w:tplc="C498A45A">
      <w:start w:val="1"/>
      <w:numFmt w:val="decimal"/>
      <w:lvlText w:val="(%1)"/>
      <w:lvlJc w:val="left"/>
      <w:pPr>
        <w:tabs>
          <w:tab w:val="num" w:pos="532"/>
        </w:tabs>
        <w:ind w:left="532"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03D03B4"/>
    <w:multiLevelType w:val="hybridMultilevel"/>
    <w:tmpl w:val="EEDCF8BA"/>
    <w:lvl w:ilvl="0" w:tplc="C498A45A">
      <w:start w:val="1"/>
      <w:numFmt w:val="decimal"/>
      <w:lvlText w:val="(%1)"/>
      <w:lvlJc w:val="left"/>
      <w:pPr>
        <w:tabs>
          <w:tab w:val="num" w:pos="750"/>
        </w:tabs>
        <w:ind w:left="750"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23E8470A"/>
    <w:multiLevelType w:val="hybridMultilevel"/>
    <w:tmpl w:val="F5C89F2A"/>
    <w:lvl w:ilvl="0" w:tplc="46626AD6">
      <w:start w:val="1"/>
      <w:numFmt w:val="decimal"/>
      <w:lvlText w:val="(%1)"/>
      <w:lvlJc w:val="left"/>
      <w:pPr>
        <w:ind w:left="1144" w:hanging="390"/>
      </w:pPr>
      <w:rPr>
        <w:rFonts w:hint="default"/>
      </w:rPr>
    </w:lvl>
    <w:lvl w:ilvl="1" w:tplc="0C090019" w:tentative="1">
      <w:start w:val="1"/>
      <w:numFmt w:val="lowerLetter"/>
      <w:lvlText w:val="%2."/>
      <w:lvlJc w:val="left"/>
      <w:pPr>
        <w:ind w:left="1834" w:hanging="360"/>
      </w:pPr>
    </w:lvl>
    <w:lvl w:ilvl="2" w:tplc="0C09001B" w:tentative="1">
      <w:start w:val="1"/>
      <w:numFmt w:val="lowerRoman"/>
      <w:lvlText w:val="%3."/>
      <w:lvlJc w:val="right"/>
      <w:pPr>
        <w:ind w:left="2554" w:hanging="180"/>
      </w:pPr>
    </w:lvl>
    <w:lvl w:ilvl="3" w:tplc="0C09000F" w:tentative="1">
      <w:start w:val="1"/>
      <w:numFmt w:val="decimal"/>
      <w:lvlText w:val="%4."/>
      <w:lvlJc w:val="left"/>
      <w:pPr>
        <w:ind w:left="3274" w:hanging="360"/>
      </w:pPr>
    </w:lvl>
    <w:lvl w:ilvl="4" w:tplc="0C090019" w:tentative="1">
      <w:start w:val="1"/>
      <w:numFmt w:val="lowerLetter"/>
      <w:lvlText w:val="%5."/>
      <w:lvlJc w:val="left"/>
      <w:pPr>
        <w:ind w:left="3994" w:hanging="360"/>
      </w:pPr>
    </w:lvl>
    <w:lvl w:ilvl="5" w:tplc="0C09001B" w:tentative="1">
      <w:start w:val="1"/>
      <w:numFmt w:val="lowerRoman"/>
      <w:lvlText w:val="%6."/>
      <w:lvlJc w:val="right"/>
      <w:pPr>
        <w:ind w:left="4714" w:hanging="180"/>
      </w:pPr>
    </w:lvl>
    <w:lvl w:ilvl="6" w:tplc="0C09000F" w:tentative="1">
      <w:start w:val="1"/>
      <w:numFmt w:val="decimal"/>
      <w:lvlText w:val="%7."/>
      <w:lvlJc w:val="left"/>
      <w:pPr>
        <w:ind w:left="5434" w:hanging="360"/>
      </w:pPr>
    </w:lvl>
    <w:lvl w:ilvl="7" w:tplc="0C090019" w:tentative="1">
      <w:start w:val="1"/>
      <w:numFmt w:val="lowerLetter"/>
      <w:lvlText w:val="%8."/>
      <w:lvlJc w:val="left"/>
      <w:pPr>
        <w:ind w:left="6154" w:hanging="360"/>
      </w:pPr>
    </w:lvl>
    <w:lvl w:ilvl="8" w:tplc="0C09001B" w:tentative="1">
      <w:start w:val="1"/>
      <w:numFmt w:val="lowerRoman"/>
      <w:lvlText w:val="%9."/>
      <w:lvlJc w:val="right"/>
      <w:pPr>
        <w:ind w:left="6874" w:hanging="180"/>
      </w:pPr>
    </w:lvl>
  </w:abstractNum>
  <w:abstractNum w:abstractNumId="26" w15:restartNumberingAfterBreak="0">
    <w:nsid w:val="267A4523"/>
    <w:multiLevelType w:val="hybridMultilevel"/>
    <w:tmpl w:val="A1B413B2"/>
    <w:lvl w:ilvl="0" w:tplc="E68C5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E01D6D"/>
    <w:multiLevelType w:val="hybridMultilevel"/>
    <w:tmpl w:val="120E1190"/>
    <w:lvl w:ilvl="0" w:tplc="DC6228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5817C6"/>
    <w:multiLevelType w:val="hybridMultilevel"/>
    <w:tmpl w:val="0AA22662"/>
    <w:lvl w:ilvl="0" w:tplc="2BE65A98">
      <w:start w:val="1"/>
      <w:numFmt w:val="lowerRoman"/>
      <w:lvlText w:val="(%1)"/>
      <w:lvlJc w:val="left"/>
      <w:pPr>
        <w:tabs>
          <w:tab w:val="num" w:pos="1800"/>
        </w:tabs>
        <w:ind w:left="180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6D645A"/>
    <w:multiLevelType w:val="hybridMultilevel"/>
    <w:tmpl w:val="217602C4"/>
    <w:lvl w:ilvl="0" w:tplc="DBB443E6">
      <w:start w:val="10"/>
      <w:numFmt w:val="decimal"/>
      <w:lvlText w:val="(%1)"/>
      <w:lvlJc w:val="left"/>
      <w:pPr>
        <w:ind w:left="786" w:hanging="360"/>
      </w:pPr>
      <w:rPr>
        <w:rFonts w:hint="default"/>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30" w15:restartNumberingAfterBreak="0">
    <w:nsid w:val="2C98049A"/>
    <w:multiLevelType w:val="hybridMultilevel"/>
    <w:tmpl w:val="C6E01F26"/>
    <w:lvl w:ilvl="0" w:tplc="FA182CD8">
      <w:start w:val="1"/>
      <w:numFmt w:val="lowerLetter"/>
      <w:lvlText w:val="(%1)"/>
      <w:lvlJc w:val="left"/>
      <w:pPr>
        <w:ind w:left="2160" w:hanging="520"/>
      </w:pPr>
      <w:rPr>
        <w:rFonts w:hint="default"/>
      </w:rPr>
    </w:lvl>
    <w:lvl w:ilvl="1" w:tplc="0C090019" w:tentative="1">
      <w:start w:val="1"/>
      <w:numFmt w:val="lowerLetter"/>
      <w:lvlText w:val="%2."/>
      <w:lvlJc w:val="left"/>
      <w:pPr>
        <w:ind w:left="2720" w:hanging="360"/>
      </w:pPr>
    </w:lvl>
    <w:lvl w:ilvl="2" w:tplc="0C09001B" w:tentative="1">
      <w:start w:val="1"/>
      <w:numFmt w:val="lowerRoman"/>
      <w:lvlText w:val="%3."/>
      <w:lvlJc w:val="right"/>
      <w:pPr>
        <w:ind w:left="3440" w:hanging="180"/>
      </w:pPr>
    </w:lvl>
    <w:lvl w:ilvl="3" w:tplc="0C09000F" w:tentative="1">
      <w:start w:val="1"/>
      <w:numFmt w:val="decimal"/>
      <w:lvlText w:val="%4."/>
      <w:lvlJc w:val="left"/>
      <w:pPr>
        <w:ind w:left="4160" w:hanging="360"/>
      </w:pPr>
    </w:lvl>
    <w:lvl w:ilvl="4" w:tplc="0C090019" w:tentative="1">
      <w:start w:val="1"/>
      <w:numFmt w:val="lowerLetter"/>
      <w:lvlText w:val="%5."/>
      <w:lvlJc w:val="left"/>
      <w:pPr>
        <w:ind w:left="4880" w:hanging="360"/>
      </w:pPr>
    </w:lvl>
    <w:lvl w:ilvl="5" w:tplc="0C09001B" w:tentative="1">
      <w:start w:val="1"/>
      <w:numFmt w:val="lowerRoman"/>
      <w:lvlText w:val="%6."/>
      <w:lvlJc w:val="right"/>
      <w:pPr>
        <w:ind w:left="5600" w:hanging="180"/>
      </w:pPr>
    </w:lvl>
    <w:lvl w:ilvl="6" w:tplc="0C09000F" w:tentative="1">
      <w:start w:val="1"/>
      <w:numFmt w:val="decimal"/>
      <w:lvlText w:val="%7."/>
      <w:lvlJc w:val="left"/>
      <w:pPr>
        <w:ind w:left="6320" w:hanging="360"/>
      </w:pPr>
    </w:lvl>
    <w:lvl w:ilvl="7" w:tplc="0C090019" w:tentative="1">
      <w:start w:val="1"/>
      <w:numFmt w:val="lowerLetter"/>
      <w:lvlText w:val="%8."/>
      <w:lvlJc w:val="left"/>
      <w:pPr>
        <w:ind w:left="7040" w:hanging="360"/>
      </w:pPr>
    </w:lvl>
    <w:lvl w:ilvl="8" w:tplc="0C09001B" w:tentative="1">
      <w:start w:val="1"/>
      <w:numFmt w:val="lowerRoman"/>
      <w:lvlText w:val="%9."/>
      <w:lvlJc w:val="right"/>
      <w:pPr>
        <w:ind w:left="7760" w:hanging="180"/>
      </w:pPr>
    </w:lvl>
  </w:abstractNum>
  <w:abstractNum w:abstractNumId="31" w15:restartNumberingAfterBreak="0">
    <w:nsid w:val="307128FA"/>
    <w:multiLevelType w:val="hybridMultilevel"/>
    <w:tmpl w:val="83A6071C"/>
    <w:lvl w:ilvl="0" w:tplc="22381D72">
      <w:start w:val="1"/>
      <w:numFmt w:val="lowerLetter"/>
      <w:lvlText w:val="(%1)"/>
      <w:lvlJc w:val="left"/>
      <w:pPr>
        <w:tabs>
          <w:tab w:val="num" w:pos="-138"/>
        </w:tabs>
        <w:ind w:left="-138" w:hanging="360"/>
      </w:pPr>
      <w:rPr>
        <w:rFonts w:hint="default"/>
        <w:vertAlign w:val="baseline"/>
      </w:rPr>
    </w:lvl>
    <w:lvl w:ilvl="1" w:tplc="0C090019">
      <w:start w:val="1"/>
      <w:numFmt w:val="lowerLetter"/>
      <w:lvlText w:val="%2."/>
      <w:lvlJc w:val="left"/>
      <w:pPr>
        <w:ind w:left="-138" w:hanging="360"/>
      </w:pPr>
    </w:lvl>
    <w:lvl w:ilvl="2" w:tplc="0C09001B" w:tentative="1">
      <w:start w:val="1"/>
      <w:numFmt w:val="lowerRoman"/>
      <w:lvlText w:val="%3."/>
      <w:lvlJc w:val="right"/>
      <w:pPr>
        <w:ind w:left="582" w:hanging="180"/>
      </w:pPr>
    </w:lvl>
    <w:lvl w:ilvl="3" w:tplc="0C09000F" w:tentative="1">
      <w:start w:val="1"/>
      <w:numFmt w:val="decimal"/>
      <w:lvlText w:val="%4."/>
      <w:lvlJc w:val="left"/>
      <w:pPr>
        <w:ind w:left="1302" w:hanging="360"/>
      </w:pPr>
    </w:lvl>
    <w:lvl w:ilvl="4" w:tplc="0C090019" w:tentative="1">
      <w:start w:val="1"/>
      <w:numFmt w:val="lowerLetter"/>
      <w:lvlText w:val="%5."/>
      <w:lvlJc w:val="left"/>
      <w:pPr>
        <w:ind w:left="2022" w:hanging="360"/>
      </w:pPr>
    </w:lvl>
    <w:lvl w:ilvl="5" w:tplc="0C09001B" w:tentative="1">
      <w:start w:val="1"/>
      <w:numFmt w:val="lowerRoman"/>
      <w:lvlText w:val="%6."/>
      <w:lvlJc w:val="right"/>
      <w:pPr>
        <w:ind w:left="2742" w:hanging="180"/>
      </w:pPr>
    </w:lvl>
    <w:lvl w:ilvl="6" w:tplc="0C09000F" w:tentative="1">
      <w:start w:val="1"/>
      <w:numFmt w:val="decimal"/>
      <w:lvlText w:val="%7."/>
      <w:lvlJc w:val="left"/>
      <w:pPr>
        <w:ind w:left="3462" w:hanging="360"/>
      </w:pPr>
    </w:lvl>
    <w:lvl w:ilvl="7" w:tplc="0C090019" w:tentative="1">
      <w:start w:val="1"/>
      <w:numFmt w:val="lowerLetter"/>
      <w:lvlText w:val="%8."/>
      <w:lvlJc w:val="left"/>
      <w:pPr>
        <w:ind w:left="4182" w:hanging="360"/>
      </w:pPr>
    </w:lvl>
    <w:lvl w:ilvl="8" w:tplc="0C09001B" w:tentative="1">
      <w:start w:val="1"/>
      <w:numFmt w:val="lowerRoman"/>
      <w:lvlText w:val="%9."/>
      <w:lvlJc w:val="right"/>
      <w:pPr>
        <w:ind w:left="4902" w:hanging="180"/>
      </w:pPr>
    </w:lvl>
  </w:abstractNum>
  <w:abstractNum w:abstractNumId="32" w15:restartNumberingAfterBreak="0">
    <w:nsid w:val="30C114A8"/>
    <w:multiLevelType w:val="hybridMultilevel"/>
    <w:tmpl w:val="3ACAB9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0D2150C"/>
    <w:multiLevelType w:val="hybridMultilevel"/>
    <w:tmpl w:val="67E059EA"/>
    <w:lvl w:ilvl="0" w:tplc="074A03DC">
      <w:start w:val="1"/>
      <w:numFmt w:val="decimal"/>
      <w:lvlText w:val="%1."/>
      <w:lvlJc w:val="left"/>
      <w:pPr>
        <w:tabs>
          <w:tab w:val="num" w:pos="540"/>
        </w:tabs>
        <w:ind w:left="540" w:hanging="540"/>
      </w:pPr>
      <w:rPr>
        <w:rFonts w:hint="default"/>
      </w:rPr>
    </w:lvl>
    <w:lvl w:ilvl="1" w:tplc="78F4C3C6">
      <w:start w:val="1"/>
      <w:numFmt w:val="decimal"/>
      <w:lvlText w:val="(%2)"/>
      <w:lvlJc w:val="left"/>
      <w:pPr>
        <w:tabs>
          <w:tab w:val="num" w:pos="482"/>
        </w:tabs>
        <w:ind w:left="482" w:hanging="482"/>
      </w:pPr>
      <w:rPr>
        <w:rFonts w:hint="default"/>
      </w:rPr>
    </w:lvl>
    <w:lvl w:ilvl="2" w:tplc="F79481F6">
      <w:start w:val="1"/>
      <w:numFmt w:val="lowerLetter"/>
      <w:lvlText w:val="(%3)"/>
      <w:lvlJc w:val="left"/>
      <w:pPr>
        <w:tabs>
          <w:tab w:val="num" w:pos="2880"/>
        </w:tabs>
        <w:ind w:left="2880" w:hanging="360"/>
      </w:pPr>
      <w:rPr>
        <w:rFonts w:ascii="Times New Roman" w:eastAsia="Times New Roman" w:hAnsi="Times New Roman" w:cs="Times New Roman" w:hint="default"/>
      </w:rPr>
    </w:lvl>
    <w:lvl w:ilvl="3" w:tplc="0C090001">
      <w:start w:val="1"/>
      <w:numFmt w:val="bullet"/>
      <w:lvlText w:val=""/>
      <w:lvlJc w:val="left"/>
      <w:pPr>
        <w:tabs>
          <w:tab w:val="num" w:pos="3420"/>
        </w:tabs>
        <w:ind w:left="3420" w:hanging="360"/>
      </w:pPr>
      <w:rPr>
        <w:rFonts w:ascii="Symbol" w:hAnsi="Symbol" w:hint="default"/>
      </w:rPr>
    </w:lvl>
    <w:lvl w:ilvl="4" w:tplc="517C7EAC">
      <w:start w:val="6"/>
      <w:numFmt w:val="lowerLetter"/>
      <w:lvlText w:val="(%5)"/>
      <w:lvlJc w:val="left"/>
      <w:pPr>
        <w:tabs>
          <w:tab w:val="num" w:pos="4140"/>
        </w:tabs>
        <w:ind w:left="4140" w:hanging="360"/>
      </w:pPr>
      <w:rPr>
        <w:rFonts w:hint="default"/>
      </w:rPr>
    </w:lvl>
    <w:lvl w:ilvl="5" w:tplc="C2D4E648">
      <w:start w:val="1"/>
      <w:numFmt w:val="lowerLetter"/>
      <w:lvlText w:val="%6)"/>
      <w:lvlJc w:val="left"/>
      <w:pPr>
        <w:tabs>
          <w:tab w:val="num" w:pos="5040"/>
        </w:tabs>
        <w:ind w:left="5040" w:hanging="360"/>
      </w:pPr>
      <w:rPr>
        <w:rFonts w:hint="default"/>
      </w:r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34" w15:restartNumberingAfterBreak="0">
    <w:nsid w:val="33F1751B"/>
    <w:multiLevelType w:val="hybridMultilevel"/>
    <w:tmpl w:val="B03432EE"/>
    <w:lvl w:ilvl="0" w:tplc="CDBC5AEE">
      <w:start w:val="1"/>
      <w:numFmt w:val="lowerLetter"/>
      <w:lvlText w:val="(%1)"/>
      <w:lvlJc w:val="left"/>
      <w:pPr>
        <w:tabs>
          <w:tab w:val="num" w:pos="1440"/>
        </w:tabs>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38E84B4C"/>
    <w:multiLevelType w:val="hybridMultilevel"/>
    <w:tmpl w:val="B2DAF8BA"/>
    <w:lvl w:ilvl="0" w:tplc="22381D72">
      <w:start w:val="1"/>
      <w:numFmt w:val="lowerLetter"/>
      <w:lvlText w:val="(%1)"/>
      <w:lvlJc w:val="left"/>
      <w:pPr>
        <w:tabs>
          <w:tab w:val="num" w:pos="1800"/>
        </w:tabs>
        <w:ind w:left="1800" w:hanging="360"/>
      </w:pPr>
      <w:rPr>
        <w:rFonts w:hint="default"/>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853D44"/>
    <w:multiLevelType w:val="hybridMultilevel"/>
    <w:tmpl w:val="59F6B6C6"/>
    <w:lvl w:ilvl="0" w:tplc="22381D72">
      <w:start w:val="1"/>
      <w:numFmt w:val="lowerLetter"/>
      <w:lvlText w:val="(%1)"/>
      <w:lvlJc w:val="left"/>
      <w:pPr>
        <w:tabs>
          <w:tab w:val="num" w:pos="1800"/>
        </w:tabs>
        <w:ind w:left="1800" w:hanging="360"/>
      </w:pPr>
      <w:rPr>
        <w:rFonts w:hint="default"/>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9" w15:restartNumberingAfterBreak="0">
    <w:nsid w:val="3B091A8C"/>
    <w:multiLevelType w:val="hybridMultilevel"/>
    <w:tmpl w:val="7536F766"/>
    <w:lvl w:ilvl="0" w:tplc="37F406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4B49CA"/>
    <w:multiLevelType w:val="hybridMultilevel"/>
    <w:tmpl w:val="07768B16"/>
    <w:lvl w:ilvl="0" w:tplc="2E281DFC">
      <w:start w:val="1"/>
      <w:numFmt w:val="decimal"/>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9951CBD"/>
    <w:multiLevelType w:val="hybridMultilevel"/>
    <w:tmpl w:val="DD5E0470"/>
    <w:lvl w:ilvl="0" w:tplc="C498A45A">
      <w:start w:val="1"/>
      <w:numFmt w:val="decimal"/>
      <w:lvlText w:val="(%1)"/>
      <w:lvlJc w:val="left"/>
      <w:pPr>
        <w:tabs>
          <w:tab w:val="num" w:pos="750"/>
        </w:tabs>
        <w:ind w:left="750"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4ABE0D5B"/>
    <w:multiLevelType w:val="hybridMultilevel"/>
    <w:tmpl w:val="A6663A4A"/>
    <w:lvl w:ilvl="0" w:tplc="8CA653FE">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B177EBA"/>
    <w:multiLevelType w:val="hybridMultilevel"/>
    <w:tmpl w:val="E9F2A42C"/>
    <w:lvl w:ilvl="0" w:tplc="22381D72">
      <w:start w:val="1"/>
      <w:numFmt w:val="lowerLetter"/>
      <w:lvlText w:val="(%1)"/>
      <w:lvlJc w:val="left"/>
      <w:pPr>
        <w:ind w:left="1080" w:hanging="360"/>
      </w:pPr>
      <w:rPr>
        <w:rFonts w:hint="default"/>
        <w:vertAlign w:val="baseli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F3C7165"/>
    <w:multiLevelType w:val="hybridMultilevel"/>
    <w:tmpl w:val="DD5E0470"/>
    <w:lvl w:ilvl="0" w:tplc="C498A45A">
      <w:start w:val="1"/>
      <w:numFmt w:val="decimal"/>
      <w:lvlText w:val="(%1)"/>
      <w:lvlJc w:val="left"/>
      <w:pPr>
        <w:tabs>
          <w:tab w:val="num" w:pos="532"/>
        </w:tabs>
        <w:ind w:left="532"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F6D5C51"/>
    <w:multiLevelType w:val="hybridMultilevel"/>
    <w:tmpl w:val="ACDCFF28"/>
    <w:lvl w:ilvl="0" w:tplc="22381D72">
      <w:start w:val="1"/>
      <w:numFmt w:val="lowerLetter"/>
      <w:lvlText w:val="(%1)"/>
      <w:lvlJc w:val="left"/>
      <w:pPr>
        <w:tabs>
          <w:tab w:val="num" w:pos="360"/>
        </w:tabs>
        <w:ind w:left="360" w:hanging="360"/>
      </w:pPr>
      <w:rPr>
        <w:rFonts w:hint="default"/>
        <w:vertAlign w:val="baseline"/>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46" w15:restartNumberingAfterBreak="0">
    <w:nsid w:val="50807E66"/>
    <w:multiLevelType w:val="hybridMultilevel"/>
    <w:tmpl w:val="45BC9E32"/>
    <w:lvl w:ilvl="0" w:tplc="074A03DC">
      <w:start w:val="1"/>
      <w:numFmt w:val="decimal"/>
      <w:lvlText w:val="%1."/>
      <w:lvlJc w:val="left"/>
      <w:pPr>
        <w:tabs>
          <w:tab w:val="num" w:pos="540"/>
        </w:tabs>
        <w:ind w:left="540" w:hanging="540"/>
      </w:pPr>
      <w:rPr>
        <w:rFonts w:hint="default"/>
      </w:rPr>
    </w:lvl>
    <w:lvl w:ilvl="1" w:tplc="78F4C3C6">
      <w:start w:val="1"/>
      <w:numFmt w:val="decimal"/>
      <w:lvlText w:val="(%2)"/>
      <w:lvlJc w:val="left"/>
      <w:pPr>
        <w:tabs>
          <w:tab w:val="num" w:pos="482"/>
        </w:tabs>
        <w:ind w:left="482" w:hanging="482"/>
      </w:pPr>
      <w:rPr>
        <w:rFonts w:hint="default"/>
      </w:rPr>
    </w:lvl>
    <w:lvl w:ilvl="2" w:tplc="F79481F6">
      <w:start w:val="1"/>
      <w:numFmt w:val="lowerLetter"/>
      <w:lvlText w:val="(%3)"/>
      <w:lvlJc w:val="left"/>
      <w:pPr>
        <w:tabs>
          <w:tab w:val="num" w:pos="2880"/>
        </w:tabs>
        <w:ind w:left="2880" w:hanging="360"/>
      </w:pPr>
      <w:rPr>
        <w:rFonts w:ascii="Times New Roman" w:eastAsia="Times New Roman" w:hAnsi="Times New Roman" w:cs="Times New Roman" w:hint="default"/>
      </w:rPr>
    </w:lvl>
    <w:lvl w:ilvl="3" w:tplc="0C090001">
      <w:start w:val="1"/>
      <w:numFmt w:val="bullet"/>
      <w:lvlText w:val=""/>
      <w:lvlJc w:val="left"/>
      <w:pPr>
        <w:tabs>
          <w:tab w:val="num" w:pos="3420"/>
        </w:tabs>
        <w:ind w:left="3420" w:hanging="360"/>
      </w:pPr>
      <w:rPr>
        <w:rFonts w:ascii="Symbol" w:hAnsi="Symbol" w:hint="default"/>
      </w:rPr>
    </w:lvl>
    <w:lvl w:ilvl="4" w:tplc="517C7EAC">
      <w:start w:val="6"/>
      <w:numFmt w:val="lowerLetter"/>
      <w:lvlText w:val="(%5)"/>
      <w:lvlJc w:val="left"/>
      <w:pPr>
        <w:tabs>
          <w:tab w:val="num" w:pos="4140"/>
        </w:tabs>
        <w:ind w:left="4140" w:hanging="360"/>
      </w:pPr>
      <w:rPr>
        <w:rFonts w:hint="default"/>
      </w:rPr>
    </w:lvl>
    <w:lvl w:ilvl="5" w:tplc="C2D4E648">
      <w:start w:val="1"/>
      <w:numFmt w:val="lowerLetter"/>
      <w:lvlText w:val="%6)"/>
      <w:lvlJc w:val="left"/>
      <w:pPr>
        <w:tabs>
          <w:tab w:val="num" w:pos="5040"/>
        </w:tabs>
        <w:ind w:left="5040" w:hanging="360"/>
      </w:pPr>
      <w:rPr>
        <w:rFonts w:hint="default"/>
      </w:r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47" w15:restartNumberingAfterBreak="0">
    <w:nsid w:val="513346B7"/>
    <w:multiLevelType w:val="hybridMultilevel"/>
    <w:tmpl w:val="449C8186"/>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430150"/>
    <w:multiLevelType w:val="hybridMultilevel"/>
    <w:tmpl w:val="737CE514"/>
    <w:lvl w:ilvl="0" w:tplc="1776686C">
      <w:start w:val="1"/>
      <w:numFmt w:val="decimal"/>
      <w:lvlText w:val="(%1)"/>
      <w:lvlJc w:val="left"/>
      <w:pPr>
        <w:tabs>
          <w:tab w:val="num" w:pos="750"/>
        </w:tabs>
        <w:ind w:left="750" w:hanging="390"/>
      </w:pPr>
      <w:rPr>
        <w:rFonts w:hint="default"/>
      </w:rPr>
    </w:lvl>
    <w:lvl w:ilvl="1" w:tplc="CDBC5AEE">
      <w:start w:val="1"/>
      <w:numFmt w:val="lowerLetter"/>
      <w:lvlText w:val="(%2)"/>
      <w:lvlJc w:val="left"/>
      <w:pPr>
        <w:tabs>
          <w:tab w:val="num" w:pos="1440"/>
        </w:tabs>
        <w:ind w:left="1440" w:hanging="360"/>
      </w:pPr>
      <w:rPr>
        <w:rFonts w:hint="default"/>
        <w:b w:val="0"/>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56D15B41"/>
    <w:multiLevelType w:val="hybridMultilevel"/>
    <w:tmpl w:val="0DCCBB3C"/>
    <w:lvl w:ilvl="0" w:tplc="1E9CA52A">
      <w:start w:val="5"/>
      <w:numFmt w:val="decimal"/>
      <w:lvlText w:val="(%1)"/>
      <w:lvlJc w:val="left"/>
      <w:pPr>
        <w:tabs>
          <w:tab w:val="num" w:pos="532"/>
        </w:tabs>
        <w:ind w:left="532"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7D54AA8"/>
    <w:multiLevelType w:val="hybridMultilevel"/>
    <w:tmpl w:val="DA0EE456"/>
    <w:lvl w:ilvl="0" w:tplc="62B8CC2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83939F1"/>
    <w:multiLevelType w:val="hybridMultilevel"/>
    <w:tmpl w:val="37FC4F48"/>
    <w:lvl w:ilvl="0" w:tplc="22381D72">
      <w:start w:val="1"/>
      <w:numFmt w:val="lowerLetter"/>
      <w:lvlText w:val="(%1)"/>
      <w:lvlJc w:val="left"/>
      <w:pPr>
        <w:tabs>
          <w:tab w:val="num" w:pos="360"/>
        </w:tabs>
        <w:ind w:left="360" w:hanging="360"/>
      </w:pPr>
      <w:rPr>
        <w:rFonts w:hint="default"/>
        <w:vertAlign w:val="baseline"/>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52" w15:restartNumberingAfterBreak="0">
    <w:nsid w:val="601B2D72"/>
    <w:multiLevelType w:val="hybridMultilevel"/>
    <w:tmpl w:val="1F8EFFA8"/>
    <w:lvl w:ilvl="0" w:tplc="D6120932">
      <w:start w:val="1"/>
      <w:numFmt w:val="lowerLetter"/>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53" w15:restartNumberingAfterBreak="0">
    <w:nsid w:val="60E50F10"/>
    <w:multiLevelType w:val="hybridMultilevel"/>
    <w:tmpl w:val="30D83B96"/>
    <w:lvl w:ilvl="0" w:tplc="2BE65A98">
      <w:start w:val="1"/>
      <w:numFmt w:val="lowerRoman"/>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6A714C1F"/>
    <w:multiLevelType w:val="hybridMultilevel"/>
    <w:tmpl w:val="F2961EAC"/>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6B03EF"/>
    <w:multiLevelType w:val="hybridMultilevel"/>
    <w:tmpl w:val="0E9E269E"/>
    <w:lvl w:ilvl="0" w:tplc="22381D72">
      <w:start w:val="1"/>
      <w:numFmt w:val="lowerLetter"/>
      <w:lvlText w:val="(%1)"/>
      <w:lvlJc w:val="left"/>
      <w:pPr>
        <w:ind w:left="720" w:hanging="360"/>
      </w:pPr>
      <w:rPr>
        <w:rFonts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281247"/>
    <w:multiLevelType w:val="hybridMultilevel"/>
    <w:tmpl w:val="0AA22662"/>
    <w:lvl w:ilvl="0" w:tplc="2BE65A98">
      <w:start w:val="1"/>
      <w:numFmt w:val="lowerRoman"/>
      <w:lvlText w:val="(%1)"/>
      <w:lvlJc w:val="left"/>
      <w:pPr>
        <w:tabs>
          <w:tab w:val="num" w:pos="1800"/>
        </w:tabs>
        <w:ind w:left="180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1E1ABE"/>
    <w:multiLevelType w:val="hybridMultilevel"/>
    <w:tmpl w:val="5290B8FC"/>
    <w:lvl w:ilvl="0" w:tplc="96A47EA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8" w15:restartNumberingAfterBreak="0">
    <w:nsid w:val="74D0337F"/>
    <w:multiLevelType w:val="hybridMultilevel"/>
    <w:tmpl w:val="B0C2A95C"/>
    <w:lvl w:ilvl="0" w:tplc="AD3C471C">
      <w:start w:val="7"/>
      <w:numFmt w:val="decimal"/>
      <w:lvlText w:val="%1"/>
      <w:lvlJc w:val="left"/>
      <w:pPr>
        <w:ind w:left="720" w:hanging="360"/>
      </w:pPr>
      <w:rPr>
        <w:rFonts w:ascii="Times New Roman" w:hAnsi="Times New Roman"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B247A04"/>
    <w:multiLevelType w:val="hybridMultilevel"/>
    <w:tmpl w:val="A088F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D85880"/>
    <w:multiLevelType w:val="hybridMultilevel"/>
    <w:tmpl w:val="E368B758"/>
    <w:lvl w:ilvl="0" w:tplc="2BE65A9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CC48DC"/>
    <w:multiLevelType w:val="hybridMultilevel"/>
    <w:tmpl w:val="CD64F048"/>
    <w:lvl w:ilvl="0" w:tplc="C498A45A">
      <w:start w:val="1"/>
      <w:numFmt w:val="decimal"/>
      <w:lvlText w:val="(%1)"/>
      <w:lvlJc w:val="left"/>
      <w:pPr>
        <w:tabs>
          <w:tab w:val="num" w:pos="750"/>
        </w:tabs>
        <w:ind w:left="750" w:hanging="390"/>
      </w:pPr>
      <w:rPr>
        <w:rFonts w:hint="default"/>
      </w:rPr>
    </w:lvl>
    <w:lvl w:ilvl="1" w:tplc="F79481F6">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tplc="96388B52">
      <w:start w:val="8"/>
      <w:numFmt w:val="decimal"/>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12"/>
  </w:num>
  <w:num w:numId="13">
    <w:abstractNumId w:val="21"/>
  </w:num>
  <w:num w:numId="14">
    <w:abstractNumId w:val="46"/>
  </w:num>
  <w:num w:numId="15">
    <w:abstractNumId w:val="28"/>
  </w:num>
  <w:num w:numId="16">
    <w:abstractNumId w:val="51"/>
  </w:num>
  <w:num w:numId="17">
    <w:abstractNumId w:val="60"/>
  </w:num>
  <w:num w:numId="18">
    <w:abstractNumId w:val="31"/>
  </w:num>
  <w:num w:numId="19">
    <w:abstractNumId w:val="56"/>
  </w:num>
  <w:num w:numId="20">
    <w:abstractNumId w:val="24"/>
  </w:num>
  <w:num w:numId="21">
    <w:abstractNumId w:val="20"/>
  </w:num>
  <w:num w:numId="22">
    <w:abstractNumId w:val="16"/>
  </w:num>
  <w:num w:numId="23">
    <w:abstractNumId w:val="61"/>
  </w:num>
  <w:num w:numId="24">
    <w:abstractNumId w:val="15"/>
  </w:num>
  <w:num w:numId="25">
    <w:abstractNumId w:val="41"/>
  </w:num>
  <w:num w:numId="26">
    <w:abstractNumId w:val="18"/>
  </w:num>
  <w:num w:numId="27">
    <w:abstractNumId w:val="45"/>
  </w:num>
  <w:num w:numId="28">
    <w:abstractNumId w:val="48"/>
  </w:num>
  <w:num w:numId="29">
    <w:abstractNumId w:val="33"/>
  </w:num>
  <w:num w:numId="30">
    <w:abstractNumId w:val="58"/>
  </w:num>
  <w:num w:numId="31">
    <w:abstractNumId w:val="25"/>
  </w:num>
  <w:num w:numId="32">
    <w:abstractNumId w:val="42"/>
  </w:num>
  <w:num w:numId="33">
    <w:abstractNumId w:val="30"/>
  </w:num>
  <w:num w:numId="34">
    <w:abstractNumId w:val="53"/>
  </w:num>
  <w:num w:numId="35">
    <w:abstractNumId w:val="19"/>
  </w:num>
  <w:num w:numId="36">
    <w:abstractNumId w:val="35"/>
  </w:num>
  <w:num w:numId="37">
    <w:abstractNumId w:val="49"/>
  </w:num>
  <w:num w:numId="38">
    <w:abstractNumId w:val="57"/>
  </w:num>
  <w:num w:numId="39">
    <w:abstractNumId w:val="10"/>
  </w:num>
  <w:num w:numId="40">
    <w:abstractNumId w:val="50"/>
  </w:num>
  <w:num w:numId="41">
    <w:abstractNumId w:val="34"/>
  </w:num>
  <w:num w:numId="42">
    <w:abstractNumId w:val="40"/>
  </w:num>
  <w:num w:numId="43">
    <w:abstractNumId w:val="54"/>
  </w:num>
  <w:num w:numId="44">
    <w:abstractNumId w:val="59"/>
  </w:num>
  <w:num w:numId="45">
    <w:abstractNumId w:val="32"/>
  </w:num>
  <w:num w:numId="46">
    <w:abstractNumId w:val="47"/>
  </w:num>
  <w:num w:numId="47">
    <w:abstractNumId w:val="36"/>
  </w:num>
  <w:num w:numId="48">
    <w:abstractNumId w:val="55"/>
  </w:num>
  <w:num w:numId="49">
    <w:abstractNumId w:val="43"/>
  </w:num>
  <w:num w:numId="50">
    <w:abstractNumId w:val="37"/>
  </w:num>
  <w:num w:numId="51">
    <w:abstractNumId w:val="52"/>
  </w:num>
  <w:num w:numId="52">
    <w:abstractNumId w:val="39"/>
  </w:num>
  <w:num w:numId="53">
    <w:abstractNumId w:val="26"/>
  </w:num>
  <w:num w:numId="54">
    <w:abstractNumId w:val="44"/>
  </w:num>
  <w:num w:numId="55">
    <w:abstractNumId w:val="17"/>
  </w:num>
  <w:num w:numId="56">
    <w:abstractNumId w:val="22"/>
  </w:num>
  <w:num w:numId="57">
    <w:abstractNumId w:val="11"/>
  </w:num>
  <w:num w:numId="58">
    <w:abstractNumId w:val="14"/>
  </w:num>
  <w:num w:numId="59">
    <w:abstractNumId w:val="27"/>
  </w:num>
  <w:num w:numId="60">
    <w:abstractNumId w:val="29"/>
  </w:num>
  <w:num w:numId="61">
    <w:abstractNumId w:val="23"/>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A7"/>
    <w:rsid w:val="000030D1"/>
    <w:rsid w:val="00003981"/>
    <w:rsid w:val="00004174"/>
    <w:rsid w:val="00004470"/>
    <w:rsid w:val="000057F2"/>
    <w:rsid w:val="0000613A"/>
    <w:rsid w:val="0000713C"/>
    <w:rsid w:val="00012B33"/>
    <w:rsid w:val="000136AF"/>
    <w:rsid w:val="00013C1C"/>
    <w:rsid w:val="00014829"/>
    <w:rsid w:val="000157C3"/>
    <w:rsid w:val="00016610"/>
    <w:rsid w:val="00021A85"/>
    <w:rsid w:val="00021D19"/>
    <w:rsid w:val="00022392"/>
    <w:rsid w:val="0002240F"/>
    <w:rsid w:val="00023383"/>
    <w:rsid w:val="00023474"/>
    <w:rsid w:val="0002349B"/>
    <w:rsid w:val="000250CA"/>
    <w:rsid w:val="000258B1"/>
    <w:rsid w:val="000316A9"/>
    <w:rsid w:val="000323F6"/>
    <w:rsid w:val="00032B73"/>
    <w:rsid w:val="00033437"/>
    <w:rsid w:val="000337C0"/>
    <w:rsid w:val="000400C9"/>
    <w:rsid w:val="00040A89"/>
    <w:rsid w:val="000437C1"/>
    <w:rsid w:val="0004455A"/>
    <w:rsid w:val="0005236C"/>
    <w:rsid w:val="0005365D"/>
    <w:rsid w:val="00053A6F"/>
    <w:rsid w:val="00053FC9"/>
    <w:rsid w:val="000540A6"/>
    <w:rsid w:val="000556A9"/>
    <w:rsid w:val="00060505"/>
    <w:rsid w:val="00060517"/>
    <w:rsid w:val="000606CD"/>
    <w:rsid w:val="00060ACB"/>
    <w:rsid w:val="00060B12"/>
    <w:rsid w:val="000614BF"/>
    <w:rsid w:val="00062017"/>
    <w:rsid w:val="00063B35"/>
    <w:rsid w:val="0006638E"/>
    <w:rsid w:val="0006709C"/>
    <w:rsid w:val="00070791"/>
    <w:rsid w:val="0007124C"/>
    <w:rsid w:val="000714DD"/>
    <w:rsid w:val="00072494"/>
    <w:rsid w:val="000735FD"/>
    <w:rsid w:val="00073A84"/>
    <w:rsid w:val="00074376"/>
    <w:rsid w:val="00083F4C"/>
    <w:rsid w:val="0008434C"/>
    <w:rsid w:val="00084691"/>
    <w:rsid w:val="000863F2"/>
    <w:rsid w:val="000913C8"/>
    <w:rsid w:val="0009276D"/>
    <w:rsid w:val="000931ED"/>
    <w:rsid w:val="000932B4"/>
    <w:rsid w:val="000978F5"/>
    <w:rsid w:val="000A0568"/>
    <w:rsid w:val="000A1866"/>
    <w:rsid w:val="000A2337"/>
    <w:rsid w:val="000A29B3"/>
    <w:rsid w:val="000A2A06"/>
    <w:rsid w:val="000A3F04"/>
    <w:rsid w:val="000A5B1C"/>
    <w:rsid w:val="000A60DA"/>
    <w:rsid w:val="000A7FC7"/>
    <w:rsid w:val="000B00B8"/>
    <w:rsid w:val="000B15CD"/>
    <w:rsid w:val="000B35EB"/>
    <w:rsid w:val="000B3B87"/>
    <w:rsid w:val="000B443B"/>
    <w:rsid w:val="000B53F1"/>
    <w:rsid w:val="000B73B3"/>
    <w:rsid w:val="000C5083"/>
    <w:rsid w:val="000D05EF"/>
    <w:rsid w:val="000D0BB2"/>
    <w:rsid w:val="000D237E"/>
    <w:rsid w:val="000D590A"/>
    <w:rsid w:val="000D5D1B"/>
    <w:rsid w:val="000D6682"/>
    <w:rsid w:val="000D7BFF"/>
    <w:rsid w:val="000E2261"/>
    <w:rsid w:val="000E28CB"/>
    <w:rsid w:val="000E2D43"/>
    <w:rsid w:val="000E5536"/>
    <w:rsid w:val="000E5E61"/>
    <w:rsid w:val="000E70E2"/>
    <w:rsid w:val="000E7538"/>
    <w:rsid w:val="000E78B7"/>
    <w:rsid w:val="000F090A"/>
    <w:rsid w:val="000F1C13"/>
    <w:rsid w:val="000F21C1"/>
    <w:rsid w:val="000F7176"/>
    <w:rsid w:val="00105720"/>
    <w:rsid w:val="001067C5"/>
    <w:rsid w:val="0010745C"/>
    <w:rsid w:val="00107F16"/>
    <w:rsid w:val="00111599"/>
    <w:rsid w:val="00111ED2"/>
    <w:rsid w:val="00112E15"/>
    <w:rsid w:val="001149ED"/>
    <w:rsid w:val="00114EF2"/>
    <w:rsid w:val="00115792"/>
    <w:rsid w:val="00116F7E"/>
    <w:rsid w:val="001173DF"/>
    <w:rsid w:val="0012153E"/>
    <w:rsid w:val="0012232A"/>
    <w:rsid w:val="0012268B"/>
    <w:rsid w:val="00122A0F"/>
    <w:rsid w:val="00124330"/>
    <w:rsid w:val="001261EE"/>
    <w:rsid w:val="00126635"/>
    <w:rsid w:val="00126CF6"/>
    <w:rsid w:val="00127447"/>
    <w:rsid w:val="00127B01"/>
    <w:rsid w:val="001310E1"/>
    <w:rsid w:val="00132CEB"/>
    <w:rsid w:val="001339B0"/>
    <w:rsid w:val="001406AB"/>
    <w:rsid w:val="00140E30"/>
    <w:rsid w:val="001410D1"/>
    <w:rsid w:val="00142753"/>
    <w:rsid w:val="00142B62"/>
    <w:rsid w:val="001441B7"/>
    <w:rsid w:val="001456B7"/>
    <w:rsid w:val="00146CA7"/>
    <w:rsid w:val="0015022B"/>
    <w:rsid w:val="00151021"/>
    <w:rsid w:val="001516CB"/>
    <w:rsid w:val="00152336"/>
    <w:rsid w:val="001528BE"/>
    <w:rsid w:val="00155D59"/>
    <w:rsid w:val="00155E92"/>
    <w:rsid w:val="00156D89"/>
    <w:rsid w:val="0015778A"/>
    <w:rsid w:val="00157B8B"/>
    <w:rsid w:val="001602DC"/>
    <w:rsid w:val="00160E24"/>
    <w:rsid w:val="001612EF"/>
    <w:rsid w:val="00162F47"/>
    <w:rsid w:val="00163C49"/>
    <w:rsid w:val="00164578"/>
    <w:rsid w:val="00166852"/>
    <w:rsid w:val="00166C2F"/>
    <w:rsid w:val="0017106C"/>
    <w:rsid w:val="0017418E"/>
    <w:rsid w:val="001768C3"/>
    <w:rsid w:val="00176B10"/>
    <w:rsid w:val="00177DB1"/>
    <w:rsid w:val="001802A2"/>
    <w:rsid w:val="0018063D"/>
    <w:rsid w:val="001809D7"/>
    <w:rsid w:val="00180A93"/>
    <w:rsid w:val="00182104"/>
    <w:rsid w:val="00182CD5"/>
    <w:rsid w:val="00186733"/>
    <w:rsid w:val="00187DDF"/>
    <w:rsid w:val="00190B05"/>
    <w:rsid w:val="00190C33"/>
    <w:rsid w:val="001939E1"/>
    <w:rsid w:val="00194C3E"/>
    <w:rsid w:val="00194FEB"/>
    <w:rsid w:val="00195382"/>
    <w:rsid w:val="001956C4"/>
    <w:rsid w:val="00196B7E"/>
    <w:rsid w:val="00197AB5"/>
    <w:rsid w:val="001A2065"/>
    <w:rsid w:val="001A2119"/>
    <w:rsid w:val="001A59FC"/>
    <w:rsid w:val="001A635E"/>
    <w:rsid w:val="001A67F5"/>
    <w:rsid w:val="001A7B7C"/>
    <w:rsid w:val="001A7DBF"/>
    <w:rsid w:val="001B26BB"/>
    <w:rsid w:val="001B2CB6"/>
    <w:rsid w:val="001B37E8"/>
    <w:rsid w:val="001B4D0A"/>
    <w:rsid w:val="001C3EDD"/>
    <w:rsid w:val="001C4ED0"/>
    <w:rsid w:val="001C56EB"/>
    <w:rsid w:val="001C61C5"/>
    <w:rsid w:val="001C69C4"/>
    <w:rsid w:val="001C7A20"/>
    <w:rsid w:val="001D37EF"/>
    <w:rsid w:val="001D489D"/>
    <w:rsid w:val="001D52FF"/>
    <w:rsid w:val="001D5493"/>
    <w:rsid w:val="001D652F"/>
    <w:rsid w:val="001E0EDC"/>
    <w:rsid w:val="001E3590"/>
    <w:rsid w:val="001E3624"/>
    <w:rsid w:val="001E3639"/>
    <w:rsid w:val="001E7407"/>
    <w:rsid w:val="001E791B"/>
    <w:rsid w:val="001E7FE8"/>
    <w:rsid w:val="001F0320"/>
    <w:rsid w:val="001F4642"/>
    <w:rsid w:val="001F58FE"/>
    <w:rsid w:val="001F5D5E"/>
    <w:rsid w:val="001F6219"/>
    <w:rsid w:val="001F6CD4"/>
    <w:rsid w:val="001F6DA3"/>
    <w:rsid w:val="0020186C"/>
    <w:rsid w:val="00202B7E"/>
    <w:rsid w:val="00203B6B"/>
    <w:rsid w:val="002047CC"/>
    <w:rsid w:val="00205D4E"/>
    <w:rsid w:val="00206C4D"/>
    <w:rsid w:val="0021053D"/>
    <w:rsid w:val="00214E59"/>
    <w:rsid w:val="00215AF1"/>
    <w:rsid w:val="0021657F"/>
    <w:rsid w:val="002165B9"/>
    <w:rsid w:val="00216C95"/>
    <w:rsid w:val="0022066C"/>
    <w:rsid w:val="00220B31"/>
    <w:rsid w:val="0022124E"/>
    <w:rsid w:val="00222DB6"/>
    <w:rsid w:val="00222DE3"/>
    <w:rsid w:val="002241F3"/>
    <w:rsid w:val="00224C3D"/>
    <w:rsid w:val="00225384"/>
    <w:rsid w:val="00225885"/>
    <w:rsid w:val="0022605B"/>
    <w:rsid w:val="002269BA"/>
    <w:rsid w:val="0022704F"/>
    <w:rsid w:val="00227910"/>
    <w:rsid w:val="00231496"/>
    <w:rsid w:val="002321E8"/>
    <w:rsid w:val="00232984"/>
    <w:rsid w:val="002369CC"/>
    <w:rsid w:val="00237A11"/>
    <w:rsid w:val="0024010F"/>
    <w:rsid w:val="00240749"/>
    <w:rsid w:val="00242944"/>
    <w:rsid w:val="00243018"/>
    <w:rsid w:val="00247976"/>
    <w:rsid w:val="0025258B"/>
    <w:rsid w:val="002549B3"/>
    <w:rsid w:val="00255B6C"/>
    <w:rsid w:val="002564A4"/>
    <w:rsid w:val="00261B68"/>
    <w:rsid w:val="0026436A"/>
    <w:rsid w:val="00264E43"/>
    <w:rsid w:val="002662C7"/>
    <w:rsid w:val="0026736C"/>
    <w:rsid w:val="00272C80"/>
    <w:rsid w:val="00274636"/>
    <w:rsid w:val="0027494A"/>
    <w:rsid w:val="00275506"/>
    <w:rsid w:val="00275744"/>
    <w:rsid w:val="00276002"/>
    <w:rsid w:val="00276BF3"/>
    <w:rsid w:val="002807F3"/>
    <w:rsid w:val="00281308"/>
    <w:rsid w:val="00281347"/>
    <w:rsid w:val="002818DB"/>
    <w:rsid w:val="00284719"/>
    <w:rsid w:val="00286DB0"/>
    <w:rsid w:val="0028706F"/>
    <w:rsid w:val="002875DD"/>
    <w:rsid w:val="00290110"/>
    <w:rsid w:val="00291608"/>
    <w:rsid w:val="00292A60"/>
    <w:rsid w:val="0029516E"/>
    <w:rsid w:val="00296118"/>
    <w:rsid w:val="00297ECB"/>
    <w:rsid w:val="002A3214"/>
    <w:rsid w:val="002A3BEF"/>
    <w:rsid w:val="002A7BCF"/>
    <w:rsid w:val="002B0A55"/>
    <w:rsid w:val="002B1BA7"/>
    <w:rsid w:val="002B1FD0"/>
    <w:rsid w:val="002B4244"/>
    <w:rsid w:val="002B480F"/>
    <w:rsid w:val="002B6CF0"/>
    <w:rsid w:val="002C0FC9"/>
    <w:rsid w:val="002C1920"/>
    <w:rsid w:val="002C3AC8"/>
    <w:rsid w:val="002C3FD1"/>
    <w:rsid w:val="002C57B0"/>
    <w:rsid w:val="002D043A"/>
    <w:rsid w:val="002D266B"/>
    <w:rsid w:val="002D3F12"/>
    <w:rsid w:val="002D4625"/>
    <w:rsid w:val="002D4965"/>
    <w:rsid w:val="002D4C5B"/>
    <w:rsid w:val="002D5921"/>
    <w:rsid w:val="002D5A74"/>
    <w:rsid w:val="002D5B6A"/>
    <w:rsid w:val="002D6224"/>
    <w:rsid w:val="002E156B"/>
    <w:rsid w:val="002E1850"/>
    <w:rsid w:val="002F15FD"/>
    <w:rsid w:val="002F1ACF"/>
    <w:rsid w:val="002F26BF"/>
    <w:rsid w:val="002F47ED"/>
    <w:rsid w:val="002F4FE8"/>
    <w:rsid w:val="002F54B5"/>
    <w:rsid w:val="002F6FAE"/>
    <w:rsid w:val="00301E5D"/>
    <w:rsid w:val="00302BCD"/>
    <w:rsid w:val="00304F8B"/>
    <w:rsid w:val="00307EF1"/>
    <w:rsid w:val="00310586"/>
    <w:rsid w:val="0031187D"/>
    <w:rsid w:val="003124AF"/>
    <w:rsid w:val="003130AD"/>
    <w:rsid w:val="00313CA8"/>
    <w:rsid w:val="00314D30"/>
    <w:rsid w:val="00317251"/>
    <w:rsid w:val="00317A1C"/>
    <w:rsid w:val="00320426"/>
    <w:rsid w:val="00321D64"/>
    <w:rsid w:val="00327BF4"/>
    <w:rsid w:val="00331006"/>
    <w:rsid w:val="00331512"/>
    <w:rsid w:val="003327DE"/>
    <w:rsid w:val="00335BC6"/>
    <w:rsid w:val="00336F52"/>
    <w:rsid w:val="00340932"/>
    <w:rsid w:val="0034157B"/>
    <w:rsid w:val="003415D3"/>
    <w:rsid w:val="00342DFC"/>
    <w:rsid w:val="00344338"/>
    <w:rsid w:val="00344701"/>
    <w:rsid w:val="00344DBE"/>
    <w:rsid w:val="00345B15"/>
    <w:rsid w:val="003465AE"/>
    <w:rsid w:val="00346A29"/>
    <w:rsid w:val="00347109"/>
    <w:rsid w:val="003510CE"/>
    <w:rsid w:val="00351536"/>
    <w:rsid w:val="00352A08"/>
    <w:rsid w:val="00352B0F"/>
    <w:rsid w:val="003558AE"/>
    <w:rsid w:val="00356B0A"/>
    <w:rsid w:val="003575A7"/>
    <w:rsid w:val="00357B14"/>
    <w:rsid w:val="00360459"/>
    <w:rsid w:val="0036627D"/>
    <w:rsid w:val="00366B47"/>
    <w:rsid w:val="003767E2"/>
    <w:rsid w:val="00377E29"/>
    <w:rsid w:val="003800BE"/>
    <w:rsid w:val="0038049F"/>
    <w:rsid w:val="00381C3E"/>
    <w:rsid w:val="0038382B"/>
    <w:rsid w:val="00384856"/>
    <w:rsid w:val="00385964"/>
    <w:rsid w:val="0038699D"/>
    <w:rsid w:val="00392B8C"/>
    <w:rsid w:val="00393737"/>
    <w:rsid w:val="0039424E"/>
    <w:rsid w:val="00395322"/>
    <w:rsid w:val="003A03B4"/>
    <w:rsid w:val="003A08E7"/>
    <w:rsid w:val="003A0B77"/>
    <w:rsid w:val="003A63AF"/>
    <w:rsid w:val="003B0360"/>
    <w:rsid w:val="003B1ACC"/>
    <w:rsid w:val="003B5A03"/>
    <w:rsid w:val="003C094D"/>
    <w:rsid w:val="003C0C13"/>
    <w:rsid w:val="003C12BB"/>
    <w:rsid w:val="003C3846"/>
    <w:rsid w:val="003C4E72"/>
    <w:rsid w:val="003C6231"/>
    <w:rsid w:val="003C7760"/>
    <w:rsid w:val="003C7C8F"/>
    <w:rsid w:val="003D03A7"/>
    <w:rsid w:val="003D0BFE"/>
    <w:rsid w:val="003D3C5B"/>
    <w:rsid w:val="003D4352"/>
    <w:rsid w:val="003D4DCD"/>
    <w:rsid w:val="003D5700"/>
    <w:rsid w:val="003D6D72"/>
    <w:rsid w:val="003D7071"/>
    <w:rsid w:val="003E07C1"/>
    <w:rsid w:val="003E299E"/>
    <w:rsid w:val="003E341B"/>
    <w:rsid w:val="003E4BCC"/>
    <w:rsid w:val="003E4D00"/>
    <w:rsid w:val="003E5014"/>
    <w:rsid w:val="003E6B70"/>
    <w:rsid w:val="003E7466"/>
    <w:rsid w:val="003F1085"/>
    <w:rsid w:val="003F1485"/>
    <w:rsid w:val="003F1F6B"/>
    <w:rsid w:val="003F25BD"/>
    <w:rsid w:val="003F35F3"/>
    <w:rsid w:val="003F609A"/>
    <w:rsid w:val="003F72C8"/>
    <w:rsid w:val="003F7C69"/>
    <w:rsid w:val="0040051B"/>
    <w:rsid w:val="00401B8A"/>
    <w:rsid w:val="004038BB"/>
    <w:rsid w:val="004043BA"/>
    <w:rsid w:val="004050D8"/>
    <w:rsid w:val="00406D4E"/>
    <w:rsid w:val="004115BD"/>
    <w:rsid w:val="004116CD"/>
    <w:rsid w:val="0041198B"/>
    <w:rsid w:val="00414D1B"/>
    <w:rsid w:val="00417C75"/>
    <w:rsid w:val="00417EB9"/>
    <w:rsid w:val="004203CA"/>
    <w:rsid w:val="0042065D"/>
    <w:rsid w:val="00422AB2"/>
    <w:rsid w:val="00422C6E"/>
    <w:rsid w:val="00423B28"/>
    <w:rsid w:val="00424C41"/>
    <w:rsid w:val="00424CA9"/>
    <w:rsid w:val="00424EEF"/>
    <w:rsid w:val="0042550C"/>
    <w:rsid w:val="00426A5D"/>
    <w:rsid w:val="004276DF"/>
    <w:rsid w:val="00430263"/>
    <w:rsid w:val="00431384"/>
    <w:rsid w:val="004319AE"/>
    <w:rsid w:val="00431E9B"/>
    <w:rsid w:val="00432AF0"/>
    <w:rsid w:val="00432FCB"/>
    <w:rsid w:val="0043301D"/>
    <w:rsid w:val="00435E1B"/>
    <w:rsid w:val="00436026"/>
    <w:rsid w:val="004368E7"/>
    <w:rsid w:val="00436F96"/>
    <w:rsid w:val="004379E3"/>
    <w:rsid w:val="0044015E"/>
    <w:rsid w:val="00441175"/>
    <w:rsid w:val="0044246F"/>
    <w:rsid w:val="0044291A"/>
    <w:rsid w:val="00444FEB"/>
    <w:rsid w:val="00445571"/>
    <w:rsid w:val="00446E1B"/>
    <w:rsid w:val="00450C01"/>
    <w:rsid w:val="004530AE"/>
    <w:rsid w:val="00453EAF"/>
    <w:rsid w:val="00455172"/>
    <w:rsid w:val="00455B0A"/>
    <w:rsid w:val="00460721"/>
    <w:rsid w:val="0046079B"/>
    <w:rsid w:val="00460A05"/>
    <w:rsid w:val="00461A3C"/>
    <w:rsid w:val="0046330F"/>
    <w:rsid w:val="00463407"/>
    <w:rsid w:val="004657FC"/>
    <w:rsid w:val="0046629F"/>
    <w:rsid w:val="00467442"/>
    <w:rsid w:val="00467661"/>
    <w:rsid w:val="00471258"/>
    <w:rsid w:val="00472053"/>
    <w:rsid w:val="00472DBE"/>
    <w:rsid w:val="00474A19"/>
    <w:rsid w:val="00477830"/>
    <w:rsid w:val="00480404"/>
    <w:rsid w:val="004804CE"/>
    <w:rsid w:val="00486512"/>
    <w:rsid w:val="00486709"/>
    <w:rsid w:val="00486A7D"/>
    <w:rsid w:val="00487764"/>
    <w:rsid w:val="004920A1"/>
    <w:rsid w:val="0049227D"/>
    <w:rsid w:val="004929DF"/>
    <w:rsid w:val="00496F97"/>
    <w:rsid w:val="00497628"/>
    <w:rsid w:val="004A0430"/>
    <w:rsid w:val="004A09F7"/>
    <w:rsid w:val="004A1AE1"/>
    <w:rsid w:val="004A33E3"/>
    <w:rsid w:val="004A7D2A"/>
    <w:rsid w:val="004B052E"/>
    <w:rsid w:val="004B0E45"/>
    <w:rsid w:val="004B10DE"/>
    <w:rsid w:val="004B35FB"/>
    <w:rsid w:val="004B56F7"/>
    <w:rsid w:val="004B6C48"/>
    <w:rsid w:val="004B71B2"/>
    <w:rsid w:val="004C0C7C"/>
    <w:rsid w:val="004C3454"/>
    <w:rsid w:val="004C4E59"/>
    <w:rsid w:val="004C502C"/>
    <w:rsid w:val="004C6809"/>
    <w:rsid w:val="004D212E"/>
    <w:rsid w:val="004D4904"/>
    <w:rsid w:val="004E063A"/>
    <w:rsid w:val="004E063B"/>
    <w:rsid w:val="004E0B6E"/>
    <w:rsid w:val="004E1307"/>
    <w:rsid w:val="004E2888"/>
    <w:rsid w:val="004E3989"/>
    <w:rsid w:val="004E573C"/>
    <w:rsid w:val="004E7BEC"/>
    <w:rsid w:val="004F3588"/>
    <w:rsid w:val="004F44AA"/>
    <w:rsid w:val="004F5E60"/>
    <w:rsid w:val="00500A39"/>
    <w:rsid w:val="00500EC8"/>
    <w:rsid w:val="005048A2"/>
    <w:rsid w:val="00504F53"/>
    <w:rsid w:val="0050529E"/>
    <w:rsid w:val="005059D4"/>
    <w:rsid w:val="00505D3D"/>
    <w:rsid w:val="00506AF6"/>
    <w:rsid w:val="005070CF"/>
    <w:rsid w:val="00510B03"/>
    <w:rsid w:val="005132DE"/>
    <w:rsid w:val="00516B8D"/>
    <w:rsid w:val="00525EBF"/>
    <w:rsid w:val="00526ECB"/>
    <w:rsid w:val="005303C8"/>
    <w:rsid w:val="00530A1C"/>
    <w:rsid w:val="005323A1"/>
    <w:rsid w:val="00533433"/>
    <w:rsid w:val="00536353"/>
    <w:rsid w:val="00537FBC"/>
    <w:rsid w:val="005405F2"/>
    <w:rsid w:val="00541271"/>
    <w:rsid w:val="00542C3D"/>
    <w:rsid w:val="0054481A"/>
    <w:rsid w:val="005474F7"/>
    <w:rsid w:val="00547E45"/>
    <w:rsid w:val="0055240B"/>
    <w:rsid w:val="00552A54"/>
    <w:rsid w:val="00554826"/>
    <w:rsid w:val="00560328"/>
    <w:rsid w:val="00560452"/>
    <w:rsid w:val="005623A3"/>
    <w:rsid w:val="00562877"/>
    <w:rsid w:val="005647A8"/>
    <w:rsid w:val="00564B89"/>
    <w:rsid w:val="00571AD4"/>
    <w:rsid w:val="0057322D"/>
    <w:rsid w:val="00577C4D"/>
    <w:rsid w:val="00584811"/>
    <w:rsid w:val="00585784"/>
    <w:rsid w:val="0058747E"/>
    <w:rsid w:val="00590B1A"/>
    <w:rsid w:val="00591719"/>
    <w:rsid w:val="005919B6"/>
    <w:rsid w:val="00593711"/>
    <w:rsid w:val="00593AA6"/>
    <w:rsid w:val="00594161"/>
    <w:rsid w:val="00594749"/>
    <w:rsid w:val="005A17EB"/>
    <w:rsid w:val="005A244C"/>
    <w:rsid w:val="005A27F4"/>
    <w:rsid w:val="005A37C8"/>
    <w:rsid w:val="005A48C2"/>
    <w:rsid w:val="005A555F"/>
    <w:rsid w:val="005A65D5"/>
    <w:rsid w:val="005B01FE"/>
    <w:rsid w:val="005B1A79"/>
    <w:rsid w:val="005B32F4"/>
    <w:rsid w:val="005B4067"/>
    <w:rsid w:val="005B7400"/>
    <w:rsid w:val="005C19AF"/>
    <w:rsid w:val="005C1E9E"/>
    <w:rsid w:val="005C223F"/>
    <w:rsid w:val="005C2FF9"/>
    <w:rsid w:val="005C3F41"/>
    <w:rsid w:val="005C4724"/>
    <w:rsid w:val="005C5B0B"/>
    <w:rsid w:val="005C7B3B"/>
    <w:rsid w:val="005D1791"/>
    <w:rsid w:val="005D1D92"/>
    <w:rsid w:val="005D2D09"/>
    <w:rsid w:val="005D4E52"/>
    <w:rsid w:val="005D6D6F"/>
    <w:rsid w:val="005E1B06"/>
    <w:rsid w:val="005E35BC"/>
    <w:rsid w:val="005F19B6"/>
    <w:rsid w:val="005F2B05"/>
    <w:rsid w:val="005F6094"/>
    <w:rsid w:val="005F6503"/>
    <w:rsid w:val="005F6828"/>
    <w:rsid w:val="00600219"/>
    <w:rsid w:val="00601D78"/>
    <w:rsid w:val="006020B3"/>
    <w:rsid w:val="00603112"/>
    <w:rsid w:val="00604F2A"/>
    <w:rsid w:val="00606C82"/>
    <w:rsid w:val="00611F14"/>
    <w:rsid w:val="006136CF"/>
    <w:rsid w:val="00614A63"/>
    <w:rsid w:val="0061662F"/>
    <w:rsid w:val="00616738"/>
    <w:rsid w:val="006172F1"/>
    <w:rsid w:val="00620076"/>
    <w:rsid w:val="0062042A"/>
    <w:rsid w:val="00620E5A"/>
    <w:rsid w:val="0062210B"/>
    <w:rsid w:val="00622D17"/>
    <w:rsid w:val="00623622"/>
    <w:rsid w:val="00623A21"/>
    <w:rsid w:val="00625D00"/>
    <w:rsid w:val="006264FF"/>
    <w:rsid w:val="00627987"/>
    <w:rsid w:val="00627E0A"/>
    <w:rsid w:val="0063002F"/>
    <w:rsid w:val="0063068D"/>
    <w:rsid w:val="006319DC"/>
    <w:rsid w:val="0063207E"/>
    <w:rsid w:val="00633A34"/>
    <w:rsid w:val="00635937"/>
    <w:rsid w:val="006368E2"/>
    <w:rsid w:val="0064061F"/>
    <w:rsid w:val="0064082C"/>
    <w:rsid w:val="0064102B"/>
    <w:rsid w:val="006424FF"/>
    <w:rsid w:val="006430DE"/>
    <w:rsid w:val="00643F77"/>
    <w:rsid w:val="00644D8D"/>
    <w:rsid w:val="00645FBA"/>
    <w:rsid w:val="0065047B"/>
    <w:rsid w:val="00651794"/>
    <w:rsid w:val="006520F6"/>
    <w:rsid w:val="00653DD5"/>
    <w:rsid w:val="0065488B"/>
    <w:rsid w:val="00655144"/>
    <w:rsid w:val="00655EC2"/>
    <w:rsid w:val="00657A15"/>
    <w:rsid w:val="00661BDF"/>
    <w:rsid w:val="00664AA5"/>
    <w:rsid w:val="00665064"/>
    <w:rsid w:val="00665520"/>
    <w:rsid w:val="0066602F"/>
    <w:rsid w:val="00667270"/>
    <w:rsid w:val="00667594"/>
    <w:rsid w:val="00670EA1"/>
    <w:rsid w:val="006746B3"/>
    <w:rsid w:val="00676C3F"/>
    <w:rsid w:val="00677CC2"/>
    <w:rsid w:val="006814E5"/>
    <w:rsid w:val="00682EE2"/>
    <w:rsid w:val="006836EF"/>
    <w:rsid w:val="0068744B"/>
    <w:rsid w:val="006905DE"/>
    <w:rsid w:val="0069207B"/>
    <w:rsid w:val="00692E59"/>
    <w:rsid w:val="00693531"/>
    <w:rsid w:val="006951AB"/>
    <w:rsid w:val="00696E21"/>
    <w:rsid w:val="0069717B"/>
    <w:rsid w:val="006A154F"/>
    <w:rsid w:val="006A2EFE"/>
    <w:rsid w:val="006A31A2"/>
    <w:rsid w:val="006A437B"/>
    <w:rsid w:val="006A6CD1"/>
    <w:rsid w:val="006B0061"/>
    <w:rsid w:val="006B3DA9"/>
    <w:rsid w:val="006B5789"/>
    <w:rsid w:val="006B589E"/>
    <w:rsid w:val="006B630F"/>
    <w:rsid w:val="006B72C8"/>
    <w:rsid w:val="006B7BFA"/>
    <w:rsid w:val="006C06E3"/>
    <w:rsid w:val="006C0FBC"/>
    <w:rsid w:val="006C30C5"/>
    <w:rsid w:val="006C6DC5"/>
    <w:rsid w:val="006C7F8C"/>
    <w:rsid w:val="006D4DA0"/>
    <w:rsid w:val="006D64EB"/>
    <w:rsid w:val="006D7193"/>
    <w:rsid w:val="006E0ABC"/>
    <w:rsid w:val="006E1712"/>
    <w:rsid w:val="006E2E1C"/>
    <w:rsid w:val="006E431D"/>
    <w:rsid w:val="006E6246"/>
    <w:rsid w:val="006E69C2"/>
    <w:rsid w:val="006E6DCC"/>
    <w:rsid w:val="006E6F05"/>
    <w:rsid w:val="006E7856"/>
    <w:rsid w:val="006F026E"/>
    <w:rsid w:val="006F1894"/>
    <w:rsid w:val="006F318F"/>
    <w:rsid w:val="006F38B2"/>
    <w:rsid w:val="0070017E"/>
    <w:rsid w:val="00700470"/>
    <w:rsid w:val="00700B2C"/>
    <w:rsid w:val="00702FB6"/>
    <w:rsid w:val="0070424A"/>
    <w:rsid w:val="007050A2"/>
    <w:rsid w:val="00705877"/>
    <w:rsid w:val="00705C47"/>
    <w:rsid w:val="00705FE7"/>
    <w:rsid w:val="007065D2"/>
    <w:rsid w:val="00706BCC"/>
    <w:rsid w:val="007071C2"/>
    <w:rsid w:val="00711610"/>
    <w:rsid w:val="00713084"/>
    <w:rsid w:val="00713E82"/>
    <w:rsid w:val="00714F20"/>
    <w:rsid w:val="0071590F"/>
    <w:rsid w:val="00715914"/>
    <w:rsid w:val="00716BFC"/>
    <w:rsid w:val="0072085A"/>
    <w:rsid w:val="0072147A"/>
    <w:rsid w:val="0072242E"/>
    <w:rsid w:val="00723234"/>
    <w:rsid w:val="0072351F"/>
    <w:rsid w:val="00723791"/>
    <w:rsid w:val="00724DBF"/>
    <w:rsid w:val="00731682"/>
    <w:rsid w:val="00731E00"/>
    <w:rsid w:val="007325E4"/>
    <w:rsid w:val="00732C9B"/>
    <w:rsid w:val="0073359C"/>
    <w:rsid w:val="00733D9B"/>
    <w:rsid w:val="007352D0"/>
    <w:rsid w:val="007373D3"/>
    <w:rsid w:val="007375A5"/>
    <w:rsid w:val="00737CCF"/>
    <w:rsid w:val="00743F42"/>
    <w:rsid w:val="007440B7"/>
    <w:rsid w:val="00746C3C"/>
    <w:rsid w:val="007500C8"/>
    <w:rsid w:val="00751E3A"/>
    <w:rsid w:val="00753583"/>
    <w:rsid w:val="007550C6"/>
    <w:rsid w:val="00756272"/>
    <w:rsid w:val="00757AA1"/>
    <w:rsid w:val="00760029"/>
    <w:rsid w:val="00762D38"/>
    <w:rsid w:val="007637B8"/>
    <w:rsid w:val="00763835"/>
    <w:rsid w:val="00764643"/>
    <w:rsid w:val="007677B5"/>
    <w:rsid w:val="00767B0E"/>
    <w:rsid w:val="007701B8"/>
    <w:rsid w:val="007715C9"/>
    <w:rsid w:val="00771613"/>
    <w:rsid w:val="0077257E"/>
    <w:rsid w:val="00773575"/>
    <w:rsid w:val="007738E0"/>
    <w:rsid w:val="00774151"/>
    <w:rsid w:val="00774A59"/>
    <w:rsid w:val="00774EDD"/>
    <w:rsid w:val="00774F92"/>
    <w:rsid w:val="007753B7"/>
    <w:rsid w:val="0077568B"/>
    <w:rsid w:val="007757EC"/>
    <w:rsid w:val="00775D4A"/>
    <w:rsid w:val="0077691C"/>
    <w:rsid w:val="007769A2"/>
    <w:rsid w:val="00777F52"/>
    <w:rsid w:val="00781126"/>
    <w:rsid w:val="0078341C"/>
    <w:rsid w:val="00783E89"/>
    <w:rsid w:val="00786698"/>
    <w:rsid w:val="007901AB"/>
    <w:rsid w:val="00790D19"/>
    <w:rsid w:val="00793915"/>
    <w:rsid w:val="00796DBC"/>
    <w:rsid w:val="00797C0A"/>
    <w:rsid w:val="00797E16"/>
    <w:rsid w:val="007A0976"/>
    <w:rsid w:val="007A2FB6"/>
    <w:rsid w:val="007A3CE7"/>
    <w:rsid w:val="007A611D"/>
    <w:rsid w:val="007A7DF8"/>
    <w:rsid w:val="007B35AA"/>
    <w:rsid w:val="007B5099"/>
    <w:rsid w:val="007C0CDA"/>
    <w:rsid w:val="007C20CB"/>
    <w:rsid w:val="007C2253"/>
    <w:rsid w:val="007C35CC"/>
    <w:rsid w:val="007C4C58"/>
    <w:rsid w:val="007D2844"/>
    <w:rsid w:val="007D3095"/>
    <w:rsid w:val="007D4345"/>
    <w:rsid w:val="007D4AEC"/>
    <w:rsid w:val="007D7911"/>
    <w:rsid w:val="007E06E9"/>
    <w:rsid w:val="007E0A67"/>
    <w:rsid w:val="007E163D"/>
    <w:rsid w:val="007E24A8"/>
    <w:rsid w:val="007E3436"/>
    <w:rsid w:val="007E3AB0"/>
    <w:rsid w:val="007E667A"/>
    <w:rsid w:val="007E6B58"/>
    <w:rsid w:val="007E77F3"/>
    <w:rsid w:val="007F0892"/>
    <w:rsid w:val="007F1976"/>
    <w:rsid w:val="007F28C9"/>
    <w:rsid w:val="007F3046"/>
    <w:rsid w:val="007F3C04"/>
    <w:rsid w:val="007F48C8"/>
    <w:rsid w:val="007F51B2"/>
    <w:rsid w:val="007F633F"/>
    <w:rsid w:val="007F6C75"/>
    <w:rsid w:val="008031F8"/>
    <w:rsid w:val="008033FA"/>
    <w:rsid w:val="008040DD"/>
    <w:rsid w:val="00804348"/>
    <w:rsid w:val="0080437B"/>
    <w:rsid w:val="008045A8"/>
    <w:rsid w:val="008045FC"/>
    <w:rsid w:val="00804DE6"/>
    <w:rsid w:val="00805515"/>
    <w:rsid w:val="008117E9"/>
    <w:rsid w:val="00813441"/>
    <w:rsid w:val="008159EA"/>
    <w:rsid w:val="00817CB8"/>
    <w:rsid w:val="008220DA"/>
    <w:rsid w:val="008232D7"/>
    <w:rsid w:val="00824498"/>
    <w:rsid w:val="00826BD1"/>
    <w:rsid w:val="008302F8"/>
    <w:rsid w:val="00830518"/>
    <w:rsid w:val="008324C9"/>
    <w:rsid w:val="008333DE"/>
    <w:rsid w:val="00833A08"/>
    <w:rsid w:val="008374A5"/>
    <w:rsid w:val="00840D4E"/>
    <w:rsid w:val="008413F8"/>
    <w:rsid w:val="00842EF3"/>
    <w:rsid w:val="0084452B"/>
    <w:rsid w:val="0084540E"/>
    <w:rsid w:val="00846452"/>
    <w:rsid w:val="008502B9"/>
    <w:rsid w:val="00851A7E"/>
    <w:rsid w:val="00851DE0"/>
    <w:rsid w:val="00853B5E"/>
    <w:rsid w:val="00854075"/>
    <w:rsid w:val="00854D0B"/>
    <w:rsid w:val="00856810"/>
    <w:rsid w:val="00856A31"/>
    <w:rsid w:val="008575A5"/>
    <w:rsid w:val="008602D8"/>
    <w:rsid w:val="00860B4E"/>
    <w:rsid w:val="008633ED"/>
    <w:rsid w:val="00865612"/>
    <w:rsid w:val="00867B37"/>
    <w:rsid w:val="0087086A"/>
    <w:rsid w:val="008708DE"/>
    <w:rsid w:val="00873C6E"/>
    <w:rsid w:val="008754D0"/>
    <w:rsid w:val="00875D13"/>
    <w:rsid w:val="00880DA1"/>
    <w:rsid w:val="008815CB"/>
    <w:rsid w:val="0088374D"/>
    <w:rsid w:val="00883B3F"/>
    <w:rsid w:val="008855C9"/>
    <w:rsid w:val="0088588A"/>
    <w:rsid w:val="00886456"/>
    <w:rsid w:val="00892486"/>
    <w:rsid w:val="00892EC8"/>
    <w:rsid w:val="00894EDD"/>
    <w:rsid w:val="00896176"/>
    <w:rsid w:val="008A0FC5"/>
    <w:rsid w:val="008A21C5"/>
    <w:rsid w:val="008A22E1"/>
    <w:rsid w:val="008A3A3C"/>
    <w:rsid w:val="008A46E1"/>
    <w:rsid w:val="008A4CA5"/>
    <w:rsid w:val="008A4F43"/>
    <w:rsid w:val="008B2706"/>
    <w:rsid w:val="008B6BE0"/>
    <w:rsid w:val="008B7EDB"/>
    <w:rsid w:val="008C0B96"/>
    <w:rsid w:val="008C131A"/>
    <w:rsid w:val="008C14A6"/>
    <w:rsid w:val="008C2EAC"/>
    <w:rsid w:val="008C7721"/>
    <w:rsid w:val="008D0EE0"/>
    <w:rsid w:val="008D28F1"/>
    <w:rsid w:val="008D470E"/>
    <w:rsid w:val="008D56E4"/>
    <w:rsid w:val="008D645E"/>
    <w:rsid w:val="008E0027"/>
    <w:rsid w:val="008E236C"/>
    <w:rsid w:val="008E5D66"/>
    <w:rsid w:val="008E6067"/>
    <w:rsid w:val="008F04FE"/>
    <w:rsid w:val="008F23DE"/>
    <w:rsid w:val="008F352D"/>
    <w:rsid w:val="008F35D1"/>
    <w:rsid w:val="008F3A9F"/>
    <w:rsid w:val="008F437A"/>
    <w:rsid w:val="008F464D"/>
    <w:rsid w:val="008F54E7"/>
    <w:rsid w:val="0090301B"/>
    <w:rsid w:val="00903422"/>
    <w:rsid w:val="00903F5D"/>
    <w:rsid w:val="009154D0"/>
    <w:rsid w:val="009162CC"/>
    <w:rsid w:val="009171BA"/>
    <w:rsid w:val="00917423"/>
    <w:rsid w:val="009206B3"/>
    <w:rsid w:val="00921F0C"/>
    <w:rsid w:val="00925239"/>
    <w:rsid w:val="009254C3"/>
    <w:rsid w:val="00926C8D"/>
    <w:rsid w:val="009303E3"/>
    <w:rsid w:val="0093071A"/>
    <w:rsid w:val="00932377"/>
    <w:rsid w:val="009354AF"/>
    <w:rsid w:val="00937676"/>
    <w:rsid w:val="0094094E"/>
    <w:rsid w:val="00940AD2"/>
    <w:rsid w:val="00941236"/>
    <w:rsid w:val="0094326D"/>
    <w:rsid w:val="00943FD5"/>
    <w:rsid w:val="00944596"/>
    <w:rsid w:val="00944C93"/>
    <w:rsid w:val="0094584A"/>
    <w:rsid w:val="009462AA"/>
    <w:rsid w:val="00946F38"/>
    <w:rsid w:val="009473D9"/>
    <w:rsid w:val="00947448"/>
    <w:rsid w:val="00947D5A"/>
    <w:rsid w:val="00952CA0"/>
    <w:rsid w:val="009532A5"/>
    <w:rsid w:val="00954067"/>
    <w:rsid w:val="009545BD"/>
    <w:rsid w:val="00954862"/>
    <w:rsid w:val="00955B90"/>
    <w:rsid w:val="0096386E"/>
    <w:rsid w:val="00964CF0"/>
    <w:rsid w:val="00965AED"/>
    <w:rsid w:val="00965E70"/>
    <w:rsid w:val="00966691"/>
    <w:rsid w:val="00970381"/>
    <w:rsid w:val="00970B96"/>
    <w:rsid w:val="0097158D"/>
    <w:rsid w:val="00972C35"/>
    <w:rsid w:val="009738D4"/>
    <w:rsid w:val="009761DB"/>
    <w:rsid w:val="00976414"/>
    <w:rsid w:val="00977806"/>
    <w:rsid w:val="00980AD8"/>
    <w:rsid w:val="009814F2"/>
    <w:rsid w:val="00981ADC"/>
    <w:rsid w:val="00982062"/>
    <w:rsid w:val="00982242"/>
    <w:rsid w:val="00982B23"/>
    <w:rsid w:val="0098438B"/>
    <w:rsid w:val="009844FF"/>
    <w:rsid w:val="009845B1"/>
    <w:rsid w:val="009856E6"/>
    <w:rsid w:val="00986420"/>
    <w:rsid w:val="009868E9"/>
    <w:rsid w:val="009900A3"/>
    <w:rsid w:val="00996976"/>
    <w:rsid w:val="009A0097"/>
    <w:rsid w:val="009A1E7B"/>
    <w:rsid w:val="009A2B57"/>
    <w:rsid w:val="009A31B7"/>
    <w:rsid w:val="009A3DAA"/>
    <w:rsid w:val="009A62C5"/>
    <w:rsid w:val="009A6B41"/>
    <w:rsid w:val="009B006F"/>
    <w:rsid w:val="009B12DB"/>
    <w:rsid w:val="009B2095"/>
    <w:rsid w:val="009B3148"/>
    <w:rsid w:val="009B33CB"/>
    <w:rsid w:val="009B4073"/>
    <w:rsid w:val="009B71C6"/>
    <w:rsid w:val="009C0397"/>
    <w:rsid w:val="009C2219"/>
    <w:rsid w:val="009C3413"/>
    <w:rsid w:val="009C35A5"/>
    <w:rsid w:val="009C5309"/>
    <w:rsid w:val="009D07D3"/>
    <w:rsid w:val="009D2997"/>
    <w:rsid w:val="009D2BFA"/>
    <w:rsid w:val="009E1740"/>
    <w:rsid w:val="009E1E97"/>
    <w:rsid w:val="009E5804"/>
    <w:rsid w:val="009E7DE3"/>
    <w:rsid w:val="009F18D7"/>
    <w:rsid w:val="009F2C8A"/>
    <w:rsid w:val="009F3E04"/>
    <w:rsid w:val="009F55EF"/>
    <w:rsid w:val="009F5D12"/>
    <w:rsid w:val="009F6344"/>
    <w:rsid w:val="009F7A3A"/>
    <w:rsid w:val="00A012A1"/>
    <w:rsid w:val="00A029FE"/>
    <w:rsid w:val="00A03734"/>
    <w:rsid w:val="00A0441E"/>
    <w:rsid w:val="00A115AA"/>
    <w:rsid w:val="00A12128"/>
    <w:rsid w:val="00A12664"/>
    <w:rsid w:val="00A12D58"/>
    <w:rsid w:val="00A12EFF"/>
    <w:rsid w:val="00A14D58"/>
    <w:rsid w:val="00A15143"/>
    <w:rsid w:val="00A22900"/>
    <w:rsid w:val="00A22C98"/>
    <w:rsid w:val="00A23041"/>
    <w:rsid w:val="00A231E2"/>
    <w:rsid w:val="00A23559"/>
    <w:rsid w:val="00A24614"/>
    <w:rsid w:val="00A247F8"/>
    <w:rsid w:val="00A248F4"/>
    <w:rsid w:val="00A24B57"/>
    <w:rsid w:val="00A26405"/>
    <w:rsid w:val="00A268FE"/>
    <w:rsid w:val="00A26BAC"/>
    <w:rsid w:val="00A27267"/>
    <w:rsid w:val="00A3032D"/>
    <w:rsid w:val="00A31CE3"/>
    <w:rsid w:val="00A32676"/>
    <w:rsid w:val="00A3351A"/>
    <w:rsid w:val="00A35B83"/>
    <w:rsid w:val="00A369E3"/>
    <w:rsid w:val="00A37402"/>
    <w:rsid w:val="00A418F2"/>
    <w:rsid w:val="00A4203F"/>
    <w:rsid w:val="00A4215A"/>
    <w:rsid w:val="00A43A80"/>
    <w:rsid w:val="00A43B6B"/>
    <w:rsid w:val="00A47171"/>
    <w:rsid w:val="00A51A7A"/>
    <w:rsid w:val="00A5226B"/>
    <w:rsid w:val="00A53D5E"/>
    <w:rsid w:val="00A57600"/>
    <w:rsid w:val="00A62D22"/>
    <w:rsid w:val="00A63A23"/>
    <w:rsid w:val="00A64912"/>
    <w:rsid w:val="00A65AB4"/>
    <w:rsid w:val="00A6640B"/>
    <w:rsid w:val="00A67A5C"/>
    <w:rsid w:val="00A7066F"/>
    <w:rsid w:val="00A70A74"/>
    <w:rsid w:val="00A70FF7"/>
    <w:rsid w:val="00A73CF0"/>
    <w:rsid w:val="00A75FE9"/>
    <w:rsid w:val="00A76AA6"/>
    <w:rsid w:val="00A819B0"/>
    <w:rsid w:val="00A831FB"/>
    <w:rsid w:val="00A83490"/>
    <w:rsid w:val="00A86561"/>
    <w:rsid w:val="00A87478"/>
    <w:rsid w:val="00A94ED6"/>
    <w:rsid w:val="00A95A21"/>
    <w:rsid w:val="00A96B14"/>
    <w:rsid w:val="00A9753F"/>
    <w:rsid w:val="00AA19B0"/>
    <w:rsid w:val="00AA436E"/>
    <w:rsid w:val="00AA487B"/>
    <w:rsid w:val="00AA4CED"/>
    <w:rsid w:val="00AA6442"/>
    <w:rsid w:val="00AA64F1"/>
    <w:rsid w:val="00AA70C9"/>
    <w:rsid w:val="00AA7EAB"/>
    <w:rsid w:val="00AB053D"/>
    <w:rsid w:val="00AB3A50"/>
    <w:rsid w:val="00AB430C"/>
    <w:rsid w:val="00AB5F3A"/>
    <w:rsid w:val="00AB7C9F"/>
    <w:rsid w:val="00AC1795"/>
    <w:rsid w:val="00AC1B75"/>
    <w:rsid w:val="00AC36A4"/>
    <w:rsid w:val="00AC4129"/>
    <w:rsid w:val="00AD10BF"/>
    <w:rsid w:val="00AD12D1"/>
    <w:rsid w:val="00AD204B"/>
    <w:rsid w:val="00AD2FF5"/>
    <w:rsid w:val="00AD489F"/>
    <w:rsid w:val="00AD53CC"/>
    <w:rsid w:val="00AD5641"/>
    <w:rsid w:val="00AE5DE1"/>
    <w:rsid w:val="00AE79CF"/>
    <w:rsid w:val="00AF0416"/>
    <w:rsid w:val="00AF06CF"/>
    <w:rsid w:val="00AF6ACD"/>
    <w:rsid w:val="00AF76F4"/>
    <w:rsid w:val="00B0117B"/>
    <w:rsid w:val="00B0160E"/>
    <w:rsid w:val="00B020F7"/>
    <w:rsid w:val="00B0400C"/>
    <w:rsid w:val="00B052B4"/>
    <w:rsid w:val="00B06960"/>
    <w:rsid w:val="00B07CDB"/>
    <w:rsid w:val="00B10FBD"/>
    <w:rsid w:val="00B147CD"/>
    <w:rsid w:val="00B1537F"/>
    <w:rsid w:val="00B15FBD"/>
    <w:rsid w:val="00B1663F"/>
    <w:rsid w:val="00B16A31"/>
    <w:rsid w:val="00B17564"/>
    <w:rsid w:val="00B17DFD"/>
    <w:rsid w:val="00B20818"/>
    <w:rsid w:val="00B21D99"/>
    <w:rsid w:val="00B25306"/>
    <w:rsid w:val="00B27831"/>
    <w:rsid w:val="00B27D38"/>
    <w:rsid w:val="00B308FE"/>
    <w:rsid w:val="00B3123A"/>
    <w:rsid w:val="00B31C96"/>
    <w:rsid w:val="00B33709"/>
    <w:rsid w:val="00B33B3C"/>
    <w:rsid w:val="00B34A26"/>
    <w:rsid w:val="00B3586E"/>
    <w:rsid w:val="00B36392"/>
    <w:rsid w:val="00B40C16"/>
    <w:rsid w:val="00B4130E"/>
    <w:rsid w:val="00B418CB"/>
    <w:rsid w:val="00B42347"/>
    <w:rsid w:val="00B4242D"/>
    <w:rsid w:val="00B46E35"/>
    <w:rsid w:val="00B47444"/>
    <w:rsid w:val="00B50ADC"/>
    <w:rsid w:val="00B50CB0"/>
    <w:rsid w:val="00B52F13"/>
    <w:rsid w:val="00B53666"/>
    <w:rsid w:val="00B544C1"/>
    <w:rsid w:val="00B553E2"/>
    <w:rsid w:val="00B5626C"/>
    <w:rsid w:val="00B566B1"/>
    <w:rsid w:val="00B6012F"/>
    <w:rsid w:val="00B613C9"/>
    <w:rsid w:val="00B6267D"/>
    <w:rsid w:val="00B633FF"/>
    <w:rsid w:val="00B63834"/>
    <w:rsid w:val="00B641CA"/>
    <w:rsid w:val="00B6570E"/>
    <w:rsid w:val="00B715BA"/>
    <w:rsid w:val="00B7175B"/>
    <w:rsid w:val="00B72D63"/>
    <w:rsid w:val="00B7486B"/>
    <w:rsid w:val="00B80199"/>
    <w:rsid w:val="00B83204"/>
    <w:rsid w:val="00B84D4C"/>
    <w:rsid w:val="00B84F5F"/>
    <w:rsid w:val="00B856E7"/>
    <w:rsid w:val="00B8655C"/>
    <w:rsid w:val="00B9189B"/>
    <w:rsid w:val="00B927C8"/>
    <w:rsid w:val="00B95D37"/>
    <w:rsid w:val="00B97451"/>
    <w:rsid w:val="00BA20BB"/>
    <w:rsid w:val="00BA220B"/>
    <w:rsid w:val="00BA278C"/>
    <w:rsid w:val="00BA3A57"/>
    <w:rsid w:val="00BA5BE5"/>
    <w:rsid w:val="00BB1533"/>
    <w:rsid w:val="00BB4170"/>
    <w:rsid w:val="00BB4E1A"/>
    <w:rsid w:val="00BC015E"/>
    <w:rsid w:val="00BC031A"/>
    <w:rsid w:val="00BC0F02"/>
    <w:rsid w:val="00BC1C37"/>
    <w:rsid w:val="00BC2AEC"/>
    <w:rsid w:val="00BC2CB8"/>
    <w:rsid w:val="00BC3D8C"/>
    <w:rsid w:val="00BC50B7"/>
    <w:rsid w:val="00BC6621"/>
    <w:rsid w:val="00BC76AC"/>
    <w:rsid w:val="00BC7C70"/>
    <w:rsid w:val="00BD0ECB"/>
    <w:rsid w:val="00BD7018"/>
    <w:rsid w:val="00BD7664"/>
    <w:rsid w:val="00BE2155"/>
    <w:rsid w:val="00BE34AE"/>
    <w:rsid w:val="00BE719A"/>
    <w:rsid w:val="00BE720A"/>
    <w:rsid w:val="00BF0D73"/>
    <w:rsid w:val="00BF2465"/>
    <w:rsid w:val="00BF45F8"/>
    <w:rsid w:val="00BF62AD"/>
    <w:rsid w:val="00BF738C"/>
    <w:rsid w:val="00BF75E7"/>
    <w:rsid w:val="00C01682"/>
    <w:rsid w:val="00C02996"/>
    <w:rsid w:val="00C03D17"/>
    <w:rsid w:val="00C04609"/>
    <w:rsid w:val="00C04E31"/>
    <w:rsid w:val="00C06356"/>
    <w:rsid w:val="00C071A0"/>
    <w:rsid w:val="00C1285D"/>
    <w:rsid w:val="00C135E9"/>
    <w:rsid w:val="00C14816"/>
    <w:rsid w:val="00C16619"/>
    <w:rsid w:val="00C17832"/>
    <w:rsid w:val="00C21B3F"/>
    <w:rsid w:val="00C247E4"/>
    <w:rsid w:val="00C25019"/>
    <w:rsid w:val="00C25E7F"/>
    <w:rsid w:val="00C26D07"/>
    <w:rsid w:val="00C2746F"/>
    <w:rsid w:val="00C30CED"/>
    <w:rsid w:val="00C323D6"/>
    <w:rsid w:val="00C324A0"/>
    <w:rsid w:val="00C3346A"/>
    <w:rsid w:val="00C4161C"/>
    <w:rsid w:val="00C41F75"/>
    <w:rsid w:val="00C41F76"/>
    <w:rsid w:val="00C42009"/>
    <w:rsid w:val="00C42BF8"/>
    <w:rsid w:val="00C42DD6"/>
    <w:rsid w:val="00C43F5F"/>
    <w:rsid w:val="00C451C1"/>
    <w:rsid w:val="00C46279"/>
    <w:rsid w:val="00C50043"/>
    <w:rsid w:val="00C55BDE"/>
    <w:rsid w:val="00C56D51"/>
    <w:rsid w:val="00C61D6B"/>
    <w:rsid w:val="00C640D7"/>
    <w:rsid w:val="00C64432"/>
    <w:rsid w:val="00C67349"/>
    <w:rsid w:val="00C71A26"/>
    <w:rsid w:val="00C71F16"/>
    <w:rsid w:val="00C7573B"/>
    <w:rsid w:val="00C75EFA"/>
    <w:rsid w:val="00C770B5"/>
    <w:rsid w:val="00C77569"/>
    <w:rsid w:val="00C77E61"/>
    <w:rsid w:val="00C80EF8"/>
    <w:rsid w:val="00C81429"/>
    <w:rsid w:val="00C8358E"/>
    <w:rsid w:val="00C83A53"/>
    <w:rsid w:val="00C86064"/>
    <w:rsid w:val="00C90B4D"/>
    <w:rsid w:val="00C910AD"/>
    <w:rsid w:val="00C912B6"/>
    <w:rsid w:val="00C936E3"/>
    <w:rsid w:val="00C95EB8"/>
    <w:rsid w:val="00C962C1"/>
    <w:rsid w:val="00C97A54"/>
    <w:rsid w:val="00CA1F3F"/>
    <w:rsid w:val="00CA334E"/>
    <w:rsid w:val="00CA3E60"/>
    <w:rsid w:val="00CA5B23"/>
    <w:rsid w:val="00CA65B9"/>
    <w:rsid w:val="00CA680E"/>
    <w:rsid w:val="00CA69CA"/>
    <w:rsid w:val="00CA78C9"/>
    <w:rsid w:val="00CA794C"/>
    <w:rsid w:val="00CB2657"/>
    <w:rsid w:val="00CB4BA9"/>
    <w:rsid w:val="00CB602E"/>
    <w:rsid w:val="00CB7E90"/>
    <w:rsid w:val="00CC0176"/>
    <w:rsid w:val="00CC12BA"/>
    <w:rsid w:val="00CC365C"/>
    <w:rsid w:val="00CC3A33"/>
    <w:rsid w:val="00CC64C4"/>
    <w:rsid w:val="00CC7663"/>
    <w:rsid w:val="00CC7C6F"/>
    <w:rsid w:val="00CD079C"/>
    <w:rsid w:val="00CD222F"/>
    <w:rsid w:val="00CD3E1E"/>
    <w:rsid w:val="00CD44FE"/>
    <w:rsid w:val="00CD55B3"/>
    <w:rsid w:val="00CD6F3D"/>
    <w:rsid w:val="00CE051D"/>
    <w:rsid w:val="00CE1335"/>
    <w:rsid w:val="00CE1955"/>
    <w:rsid w:val="00CE1AC3"/>
    <w:rsid w:val="00CE493D"/>
    <w:rsid w:val="00CE653F"/>
    <w:rsid w:val="00CF06B2"/>
    <w:rsid w:val="00CF07FA"/>
    <w:rsid w:val="00CF0BB2"/>
    <w:rsid w:val="00CF1278"/>
    <w:rsid w:val="00CF35C1"/>
    <w:rsid w:val="00CF3EE8"/>
    <w:rsid w:val="00D00008"/>
    <w:rsid w:val="00D002F3"/>
    <w:rsid w:val="00D024FE"/>
    <w:rsid w:val="00D034C8"/>
    <w:rsid w:val="00D059F0"/>
    <w:rsid w:val="00D05ECF"/>
    <w:rsid w:val="00D064C8"/>
    <w:rsid w:val="00D127D3"/>
    <w:rsid w:val="00D13441"/>
    <w:rsid w:val="00D14FE6"/>
    <w:rsid w:val="00D150E7"/>
    <w:rsid w:val="00D161F0"/>
    <w:rsid w:val="00D16932"/>
    <w:rsid w:val="00D17775"/>
    <w:rsid w:val="00D224CC"/>
    <w:rsid w:val="00D25929"/>
    <w:rsid w:val="00D25AB9"/>
    <w:rsid w:val="00D27625"/>
    <w:rsid w:val="00D33811"/>
    <w:rsid w:val="00D35DCF"/>
    <w:rsid w:val="00D36452"/>
    <w:rsid w:val="00D36CC8"/>
    <w:rsid w:val="00D4381E"/>
    <w:rsid w:val="00D446C1"/>
    <w:rsid w:val="00D45DC7"/>
    <w:rsid w:val="00D46A52"/>
    <w:rsid w:val="00D46F87"/>
    <w:rsid w:val="00D50011"/>
    <w:rsid w:val="00D50E6D"/>
    <w:rsid w:val="00D511B5"/>
    <w:rsid w:val="00D51697"/>
    <w:rsid w:val="00D52183"/>
    <w:rsid w:val="00D52DC2"/>
    <w:rsid w:val="00D53BCC"/>
    <w:rsid w:val="00D54C9E"/>
    <w:rsid w:val="00D56306"/>
    <w:rsid w:val="00D5646A"/>
    <w:rsid w:val="00D6269C"/>
    <w:rsid w:val="00D62C93"/>
    <w:rsid w:val="00D62FA6"/>
    <w:rsid w:val="00D649D6"/>
    <w:rsid w:val="00D6537E"/>
    <w:rsid w:val="00D659B8"/>
    <w:rsid w:val="00D66E39"/>
    <w:rsid w:val="00D66FA3"/>
    <w:rsid w:val="00D70DFB"/>
    <w:rsid w:val="00D717F1"/>
    <w:rsid w:val="00D766DF"/>
    <w:rsid w:val="00D808AB"/>
    <w:rsid w:val="00D81106"/>
    <w:rsid w:val="00D81F3E"/>
    <w:rsid w:val="00D81F4B"/>
    <w:rsid w:val="00D8206C"/>
    <w:rsid w:val="00D82988"/>
    <w:rsid w:val="00D85569"/>
    <w:rsid w:val="00D861C2"/>
    <w:rsid w:val="00D86283"/>
    <w:rsid w:val="00D91F10"/>
    <w:rsid w:val="00D9277A"/>
    <w:rsid w:val="00D942F8"/>
    <w:rsid w:val="00D94D62"/>
    <w:rsid w:val="00D96685"/>
    <w:rsid w:val="00DA0E0E"/>
    <w:rsid w:val="00DA107A"/>
    <w:rsid w:val="00DA186E"/>
    <w:rsid w:val="00DA365A"/>
    <w:rsid w:val="00DA4116"/>
    <w:rsid w:val="00DB0379"/>
    <w:rsid w:val="00DB1D6C"/>
    <w:rsid w:val="00DB1E7C"/>
    <w:rsid w:val="00DB251C"/>
    <w:rsid w:val="00DB3A78"/>
    <w:rsid w:val="00DB4630"/>
    <w:rsid w:val="00DB4FBD"/>
    <w:rsid w:val="00DB500E"/>
    <w:rsid w:val="00DB5A05"/>
    <w:rsid w:val="00DB5C9B"/>
    <w:rsid w:val="00DB6EDB"/>
    <w:rsid w:val="00DC2F7E"/>
    <w:rsid w:val="00DC3412"/>
    <w:rsid w:val="00DC4F88"/>
    <w:rsid w:val="00DC62AB"/>
    <w:rsid w:val="00DC6A74"/>
    <w:rsid w:val="00DD03E9"/>
    <w:rsid w:val="00DD40C0"/>
    <w:rsid w:val="00DD73F3"/>
    <w:rsid w:val="00DE107C"/>
    <w:rsid w:val="00DE16F1"/>
    <w:rsid w:val="00DE3298"/>
    <w:rsid w:val="00DE3EE1"/>
    <w:rsid w:val="00DE4F45"/>
    <w:rsid w:val="00DE77EB"/>
    <w:rsid w:val="00DF0B4F"/>
    <w:rsid w:val="00DF1670"/>
    <w:rsid w:val="00DF2388"/>
    <w:rsid w:val="00DF24DA"/>
    <w:rsid w:val="00DF274C"/>
    <w:rsid w:val="00DF2A67"/>
    <w:rsid w:val="00DF2A93"/>
    <w:rsid w:val="00DF69B2"/>
    <w:rsid w:val="00DF7316"/>
    <w:rsid w:val="00DF74B9"/>
    <w:rsid w:val="00DF760B"/>
    <w:rsid w:val="00E00556"/>
    <w:rsid w:val="00E01267"/>
    <w:rsid w:val="00E02884"/>
    <w:rsid w:val="00E04331"/>
    <w:rsid w:val="00E04B81"/>
    <w:rsid w:val="00E05704"/>
    <w:rsid w:val="00E07150"/>
    <w:rsid w:val="00E07315"/>
    <w:rsid w:val="00E118CC"/>
    <w:rsid w:val="00E161AB"/>
    <w:rsid w:val="00E174BC"/>
    <w:rsid w:val="00E20FA2"/>
    <w:rsid w:val="00E21168"/>
    <w:rsid w:val="00E21316"/>
    <w:rsid w:val="00E2205F"/>
    <w:rsid w:val="00E22D73"/>
    <w:rsid w:val="00E275B4"/>
    <w:rsid w:val="00E338EF"/>
    <w:rsid w:val="00E36DC2"/>
    <w:rsid w:val="00E3737A"/>
    <w:rsid w:val="00E37BB5"/>
    <w:rsid w:val="00E4260A"/>
    <w:rsid w:val="00E42A22"/>
    <w:rsid w:val="00E431CE"/>
    <w:rsid w:val="00E5022B"/>
    <w:rsid w:val="00E52030"/>
    <w:rsid w:val="00E52509"/>
    <w:rsid w:val="00E52C4C"/>
    <w:rsid w:val="00E5327A"/>
    <w:rsid w:val="00E544BB"/>
    <w:rsid w:val="00E54C56"/>
    <w:rsid w:val="00E54E33"/>
    <w:rsid w:val="00E5646D"/>
    <w:rsid w:val="00E572B3"/>
    <w:rsid w:val="00E57F62"/>
    <w:rsid w:val="00E61E33"/>
    <w:rsid w:val="00E62269"/>
    <w:rsid w:val="00E65672"/>
    <w:rsid w:val="00E6586F"/>
    <w:rsid w:val="00E66930"/>
    <w:rsid w:val="00E71451"/>
    <w:rsid w:val="00E74DC7"/>
    <w:rsid w:val="00E8075A"/>
    <w:rsid w:val="00E81D3F"/>
    <w:rsid w:val="00E82064"/>
    <w:rsid w:val="00E822B8"/>
    <w:rsid w:val="00E8494B"/>
    <w:rsid w:val="00E8736D"/>
    <w:rsid w:val="00E87986"/>
    <w:rsid w:val="00E90BD4"/>
    <w:rsid w:val="00E935B2"/>
    <w:rsid w:val="00E940D8"/>
    <w:rsid w:val="00E94D5E"/>
    <w:rsid w:val="00E94FEE"/>
    <w:rsid w:val="00E95196"/>
    <w:rsid w:val="00E956D0"/>
    <w:rsid w:val="00E957E8"/>
    <w:rsid w:val="00E9585D"/>
    <w:rsid w:val="00E95972"/>
    <w:rsid w:val="00E95AAF"/>
    <w:rsid w:val="00EA08AE"/>
    <w:rsid w:val="00EA0B49"/>
    <w:rsid w:val="00EA1435"/>
    <w:rsid w:val="00EA3E3C"/>
    <w:rsid w:val="00EA5074"/>
    <w:rsid w:val="00EA5542"/>
    <w:rsid w:val="00EA560F"/>
    <w:rsid w:val="00EA64CC"/>
    <w:rsid w:val="00EA66A7"/>
    <w:rsid w:val="00EA7100"/>
    <w:rsid w:val="00EA7996"/>
    <w:rsid w:val="00EA7F9F"/>
    <w:rsid w:val="00EB105E"/>
    <w:rsid w:val="00EB1274"/>
    <w:rsid w:val="00EB2529"/>
    <w:rsid w:val="00EB2AF5"/>
    <w:rsid w:val="00EB3FC2"/>
    <w:rsid w:val="00EB4204"/>
    <w:rsid w:val="00EB4628"/>
    <w:rsid w:val="00EB5C32"/>
    <w:rsid w:val="00EC0238"/>
    <w:rsid w:val="00EC0517"/>
    <w:rsid w:val="00EC0CB3"/>
    <w:rsid w:val="00EC0FCB"/>
    <w:rsid w:val="00EC1D04"/>
    <w:rsid w:val="00EC2183"/>
    <w:rsid w:val="00EC2603"/>
    <w:rsid w:val="00EC306C"/>
    <w:rsid w:val="00EC32CF"/>
    <w:rsid w:val="00EC36D1"/>
    <w:rsid w:val="00EC3776"/>
    <w:rsid w:val="00EC49EF"/>
    <w:rsid w:val="00EC63A6"/>
    <w:rsid w:val="00EC74FD"/>
    <w:rsid w:val="00ED0939"/>
    <w:rsid w:val="00ED2704"/>
    <w:rsid w:val="00ED2BB6"/>
    <w:rsid w:val="00ED2FEA"/>
    <w:rsid w:val="00ED3139"/>
    <w:rsid w:val="00ED34E1"/>
    <w:rsid w:val="00ED3699"/>
    <w:rsid w:val="00ED3B8D"/>
    <w:rsid w:val="00ED535F"/>
    <w:rsid w:val="00EE170C"/>
    <w:rsid w:val="00EE28BB"/>
    <w:rsid w:val="00EE2FBD"/>
    <w:rsid w:val="00EE2FF7"/>
    <w:rsid w:val="00EE40BD"/>
    <w:rsid w:val="00EE4C44"/>
    <w:rsid w:val="00EE5E36"/>
    <w:rsid w:val="00EE679D"/>
    <w:rsid w:val="00EF14F3"/>
    <w:rsid w:val="00EF2243"/>
    <w:rsid w:val="00EF2E3A"/>
    <w:rsid w:val="00EF4B62"/>
    <w:rsid w:val="00EF6E0B"/>
    <w:rsid w:val="00F01A60"/>
    <w:rsid w:val="00F0240C"/>
    <w:rsid w:val="00F02C7C"/>
    <w:rsid w:val="00F037FC"/>
    <w:rsid w:val="00F03E6A"/>
    <w:rsid w:val="00F0480D"/>
    <w:rsid w:val="00F0610C"/>
    <w:rsid w:val="00F0611D"/>
    <w:rsid w:val="00F0711A"/>
    <w:rsid w:val="00F072A7"/>
    <w:rsid w:val="00F07557"/>
    <w:rsid w:val="00F078DC"/>
    <w:rsid w:val="00F10639"/>
    <w:rsid w:val="00F108C7"/>
    <w:rsid w:val="00F11D68"/>
    <w:rsid w:val="00F135BC"/>
    <w:rsid w:val="00F1473F"/>
    <w:rsid w:val="00F14DC8"/>
    <w:rsid w:val="00F1511F"/>
    <w:rsid w:val="00F32BA8"/>
    <w:rsid w:val="00F32EE0"/>
    <w:rsid w:val="00F349F1"/>
    <w:rsid w:val="00F34F90"/>
    <w:rsid w:val="00F359CE"/>
    <w:rsid w:val="00F367A1"/>
    <w:rsid w:val="00F367B0"/>
    <w:rsid w:val="00F37384"/>
    <w:rsid w:val="00F40628"/>
    <w:rsid w:val="00F4350D"/>
    <w:rsid w:val="00F45A1E"/>
    <w:rsid w:val="00F4663B"/>
    <w:rsid w:val="00F479C4"/>
    <w:rsid w:val="00F5451B"/>
    <w:rsid w:val="00F547E6"/>
    <w:rsid w:val="00F549F4"/>
    <w:rsid w:val="00F555EE"/>
    <w:rsid w:val="00F55953"/>
    <w:rsid w:val="00F564BC"/>
    <w:rsid w:val="00F567F7"/>
    <w:rsid w:val="00F610DB"/>
    <w:rsid w:val="00F65328"/>
    <w:rsid w:val="00F6696E"/>
    <w:rsid w:val="00F71B1B"/>
    <w:rsid w:val="00F72EEF"/>
    <w:rsid w:val="00F73BD6"/>
    <w:rsid w:val="00F74E89"/>
    <w:rsid w:val="00F76BA1"/>
    <w:rsid w:val="00F77E45"/>
    <w:rsid w:val="00F80CCB"/>
    <w:rsid w:val="00F81CDA"/>
    <w:rsid w:val="00F83989"/>
    <w:rsid w:val="00F846DE"/>
    <w:rsid w:val="00F85099"/>
    <w:rsid w:val="00F87536"/>
    <w:rsid w:val="00F919C1"/>
    <w:rsid w:val="00F920E5"/>
    <w:rsid w:val="00F924C7"/>
    <w:rsid w:val="00F9379C"/>
    <w:rsid w:val="00F9415D"/>
    <w:rsid w:val="00F94218"/>
    <w:rsid w:val="00F9541F"/>
    <w:rsid w:val="00F9632C"/>
    <w:rsid w:val="00FA1E2E"/>
    <w:rsid w:val="00FA1E52"/>
    <w:rsid w:val="00FA28C5"/>
    <w:rsid w:val="00FA32F2"/>
    <w:rsid w:val="00FA5C63"/>
    <w:rsid w:val="00FA6A11"/>
    <w:rsid w:val="00FA715E"/>
    <w:rsid w:val="00FA78EE"/>
    <w:rsid w:val="00FB0FEE"/>
    <w:rsid w:val="00FB1173"/>
    <w:rsid w:val="00FB3EC3"/>
    <w:rsid w:val="00FB4780"/>
    <w:rsid w:val="00FB5A08"/>
    <w:rsid w:val="00FB607C"/>
    <w:rsid w:val="00FB7B32"/>
    <w:rsid w:val="00FC00A9"/>
    <w:rsid w:val="00FC11FB"/>
    <w:rsid w:val="00FC1F7B"/>
    <w:rsid w:val="00FC2DF5"/>
    <w:rsid w:val="00FC3197"/>
    <w:rsid w:val="00FC50CF"/>
    <w:rsid w:val="00FC6A80"/>
    <w:rsid w:val="00FC7023"/>
    <w:rsid w:val="00FC79CB"/>
    <w:rsid w:val="00FD1176"/>
    <w:rsid w:val="00FD256D"/>
    <w:rsid w:val="00FD3556"/>
    <w:rsid w:val="00FD432B"/>
    <w:rsid w:val="00FD5BC3"/>
    <w:rsid w:val="00FD5E06"/>
    <w:rsid w:val="00FD5EAE"/>
    <w:rsid w:val="00FD609C"/>
    <w:rsid w:val="00FD6DF8"/>
    <w:rsid w:val="00FD6F12"/>
    <w:rsid w:val="00FE4688"/>
    <w:rsid w:val="00FE68D4"/>
    <w:rsid w:val="00FF0882"/>
    <w:rsid w:val="00FF40FB"/>
    <w:rsid w:val="00FF56B4"/>
    <w:rsid w:val="00FF5704"/>
    <w:rsid w:val="00FF6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A636C9-C620-4857-A993-72D3B37D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D4E52"/>
    <w:rPr>
      <w:sz w:val="16"/>
      <w:szCs w:val="16"/>
    </w:rPr>
  </w:style>
  <w:style w:type="paragraph" w:styleId="CommentText">
    <w:name w:val="annotation text"/>
    <w:basedOn w:val="Normal"/>
    <w:link w:val="CommentTextChar"/>
    <w:uiPriority w:val="99"/>
    <w:unhideWhenUsed/>
    <w:rsid w:val="005D4E52"/>
    <w:pPr>
      <w:spacing w:line="240" w:lineRule="auto"/>
    </w:pPr>
    <w:rPr>
      <w:sz w:val="20"/>
    </w:rPr>
  </w:style>
  <w:style w:type="character" w:customStyle="1" w:styleId="CommentTextChar">
    <w:name w:val="Comment Text Char"/>
    <w:basedOn w:val="DefaultParagraphFont"/>
    <w:link w:val="CommentText"/>
    <w:uiPriority w:val="99"/>
    <w:rsid w:val="005D4E52"/>
  </w:style>
  <w:style w:type="paragraph" w:styleId="CommentSubject">
    <w:name w:val="annotation subject"/>
    <w:basedOn w:val="CommentText"/>
    <w:next w:val="CommentText"/>
    <w:link w:val="CommentSubjectChar"/>
    <w:uiPriority w:val="99"/>
    <w:semiHidden/>
    <w:unhideWhenUsed/>
    <w:rsid w:val="005D4E52"/>
    <w:rPr>
      <w:b/>
      <w:bCs/>
    </w:rPr>
  </w:style>
  <w:style w:type="character" w:customStyle="1" w:styleId="CommentSubjectChar">
    <w:name w:val="Comment Subject Char"/>
    <w:basedOn w:val="CommentTextChar"/>
    <w:link w:val="CommentSubject"/>
    <w:uiPriority w:val="99"/>
    <w:semiHidden/>
    <w:rsid w:val="005D4E52"/>
    <w:rPr>
      <w:b/>
      <w:bCs/>
    </w:rPr>
  </w:style>
  <w:style w:type="paragraph" w:styleId="ListParagraph">
    <w:name w:val="List Paragraph"/>
    <w:basedOn w:val="Normal"/>
    <w:uiPriority w:val="34"/>
    <w:qFormat/>
    <w:rsid w:val="00F10639"/>
    <w:pPr>
      <w:ind w:left="720"/>
      <w:contextualSpacing/>
    </w:pPr>
  </w:style>
  <w:style w:type="character" w:styleId="Hyperlink">
    <w:name w:val="Hyperlink"/>
    <w:basedOn w:val="DefaultParagraphFont"/>
    <w:uiPriority w:val="99"/>
    <w:unhideWhenUsed/>
    <w:rsid w:val="00873C6E"/>
    <w:rPr>
      <w:color w:val="0000FF"/>
      <w:u w:val="single"/>
    </w:rPr>
  </w:style>
  <w:style w:type="paragraph" w:styleId="ListBullet">
    <w:name w:val="List Bullet"/>
    <w:basedOn w:val="Normal"/>
    <w:uiPriority w:val="1"/>
    <w:qFormat/>
    <w:rsid w:val="00DF760B"/>
    <w:pPr>
      <w:numPr>
        <w:numId w:val="35"/>
      </w:numPr>
      <w:spacing w:before="120" w:after="180" w:line="240" w:lineRule="atLeast"/>
    </w:pPr>
    <w:rPr>
      <w:rFonts w:ascii="Cambria" w:eastAsia="Cambria" w:hAnsi="Cambria" w:cs="Times New Roman"/>
    </w:rPr>
  </w:style>
  <w:style w:type="paragraph" w:styleId="ListBullet2">
    <w:name w:val="List Bullet 2"/>
    <w:basedOn w:val="Normal"/>
    <w:uiPriority w:val="1"/>
    <w:qFormat/>
    <w:rsid w:val="00DF760B"/>
    <w:pPr>
      <w:numPr>
        <w:ilvl w:val="1"/>
        <w:numId w:val="35"/>
      </w:numPr>
      <w:spacing w:before="120" w:after="180" w:line="240" w:lineRule="atLeast"/>
      <w:ind w:left="850" w:hanging="425"/>
    </w:pPr>
    <w:rPr>
      <w:rFonts w:ascii="Cambria" w:eastAsia="Cambria" w:hAnsi="Cambria" w:cs="Times New Roman"/>
    </w:rPr>
  </w:style>
  <w:style w:type="paragraph" w:styleId="ListBullet3">
    <w:name w:val="List Bullet 3"/>
    <w:basedOn w:val="Normal"/>
    <w:uiPriority w:val="1"/>
    <w:qFormat/>
    <w:rsid w:val="00DF760B"/>
    <w:pPr>
      <w:numPr>
        <w:numId w:val="36"/>
      </w:numPr>
      <w:spacing w:before="120" w:after="180" w:line="240" w:lineRule="atLeast"/>
      <w:ind w:left="1276" w:hanging="425"/>
    </w:pPr>
    <w:rPr>
      <w:rFonts w:ascii="Cambria" w:eastAsia="Cambria" w:hAnsi="Cambria" w:cs="Times New Roman"/>
    </w:rPr>
  </w:style>
  <w:style w:type="numbering" w:customStyle="1" w:styleId="ListBullets">
    <w:name w:val="ListBullets"/>
    <w:uiPriority w:val="99"/>
    <w:locked/>
    <w:rsid w:val="00DF760B"/>
    <w:pPr>
      <w:numPr>
        <w:numId w:val="35"/>
      </w:numPr>
    </w:pPr>
  </w:style>
  <w:style w:type="paragraph" w:styleId="Revision">
    <w:name w:val="Revision"/>
    <w:hidden/>
    <w:uiPriority w:val="99"/>
    <w:semiHidden/>
    <w:rsid w:val="00E8736D"/>
    <w:rPr>
      <w:sz w:val="22"/>
    </w:rPr>
  </w:style>
  <w:style w:type="character" w:customStyle="1" w:styleId="ActHead5Char">
    <w:name w:val="ActHead 5 Char"/>
    <w:aliases w:val="s Char"/>
    <w:link w:val="ActHead5"/>
    <w:rsid w:val="007C4C58"/>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381C3E"/>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0255">
      <w:bodyDiv w:val="1"/>
      <w:marLeft w:val="0"/>
      <w:marRight w:val="0"/>
      <w:marTop w:val="0"/>
      <w:marBottom w:val="0"/>
      <w:divBdr>
        <w:top w:val="none" w:sz="0" w:space="0" w:color="auto"/>
        <w:left w:val="none" w:sz="0" w:space="0" w:color="auto"/>
        <w:bottom w:val="none" w:sz="0" w:space="0" w:color="auto"/>
        <w:right w:val="none" w:sz="0" w:space="0" w:color="auto"/>
      </w:divBdr>
    </w:div>
    <w:div w:id="16722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legislation.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7D6F-A772-4664-967D-60AB97EF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5223</Words>
  <Characters>29774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Carter, Bless</cp:lastModifiedBy>
  <cp:revision>2</cp:revision>
  <cp:lastPrinted>2020-07-30T00:29:00Z</cp:lastPrinted>
  <dcterms:created xsi:type="dcterms:W3CDTF">2020-08-10T06:09:00Z</dcterms:created>
  <dcterms:modified xsi:type="dcterms:W3CDTF">2020-08-10T06:09:00Z</dcterms:modified>
</cp:coreProperties>
</file>