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4032F" w14:textId="77777777" w:rsidR="00C3542D" w:rsidRPr="009A11A1" w:rsidRDefault="009A11A1" w:rsidP="00C3542D">
      <w:pPr>
        <w:jc w:val="center"/>
        <w:rPr>
          <w:b/>
          <w:u w:val="single"/>
        </w:rPr>
      </w:pPr>
      <w:r w:rsidRPr="009A11A1">
        <w:rPr>
          <w:b/>
          <w:u w:val="single"/>
        </w:rPr>
        <w:t>EXPLANATORY STATEMENT</w:t>
      </w:r>
    </w:p>
    <w:p w14:paraId="1FFB0369" w14:textId="77777777" w:rsidR="00C3542D" w:rsidRPr="00DF3DCF" w:rsidRDefault="00C3542D" w:rsidP="00DF3DCF">
      <w:pPr>
        <w:autoSpaceDE w:val="0"/>
        <w:autoSpaceDN w:val="0"/>
        <w:adjustRightInd w:val="0"/>
        <w:spacing w:before="120" w:after="80"/>
        <w:jc w:val="center"/>
        <w:rPr>
          <w:bCs/>
        </w:rPr>
      </w:pPr>
    </w:p>
    <w:p w14:paraId="7BBE84BE" w14:textId="13A4ADED" w:rsidR="00C3542D" w:rsidRPr="009A11A1" w:rsidRDefault="00C3542D" w:rsidP="00C3542D">
      <w:pPr>
        <w:jc w:val="center"/>
        <w:rPr>
          <w:u w:val="single"/>
        </w:rPr>
      </w:pPr>
      <w:r w:rsidRPr="009A11A1">
        <w:rPr>
          <w:u w:val="single"/>
        </w:rPr>
        <w:t xml:space="preserve">Issued by the authority of the </w:t>
      </w:r>
      <w:r w:rsidR="006B5921">
        <w:rPr>
          <w:u w:val="single"/>
        </w:rPr>
        <w:t>Minister for</w:t>
      </w:r>
      <w:r w:rsidR="00C23F97" w:rsidRPr="009A11A1">
        <w:rPr>
          <w:u w:val="single"/>
        </w:rPr>
        <w:t xml:space="preserve"> Energy </w:t>
      </w:r>
      <w:r w:rsidR="00AC6998">
        <w:rPr>
          <w:u w:val="single"/>
        </w:rPr>
        <w:t xml:space="preserve">and Emissions Reduction </w:t>
      </w:r>
    </w:p>
    <w:p w14:paraId="56F776AA" w14:textId="77777777" w:rsidR="00C3542D" w:rsidRPr="00DF3DCF" w:rsidRDefault="00C3542D" w:rsidP="00DF3DCF">
      <w:pPr>
        <w:autoSpaceDE w:val="0"/>
        <w:autoSpaceDN w:val="0"/>
        <w:adjustRightInd w:val="0"/>
        <w:spacing w:before="120" w:after="80"/>
        <w:jc w:val="center"/>
        <w:rPr>
          <w:bCs/>
        </w:rPr>
      </w:pPr>
    </w:p>
    <w:p w14:paraId="6E904B85" w14:textId="77777777" w:rsidR="009A11A1" w:rsidRDefault="009A11A1" w:rsidP="009A11A1">
      <w:pPr>
        <w:autoSpaceDE w:val="0"/>
        <w:autoSpaceDN w:val="0"/>
        <w:adjustRightInd w:val="0"/>
        <w:spacing w:before="120" w:after="80"/>
        <w:jc w:val="center"/>
        <w:rPr>
          <w:bCs/>
          <w:i/>
        </w:rPr>
      </w:pPr>
      <w:r>
        <w:rPr>
          <w:bCs/>
          <w:i/>
        </w:rPr>
        <w:t>Greenhouse and Energy Minimum Standards Act 2012</w:t>
      </w:r>
    </w:p>
    <w:p w14:paraId="30AE1F82" w14:textId="77777777" w:rsidR="009A11A1" w:rsidRPr="002E4176" w:rsidRDefault="009A11A1" w:rsidP="009A11A1">
      <w:pPr>
        <w:autoSpaceDE w:val="0"/>
        <w:autoSpaceDN w:val="0"/>
        <w:adjustRightInd w:val="0"/>
        <w:spacing w:before="120" w:after="80"/>
        <w:jc w:val="center"/>
        <w:rPr>
          <w:bCs/>
        </w:rPr>
      </w:pPr>
    </w:p>
    <w:p w14:paraId="22FB912D" w14:textId="24AF4CB8" w:rsidR="00C3542D" w:rsidRDefault="009A11A1" w:rsidP="00C3542D">
      <w:pPr>
        <w:autoSpaceDE w:val="0"/>
        <w:autoSpaceDN w:val="0"/>
        <w:adjustRightInd w:val="0"/>
        <w:spacing w:before="120" w:after="80"/>
        <w:jc w:val="center"/>
        <w:rPr>
          <w:bCs/>
          <w:i/>
        </w:rPr>
      </w:pPr>
      <w:r w:rsidRPr="00962ECC">
        <w:rPr>
          <w:bCs/>
          <w:i/>
        </w:rPr>
        <w:t>Greenhouse and Energy Minimum Standards (</w:t>
      </w:r>
      <w:r w:rsidR="0088007E" w:rsidRPr="00962ECC">
        <w:rPr>
          <w:bCs/>
          <w:i/>
        </w:rPr>
        <w:t>Refrigerated Cabinets</w:t>
      </w:r>
      <w:r w:rsidRPr="00962ECC">
        <w:rPr>
          <w:bCs/>
          <w:i/>
        </w:rPr>
        <w:t xml:space="preserve">) Determination </w:t>
      </w:r>
      <w:r w:rsidR="00BE418F" w:rsidRPr="002D2BB4">
        <w:rPr>
          <w:bCs/>
          <w:i/>
        </w:rPr>
        <w:t>20</w:t>
      </w:r>
      <w:r w:rsidR="00BE418F">
        <w:rPr>
          <w:bCs/>
          <w:i/>
        </w:rPr>
        <w:t>20</w:t>
      </w:r>
    </w:p>
    <w:p w14:paraId="27FD21BF" w14:textId="77777777" w:rsidR="00833C3D" w:rsidRPr="00DF3DCF" w:rsidRDefault="00833C3D" w:rsidP="00833C3D">
      <w:pPr>
        <w:pStyle w:val="Heading1"/>
        <w:rPr>
          <w:rFonts w:ascii="Times New Roman" w:hAnsi="Times New Roman" w:cs="Times New Roman"/>
          <w:sz w:val="24"/>
          <w:szCs w:val="24"/>
        </w:rPr>
      </w:pPr>
      <w:r>
        <w:rPr>
          <w:rFonts w:ascii="Times New Roman" w:hAnsi="Times New Roman" w:cs="Times New Roman"/>
          <w:sz w:val="24"/>
          <w:szCs w:val="24"/>
        </w:rPr>
        <w:t>P</w:t>
      </w:r>
      <w:r w:rsidRPr="00DF3DCF">
        <w:rPr>
          <w:rFonts w:ascii="Times New Roman" w:hAnsi="Times New Roman" w:cs="Times New Roman"/>
          <w:sz w:val="24"/>
          <w:szCs w:val="24"/>
        </w:rPr>
        <w:t xml:space="preserve">urpose </w:t>
      </w:r>
    </w:p>
    <w:p w14:paraId="35047148" w14:textId="7909173B" w:rsidR="00833C3D" w:rsidRDefault="00833C3D" w:rsidP="00833C3D">
      <w:pPr>
        <w:autoSpaceDE w:val="0"/>
        <w:autoSpaceDN w:val="0"/>
        <w:adjustRightInd w:val="0"/>
        <w:spacing w:before="120" w:after="80"/>
      </w:pPr>
      <w:r>
        <w:t>T</w:t>
      </w:r>
      <w:r w:rsidRPr="002E4176">
        <w:t>he</w:t>
      </w:r>
      <w:r w:rsidRPr="00DF3DCF">
        <w:t xml:space="preserve"> </w:t>
      </w:r>
      <w:r w:rsidRPr="00EC5BDC">
        <w:rPr>
          <w:i/>
        </w:rPr>
        <w:t>Greenhouse and Energy Minimum Standards (</w:t>
      </w:r>
      <w:r w:rsidR="0088007E">
        <w:rPr>
          <w:bCs/>
          <w:i/>
        </w:rPr>
        <w:t>Refrigerated Cabinets</w:t>
      </w:r>
      <w:r w:rsidRPr="00EC5BDC">
        <w:rPr>
          <w:i/>
        </w:rPr>
        <w:t xml:space="preserve">) Determination </w:t>
      </w:r>
      <w:r w:rsidR="00BE418F" w:rsidRPr="002D2BB4">
        <w:rPr>
          <w:i/>
        </w:rPr>
        <w:t>20</w:t>
      </w:r>
      <w:r w:rsidR="00BE418F">
        <w:rPr>
          <w:i/>
        </w:rPr>
        <w:t>20</w:t>
      </w:r>
      <w:r w:rsidR="00BE418F" w:rsidRPr="008E2CB7">
        <w:t xml:space="preserve"> </w:t>
      </w:r>
      <w:r w:rsidRPr="008E2CB7">
        <w:t>(</w:t>
      </w:r>
      <w:r w:rsidR="008C0D06">
        <w:t xml:space="preserve">the </w:t>
      </w:r>
      <w:r w:rsidRPr="008C0D06">
        <w:t>Determination</w:t>
      </w:r>
      <w:r>
        <w:t xml:space="preserve">) </w:t>
      </w:r>
      <w:r w:rsidRPr="00627E2C">
        <w:t>establish</w:t>
      </w:r>
      <w:r>
        <w:t>es</w:t>
      </w:r>
      <w:r w:rsidRPr="00627E2C">
        <w:t xml:space="preserve"> minimum energy efficiency requirements, and associated requirements for conducting tests, for </w:t>
      </w:r>
      <w:r w:rsidR="0088007E">
        <w:t>refrigerated display cabinets</w:t>
      </w:r>
      <w:r w:rsidR="00962ECC">
        <w:t xml:space="preserve">, refrigerated storage cabinets, </w:t>
      </w:r>
      <w:r w:rsidR="00286127">
        <w:t>ice cream freezers and refrigerated display scooping cabinets for gelato.</w:t>
      </w:r>
      <w:r w:rsidR="00E87FCB">
        <w:t xml:space="preserve"> </w:t>
      </w:r>
    </w:p>
    <w:p w14:paraId="67FAAC4A" w14:textId="6CCD1B2E" w:rsidR="00E87FCB" w:rsidRPr="00E87FCB" w:rsidRDefault="00E87FCB" w:rsidP="00833C3D">
      <w:pPr>
        <w:autoSpaceDE w:val="0"/>
        <w:autoSpaceDN w:val="0"/>
        <w:adjustRightInd w:val="0"/>
        <w:spacing w:before="120" w:after="80"/>
      </w:pPr>
      <w:r>
        <w:t xml:space="preserve">The details of the Determination are the same as those of the </w:t>
      </w:r>
      <w:r>
        <w:rPr>
          <w:i/>
        </w:rPr>
        <w:t>Greenhouse and Energy Minimum Standards (Refr</w:t>
      </w:r>
      <w:bookmarkStart w:id="0" w:name="_GoBack"/>
      <w:bookmarkEnd w:id="0"/>
      <w:r>
        <w:rPr>
          <w:i/>
        </w:rPr>
        <w:t>igerated Cabinets) Determination 2019</w:t>
      </w:r>
      <w:r w:rsidR="00EB4F18">
        <w:rPr>
          <w:i/>
        </w:rPr>
        <w:t xml:space="preserve"> </w:t>
      </w:r>
      <w:r w:rsidR="00EB4F18">
        <w:t>(the 2019 Determination)</w:t>
      </w:r>
      <w:r>
        <w:t xml:space="preserve">, which was revoked before its scheduled commencement date of 15 August 2020. </w:t>
      </w:r>
      <w:r w:rsidR="00963D60">
        <w:t>This was in response to representations from commercial refrigeration stakeholders regarding the impact of COVID-19 on supply chains and testing facilities (both in-house and third party), and consequently the</w:t>
      </w:r>
      <w:r w:rsidR="00E57707">
        <w:t xml:space="preserve"> stakeholders’</w:t>
      </w:r>
      <w:r w:rsidR="00963D60">
        <w:t xml:space="preserve"> ability to have all of their products, particularly in the newly regulated product categories, registered by the commencement date. The Government agreed to a delayed commencement date of 1 May 2021 to allow time for these issues to be overcome.</w:t>
      </w:r>
    </w:p>
    <w:p w14:paraId="067AA948" w14:textId="63DEEDE4" w:rsidR="00EE3712" w:rsidRPr="008C0D06" w:rsidRDefault="00EE3712" w:rsidP="00EE3712">
      <w:pPr>
        <w:autoSpaceDE w:val="0"/>
        <w:autoSpaceDN w:val="0"/>
        <w:adjustRightInd w:val="0"/>
        <w:spacing w:before="120" w:after="80"/>
      </w:pPr>
      <w:r w:rsidRPr="002B3C05">
        <w:t xml:space="preserve">This Determination revokes and replaces the </w:t>
      </w:r>
      <w:r w:rsidRPr="002B3C05">
        <w:rPr>
          <w:i/>
        </w:rPr>
        <w:t>Greenhouse and Energy Minimum Standards (Refrigerated Display Cabinets) Determination 2012</w:t>
      </w:r>
      <w:r w:rsidRPr="002B3C05">
        <w:t xml:space="preserve"> (</w:t>
      </w:r>
      <w:r w:rsidRPr="008C0D06">
        <w:t>revoked Determination).</w:t>
      </w:r>
      <w:r w:rsidR="00FB7632">
        <w:t xml:space="preserve"> The reason why this new Determination must be made, rather than amending the 2019 Determination, is explained in the Explanatory Statement to the </w:t>
      </w:r>
      <w:r w:rsidR="00FB7632" w:rsidRPr="00285CD2">
        <w:rPr>
          <w:i/>
        </w:rPr>
        <w:t>Greenhouse and Energy Minimum Standards (Refrigerated Cabinets Revocation) Instrument 2020</w:t>
      </w:r>
      <w:r w:rsidR="00FB7632">
        <w:t xml:space="preserve">. </w:t>
      </w:r>
    </w:p>
    <w:p w14:paraId="2ABCE5A1" w14:textId="1C822FF4" w:rsidR="00B56675" w:rsidRPr="00855BEC" w:rsidRDefault="00B56675" w:rsidP="00EE3712">
      <w:pPr>
        <w:autoSpaceDE w:val="0"/>
        <w:autoSpaceDN w:val="0"/>
        <w:adjustRightInd w:val="0"/>
        <w:spacing w:before="120" w:after="80"/>
      </w:pPr>
      <w:r w:rsidRPr="00855BEC">
        <w:t xml:space="preserve">Refrigerated cabinets are used to display and store food in retail and commercial premises. They run continuously, resulting in significant energy use, running costs, and greenhouse gas emissions. </w:t>
      </w:r>
      <w:r w:rsidR="00F02789" w:rsidRPr="00855BEC">
        <w:t xml:space="preserve">In 2015, </w:t>
      </w:r>
      <w:r w:rsidR="00C551EC" w:rsidRPr="00855BEC">
        <w:t xml:space="preserve">Australian </w:t>
      </w:r>
      <w:r w:rsidRPr="00855BEC">
        <w:t>businesses own</w:t>
      </w:r>
      <w:r w:rsidR="00F02789" w:rsidRPr="00855BEC">
        <w:t xml:space="preserve">ed </w:t>
      </w:r>
      <w:r w:rsidRPr="00855BEC">
        <w:t xml:space="preserve">around </w:t>
      </w:r>
      <w:r w:rsidR="00C551EC" w:rsidRPr="00855BEC">
        <w:t>845</w:t>
      </w:r>
      <w:r w:rsidRPr="00855BEC">
        <w:t xml:space="preserve">,000 refrigerated cabinets. </w:t>
      </w:r>
      <w:r w:rsidR="00C551EC" w:rsidRPr="00855BEC">
        <w:t>By 2035, sales of refrigerated cabinets are projected to increase by over 40</w:t>
      </w:r>
      <w:r w:rsidR="005112B4">
        <w:t xml:space="preserve"> percent</w:t>
      </w:r>
      <w:r w:rsidR="00C551EC" w:rsidRPr="00855BEC">
        <w:t xml:space="preserve"> and energy use will increase to over 9</w:t>
      </w:r>
      <w:r w:rsidR="005112B4">
        <w:t>,</w:t>
      </w:r>
      <w:r w:rsidR="00C551EC" w:rsidRPr="00855BEC">
        <w:t>000GWh per year</w:t>
      </w:r>
      <w:r w:rsidR="00F02789" w:rsidRPr="00855BEC">
        <w:t xml:space="preserve">. </w:t>
      </w:r>
    </w:p>
    <w:p w14:paraId="58653A2D" w14:textId="729981DE" w:rsidR="00A66A56" w:rsidRPr="00855BEC" w:rsidRDefault="00A05519" w:rsidP="00855BEC">
      <w:pPr>
        <w:autoSpaceDE w:val="0"/>
        <w:autoSpaceDN w:val="0"/>
        <w:adjustRightInd w:val="0"/>
        <w:spacing w:before="120" w:after="80"/>
      </w:pPr>
      <w:r w:rsidRPr="00855BEC">
        <w:t xml:space="preserve">This Determination </w:t>
      </w:r>
      <w:r w:rsidR="00A66A56" w:rsidRPr="00855BEC">
        <w:t xml:space="preserve">extends the </w:t>
      </w:r>
      <w:r w:rsidR="00EE4C1E">
        <w:t xml:space="preserve">range of refrigerated cabinets regulated under the </w:t>
      </w:r>
      <w:r w:rsidR="00EE4C1E" w:rsidRPr="001F7C05">
        <w:rPr>
          <w:i/>
        </w:rPr>
        <w:t>Greenhouse and Energy Minimum Standards Act 2012</w:t>
      </w:r>
      <w:r w:rsidR="00EE4C1E">
        <w:t xml:space="preserve"> (</w:t>
      </w:r>
      <w:r w:rsidR="008C0D06" w:rsidRPr="008C0D06">
        <w:t xml:space="preserve">the </w:t>
      </w:r>
      <w:r w:rsidR="00EE4C1E" w:rsidRPr="008C0D06">
        <w:t>Act</w:t>
      </w:r>
      <w:r w:rsidR="00EE4C1E">
        <w:t>)</w:t>
      </w:r>
      <w:r w:rsidR="00161028">
        <w:t>. As well as being applicable to refrigerated display cabinets</w:t>
      </w:r>
      <w:r w:rsidR="00EE4C1E">
        <w:t xml:space="preserve"> covered by the revoked Determination</w:t>
      </w:r>
      <w:r w:rsidR="00161028">
        <w:t xml:space="preserve">, </w:t>
      </w:r>
      <w:r w:rsidR="00CA1519">
        <w:t xml:space="preserve">requirements </w:t>
      </w:r>
      <w:r w:rsidR="00161028">
        <w:t xml:space="preserve">will also </w:t>
      </w:r>
      <w:r w:rsidR="00CA1519">
        <w:t>be imposed on</w:t>
      </w:r>
      <w:r w:rsidR="00895E55">
        <w:t xml:space="preserve"> </w:t>
      </w:r>
      <w:r w:rsidR="00A66A56" w:rsidRPr="00855BEC">
        <w:t>refrigerated storage cabinets</w:t>
      </w:r>
      <w:r w:rsidR="00161028" w:rsidRPr="00855BEC">
        <w:t xml:space="preserve">, </w:t>
      </w:r>
      <w:r w:rsidR="00A66A56" w:rsidRPr="00855BEC">
        <w:t xml:space="preserve">ice cream </w:t>
      </w:r>
      <w:r w:rsidR="002B3C05">
        <w:t>cabinets</w:t>
      </w:r>
      <w:r w:rsidR="00161028" w:rsidRPr="00855BEC">
        <w:t xml:space="preserve"> and gelato scooping </w:t>
      </w:r>
      <w:r w:rsidR="00A66A56" w:rsidRPr="00855BEC">
        <w:t>cabinets</w:t>
      </w:r>
      <w:r w:rsidR="00EE4C1E">
        <w:t xml:space="preserve"> for the first time in Australia</w:t>
      </w:r>
      <w:r w:rsidR="00A66A56" w:rsidRPr="00855BEC">
        <w:t xml:space="preserve">. </w:t>
      </w:r>
      <w:r w:rsidR="002B3C05">
        <w:t>The Determination</w:t>
      </w:r>
      <w:r w:rsidR="002B3C05" w:rsidRPr="00855BEC">
        <w:t xml:space="preserve"> </w:t>
      </w:r>
      <w:r w:rsidR="00161028" w:rsidRPr="00855BEC">
        <w:t>introduc</w:t>
      </w:r>
      <w:r w:rsidR="00895E55">
        <w:t>e</w:t>
      </w:r>
      <w:r w:rsidR="002B3C05">
        <w:t>s</w:t>
      </w:r>
      <w:r w:rsidR="00161028" w:rsidRPr="00855BEC">
        <w:t xml:space="preserve"> a voluntary star rating framework</w:t>
      </w:r>
      <w:r w:rsidRPr="00855BEC">
        <w:t xml:space="preserve"> and align</w:t>
      </w:r>
      <w:r w:rsidR="00A54BD3">
        <w:t>s</w:t>
      </w:r>
      <w:r w:rsidRPr="00855BEC">
        <w:t xml:space="preserve"> with international best practice</w:t>
      </w:r>
      <w:r w:rsidR="00A66A56" w:rsidRPr="00855BEC">
        <w:t xml:space="preserve"> by </w:t>
      </w:r>
      <w:r w:rsidR="002C4B94" w:rsidRPr="00855BEC">
        <w:t xml:space="preserve">adopting </w:t>
      </w:r>
      <w:r w:rsidR="00ED72F0">
        <w:t>minimum energy performance standards</w:t>
      </w:r>
      <w:r w:rsidRPr="00855BEC">
        <w:t xml:space="preserve"> </w:t>
      </w:r>
      <w:r w:rsidR="002C4B94" w:rsidRPr="00855BEC">
        <w:t>set by</w:t>
      </w:r>
      <w:r w:rsidRPr="00855BEC">
        <w:t xml:space="preserve"> the European Commission in 2017</w:t>
      </w:r>
      <w:r w:rsidR="006B5921" w:rsidRPr="00855BEC">
        <w:t>-</w:t>
      </w:r>
      <w:r w:rsidR="00A66A56" w:rsidRPr="00855BEC">
        <w:t xml:space="preserve">18. </w:t>
      </w:r>
    </w:p>
    <w:p w14:paraId="20BF313E" w14:textId="0C03508F" w:rsidR="00A05519" w:rsidRPr="00855BEC" w:rsidRDefault="002B3C05" w:rsidP="00855BEC">
      <w:pPr>
        <w:autoSpaceDE w:val="0"/>
        <w:autoSpaceDN w:val="0"/>
        <w:adjustRightInd w:val="0"/>
        <w:spacing w:before="120" w:after="80"/>
      </w:pPr>
      <w:r>
        <w:lastRenderedPageBreak/>
        <w:t>The</w:t>
      </w:r>
      <w:r w:rsidR="006903D1" w:rsidRPr="00855BEC">
        <w:t xml:space="preserve"> Determination a</w:t>
      </w:r>
      <w:r w:rsidR="00A05519" w:rsidRPr="00855BEC">
        <w:t>dopt</w:t>
      </w:r>
      <w:r>
        <w:t>s</w:t>
      </w:r>
      <w:r w:rsidR="00A05519" w:rsidRPr="00855BEC">
        <w:t xml:space="preserve"> International Organisation </w:t>
      </w:r>
      <w:r w:rsidR="00ED72F0">
        <w:t xml:space="preserve">for </w:t>
      </w:r>
      <w:r w:rsidR="00ED72F0" w:rsidRPr="00855BEC">
        <w:t>Standard</w:t>
      </w:r>
      <w:r w:rsidR="00ED72F0">
        <w:t>i</w:t>
      </w:r>
      <w:r w:rsidR="00ED72F0" w:rsidRPr="00855BEC">
        <w:t>s</w:t>
      </w:r>
      <w:r w:rsidR="00ED72F0">
        <w:t>ation</w:t>
      </w:r>
      <w:r w:rsidR="005112B4">
        <w:t xml:space="preserve"> (ISO)</w:t>
      </w:r>
      <w:r w:rsidR="00ED72F0" w:rsidRPr="00855BEC">
        <w:t xml:space="preserve"> </w:t>
      </w:r>
      <w:r w:rsidR="00A05519" w:rsidRPr="00855BEC">
        <w:t>and European test methods</w:t>
      </w:r>
      <w:r w:rsidR="006903D1" w:rsidRPr="00855BEC">
        <w:t xml:space="preserve">. It </w:t>
      </w:r>
      <w:r>
        <w:t xml:space="preserve">also </w:t>
      </w:r>
      <w:r w:rsidR="006903D1" w:rsidRPr="00855BEC">
        <w:t xml:space="preserve">includes </w:t>
      </w:r>
      <w:r w:rsidR="00EE4C1E">
        <w:t>alternative, less onerous testing requirements</w:t>
      </w:r>
      <w:r w:rsidR="00ED72F0">
        <w:t xml:space="preserve"> for </w:t>
      </w:r>
      <w:r w:rsidR="00A05519" w:rsidRPr="00855BEC">
        <w:t>refrigerated cabinets supplied in low volumes</w:t>
      </w:r>
      <w:r w:rsidR="005F2D73" w:rsidRPr="00855BEC">
        <w:t>, and widened famil</w:t>
      </w:r>
      <w:r w:rsidR="00EE4C1E">
        <w:t>y of models</w:t>
      </w:r>
      <w:r w:rsidR="005F2D73" w:rsidRPr="00855BEC">
        <w:t xml:space="preserve"> </w:t>
      </w:r>
      <w:r w:rsidR="00EE4C1E">
        <w:t>circumstances,</w:t>
      </w:r>
      <w:r w:rsidR="00EE4C1E" w:rsidRPr="00855BEC">
        <w:t xml:space="preserve"> </w:t>
      </w:r>
      <w:r w:rsidR="005F2D73" w:rsidRPr="00855BEC">
        <w:t xml:space="preserve">to reduce </w:t>
      </w:r>
      <w:r w:rsidR="00EE4C1E">
        <w:t>the cost</w:t>
      </w:r>
      <w:r w:rsidR="00CA1519">
        <w:t>s</w:t>
      </w:r>
      <w:r w:rsidR="00EE4C1E">
        <w:t xml:space="preserve"> of demonstrating </w:t>
      </w:r>
      <w:r w:rsidR="005F2D73" w:rsidRPr="00855BEC">
        <w:t xml:space="preserve">compliance </w:t>
      </w:r>
      <w:r w:rsidR="00EE4C1E">
        <w:t>for registration</w:t>
      </w:r>
      <w:r w:rsidR="00A05519" w:rsidRPr="00855BEC">
        <w:t>.</w:t>
      </w:r>
    </w:p>
    <w:p w14:paraId="64E3E438" w14:textId="77777777" w:rsidR="00833C3D" w:rsidRPr="00EC5BDC" w:rsidRDefault="00833C3D" w:rsidP="00833C3D">
      <w:pPr>
        <w:autoSpaceDE w:val="0"/>
        <w:autoSpaceDN w:val="0"/>
        <w:adjustRightInd w:val="0"/>
        <w:spacing w:before="120" w:after="80"/>
        <w:rPr>
          <w:b/>
        </w:rPr>
      </w:pPr>
      <w:r w:rsidRPr="00EC5BDC">
        <w:rPr>
          <w:b/>
        </w:rPr>
        <w:t xml:space="preserve">Background </w:t>
      </w:r>
    </w:p>
    <w:p w14:paraId="54EA0434" w14:textId="075F4C69" w:rsidR="006B5921" w:rsidRDefault="006B5921" w:rsidP="006B5921">
      <w:pPr>
        <w:autoSpaceDE w:val="0"/>
        <w:autoSpaceDN w:val="0"/>
        <w:spacing w:before="120" w:after="80"/>
      </w:pPr>
      <w:r>
        <w:t xml:space="preserve">The </w:t>
      </w:r>
      <w:r>
        <w:rPr>
          <w:i/>
          <w:iCs/>
        </w:rPr>
        <w:t>Greenhouse and Energy Minimum Standards Act 2012</w:t>
      </w:r>
      <w:r>
        <w:t xml:space="preserve"> established a national framework for regulating the energy efficiency of products supplied or used within Australia, replacing individual state and territory legislative frameworks. The Act implemented the Council of Australian Governments’ (</w:t>
      </w:r>
      <w:r w:rsidRPr="008C0D06">
        <w:t>COAG</w:t>
      </w:r>
      <w:r>
        <w:t xml:space="preserve">) commitment to establish national legislation to regulate energy efficiency and labelling standards for appliances and other products. </w:t>
      </w:r>
    </w:p>
    <w:p w14:paraId="30B0264B" w14:textId="49BB9F98" w:rsidR="006B5921" w:rsidRDefault="006B5921" w:rsidP="006B5921">
      <w:pPr>
        <w:autoSpaceDE w:val="0"/>
        <w:autoSpaceDN w:val="0"/>
        <w:spacing w:before="120" w:after="80"/>
      </w:pPr>
      <w:r>
        <w:t xml:space="preserve">The Act permits the Australian Government to set mandatory minimum efficiency requirements, </w:t>
      </w:r>
      <w:r w:rsidRPr="00855BEC">
        <w:t xml:space="preserve">which </w:t>
      </w:r>
      <w:r>
        <w:t xml:space="preserve">drive greater energy efficiency for regulated products </w:t>
      </w:r>
      <w:r w:rsidRPr="00855BEC">
        <w:t>and exclude the poorest performing products from the market</w:t>
      </w:r>
      <w:r>
        <w:t>. These are referred in the Determination as greenhouse and energy minimum standards (</w:t>
      </w:r>
      <w:r w:rsidRPr="008C0D06">
        <w:t>GEMS)</w:t>
      </w:r>
      <w:r>
        <w:t xml:space="preserve"> level requirements</w:t>
      </w:r>
      <w:r w:rsidR="00547A82">
        <w:t>,</w:t>
      </w:r>
      <w:r>
        <w:t xml:space="preserve"> and are generally known as minimum energy performance standards (</w:t>
      </w:r>
      <w:r w:rsidRPr="008C0D06">
        <w:t>MEPS</w:t>
      </w:r>
      <w:r>
        <w:t>).</w:t>
      </w:r>
    </w:p>
    <w:p w14:paraId="70B9D832" w14:textId="77777777" w:rsidR="006B5921" w:rsidRDefault="006B5921" w:rsidP="006B5921">
      <w:pPr>
        <w:autoSpaceDE w:val="0"/>
        <w:autoSpaceDN w:val="0"/>
        <w:spacing w:before="120" w:after="80"/>
      </w:pPr>
      <w:r>
        <w:t xml:space="preserve">The Act also allows the Australian Government to set nationally-consistent labelling requirements, to increase Australian consumers’ awareness of options to improve energy efficiency and reduce energy consumption, costs, and greenhouse gas emissions. </w:t>
      </w:r>
    </w:p>
    <w:p w14:paraId="24A7E4E9" w14:textId="77777777" w:rsidR="006B5921" w:rsidRDefault="006B5921" w:rsidP="006B5921">
      <w:pPr>
        <w:autoSpaceDE w:val="0"/>
        <w:autoSpaceDN w:val="0"/>
        <w:spacing w:before="120" w:after="80"/>
      </w:pPr>
      <w:r>
        <w:t xml:space="preserve">Other regulatory requirements possible under the Act include requirements relating to product performance, and the impact of the product on the environment or the health of human beings. </w:t>
      </w:r>
    </w:p>
    <w:p w14:paraId="54FF1D06" w14:textId="1B7F9FB7" w:rsidR="00A72396" w:rsidRPr="004B2DC6" w:rsidRDefault="00A72396" w:rsidP="00A72396">
      <w:pPr>
        <w:autoSpaceDE w:val="0"/>
        <w:autoSpaceDN w:val="0"/>
        <w:adjustRightInd w:val="0"/>
        <w:spacing w:before="120" w:after="80"/>
        <w:rPr>
          <w:b/>
        </w:rPr>
      </w:pPr>
      <w:r>
        <w:rPr>
          <w:b/>
        </w:rPr>
        <w:t>Authority</w:t>
      </w:r>
      <w:r w:rsidRPr="004B2DC6">
        <w:rPr>
          <w:b/>
        </w:rPr>
        <w:t xml:space="preserve"> </w:t>
      </w:r>
    </w:p>
    <w:p w14:paraId="5A09456C" w14:textId="06180AC7" w:rsidR="00A72396" w:rsidRDefault="00A72396" w:rsidP="00A72396">
      <w:pPr>
        <w:autoSpaceDE w:val="0"/>
        <w:autoSpaceDN w:val="0"/>
        <w:adjustRightInd w:val="0"/>
        <w:spacing w:before="120" w:after="80"/>
      </w:pPr>
      <w:r>
        <w:t xml:space="preserve">Under subsection 23(1) of the Act the Minister may, by legislative instrument, make a determination (a GEMS determination) that specifies one or more classes of products if the products in those classes use energy or affect the amount of energy used by other products. A GEMS determination is the vehicle by which energy efficiency requirements (GEMS level requirements), energy labelling requirements (GEMS labelling requirements) and other requirements for a product class are established. </w:t>
      </w:r>
    </w:p>
    <w:p w14:paraId="30B91CB2" w14:textId="77777777" w:rsidR="00A72396" w:rsidRPr="00EA02B8" w:rsidRDefault="00A72396" w:rsidP="00A72396">
      <w:pPr>
        <w:autoSpaceDE w:val="0"/>
        <w:autoSpaceDN w:val="0"/>
        <w:adjustRightInd w:val="0"/>
        <w:spacing w:before="120" w:after="80"/>
      </w:pPr>
      <w:r w:rsidRPr="00EA02B8">
        <w:t>Section 35 of the Act allows a Minister to make replacement determinations through revoking the previous determination and making a new determ</w:t>
      </w:r>
      <w:r>
        <w:t>ination to replace the revoked d</w:t>
      </w:r>
      <w:r w:rsidRPr="00EA02B8">
        <w:t>etermination. The new determination can specify the new requirements and retain any relevant existing</w:t>
      </w:r>
      <w:r>
        <w:t xml:space="preserve"> requirements from the revoked determination. The revoked d</w:t>
      </w:r>
      <w:r w:rsidRPr="00EA02B8">
        <w:t xml:space="preserve">etermination ceases to be in force immediately before the replacement determination comes into force. </w:t>
      </w:r>
    </w:p>
    <w:p w14:paraId="488EB80C" w14:textId="5805841A" w:rsidR="00A72396" w:rsidRPr="00675AB7" w:rsidRDefault="00A72396" w:rsidP="00A72396">
      <w:pPr>
        <w:autoSpaceDE w:val="0"/>
        <w:autoSpaceDN w:val="0"/>
        <w:adjustRightInd w:val="0"/>
        <w:spacing w:before="120" w:after="80"/>
      </w:pPr>
      <w:r w:rsidRPr="00675AB7">
        <w:t>Under section 36 of the Act, a replacement determination must specify whether it affects the registration of models of GEMS products. Under subsection 36(2) of the Act, if a replacement determination does not specify that it affects a model’s registration, the model is taken to be registered against the replacement determination.  If a replacement determination specifies that it affects a model’s registration, then under paragraph 48(2)(c)</w:t>
      </w:r>
      <w:r w:rsidR="006B5921">
        <w:t xml:space="preserve"> </w:t>
      </w:r>
      <w:r w:rsidRPr="00675AB7">
        <w:t xml:space="preserve">of the Act, the model’s registration ceases to be in force from the time the replacement determination comes into force (or the beginning of the </w:t>
      </w:r>
      <w:r w:rsidRPr="00675AB7">
        <w:lastRenderedPageBreak/>
        <w:t xml:space="preserve">day a registration of the model against the replacement determination comes into force, </w:t>
      </w:r>
      <w:r w:rsidRPr="00F409B2">
        <w:t>whichever is the earlier</w:t>
      </w:r>
      <w:r w:rsidRPr="00675AB7">
        <w:t>).</w:t>
      </w:r>
    </w:p>
    <w:p w14:paraId="263786F8" w14:textId="76363E29" w:rsidR="00A72396" w:rsidRDefault="00A72396" w:rsidP="00A72396">
      <w:pPr>
        <w:autoSpaceDE w:val="0"/>
        <w:autoSpaceDN w:val="0"/>
        <w:adjustRightInd w:val="0"/>
        <w:spacing w:before="120" w:after="80"/>
      </w:pPr>
      <w:r>
        <w:t>Under section 25 of the Act</w:t>
      </w:r>
      <w:r w:rsidR="005112B4">
        <w:t>,</w:t>
      </w:r>
      <w:r>
        <w:t xml:space="preserve"> the GEMS level requirements specified in a GEMS determination may be:</w:t>
      </w:r>
    </w:p>
    <w:p w14:paraId="3B418D12" w14:textId="77777777" w:rsidR="00A72396" w:rsidRDefault="00A72396" w:rsidP="000F6ACF">
      <w:pPr>
        <w:numPr>
          <w:ilvl w:val="0"/>
          <w:numId w:val="3"/>
        </w:numPr>
        <w:autoSpaceDE w:val="0"/>
        <w:autoSpaceDN w:val="0"/>
        <w:adjustRightInd w:val="0"/>
        <w:spacing w:before="120" w:after="80"/>
      </w:pPr>
      <w:r>
        <w:t>requirements relating to one or more of the following:</w:t>
      </w:r>
    </w:p>
    <w:p w14:paraId="5CCDAF1F" w14:textId="77777777" w:rsidR="00A72396" w:rsidRDefault="00A72396" w:rsidP="000F6ACF">
      <w:pPr>
        <w:numPr>
          <w:ilvl w:val="1"/>
          <w:numId w:val="3"/>
        </w:numPr>
        <w:autoSpaceDE w:val="0"/>
        <w:autoSpaceDN w:val="0"/>
        <w:adjustRightInd w:val="0"/>
        <w:spacing w:before="120" w:after="80"/>
      </w:pPr>
      <w:r>
        <w:t>the amount of energy used in operating products in relevant product classes;</w:t>
      </w:r>
    </w:p>
    <w:p w14:paraId="59C43252" w14:textId="77777777" w:rsidR="00A72396" w:rsidRDefault="00A72396" w:rsidP="000F6ACF">
      <w:pPr>
        <w:numPr>
          <w:ilvl w:val="1"/>
          <w:numId w:val="3"/>
        </w:numPr>
        <w:autoSpaceDE w:val="0"/>
        <w:autoSpaceDN w:val="0"/>
        <w:adjustRightInd w:val="0"/>
        <w:spacing w:before="120" w:after="80"/>
      </w:pPr>
      <w:r>
        <w:t>the amount of greenhouse gases resulting from operating products in the relevant product class;</w:t>
      </w:r>
    </w:p>
    <w:p w14:paraId="56CB4982" w14:textId="77777777" w:rsidR="00A72396" w:rsidRDefault="00A72396" w:rsidP="000F6ACF">
      <w:pPr>
        <w:numPr>
          <w:ilvl w:val="1"/>
          <w:numId w:val="3"/>
        </w:numPr>
        <w:autoSpaceDE w:val="0"/>
        <w:autoSpaceDN w:val="0"/>
        <w:adjustRightInd w:val="0"/>
        <w:spacing w:before="120" w:after="80"/>
      </w:pPr>
      <w:r>
        <w:t>the effect of those products on the amount of energy used by operating other products; and</w:t>
      </w:r>
    </w:p>
    <w:p w14:paraId="4FCFD246" w14:textId="14B5AE03" w:rsidR="00A72396" w:rsidRDefault="00A72396" w:rsidP="000F6ACF">
      <w:pPr>
        <w:numPr>
          <w:ilvl w:val="0"/>
          <w:numId w:val="3"/>
        </w:numPr>
        <w:autoSpaceDE w:val="0"/>
        <w:autoSpaceDN w:val="0"/>
        <w:adjustRightInd w:val="0"/>
        <w:spacing w:before="120" w:after="80"/>
      </w:pPr>
      <w:r>
        <w:t>requirements for conducting tests in relation to products in the relevant product class in order to determine whether the products meet the specified requirements.</w:t>
      </w:r>
    </w:p>
    <w:p w14:paraId="72C29D4B" w14:textId="055D9D34" w:rsidR="00A72396" w:rsidRDefault="00A72396" w:rsidP="00A72396">
      <w:pPr>
        <w:autoSpaceDE w:val="0"/>
        <w:autoSpaceDN w:val="0"/>
        <w:adjustRightInd w:val="0"/>
        <w:spacing w:before="120" w:after="80"/>
      </w:pPr>
      <w:r>
        <w:t>Under section 26 of the Act</w:t>
      </w:r>
      <w:r w:rsidR="005112B4">
        <w:t>,</w:t>
      </w:r>
      <w:r>
        <w:t xml:space="preserve"> the GEMS labelling requirements specified in a GEMS determination may be:</w:t>
      </w:r>
    </w:p>
    <w:p w14:paraId="2F194C98" w14:textId="77777777" w:rsidR="00A72396" w:rsidRDefault="00A72396" w:rsidP="000F6ACF">
      <w:pPr>
        <w:numPr>
          <w:ilvl w:val="0"/>
          <w:numId w:val="4"/>
        </w:numPr>
        <w:autoSpaceDE w:val="0"/>
        <w:autoSpaceDN w:val="0"/>
        <w:adjustRightInd w:val="0"/>
        <w:spacing w:before="120" w:after="80"/>
      </w:pPr>
      <w:r>
        <w:t>requirements relating to the information that must be communicated in connection with supplying or offering to supply products in the relevant product class;</w:t>
      </w:r>
    </w:p>
    <w:p w14:paraId="789C30EB" w14:textId="77777777" w:rsidR="00A72396" w:rsidRDefault="00A72396" w:rsidP="000F6ACF">
      <w:pPr>
        <w:numPr>
          <w:ilvl w:val="0"/>
          <w:numId w:val="4"/>
        </w:numPr>
        <w:autoSpaceDE w:val="0"/>
        <w:autoSpaceDN w:val="0"/>
        <w:adjustRightInd w:val="0"/>
        <w:spacing w:before="120" w:after="80"/>
      </w:pPr>
      <w:r>
        <w:t>requirements relating to the manner in which that information must be communicated; and</w:t>
      </w:r>
    </w:p>
    <w:p w14:paraId="1B0D8F13" w14:textId="77777777" w:rsidR="00A72396" w:rsidRDefault="00A72396" w:rsidP="000F6ACF">
      <w:pPr>
        <w:numPr>
          <w:ilvl w:val="0"/>
          <w:numId w:val="4"/>
        </w:numPr>
        <w:autoSpaceDE w:val="0"/>
        <w:autoSpaceDN w:val="0"/>
        <w:adjustRightInd w:val="0"/>
        <w:spacing w:before="120" w:after="80"/>
      </w:pPr>
      <w:r>
        <w:t>requirements for conducting tests in relation to products in the relevant product class in order to determine whether the products meet the specified requirements.</w:t>
      </w:r>
    </w:p>
    <w:p w14:paraId="72368E5C" w14:textId="04AF0627" w:rsidR="00A72396" w:rsidRDefault="00A72396" w:rsidP="00A72396">
      <w:pPr>
        <w:autoSpaceDE w:val="0"/>
        <w:autoSpaceDN w:val="0"/>
        <w:adjustRightInd w:val="0"/>
        <w:spacing w:before="120" w:after="80"/>
      </w:pPr>
      <w:r>
        <w:t>Under section 27 of the Act</w:t>
      </w:r>
      <w:r w:rsidR="005112B4">
        <w:t>,</w:t>
      </w:r>
      <w:r>
        <w:t xml:space="preserve"> other requirements that may be specified in a GEMS determination are:</w:t>
      </w:r>
    </w:p>
    <w:p w14:paraId="3200640C" w14:textId="77777777" w:rsidR="00A72396" w:rsidRDefault="00A72396" w:rsidP="000F6ACF">
      <w:pPr>
        <w:numPr>
          <w:ilvl w:val="0"/>
          <w:numId w:val="3"/>
        </w:numPr>
        <w:autoSpaceDE w:val="0"/>
        <w:autoSpaceDN w:val="0"/>
        <w:adjustRightInd w:val="0"/>
        <w:spacing w:before="120" w:after="80"/>
      </w:pPr>
      <w:r>
        <w:t xml:space="preserve">requirements relating to the performance of products in the relevant product class; </w:t>
      </w:r>
    </w:p>
    <w:p w14:paraId="540AE751" w14:textId="77777777" w:rsidR="00A72396" w:rsidRDefault="00A72396" w:rsidP="000F6ACF">
      <w:pPr>
        <w:numPr>
          <w:ilvl w:val="0"/>
          <w:numId w:val="3"/>
        </w:numPr>
        <w:autoSpaceDE w:val="0"/>
        <w:autoSpaceDN w:val="0"/>
        <w:adjustRightInd w:val="0"/>
        <w:spacing w:before="120" w:after="80"/>
      </w:pPr>
      <w:r>
        <w:t>requirements relating to the impact of products in that product class on the environment or on the health of human beings;</w:t>
      </w:r>
    </w:p>
    <w:p w14:paraId="4158E8CA" w14:textId="77777777" w:rsidR="00A72396" w:rsidRDefault="00A72396" w:rsidP="000F6ACF">
      <w:pPr>
        <w:numPr>
          <w:ilvl w:val="0"/>
          <w:numId w:val="3"/>
        </w:numPr>
        <w:autoSpaceDE w:val="0"/>
        <w:autoSpaceDN w:val="0"/>
        <w:adjustRightInd w:val="0"/>
        <w:spacing w:before="120" w:after="80"/>
      </w:pPr>
      <w:r>
        <w:t>requirements for conducting tests in relation to products in the relevant product class in order to determine whether the products meet the specified requirements; and</w:t>
      </w:r>
    </w:p>
    <w:p w14:paraId="0AE76979" w14:textId="77777777" w:rsidR="00A72396" w:rsidRDefault="00A72396" w:rsidP="000F6ACF">
      <w:pPr>
        <w:numPr>
          <w:ilvl w:val="0"/>
          <w:numId w:val="3"/>
        </w:numPr>
        <w:autoSpaceDE w:val="0"/>
        <w:autoSpaceDN w:val="0"/>
        <w:adjustRightInd w:val="0"/>
        <w:spacing w:before="120" w:after="80"/>
      </w:pPr>
      <w:r>
        <w:t>requirements of a kind specified in the regulations for the purposes of this paragraph.</w:t>
      </w:r>
    </w:p>
    <w:p w14:paraId="49811659" w14:textId="77777777" w:rsidR="00A72396" w:rsidRPr="002D2BB4" w:rsidRDefault="00A72396" w:rsidP="00EE3712">
      <w:pPr>
        <w:autoSpaceDE w:val="0"/>
        <w:autoSpaceDN w:val="0"/>
        <w:adjustRightInd w:val="0"/>
        <w:spacing w:before="120" w:after="80"/>
        <w:rPr>
          <w:b/>
        </w:rPr>
      </w:pPr>
      <w:r w:rsidRPr="002D2BB4">
        <w:rPr>
          <w:b/>
        </w:rPr>
        <w:t>Incorporated material and copyright</w:t>
      </w:r>
    </w:p>
    <w:p w14:paraId="596C9BA6" w14:textId="488932B0" w:rsidR="00025F7C" w:rsidRDefault="00025F7C" w:rsidP="00025F7C">
      <w:pPr>
        <w:autoSpaceDE w:val="0"/>
        <w:autoSpaceDN w:val="0"/>
        <w:adjustRightInd w:val="0"/>
        <w:spacing w:before="120" w:after="80"/>
      </w:pPr>
      <w:r>
        <w:t xml:space="preserve">The Determination references ISO and European Standard (EN) test standards. Requirements for marking plates are referenced from an Australian/New Zealand adoption of an International Electrotechnical Commission (IEC) standard. A list of standards incorporated by reference is included in </w:t>
      </w:r>
      <w:r w:rsidR="005112B4">
        <w:t>section 4 of the Determination (</w:t>
      </w:r>
      <w:r>
        <w:t>Attachment A</w:t>
      </w:r>
      <w:r w:rsidR="005112B4">
        <w:t>)</w:t>
      </w:r>
      <w:r>
        <w:t>.</w:t>
      </w:r>
    </w:p>
    <w:p w14:paraId="369C265E" w14:textId="5AB6A269" w:rsidR="00025F7C" w:rsidRDefault="00025F7C" w:rsidP="00025F7C">
      <w:pPr>
        <w:autoSpaceDE w:val="0"/>
        <w:autoSpaceDN w:val="0"/>
        <w:adjustRightInd w:val="0"/>
        <w:spacing w:before="120" w:after="80"/>
      </w:pPr>
      <w:r>
        <w:t>The Australian/New Zealand standard and the ISO standards</w:t>
      </w:r>
      <w:r w:rsidRPr="003D17BC">
        <w:t xml:space="preserve"> can be purchased from Standards Australia</w:t>
      </w:r>
      <w:r>
        <w:t xml:space="preserve">, through </w:t>
      </w:r>
      <w:r w:rsidR="00471DDF">
        <w:t xml:space="preserve">its current licensee, </w:t>
      </w:r>
      <w:r>
        <w:t xml:space="preserve">SAI Global. EN standards are available for purchase through a range of sources including the British Standards Institute. Commercial users who have ascertained that they are likely to be covered by the Determination (which is possible from reading the Determination in isolation) would be expected to purchase the referenced standards in order to comply with the Determination. </w:t>
      </w:r>
    </w:p>
    <w:p w14:paraId="5125922D" w14:textId="77777777" w:rsidR="00BE418F" w:rsidRDefault="00BE418F" w:rsidP="00BE418F">
      <w:pPr>
        <w:autoSpaceDE w:val="0"/>
        <w:autoSpaceDN w:val="0"/>
        <w:adjustRightInd w:val="0"/>
        <w:spacing w:before="120" w:after="80"/>
      </w:pPr>
      <w:r>
        <w:t xml:space="preserve">In its new Distribution and Licensing Policy Framework, published in November 2019, Standards Australia committed to striving to maximise the availability of public library reading room access such that Australian Standards can be accessed by the general public in physical public library reading rooms for personal, domestic and household use. It also committed to funding and providing this type of access by other means, currently anticipated to be online provision directly by Standards Australia, by no later than December 2023. </w:t>
      </w:r>
    </w:p>
    <w:p w14:paraId="73F85D48" w14:textId="28380DDF" w:rsidR="00025F7C" w:rsidRDefault="00BE418F" w:rsidP="00025F7C">
      <w:pPr>
        <w:autoSpaceDE w:val="0"/>
        <w:autoSpaceDN w:val="0"/>
        <w:adjustRightInd w:val="0"/>
        <w:spacing w:before="120" w:after="120"/>
      </w:pPr>
      <w:r>
        <w:t>The Department continues to engage with Standards Australia while this work is underway regarding options for non-commercial users to access standards incorporated in this Determination without charge. During this period, interested non-commercial users may be able to access standards without cost through the National Library of Australia, including via interlibrary loans. In addition, should requests to view standards be received from non</w:t>
      </w:r>
      <w:r>
        <w:noBreakHyphen/>
        <w:t>commercial users, the Department will work with the requesting party to provide appropriate access to any standard referenced in the Determination on a case-by-case basis.</w:t>
      </w:r>
    </w:p>
    <w:p w14:paraId="1A1F8068" w14:textId="6B8F1ABD" w:rsidR="00025F7C" w:rsidRPr="00700BF7" w:rsidRDefault="00025F7C" w:rsidP="00025F7C">
      <w:pPr>
        <w:autoSpaceDE w:val="0"/>
        <w:autoSpaceDN w:val="0"/>
        <w:adjustRightInd w:val="0"/>
        <w:spacing w:before="120" w:after="120"/>
      </w:pPr>
      <w:r w:rsidRPr="003E1D24">
        <w:t>Th</w:t>
      </w:r>
      <w:r>
        <w:t>is</w:t>
      </w:r>
      <w:r w:rsidRPr="003E1D24">
        <w:t xml:space="preserve"> Determination contains a copyright notice that </w:t>
      </w:r>
      <w:r>
        <w:t xml:space="preserve">acknowledges the inclusion of </w:t>
      </w:r>
      <w:r w:rsidRPr="00700BF7">
        <w:t>material that is copyright</w:t>
      </w:r>
      <w:r w:rsidR="003E328B">
        <w:t>ed to the</w:t>
      </w:r>
      <w:r w:rsidRPr="00700BF7">
        <w:t xml:space="preserve"> European Committee for Standardisation (CEN) and </w:t>
      </w:r>
      <w:r w:rsidR="003E328B">
        <w:t>ISO</w:t>
      </w:r>
      <w:r w:rsidRPr="00700BF7">
        <w:t>. There is only limited copyright material included in the Determination. This includes material in Schedule 4 of the Determination which relates to M-package temperature classes and material in Schedule 5 relating to test room climate classes.</w:t>
      </w:r>
      <w:r w:rsidRPr="00700BF7">
        <w:rPr>
          <w:i/>
        </w:rPr>
        <w:t xml:space="preserve"> </w:t>
      </w:r>
    </w:p>
    <w:p w14:paraId="458DC2F7" w14:textId="77777777" w:rsidR="00025F7C" w:rsidRDefault="00025F7C" w:rsidP="00025F7C">
      <w:pPr>
        <w:autoSpaceDE w:val="0"/>
        <w:autoSpaceDN w:val="0"/>
        <w:adjustRightInd w:val="0"/>
        <w:spacing w:before="120" w:after="120"/>
      </w:pPr>
      <w:r w:rsidRPr="00700BF7">
        <w:t>The copyright notice clarifies the permitted use of the Det</w:t>
      </w:r>
      <w:r w:rsidRPr="00633DB7">
        <w:t>ermination by those seeking</w:t>
      </w:r>
      <w:r w:rsidRPr="003E1D24">
        <w:t xml:space="preserve"> to comply with their obligations under it. </w:t>
      </w:r>
    </w:p>
    <w:p w14:paraId="6D975119" w14:textId="433C0402" w:rsidR="00E0060A" w:rsidRDefault="00E0060A" w:rsidP="001F3F9B">
      <w:pPr>
        <w:autoSpaceDE w:val="0"/>
        <w:autoSpaceDN w:val="0"/>
        <w:adjustRightInd w:val="0"/>
        <w:spacing w:before="120" w:after="120"/>
        <w:rPr>
          <w:b/>
        </w:rPr>
      </w:pPr>
      <w:r>
        <w:rPr>
          <w:b/>
        </w:rPr>
        <w:t>Consultation</w:t>
      </w:r>
    </w:p>
    <w:p w14:paraId="31F0DB90" w14:textId="61F9B10C" w:rsidR="00995594" w:rsidRDefault="00995594" w:rsidP="001F7C05">
      <w:pPr>
        <w:autoSpaceDE w:val="0"/>
        <w:autoSpaceDN w:val="0"/>
        <w:adjustRightInd w:val="0"/>
        <w:spacing w:before="120" w:after="120"/>
      </w:pPr>
      <w:r>
        <w:t>In the development of th</w:t>
      </w:r>
      <w:r w:rsidR="00C21217">
        <w:t>e 2019 Determination</w:t>
      </w:r>
      <w:r w:rsidR="00801A45">
        <w:t>,</w:t>
      </w:r>
      <w:r>
        <w:t xml:space="preserve"> Australian and New Zealand businesses were consulted on four separate occasions between 2016 and 2018 including participation in an 18-month Technical Working Group process to ensure international test standards were fit for adaptation locally. Industry stakeholders were also consulted on the other provisions of this Determination. </w:t>
      </w:r>
    </w:p>
    <w:p w14:paraId="0023DE96" w14:textId="2FF8D2BF" w:rsidR="00995594" w:rsidRPr="0029530E" w:rsidRDefault="00995594" w:rsidP="001F7C05">
      <w:pPr>
        <w:autoSpaceDE w:val="0"/>
        <w:autoSpaceDN w:val="0"/>
        <w:adjustRightInd w:val="0"/>
        <w:spacing w:before="120" w:after="120"/>
      </w:pPr>
      <w:r>
        <w:t xml:space="preserve">A Consultation Regulatory Impact Statement (RIS) was released to industry in July 2016.  Four public consultation sessions were held in August 2016 in Melbourne Sydney, Brisbane and Auckland. Twenty </w:t>
      </w:r>
      <w:r w:rsidRPr="0029530E">
        <w:t xml:space="preserve">written submissions were received from a variety of manufacturers, industry groups, individuals and </w:t>
      </w:r>
      <w:r w:rsidR="003E6333">
        <w:t>academics</w:t>
      </w:r>
      <w:r w:rsidRPr="0029530E">
        <w:t>.</w:t>
      </w:r>
    </w:p>
    <w:p w14:paraId="7B1EC79A" w14:textId="06DA6B2A" w:rsidR="00995594" w:rsidRPr="0029530E" w:rsidRDefault="00995594" w:rsidP="0029530E">
      <w:pPr>
        <w:autoSpaceDE w:val="0"/>
        <w:autoSpaceDN w:val="0"/>
        <w:adjustRightInd w:val="0"/>
        <w:spacing w:before="120" w:after="120"/>
      </w:pPr>
      <w:r w:rsidRPr="0029530E">
        <w:t>Following feedback from the Consultation RIS, a Technical Working Group (TWG) was convened</w:t>
      </w:r>
      <w:r w:rsidR="00446885">
        <w:t>,</w:t>
      </w:r>
      <w:r w:rsidRPr="0029530E">
        <w:t xml:space="preserve"> made up of industry representatives, regulators and independent experts who were primarily tasked with reviewing the international standards' suitability for the Australasian market and considering any potential technical alterations to the standards proposed to be adopted. The TWG made provisional technical findings and recommendations available to industry stakeholders for feedback from April to September 2017. Only two submissions were received. One did not support </w:t>
      </w:r>
      <w:r w:rsidR="0029530E" w:rsidRPr="0029530E">
        <w:t xml:space="preserve">regulation of the sector and the other supported the introduction of an alternative approach to labelling </w:t>
      </w:r>
      <w:r w:rsidR="00385819">
        <w:t xml:space="preserve">which </w:t>
      </w:r>
      <w:r w:rsidR="0029530E" w:rsidRPr="0029530E">
        <w:t>align</w:t>
      </w:r>
      <w:r w:rsidR="00385819">
        <w:t xml:space="preserve">s with </w:t>
      </w:r>
      <w:r w:rsidR="0029530E" w:rsidRPr="0029530E">
        <w:t>the European requirements</w:t>
      </w:r>
      <w:r w:rsidR="00385819">
        <w:t xml:space="preserve"> rather than the Energy Rating Label requirements that are in place in Australia</w:t>
      </w:r>
      <w:r w:rsidR="0029530E" w:rsidRPr="0029530E">
        <w:t>.</w:t>
      </w:r>
      <w:r w:rsidRPr="0029530E">
        <w:t xml:space="preserve"> </w:t>
      </w:r>
    </w:p>
    <w:p w14:paraId="2E2CE119" w14:textId="167E8AA6" w:rsidR="00995594" w:rsidRDefault="00995594" w:rsidP="0029530E">
      <w:pPr>
        <w:autoSpaceDE w:val="0"/>
        <w:autoSpaceDN w:val="0"/>
        <w:adjustRightInd w:val="0"/>
        <w:spacing w:before="120" w:after="120"/>
      </w:pPr>
      <w:r>
        <w:t>Extensive consultation was undertaken with state, territory and NZ government agencies. The draft Determination was amended to reflect the outcome of these consultations including assessment of compatibility with existing state run incentive schemes.</w:t>
      </w:r>
    </w:p>
    <w:p w14:paraId="4ACC5C65" w14:textId="798CD9AF" w:rsidR="00995594" w:rsidRDefault="00995594" w:rsidP="0029530E">
      <w:pPr>
        <w:autoSpaceDE w:val="0"/>
        <w:autoSpaceDN w:val="0"/>
        <w:adjustRightInd w:val="0"/>
        <w:spacing w:before="120" w:after="120"/>
      </w:pPr>
      <w:r>
        <w:t xml:space="preserve">A draft of the </w:t>
      </w:r>
      <w:r w:rsidR="00EB4F18">
        <w:t xml:space="preserve">2019 </w:t>
      </w:r>
      <w:r>
        <w:t xml:space="preserve">Determination was developed with input from industry and other stakeholders. Feedback was sought on an implementation update paper in May 2018. Four submissions were </w:t>
      </w:r>
      <w:r w:rsidR="0029530E">
        <w:t>received. One</w:t>
      </w:r>
      <w:r>
        <w:t xml:space="preserve"> raised concerns over timing</w:t>
      </w:r>
      <w:r w:rsidR="0029530E">
        <w:t>, two</w:t>
      </w:r>
      <w:r>
        <w:t xml:space="preserve"> sought clarification of technical issues. Again on</w:t>
      </w:r>
      <w:r w:rsidR="0029530E">
        <w:t>e</w:t>
      </w:r>
      <w:r>
        <w:t xml:space="preserve"> submission supported the introduction of an alternative approach to labelling.</w:t>
      </w:r>
    </w:p>
    <w:p w14:paraId="2433292F" w14:textId="1BEB4E38" w:rsidR="00995594" w:rsidRDefault="00995594" w:rsidP="0029530E">
      <w:pPr>
        <w:autoSpaceDE w:val="0"/>
        <w:autoSpaceDN w:val="0"/>
        <w:adjustRightInd w:val="0"/>
        <w:spacing w:before="120" w:after="120"/>
      </w:pPr>
      <w:r>
        <w:t xml:space="preserve">On 16 November 2018, an exposure draft of the </w:t>
      </w:r>
      <w:r w:rsidR="00EB4F18">
        <w:t xml:space="preserve">2019 </w:t>
      </w:r>
      <w:r>
        <w:t xml:space="preserve">Determination was released for public comment over a four-week period. </w:t>
      </w:r>
      <w:r w:rsidR="00ED72F0">
        <w:t>F</w:t>
      </w:r>
      <w:r>
        <w:t>our responses were received</w:t>
      </w:r>
      <w:r w:rsidR="0029530E">
        <w:t xml:space="preserve">, seeking </w:t>
      </w:r>
      <w:r w:rsidR="003E6333">
        <w:t xml:space="preserve">confirmation </w:t>
      </w:r>
      <w:r w:rsidR="0029530E">
        <w:t>on</w:t>
      </w:r>
      <w:r w:rsidR="003E6333">
        <w:t xml:space="preserve"> the</w:t>
      </w:r>
      <w:r w:rsidR="0029530E">
        <w:t xml:space="preserve"> coverage of the Determination. </w:t>
      </w:r>
      <w:r>
        <w:t xml:space="preserve">No change to the draft </w:t>
      </w:r>
      <w:r w:rsidR="00EB4F18">
        <w:t xml:space="preserve">2019 </w:t>
      </w:r>
      <w:r w:rsidR="0029530E">
        <w:t xml:space="preserve">Determination </w:t>
      </w:r>
      <w:r w:rsidR="00ED72F0">
        <w:t>was</w:t>
      </w:r>
      <w:r w:rsidR="0029530E">
        <w:t xml:space="preserve"> required</w:t>
      </w:r>
      <w:r>
        <w:t xml:space="preserve"> from this process.</w:t>
      </w:r>
    </w:p>
    <w:p w14:paraId="44F48597" w14:textId="4B4C8AE8" w:rsidR="00285CD2" w:rsidRDefault="00285CD2" w:rsidP="0029530E">
      <w:pPr>
        <w:autoSpaceDE w:val="0"/>
        <w:autoSpaceDN w:val="0"/>
        <w:adjustRightInd w:val="0"/>
        <w:spacing w:before="120" w:after="120"/>
      </w:pPr>
      <w:r>
        <w:t>This Determination was prepared in response to representations from industry stakeholders regarding the impact of COVID-19 on their circumstances. Further consultation was undertaken with a number of those stakeholders to seek additional information about the range and severity of the impacts, in order to develop a response appropriate for the industry as a whole.</w:t>
      </w:r>
    </w:p>
    <w:p w14:paraId="0DE8962A" w14:textId="77777777" w:rsidR="00D655D8" w:rsidRPr="004D3369" w:rsidRDefault="00D655D8" w:rsidP="0012142F">
      <w:pPr>
        <w:autoSpaceDE w:val="0"/>
        <w:autoSpaceDN w:val="0"/>
        <w:adjustRightInd w:val="0"/>
        <w:spacing w:before="120" w:after="80"/>
        <w:rPr>
          <w:b/>
        </w:rPr>
      </w:pPr>
      <w:bookmarkStart w:id="1" w:name="OLE_LINK34"/>
      <w:bookmarkStart w:id="2" w:name="OLE_LINK23"/>
      <w:r w:rsidRPr="004D3369">
        <w:rPr>
          <w:b/>
        </w:rPr>
        <w:t>Regulatory Impact</w:t>
      </w:r>
    </w:p>
    <w:p w14:paraId="2ED57D42" w14:textId="1144DCE2" w:rsidR="00D33AAE" w:rsidRDefault="00970B9E" w:rsidP="00D655D8">
      <w:pPr>
        <w:pStyle w:val="ACMANumberedList"/>
        <w:numPr>
          <w:ilvl w:val="0"/>
          <w:numId w:val="0"/>
        </w:numPr>
        <w:rPr>
          <w:noProof/>
        </w:rPr>
      </w:pPr>
      <w:r>
        <w:rPr>
          <w:noProof/>
        </w:rPr>
        <w:t xml:space="preserve">A comprehensive COAG </w:t>
      </w:r>
      <w:r w:rsidR="00843E94">
        <w:rPr>
          <w:noProof/>
        </w:rPr>
        <w:t xml:space="preserve">Decision </w:t>
      </w:r>
      <w:r>
        <w:rPr>
          <w:noProof/>
        </w:rPr>
        <w:t>R</w:t>
      </w:r>
      <w:r w:rsidR="00385819">
        <w:rPr>
          <w:noProof/>
        </w:rPr>
        <w:t xml:space="preserve">IS which took into account stakeholder feedback </w:t>
      </w:r>
      <w:r>
        <w:rPr>
          <w:noProof/>
        </w:rPr>
        <w:t>was prepared as part of the process of developing the</w:t>
      </w:r>
      <w:r w:rsidR="0047107E">
        <w:rPr>
          <w:noProof/>
        </w:rPr>
        <w:t xml:space="preserve"> 2019</w:t>
      </w:r>
      <w:r>
        <w:rPr>
          <w:noProof/>
        </w:rPr>
        <w:t xml:space="preserve"> </w:t>
      </w:r>
      <w:r w:rsidR="00B25BA3">
        <w:rPr>
          <w:noProof/>
        </w:rPr>
        <w:t>Determination</w:t>
      </w:r>
      <w:r w:rsidR="0047107E">
        <w:rPr>
          <w:noProof/>
        </w:rPr>
        <w:t>, which applies equally to this Determination given the substantive content has not changed</w:t>
      </w:r>
      <w:r>
        <w:rPr>
          <w:noProof/>
        </w:rPr>
        <w:t xml:space="preserve">. </w:t>
      </w:r>
      <w:r w:rsidR="00C52CEE">
        <w:rPr>
          <w:noProof/>
        </w:rPr>
        <w:t>On 18 February 2019</w:t>
      </w:r>
      <w:r w:rsidR="00D33AAE">
        <w:rPr>
          <w:noProof/>
        </w:rPr>
        <w:t xml:space="preserve">, COAG Energy Council Ministers agreed </w:t>
      </w:r>
      <w:r w:rsidR="00843E94">
        <w:rPr>
          <w:noProof/>
        </w:rPr>
        <w:t xml:space="preserve">to </w:t>
      </w:r>
      <w:r w:rsidR="00D33AAE">
        <w:rPr>
          <w:noProof/>
        </w:rPr>
        <w:t xml:space="preserve">the preferred option in the Decision RIS. </w:t>
      </w:r>
      <w:r>
        <w:rPr>
          <w:noProof/>
        </w:rPr>
        <w:t xml:space="preserve"> </w:t>
      </w:r>
    </w:p>
    <w:p w14:paraId="4F332910" w14:textId="77777777" w:rsidR="00D33AAE" w:rsidRDefault="00D33AAE" w:rsidP="00D655D8">
      <w:pPr>
        <w:pStyle w:val="ACMANumberedList"/>
        <w:numPr>
          <w:ilvl w:val="0"/>
          <w:numId w:val="0"/>
        </w:numPr>
        <w:rPr>
          <w:noProof/>
        </w:rPr>
      </w:pPr>
    </w:p>
    <w:p w14:paraId="78BB2DB7" w14:textId="77777777" w:rsidR="00D33AAE" w:rsidRPr="003D17BC" w:rsidRDefault="00D33AAE" w:rsidP="00D33AAE">
      <w:pPr>
        <w:pStyle w:val="ACMANumberedList"/>
        <w:numPr>
          <w:ilvl w:val="0"/>
          <w:numId w:val="0"/>
        </w:numPr>
        <w:rPr>
          <w:noProof/>
        </w:rPr>
      </w:pPr>
      <w:r>
        <w:rPr>
          <w:noProof/>
        </w:rPr>
        <w:t>The Office of Best Practice Regulation assessed the RIS as meeting the Council of Australian Government’s best practice regulation requirements. The RIS is set out in full at Attachment C.</w:t>
      </w:r>
    </w:p>
    <w:bookmarkEnd w:id="1"/>
    <w:p w14:paraId="3FD5BCB1" w14:textId="77777777" w:rsidR="00D655D8" w:rsidRPr="004D3369" w:rsidRDefault="00627E2C" w:rsidP="001F3F9B">
      <w:pPr>
        <w:keepNext/>
        <w:autoSpaceDE w:val="0"/>
        <w:autoSpaceDN w:val="0"/>
        <w:adjustRightInd w:val="0"/>
        <w:spacing w:before="120" w:after="80"/>
        <w:rPr>
          <w:b/>
        </w:rPr>
      </w:pPr>
      <w:r>
        <w:rPr>
          <w:b/>
        </w:rPr>
        <w:t>Detailed description of the Determination</w:t>
      </w:r>
    </w:p>
    <w:p w14:paraId="05B4ABD8" w14:textId="77777777" w:rsidR="0012142F" w:rsidRDefault="00627E2C" w:rsidP="0012142F">
      <w:pPr>
        <w:autoSpaceDE w:val="0"/>
        <w:autoSpaceDN w:val="0"/>
        <w:adjustRightInd w:val="0"/>
        <w:spacing w:before="120" w:after="80"/>
      </w:pPr>
      <w:r>
        <w:t>Details of the Determination are set out at Attachment A</w:t>
      </w:r>
      <w:r w:rsidR="002D24C6">
        <w:t>.</w:t>
      </w:r>
    </w:p>
    <w:p w14:paraId="67A9C999" w14:textId="77777777" w:rsidR="00801A45" w:rsidRDefault="00801A45">
      <w:pPr>
        <w:rPr>
          <w:b/>
        </w:rPr>
      </w:pPr>
      <w:r>
        <w:rPr>
          <w:b/>
        </w:rPr>
        <w:br w:type="page"/>
      </w:r>
    </w:p>
    <w:p w14:paraId="7F313344" w14:textId="75FC35D3" w:rsidR="00627E2C" w:rsidRDefault="00627E2C" w:rsidP="0012142F">
      <w:pPr>
        <w:autoSpaceDE w:val="0"/>
        <w:autoSpaceDN w:val="0"/>
        <w:adjustRightInd w:val="0"/>
        <w:spacing w:before="120" w:after="80"/>
        <w:rPr>
          <w:b/>
        </w:rPr>
      </w:pPr>
      <w:r>
        <w:rPr>
          <w:b/>
        </w:rPr>
        <w:t>Statement of comp</w:t>
      </w:r>
      <w:r w:rsidR="00BF6195">
        <w:rPr>
          <w:b/>
        </w:rPr>
        <w:t>a</w:t>
      </w:r>
      <w:r>
        <w:rPr>
          <w:b/>
        </w:rPr>
        <w:t>t</w:t>
      </w:r>
      <w:r w:rsidR="00BF6195">
        <w:rPr>
          <w:b/>
        </w:rPr>
        <w:t>i</w:t>
      </w:r>
      <w:r>
        <w:rPr>
          <w:b/>
        </w:rPr>
        <w:t>bility with human rights</w:t>
      </w:r>
    </w:p>
    <w:p w14:paraId="1D88A194" w14:textId="77777777" w:rsidR="00627E2C" w:rsidRPr="00627E2C" w:rsidRDefault="00627E2C" w:rsidP="00627E2C">
      <w:pPr>
        <w:autoSpaceDE w:val="0"/>
        <w:autoSpaceDN w:val="0"/>
        <w:adjustRightInd w:val="0"/>
        <w:spacing w:before="120" w:after="80"/>
      </w:pPr>
      <w:r w:rsidRPr="00627E2C">
        <w:t xml:space="preserve">A statement of compatibility with human rights for the purposes of Part 3 of the </w:t>
      </w:r>
      <w:r w:rsidRPr="00627E2C">
        <w:rPr>
          <w:i/>
          <w:iCs/>
        </w:rPr>
        <w:t>Human</w:t>
      </w:r>
      <w:r>
        <w:rPr>
          <w:i/>
          <w:iCs/>
        </w:rPr>
        <w:t xml:space="preserve"> </w:t>
      </w:r>
      <w:r w:rsidRPr="00627E2C">
        <w:rPr>
          <w:i/>
          <w:iCs/>
        </w:rPr>
        <w:t xml:space="preserve">Rights (Parliamentary Scrutiny) Act 2011 </w:t>
      </w:r>
      <w:r w:rsidRPr="00627E2C">
        <w:t xml:space="preserve">is set out </w:t>
      </w:r>
      <w:r>
        <w:t>at</w:t>
      </w:r>
      <w:r w:rsidRPr="00627E2C">
        <w:t xml:space="preserve"> Attachment</w:t>
      </w:r>
      <w:r>
        <w:t xml:space="preserve"> B.</w:t>
      </w:r>
    </w:p>
    <w:bookmarkEnd w:id="2"/>
    <w:p w14:paraId="1DAB7792" w14:textId="77777777" w:rsidR="00662031" w:rsidRDefault="00662031" w:rsidP="00662031">
      <w:pPr>
        <w:autoSpaceDE w:val="0"/>
        <w:autoSpaceDN w:val="0"/>
        <w:adjustRightInd w:val="0"/>
        <w:spacing w:before="120" w:after="80"/>
        <w:jc w:val="right"/>
        <w:sectPr w:rsidR="00662031" w:rsidSect="00662031">
          <w:headerReference w:type="even" r:id="rId8"/>
          <w:headerReference w:type="default" r:id="rId9"/>
          <w:footerReference w:type="even" r:id="rId10"/>
          <w:footerReference w:type="default" r:id="rId11"/>
          <w:headerReference w:type="first" r:id="rId12"/>
          <w:footerReference w:type="first" r:id="rId13"/>
          <w:pgSz w:w="11907" w:h="16839" w:code="9"/>
          <w:pgMar w:top="1440" w:right="1800" w:bottom="1440" w:left="1800" w:header="720" w:footer="720" w:gutter="0"/>
          <w:cols w:space="720"/>
          <w:noEndnote/>
          <w:titlePg/>
          <w:docGrid w:linePitch="326"/>
        </w:sectPr>
      </w:pPr>
    </w:p>
    <w:p w14:paraId="5616D67B" w14:textId="77777777" w:rsidR="00662031" w:rsidRPr="004D3369" w:rsidRDefault="00662031" w:rsidP="00662031">
      <w:pPr>
        <w:autoSpaceDE w:val="0"/>
        <w:autoSpaceDN w:val="0"/>
        <w:adjustRightInd w:val="0"/>
        <w:spacing w:before="120" w:after="80"/>
        <w:jc w:val="right"/>
        <w:rPr>
          <w:u w:val="single"/>
        </w:rPr>
      </w:pPr>
      <w:r w:rsidRPr="004D3369">
        <w:rPr>
          <w:u w:val="single"/>
        </w:rPr>
        <w:t>Attachment A</w:t>
      </w:r>
    </w:p>
    <w:p w14:paraId="452F2099" w14:textId="77777777" w:rsidR="00496947" w:rsidRPr="00296799" w:rsidRDefault="00C41520" w:rsidP="002D2BB4">
      <w:pPr>
        <w:pStyle w:val="Heading1"/>
      </w:pPr>
      <w:r w:rsidRPr="00296799">
        <w:t>Details of</w:t>
      </w:r>
      <w:r w:rsidR="00C3542D" w:rsidRPr="00296799">
        <w:t xml:space="preserve"> the </w:t>
      </w:r>
      <w:r w:rsidR="00B97813" w:rsidRPr="00296799">
        <w:t>Determination</w:t>
      </w:r>
    </w:p>
    <w:p w14:paraId="3C026759" w14:textId="73E6D889" w:rsidR="00816407" w:rsidRPr="000C1B41" w:rsidRDefault="00033C8D" w:rsidP="002D2BB4">
      <w:pPr>
        <w:pStyle w:val="Heading1"/>
      </w:pPr>
      <w:bookmarkStart w:id="3" w:name="OLE_LINK1"/>
      <w:bookmarkStart w:id="4" w:name="OLE_LINK2"/>
      <w:r>
        <w:t>Part 1</w:t>
      </w:r>
      <w:r w:rsidR="00F85BB3">
        <w:t>—</w:t>
      </w:r>
      <w:r>
        <w:t>Preliminary</w:t>
      </w:r>
    </w:p>
    <w:p w14:paraId="43438C09" w14:textId="23523ACD" w:rsidR="00EA13EC" w:rsidRPr="00700BF7" w:rsidRDefault="00700BF7" w:rsidP="007E781C">
      <w:pPr>
        <w:pStyle w:val="Heading3"/>
      </w:pPr>
      <w:r w:rsidRPr="00700BF7">
        <w:t>Section 1</w:t>
      </w:r>
      <w:r w:rsidR="000D066C">
        <w:t>—</w:t>
      </w:r>
      <w:r w:rsidRPr="00700BF7">
        <w:t xml:space="preserve">Name </w:t>
      </w:r>
    </w:p>
    <w:p w14:paraId="2DBD5082" w14:textId="4E27D04F" w:rsidR="00F0240F" w:rsidRPr="007E781C" w:rsidRDefault="00700BF7" w:rsidP="007E781C">
      <w:r>
        <w:t>This s</w:t>
      </w:r>
      <w:r w:rsidR="00816407">
        <w:t xml:space="preserve">ection sets out the title of </w:t>
      </w:r>
      <w:r w:rsidR="00816407" w:rsidRPr="00816407">
        <w:t>the</w:t>
      </w:r>
      <w:r w:rsidR="00B97813">
        <w:t xml:space="preserve"> Determination</w:t>
      </w:r>
      <w:r w:rsidR="00861DFA" w:rsidRPr="007E781C">
        <w:t>.</w:t>
      </w:r>
    </w:p>
    <w:p w14:paraId="6BD031A7" w14:textId="2B325597" w:rsidR="00700BF7" w:rsidRPr="00700BF7" w:rsidRDefault="00700BF7" w:rsidP="00700BF7">
      <w:pPr>
        <w:pStyle w:val="Heading3"/>
      </w:pPr>
      <w:r w:rsidRPr="00700BF7">
        <w:t xml:space="preserve">Section </w:t>
      </w:r>
      <w:r>
        <w:t>2</w:t>
      </w:r>
      <w:r w:rsidR="000D066C">
        <w:t>—</w:t>
      </w:r>
      <w:r>
        <w:t>Commencement, revocation and replacement</w:t>
      </w:r>
    </w:p>
    <w:p w14:paraId="52C65A80" w14:textId="5BAD493B" w:rsidR="001A6579" w:rsidRDefault="00700BF7" w:rsidP="00700BF7">
      <w:r>
        <w:t>This s</w:t>
      </w:r>
      <w:r w:rsidR="001A6579" w:rsidRPr="005422FA">
        <w:t>ection provides that the Determination</w:t>
      </w:r>
      <w:r w:rsidR="001A6579" w:rsidRPr="00BB2F59">
        <w:t xml:space="preserve"> commences and comes into force </w:t>
      </w:r>
      <w:r w:rsidR="00740A19">
        <w:t>on 1 May 2021</w:t>
      </w:r>
      <w:r w:rsidR="001A6579" w:rsidRPr="005422FA">
        <w:t>. It also provides that the Determination re</w:t>
      </w:r>
      <w:r w:rsidR="001A6579">
        <w:t xml:space="preserve">vokes and replaces </w:t>
      </w:r>
      <w:r w:rsidR="001A6579" w:rsidRPr="005422FA">
        <w:t xml:space="preserve">the </w:t>
      </w:r>
      <w:r w:rsidR="001A6579" w:rsidRPr="005422FA">
        <w:rPr>
          <w:i/>
        </w:rPr>
        <w:t>Greenhouse and Energy Minimum Standards (</w:t>
      </w:r>
      <w:r w:rsidR="00BB2F59">
        <w:rPr>
          <w:bCs/>
          <w:i/>
        </w:rPr>
        <w:t>Refrigerated Display Cabinets</w:t>
      </w:r>
      <w:r w:rsidR="001A6579" w:rsidRPr="005422FA">
        <w:rPr>
          <w:i/>
        </w:rPr>
        <w:t xml:space="preserve">) Determination </w:t>
      </w:r>
      <w:r w:rsidR="001A6579" w:rsidRPr="00BB2F59">
        <w:rPr>
          <w:i/>
        </w:rPr>
        <w:t>2012</w:t>
      </w:r>
      <w:r w:rsidR="001A6579" w:rsidRPr="005422FA">
        <w:t xml:space="preserve">. </w:t>
      </w:r>
    </w:p>
    <w:p w14:paraId="1DE0BF2C" w14:textId="77777777" w:rsidR="007E781C" w:rsidRDefault="007E781C" w:rsidP="00700BF7"/>
    <w:p w14:paraId="2A6D1E43" w14:textId="5FFC7A6D" w:rsidR="00700BF7" w:rsidRPr="00700BF7" w:rsidRDefault="00700BF7" w:rsidP="00385819">
      <w:pPr>
        <w:pStyle w:val="Heading3"/>
        <w:spacing w:before="0"/>
      </w:pPr>
      <w:r w:rsidRPr="00700BF7">
        <w:t xml:space="preserve">Section </w:t>
      </w:r>
      <w:r>
        <w:t>3</w:t>
      </w:r>
      <w:r w:rsidR="000D066C">
        <w:t>—</w:t>
      </w:r>
      <w:r>
        <w:t>Authority</w:t>
      </w:r>
    </w:p>
    <w:p w14:paraId="4C1E21A3" w14:textId="21DF4CC1" w:rsidR="00DF19F1" w:rsidRPr="00DF19F1" w:rsidRDefault="001612A5" w:rsidP="00AA635C">
      <w:r>
        <w:t>S</w:t>
      </w:r>
      <w:r w:rsidR="00DF19F1">
        <w:t xml:space="preserve">ection </w:t>
      </w:r>
      <w:r w:rsidR="00EA13EC">
        <w:t xml:space="preserve">3 </w:t>
      </w:r>
      <w:r w:rsidR="00DF19F1">
        <w:t xml:space="preserve">sets out the authority </w:t>
      </w:r>
      <w:r w:rsidR="00E87FCB">
        <w:t xml:space="preserve">under </w:t>
      </w:r>
      <w:r w:rsidR="00DF19F1">
        <w:t xml:space="preserve">which this </w:t>
      </w:r>
      <w:r w:rsidR="00B83BBD">
        <w:t>D</w:t>
      </w:r>
      <w:r w:rsidR="00DF19F1">
        <w:t>etermination has been made.</w:t>
      </w:r>
    </w:p>
    <w:p w14:paraId="3AFD5058" w14:textId="096E0F82" w:rsidR="00F0240F" w:rsidRPr="00002D39" w:rsidRDefault="00700BF7" w:rsidP="002D2BB4">
      <w:pPr>
        <w:pStyle w:val="Heading3"/>
      </w:pPr>
      <w:r>
        <w:t>Section 4</w:t>
      </w:r>
      <w:r w:rsidR="000D066C">
        <w:t>—</w:t>
      </w:r>
      <w:r>
        <w:t>Definitions</w:t>
      </w:r>
      <w:r w:rsidR="007E781C">
        <w:t>—</w:t>
      </w:r>
      <w:r>
        <w:t>s</w:t>
      </w:r>
      <w:r w:rsidR="001F6ED9" w:rsidRPr="00002D39">
        <w:t>tandards</w:t>
      </w:r>
      <w:r>
        <w:t xml:space="preserve"> </w:t>
      </w:r>
      <w:r w:rsidR="001F6ED9" w:rsidRPr="00002D39">
        <w:t xml:space="preserve">referred to in </w:t>
      </w:r>
      <w:r w:rsidR="00002D39" w:rsidRPr="00002D39">
        <w:t>th</w:t>
      </w:r>
      <w:r>
        <w:t>is</w:t>
      </w:r>
      <w:r w:rsidR="001F6ED9" w:rsidRPr="00002D39">
        <w:t xml:space="preserve"> Determination</w:t>
      </w:r>
    </w:p>
    <w:p w14:paraId="5F46BFFD" w14:textId="632CD288" w:rsidR="00371C89" w:rsidRDefault="00B95DB5" w:rsidP="004E386C">
      <w:r w:rsidRPr="005422FA">
        <w:t xml:space="preserve">Section 4 </w:t>
      </w:r>
      <w:r w:rsidR="00CB42C4">
        <w:t>lists</w:t>
      </w:r>
      <w:r>
        <w:t xml:space="preserve"> </w:t>
      </w:r>
      <w:r w:rsidRPr="005422FA">
        <w:t xml:space="preserve">the standards referred to in the Determination. </w:t>
      </w:r>
      <w:r w:rsidR="00371C89">
        <w:t>T</w:t>
      </w:r>
      <w:r w:rsidR="00002D39">
        <w:t xml:space="preserve">he </w:t>
      </w:r>
      <w:r w:rsidR="00CB42C4">
        <w:t xml:space="preserve">definition of </w:t>
      </w:r>
      <w:r w:rsidR="00CB42C4" w:rsidRPr="007E781C">
        <w:rPr>
          <w:i/>
        </w:rPr>
        <w:t>test standard</w:t>
      </w:r>
      <w:r w:rsidR="00CB42C4">
        <w:t xml:space="preserve"> in section 5 provides which standard a type of refrigerated cabinet </w:t>
      </w:r>
      <w:r w:rsidR="0067288D">
        <w:t>must</w:t>
      </w:r>
      <w:r w:rsidR="00CB42C4">
        <w:t xml:space="preserve"> be tested against.</w:t>
      </w:r>
      <w:r w:rsidR="004E386C">
        <w:t xml:space="preserve"> </w:t>
      </w:r>
    </w:p>
    <w:p w14:paraId="127FA9E1" w14:textId="77777777" w:rsidR="00371C89" w:rsidRDefault="00371C89" w:rsidP="004E386C"/>
    <w:p w14:paraId="2300098D" w14:textId="694B5799" w:rsidR="004E386C" w:rsidRPr="00483B40" w:rsidRDefault="004E386C" w:rsidP="004E386C">
      <w:r>
        <w:t xml:space="preserve">The </w:t>
      </w:r>
      <w:r w:rsidR="006779CC">
        <w:t>D</w:t>
      </w:r>
      <w:r>
        <w:t xml:space="preserve">etermination makes variations to several standards </w:t>
      </w:r>
      <w:r w:rsidR="00C52CEE">
        <w:t xml:space="preserve">to </w:t>
      </w:r>
      <w:r w:rsidR="006B5921">
        <w:t>make them</w:t>
      </w:r>
      <w:r w:rsidR="00C52CEE">
        <w:t xml:space="preserve"> fit for purpose in the domestic market</w:t>
      </w:r>
      <w:r>
        <w:t>. Variations are set out in Schedule 3</w:t>
      </w:r>
      <w:r w:rsidRPr="00336F89">
        <w:t xml:space="preserve"> to </w:t>
      </w:r>
      <w:r>
        <w:t>the</w:t>
      </w:r>
      <w:r w:rsidRPr="00336F89">
        <w:t xml:space="preserve"> </w:t>
      </w:r>
      <w:r w:rsidR="00371C89">
        <w:t>D</w:t>
      </w:r>
      <w:r w:rsidRPr="00336F89">
        <w:t>etermination</w:t>
      </w:r>
      <w:r w:rsidR="00371C89">
        <w:t>, and summarised in the table below:</w:t>
      </w:r>
      <w:r>
        <w:t xml:space="preserve"> </w:t>
      </w:r>
    </w:p>
    <w:p w14:paraId="537B27EF" w14:textId="77777777" w:rsidR="00833C3D" w:rsidRDefault="00833C3D" w:rsidP="00833C3D"/>
    <w:tbl>
      <w:tblPr>
        <w:tblW w:w="0" w:type="auto"/>
        <w:tblLook w:val="04A0" w:firstRow="1" w:lastRow="0" w:firstColumn="1" w:lastColumn="0" w:noHBand="0" w:noVBand="1"/>
      </w:tblPr>
      <w:tblGrid>
        <w:gridCol w:w="3823"/>
        <w:gridCol w:w="1559"/>
        <w:gridCol w:w="1276"/>
        <w:gridCol w:w="1639"/>
      </w:tblGrid>
      <w:tr w:rsidR="004E386C" w:rsidRPr="00CB42C4" w14:paraId="6A19DD7A" w14:textId="77777777" w:rsidTr="000D066C">
        <w:trPr>
          <w:tblHeader/>
        </w:trPr>
        <w:tc>
          <w:tcPr>
            <w:tcW w:w="3823" w:type="dxa"/>
          </w:tcPr>
          <w:p w14:paraId="36B7E121" w14:textId="77777777" w:rsidR="004E386C" w:rsidRDefault="004E386C" w:rsidP="008C2902">
            <w:pPr>
              <w:rPr>
                <w:b/>
              </w:rPr>
            </w:pPr>
            <w:r>
              <w:rPr>
                <w:b/>
              </w:rPr>
              <w:t>Test standard incorporated by reference</w:t>
            </w:r>
          </w:p>
          <w:p w14:paraId="474478A5" w14:textId="77777777" w:rsidR="004E386C" w:rsidRPr="002D2BB4" w:rsidRDefault="004E386C" w:rsidP="008C2902">
            <w:pPr>
              <w:rPr>
                <w:b/>
              </w:rPr>
            </w:pPr>
          </w:p>
        </w:tc>
        <w:tc>
          <w:tcPr>
            <w:tcW w:w="1559" w:type="dxa"/>
          </w:tcPr>
          <w:p w14:paraId="28D51AA0" w14:textId="77777777" w:rsidR="004E386C" w:rsidRDefault="004E386C" w:rsidP="008C2902">
            <w:pPr>
              <w:rPr>
                <w:b/>
              </w:rPr>
            </w:pPr>
            <w:r>
              <w:rPr>
                <w:b/>
              </w:rPr>
              <w:t>Shortened name</w:t>
            </w:r>
          </w:p>
        </w:tc>
        <w:tc>
          <w:tcPr>
            <w:tcW w:w="1276" w:type="dxa"/>
          </w:tcPr>
          <w:p w14:paraId="126B26F2" w14:textId="77777777" w:rsidR="004E386C" w:rsidRDefault="004E386C" w:rsidP="008C2902">
            <w:pPr>
              <w:rPr>
                <w:b/>
              </w:rPr>
            </w:pPr>
            <w:r>
              <w:rPr>
                <w:b/>
              </w:rPr>
              <w:t>Variation to standard</w:t>
            </w:r>
          </w:p>
        </w:tc>
        <w:tc>
          <w:tcPr>
            <w:tcW w:w="1639" w:type="dxa"/>
          </w:tcPr>
          <w:p w14:paraId="33C1DBF2" w14:textId="77777777" w:rsidR="004E386C" w:rsidRDefault="004E386C" w:rsidP="008C2902">
            <w:pPr>
              <w:rPr>
                <w:b/>
              </w:rPr>
            </w:pPr>
            <w:r>
              <w:rPr>
                <w:b/>
              </w:rPr>
              <w:t>Applicable refrigerated cabinet type</w:t>
            </w:r>
          </w:p>
          <w:p w14:paraId="2F1F9813" w14:textId="77777777" w:rsidR="004E386C" w:rsidRPr="002D2BB4" w:rsidRDefault="004E386C" w:rsidP="008C2902">
            <w:pPr>
              <w:rPr>
                <w:b/>
              </w:rPr>
            </w:pPr>
          </w:p>
        </w:tc>
      </w:tr>
      <w:tr w:rsidR="004E386C" w:rsidRPr="00EC09EA" w14:paraId="5C2D8C76" w14:textId="77777777" w:rsidTr="002D2BB4">
        <w:tc>
          <w:tcPr>
            <w:tcW w:w="3823" w:type="dxa"/>
          </w:tcPr>
          <w:p w14:paraId="7D528395" w14:textId="77777777" w:rsidR="004E386C" w:rsidRPr="00EC09EA" w:rsidRDefault="004E386C" w:rsidP="008C2902">
            <w:pPr>
              <w:rPr>
                <w:i/>
              </w:rPr>
            </w:pPr>
            <w:r w:rsidRPr="00EC09EA">
              <w:rPr>
                <w:i/>
              </w:rPr>
              <w:t>European Standard 16825:2016 Refrigerated storage cabinets and counters for professional use — Classification, requirements and test condition</w:t>
            </w:r>
          </w:p>
        </w:tc>
        <w:tc>
          <w:tcPr>
            <w:tcW w:w="1559" w:type="dxa"/>
          </w:tcPr>
          <w:p w14:paraId="618EEB68" w14:textId="77777777" w:rsidR="004E386C" w:rsidRPr="00CB42C4" w:rsidRDefault="004E386C" w:rsidP="008C2902">
            <w:r w:rsidRPr="002D2BB4">
              <w:t>EN 16825</w:t>
            </w:r>
          </w:p>
        </w:tc>
        <w:tc>
          <w:tcPr>
            <w:tcW w:w="1276" w:type="dxa"/>
          </w:tcPr>
          <w:p w14:paraId="42E9CD6C" w14:textId="77777777" w:rsidR="004E386C" w:rsidRDefault="004E386C" w:rsidP="008C2902">
            <w:r>
              <w:t>Yes</w:t>
            </w:r>
          </w:p>
        </w:tc>
        <w:tc>
          <w:tcPr>
            <w:tcW w:w="1639" w:type="dxa"/>
          </w:tcPr>
          <w:p w14:paraId="1E7A7D81" w14:textId="77777777" w:rsidR="004E386C" w:rsidRPr="002D2BB4" w:rsidRDefault="004E386C" w:rsidP="008C2902">
            <w:r>
              <w:t>Refrigerated storage cabinet (RSC)</w:t>
            </w:r>
          </w:p>
        </w:tc>
      </w:tr>
      <w:tr w:rsidR="004E386C" w:rsidRPr="00EC09EA" w14:paraId="136C226C" w14:textId="77777777" w:rsidTr="002D2BB4">
        <w:tc>
          <w:tcPr>
            <w:tcW w:w="3823" w:type="dxa"/>
          </w:tcPr>
          <w:p w14:paraId="5A727976" w14:textId="7A393FD8" w:rsidR="004E386C" w:rsidRPr="00EC09EA" w:rsidRDefault="004E386C" w:rsidP="008C2902">
            <w:pPr>
              <w:rPr>
                <w:i/>
              </w:rPr>
            </w:pPr>
            <w:r w:rsidRPr="00EC09EA">
              <w:rPr>
                <w:i/>
              </w:rPr>
              <w:t xml:space="preserve">European Standard 16838:2016 Refrigerated display scooping cabinets for gelato — Classification, </w:t>
            </w:r>
            <w:r w:rsidR="0055734F">
              <w:rPr>
                <w:i/>
              </w:rPr>
              <w:t>r</w:t>
            </w:r>
            <w:r w:rsidRPr="00EC09EA">
              <w:rPr>
                <w:i/>
              </w:rPr>
              <w:t>equirements and test conditions</w:t>
            </w:r>
          </w:p>
        </w:tc>
        <w:tc>
          <w:tcPr>
            <w:tcW w:w="1559" w:type="dxa"/>
          </w:tcPr>
          <w:p w14:paraId="74AA8199" w14:textId="77777777" w:rsidR="004E386C" w:rsidRPr="00CB42C4" w:rsidRDefault="004E386C" w:rsidP="008C2902">
            <w:r w:rsidRPr="002D2BB4">
              <w:t>EN 16838</w:t>
            </w:r>
          </w:p>
        </w:tc>
        <w:tc>
          <w:tcPr>
            <w:tcW w:w="1276" w:type="dxa"/>
          </w:tcPr>
          <w:p w14:paraId="4C3AD3B3" w14:textId="77777777" w:rsidR="004E386C" w:rsidRDefault="004E386C" w:rsidP="008C2902">
            <w:r>
              <w:t>No</w:t>
            </w:r>
          </w:p>
        </w:tc>
        <w:tc>
          <w:tcPr>
            <w:tcW w:w="1639" w:type="dxa"/>
          </w:tcPr>
          <w:p w14:paraId="07D86375" w14:textId="77777777" w:rsidR="004E386C" w:rsidRPr="002D2BB4" w:rsidRDefault="004E386C" w:rsidP="008C2902">
            <w:r>
              <w:t>Scooping cabinet</w:t>
            </w:r>
          </w:p>
        </w:tc>
      </w:tr>
      <w:tr w:rsidR="004E386C" w:rsidRPr="00EC09EA" w14:paraId="2F49B90E" w14:textId="77777777" w:rsidTr="002D2BB4">
        <w:tc>
          <w:tcPr>
            <w:tcW w:w="3823" w:type="dxa"/>
          </w:tcPr>
          <w:p w14:paraId="36715570" w14:textId="77777777" w:rsidR="004E386C" w:rsidRPr="00EC09EA" w:rsidRDefault="004E386C" w:rsidP="008C2902">
            <w:pPr>
              <w:rPr>
                <w:i/>
              </w:rPr>
            </w:pPr>
            <w:r w:rsidRPr="00EC09EA">
              <w:rPr>
                <w:i/>
              </w:rPr>
              <w:t>European Standard 16901:2016 Ice cream freezers — Classification, requirements and test conditions</w:t>
            </w:r>
          </w:p>
        </w:tc>
        <w:tc>
          <w:tcPr>
            <w:tcW w:w="1559" w:type="dxa"/>
          </w:tcPr>
          <w:p w14:paraId="34E7791D" w14:textId="77777777" w:rsidR="004E386C" w:rsidRPr="00CB42C4" w:rsidRDefault="004E386C" w:rsidP="008C2902">
            <w:r w:rsidRPr="002D2BB4">
              <w:t>EN 16901</w:t>
            </w:r>
          </w:p>
        </w:tc>
        <w:tc>
          <w:tcPr>
            <w:tcW w:w="1276" w:type="dxa"/>
          </w:tcPr>
          <w:p w14:paraId="2F1E15B1" w14:textId="77777777" w:rsidR="004E386C" w:rsidRDefault="004E386C" w:rsidP="008C2902">
            <w:r>
              <w:t>Yes</w:t>
            </w:r>
          </w:p>
        </w:tc>
        <w:tc>
          <w:tcPr>
            <w:tcW w:w="1639" w:type="dxa"/>
          </w:tcPr>
          <w:p w14:paraId="3032FE12" w14:textId="77777777" w:rsidR="004E386C" w:rsidRPr="002D2BB4" w:rsidRDefault="004E386C" w:rsidP="008C2902">
            <w:r>
              <w:t>Ice cream freezer cabinet</w:t>
            </w:r>
          </w:p>
        </w:tc>
      </w:tr>
      <w:tr w:rsidR="004E386C" w:rsidRPr="00EC09EA" w14:paraId="631C9E6D" w14:textId="77777777" w:rsidTr="002D2BB4">
        <w:tc>
          <w:tcPr>
            <w:tcW w:w="3823" w:type="dxa"/>
          </w:tcPr>
          <w:p w14:paraId="3A4D109F" w14:textId="77777777" w:rsidR="004E386C" w:rsidRPr="00EC09EA" w:rsidRDefault="004E386C" w:rsidP="008C2902">
            <w:pPr>
              <w:rPr>
                <w:i/>
              </w:rPr>
            </w:pPr>
            <w:r w:rsidRPr="00EC09EA">
              <w:rPr>
                <w:i/>
              </w:rPr>
              <w:t>International Organisation for Standardisation Standard 23953</w:t>
            </w:r>
            <w:r w:rsidRPr="00EC09EA">
              <w:rPr>
                <w:i/>
              </w:rPr>
              <w:noBreakHyphen/>
              <w:t>1:2015, Refrigerated display cabinets – Part 1: Vocabulary</w:t>
            </w:r>
          </w:p>
        </w:tc>
        <w:tc>
          <w:tcPr>
            <w:tcW w:w="1559" w:type="dxa"/>
          </w:tcPr>
          <w:p w14:paraId="398388FE" w14:textId="77777777" w:rsidR="004E386C" w:rsidRPr="00CB42C4" w:rsidRDefault="004E386C" w:rsidP="008C2902">
            <w:r w:rsidRPr="002D2BB4">
              <w:t>ISO 23953-1</w:t>
            </w:r>
          </w:p>
        </w:tc>
        <w:tc>
          <w:tcPr>
            <w:tcW w:w="1276" w:type="dxa"/>
          </w:tcPr>
          <w:p w14:paraId="062B3AF7" w14:textId="77777777" w:rsidR="004E386C" w:rsidRDefault="004E386C" w:rsidP="008C2902">
            <w:r>
              <w:t>No</w:t>
            </w:r>
          </w:p>
        </w:tc>
        <w:tc>
          <w:tcPr>
            <w:tcW w:w="1639" w:type="dxa"/>
          </w:tcPr>
          <w:p w14:paraId="4381BC2B" w14:textId="77777777" w:rsidR="004E386C" w:rsidRPr="002D2BB4" w:rsidRDefault="004E386C" w:rsidP="008C2902">
            <w:r>
              <w:t>Refrigerated display cabinet (RDC)</w:t>
            </w:r>
          </w:p>
        </w:tc>
      </w:tr>
      <w:tr w:rsidR="004E386C" w:rsidRPr="00EC09EA" w14:paraId="03858123" w14:textId="77777777" w:rsidTr="002D2BB4">
        <w:tc>
          <w:tcPr>
            <w:tcW w:w="3823" w:type="dxa"/>
          </w:tcPr>
          <w:p w14:paraId="5BF6AF83" w14:textId="77777777" w:rsidR="004E386C" w:rsidRPr="00EC09EA" w:rsidRDefault="004E386C" w:rsidP="008C2902">
            <w:pPr>
              <w:rPr>
                <w:i/>
              </w:rPr>
            </w:pPr>
            <w:r w:rsidRPr="00EC09EA">
              <w:rPr>
                <w:i/>
              </w:rPr>
              <w:t>International Organisation for Standardisation Standard 23953</w:t>
            </w:r>
            <w:r w:rsidRPr="00EC09EA">
              <w:rPr>
                <w:i/>
              </w:rPr>
              <w:noBreakHyphen/>
              <w:t>2:2015, Refrigerated display cabinets – Part 2: Classification, requirements and test conditions</w:t>
            </w:r>
          </w:p>
        </w:tc>
        <w:tc>
          <w:tcPr>
            <w:tcW w:w="1559" w:type="dxa"/>
          </w:tcPr>
          <w:p w14:paraId="21B80E5B" w14:textId="77777777" w:rsidR="004E386C" w:rsidRPr="00CB42C4" w:rsidRDefault="004E386C" w:rsidP="008C2902">
            <w:r w:rsidRPr="002D2BB4">
              <w:t>ISO 23953-2</w:t>
            </w:r>
          </w:p>
        </w:tc>
        <w:tc>
          <w:tcPr>
            <w:tcW w:w="1276" w:type="dxa"/>
          </w:tcPr>
          <w:p w14:paraId="2D0B83C3" w14:textId="77777777" w:rsidR="004E386C" w:rsidRDefault="004E386C" w:rsidP="008C2902">
            <w:r>
              <w:t xml:space="preserve">Yes </w:t>
            </w:r>
          </w:p>
        </w:tc>
        <w:tc>
          <w:tcPr>
            <w:tcW w:w="1639" w:type="dxa"/>
          </w:tcPr>
          <w:p w14:paraId="2DCAAD5A" w14:textId="77777777" w:rsidR="004E386C" w:rsidRDefault="004E386C" w:rsidP="008C2902">
            <w:r>
              <w:t xml:space="preserve">RDC; </w:t>
            </w:r>
          </w:p>
          <w:p w14:paraId="5369238C" w14:textId="77777777" w:rsidR="004E386C" w:rsidRPr="002D2BB4" w:rsidRDefault="004E386C" w:rsidP="008C2902">
            <w:r>
              <w:t>Low sales volume RSC</w:t>
            </w:r>
          </w:p>
        </w:tc>
      </w:tr>
    </w:tbl>
    <w:p w14:paraId="33B7D5EF" w14:textId="77777777" w:rsidR="00EA13EC" w:rsidRDefault="00EA13EC" w:rsidP="00833C3D">
      <w:pPr>
        <w:rPr>
          <w:i/>
        </w:rPr>
      </w:pPr>
    </w:p>
    <w:p w14:paraId="746DA181" w14:textId="1137515F" w:rsidR="001E49A0" w:rsidRPr="002D2BB4" w:rsidRDefault="00CB42C4" w:rsidP="001E49A0">
      <w:r>
        <w:t xml:space="preserve">The Determination references </w:t>
      </w:r>
      <w:r w:rsidR="00002D39">
        <w:t>marking</w:t>
      </w:r>
      <w:r w:rsidR="001E49A0">
        <w:t xml:space="preserve"> plate </w:t>
      </w:r>
      <w:r>
        <w:t xml:space="preserve">requirements </w:t>
      </w:r>
      <w:r w:rsidR="001E49A0">
        <w:t xml:space="preserve">(see section 33) </w:t>
      </w:r>
      <w:r>
        <w:t xml:space="preserve">set out </w:t>
      </w:r>
      <w:r w:rsidR="001E49A0">
        <w:t xml:space="preserve">in clause 7 of </w:t>
      </w:r>
      <w:r w:rsidR="001E49A0" w:rsidRPr="00D909BF">
        <w:rPr>
          <w:i/>
        </w:rPr>
        <w:t>Australian/New Zealand Standard 60335.2.89:2010, Household and similar appliances – Safety. Part 2.89: Particular requirements for commercial refrigerating appliances with an incorporated or remote refrigerant condensing unit or compressor</w:t>
      </w:r>
      <w:r>
        <w:t xml:space="preserve">. </w:t>
      </w:r>
      <w:r w:rsidR="004E386C">
        <w:t>This Australian/New Zealand standard is a modified adoption of International Electrotechnical Committee standard IEC 60335-2-89 Edition 2.</w:t>
      </w:r>
    </w:p>
    <w:p w14:paraId="2CD9C1CF" w14:textId="49959AD3" w:rsidR="00CB42C4" w:rsidRDefault="00CB42C4" w:rsidP="00CB42C4">
      <w:pPr>
        <w:spacing w:before="120"/>
      </w:pPr>
      <w:r>
        <w:t xml:space="preserve">The applicable version of each standard referenced in the Determination is the version that existed at the date the </w:t>
      </w:r>
      <w:r w:rsidR="00014B0C">
        <w:t>D</w:t>
      </w:r>
      <w:r>
        <w:t>etermination was made</w:t>
      </w:r>
      <w:r w:rsidR="00014B0C">
        <w:t xml:space="preserve"> (see subsection 14(2) of the Determination)</w:t>
      </w:r>
      <w:r>
        <w:t xml:space="preserve">. </w:t>
      </w:r>
    </w:p>
    <w:p w14:paraId="38ECE410" w14:textId="77777777" w:rsidR="00EA13EC" w:rsidRPr="002D2BB4" w:rsidRDefault="00EA13EC" w:rsidP="00833C3D"/>
    <w:p w14:paraId="72F606B0" w14:textId="77777777" w:rsidR="00EA13EC" w:rsidRPr="00483B40" w:rsidRDefault="00EA13EC" w:rsidP="002D2BB4">
      <w:pPr>
        <w:rPr>
          <w:i/>
        </w:rPr>
      </w:pPr>
      <w:r>
        <w:t>The use of these standards is consistent with the Australian Government’s policy of harmonisation with international standards where appropriate.</w:t>
      </w:r>
    </w:p>
    <w:p w14:paraId="48F0BF04" w14:textId="6701BCE3" w:rsidR="00700BF7" w:rsidRPr="00002D39" w:rsidRDefault="00700BF7" w:rsidP="00700BF7">
      <w:pPr>
        <w:pStyle w:val="Heading3"/>
      </w:pPr>
      <w:r>
        <w:t>Section 5</w:t>
      </w:r>
      <w:r w:rsidR="000D066C">
        <w:t>—</w:t>
      </w:r>
      <w:r w:rsidR="007E781C">
        <w:t>Definitions—</w:t>
      </w:r>
      <w:r>
        <w:t xml:space="preserve">other expressions used </w:t>
      </w:r>
      <w:r w:rsidRPr="00002D39">
        <w:t>in th</w:t>
      </w:r>
      <w:r>
        <w:t>is</w:t>
      </w:r>
      <w:r w:rsidRPr="00002D39">
        <w:t xml:space="preserve"> Determination</w:t>
      </w:r>
    </w:p>
    <w:p w14:paraId="2C8FB6FD" w14:textId="32E305A5" w:rsidR="008A0A2B" w:rsidRDefault="001F6ED9" w:rsidP="00D14786">
      <w:r>
        <w:t>Section</w:t>
      </w:r>
      <w:r w:rsidR="008A0A2B">
        <w:t xml:space="preserve">s 5 </w:t>
      </w:r>
      <w:r>
        <w:t>set</w:t>
      </w:r>
      <w:r w:rsidR="00700BF7">
        <w:t>s</w:t>
      </w:r>
      <w:r>
        <w:t xml:space="preserve"> out </w:t>
      </w:r>
      <w:r w:rsidR="00CE034D">
        <w:t xml:space="preserve">definitions </w:t>
      </w:r>
      <w:r w:rsidR="008A0A2B">
        <w:t xml:space="preserve">and meanings </w:t>
      </w:r>
      <w:r w:rsidR="00CE034D">
        <w:t xml:space="preserve">of terms and expressions </w:t>
      </w:r>
      <w:r>
        <w:t>used in the Determination</w:t>
      </w:r>
      <w:r w:rsidR="00633DB7">
        <w:t>, including net volume and total display area.</w:t>
      </w:r>
      <w:r>
        <w:t xml:space="preserve"> </w:t>
      </w:r>
    </w:p>
    <w:p w14:paraId="206BC2A8" w14:textId="77777777" w:rsidR="008A0A2B" w:rsidRDefault="008A0A2B" w:rsidP="00D14786"/>
    <w:p w14:paraId="61176A17" w14:textId="27A4CAE4" w:rsidR="008A0A2B" w:rsidRDefault="008A0A2B" w:rsidP="002D2BB4">
      <w:r>
        <w:t>The</w:t>
      </w:r>
      <w:r w:rsidR="00CE034D">
        <w:t xml:space="preserve"> </w:t>
      </w:r>
      <w:r w:rsidR="00594DC1">
        <w:t>‘</w:t>
      </w:r>
      <w:r w:rsidR="00CE034D">
        <w:t>net volume</w:t>
      </w:r>
      <w:r w:rsidR="00594DC1">
        <w:t>’</w:t>
      </w:r>
      <w:r w:rsidR="00CE034D">
        <w:t xml:space="preserve"> of </w:t>
      </w:r>
      <w:r w:rsidR="0072064A">
        <w:t xml:space="preserve">an ice cream freezer cabinet or a </w:t>
      </w:r>
      <w:r w:rsidR="00CE034D">
        <w:t xml:space="preserve">refrigerated </w:t>
      </w:r>
      <w:r w:rsidR="0072064A">
        <w:t xml:space="preserve">storage </w:t>
      </w:r>
      <w:r w:rsidR="00CE034D">
        <w:t>cabinet</w:t>
      </w:r>
      <w:r w:rsidR="0072064A">
        <w:t xml:space="preserve"> is determined in accordance with Annex B of EN 16901 and clause 6.1 of EN 16825 respectively</w:t>
      </w:r>
      <w:r>
        <w:t>.</w:t>
      </w:r>
    </w:p>
    <w:p w14:paraId="5A4DE3FF" w14:textId="77777777" w:rsidR="002F1FF9" w:rsidRDefault="002F1FF9" w:rsidP="002D2BB4"/>
    <w:p w14:paraId="7930A033" w14:textId="2945C1DE" w:rsidR="008A0A2B" w:rsidRDefault="008A0A2B" w:rsidP="002D2BB4">
      <w:r>
        <w:t>The</w:t>
      </w:r>
      <w:r w:rsidR="0072064A">
        <w:t xml:space="preserve"> </w:t>
      </w:r>
      <w:r w:rsidR="00594DC1">
        <w:t>‘</w:t>
      </w:r>
      <w:r w:rsidR="00CE034D">
        <w:t>total display area</w:t>
      </w:r>
      <w:r w:rsidR="00594DC1">
        <w:t>’</w:t>
      </w:r>
      <w:r w:rsidR="00CE034D">
        <w:t xml:space="preserve"> or </w:t>
      </w:r>
      <w:r w:rsidR="00594DC1">
        <w:t>‘</w:t>
      </w:r>
      <w:r w:rsidR="00CE034D">
        <w:t>TDA</w:t>
      </w:r>
      <w:r w:rsidR="00594DC1">
        <w:t>’</w:t>
      </w:r>
      <w:r w:rsidR="00CE034D">
        <w:t xml:space="preserve"> </w:t>
      </w:r>
      <w:r w:rsidR="00801A45">
        <w:t>of refrigerated</w:t>
      </w:r>
      <w:r w:rsidR="00CE034D">
        <w:t xml:space="preserve"> </w:t>
      </w:r>
      <w:r w:rsidR="0072064A">
        <w:t xml:space="preserve">display </w:t>
      </w:r>
      <w:r w:rsidR="00CE034D">
        <w:t>cabinets</w:t>
      </w:r>
      <w:r w:rsidR="0072064A">
        <w:t xml:space="preserve"> and scooping cabinets is determined in accordance with Annex A of ISO 23953-2 and clause 6.2 of EN 16838 respectively.</w:t>
      </w:r>
    </w:p>
    <w:p w14:paraId="79A1E645" w14:textId="16603EA7" w:rsidR="00633DB7" w:rsidRDefault="00633DB7" w:rsidP="002D2BB4"/>
    <w:p w14:paraId="345AB1B5" w14:textId="4B50CA4E" w:rsidR="00633DB7" w:rsidRDefault="00633DB7" w:rsidP="002D2BB4">
      <w:r>
        <w:t>The test standards for each type of refrigerated cabinet</w:t>
      </w:r>
      <w:r w:rsidR="00004865">
        <w:t xml:space="preserve"> are</w:t>
      </w:r>
      <w:r>
        <w:t xml:space="preserve"> also defined (see table above).</w:t>
      </w:r>
    </w:p>
    <w:p w14:paraId="109FF7D6" w14:textId="4B021FA4" w:rsidR="00633DB7" w:rsidRPr="00002D39" w:rsidRDefault="00633DB7" w:rsidP="00633DB7">
      <w:pPr>
        <w:pStyle w:val="Heading3"/>
      </w:pPr>
      <w:r>
        <w:t>Section 6</w:t>
      </w:r>
      <w:r w:rsidR="000D066C">
        <w:t>—</w:t>
      </w:r>
      <w:r>
        <w:t xml:space="preserve">Meaning of </w:t>
      </w:r>
      <w:r>
        <w:rPr>
          <w:i/>
        </w:rPr>
        <w:t>refrigerated cabinet</w:t>
      </w:r>
    </w:p>
    <w:p w14:paraId="3FE493E5" w14:textId="3F995F5B" w:rsidR="008A0A2B" w:rsidRDefault="008A0A2B" w:rsidP="002D2BB4">
      <w:r>
        <w:t>A</w:t>
      </w:r>
      <w:r w:rsidRPr="001E7555">
        <w:t xml:space="preserve"> refrigerated cabinet</w:t>
      </w:r>
      <w:r w:rsidR="0073764D">
        <w:t>,</w:t>
      </w:r>
      <w:r w:rsidRPr="001E7555">
        <w:t xml:space="preserve"> as defined in </w:t>
      </w:r>
      <w:r>
        <w:t>section 6</w:t>
      </w:r>
      <w:r w:rsidR="0073764D">
        <w:t>,</w:t>
      </w:r>
      <w:r>
        <w:t xml:space="preserve"> is a device that:</w:t>
      </w:r>
    </w:p>
    <w:p w14:paraId="3F0A9F38" w14:textId="54FD0C16" w:rsidR="008A0A2B" w:rsidRDefault="008A0A2B" w:rsidP="005C5BAF">
      <w:pPr>
        <w:pStyle w:val="ListBullet"/>
      </w:pPr>
      <w:r>
        <w:t xml:space="preserve">consists of an insulated cabinet with an opening (whether or not the </w:t>
      </w:r>
      <w:r w:rsidR="00014B0C">
        <w:t xml:space="preserve">opening </w:t>
      </w:r>
      <w:r>
        <w:t xml:space="preserve">has a lid or a door); </w:t>
      </w:r>
    </w:p>
    <w:p w14:paraId="158AF7D2" w14:textId="35042069" w:rsidR="008A0A2B" w:rsidRDefault="008A0A2B" w:rsidP="005C5BAF">
      <w:pPr>
        <w:pStyle w:val="ListBullet"/>
      </w:pPr>
      <w:r w:rsidRPr="001612A5">
        <w:t xml:space="preserve">is capable of obtaining and maintaining a specified temperature within the insulated cabinet </w:t>
      </w:r>
      <w:r>
        <w:t xml:space="preserve">within a range that overlaps </w:t>
      </w:r>
      <w:r w:rsidR="00014B0C">
        <w:t xml:space="preserve">the range </w:t>
      </w:r>
      <w:r w:rsidRPr="001612A5">
        <w:t>-1</w:t>
      </w:r>
      <w:r>
        <w:t>8</w:t>
      </w:r>
      <w:r w:rsidRPr="005C5BAF">
        <w:rPr>
          <w:vertAlign w:val="superscript"/>
        </w:rPr>
        <w:t>o</w:t>
      </w:r>
      <w:r w:rsidRPr="001612A5">
        <w:t xml:space="preserve">C </w:t>
      </w:r>
      <w:r>
        <w:t xml:space="preserve">to </w:t>
      </w:r>
      <w:r w:rsidRPr="001612A5">
        <w:t>+ 10</w:t>
      </w:r>
      <w:r w:rsidRPr="005C5BAF">
        <w:rPr>
          <w:vertAlign w:val="superscript"/>
        </w:rPr>
        <w:t>o</w:t>
      </w:r>
      <w:r w:rsidRPr="001612A5">
        <w:t>C; and</w:t>
      </w:r>
    </w:p>
    <w:p w14:paraId="0F51E9EA" w14:textId="77777777" w:rsidR="008A0A2B" w:rsidRDefault="008A0A2B" w:rsidP="005C5BAF">
      <w:pPr>
        <w:pStyle w:val="ListBullet"/>
      </w:pPr>
      <w:r>
        <w:t>is designed primarily for storage, display, or both storage and display, of chilled or frozen foodstuffs.</w:t>
      </w:r>
    </w:p>
    <w:p w14:paraId="44166A4D" w14:textId="54CE1925" w:rsidR="00014B0C" w:rsidRPr="00921BB5" w:rsidRDefault="00633DB7" w:rsidP="00921BB5">
      <w:pPr>
        <w:pStyle w:val="Heading3"/>
      </w:pPr>
      <w:r>
        <w:t>Section 7</w:t>
      </w:r>
      <w:r w:rsidR="000D066C">
        <w:t>—</w:t>
      </w:r>
      <w:r>
        <w:t xml:space="preserve">Meaning of </w:t>
      </w:r>
      <w:r w:rsidRPr="00921BB5">
        <w:rPr>
          <w:i/>
        </w:rPr>
        <w:t>i</w:t>
      </w:r>
      <w:r w:rsidR="00014B0C" w:rsidRPr="00921BB5">
        <w:rPr>
          <w:i/>
        </w:rPr>
        <w:t>ntegral</w:t>
      </w:r>
      <w:r>
        <w:t xml:space="preserve"> </w:t>
      </w:r>
      <w:r w:rsidR="00014B0C" w:rsidRPr="00921BB5">
        <w:t xml:space="preserve">and </w:t>
      </w:r>
      <w:r w:rsidR="00014B0C" w:rsidRPr="00921BB5">
        <w:rPr>
          <w:i/>
        </w:rPr>
        <w:t>remote</w:t>
      </w:r>
      <w:r w:rsidR="00014B0C" w:rsidRPr="00921BB5">
        <w:t xml:space="preserve"> </w:t>
      </w:r>
    </w:p>
    <w:p w14:paraId="2AF8E045" w14:textId="17A530DB" w:rsidR="00014B0C" w:rsidRPr="00103913" w:rsidRDefault="00014B0C" w:rsidP="00014B0C">
      <w:r>
        <w:t>Section 7 provides that the location of the condensing unit of a refrigerated cabinet determines whether the cabinet is considered ‘integral’ and ‘remote’.</w:t>
      </w:r>
      <w:r w:rsidRPr="001612A5">
        <w:t xml:space="preserve"> </w:t>
      </w:r>
      <w:r>
        <w:t>A</w:t>
      </w:r>
      <w:r w:rsidRPr="001612A5">
        <w:t xml:space="preserve"> refrigerated cabinet is </w:t>
      </w:r>
      <w:r w:rsidRPr="002D2BB4">
        <w:t>integral</w:t>
      </w:r>
      <w:r w:rsidRPr="001612A5">
        <w:t xml:space="preserve"> if its refrigerating system is incorporated within</w:t>
      </w:r>
      <w:r>
        <w:t>, or directly attached to</w:t>
      </w:r>
      <w:r w:rsidRPr="001612A5">
        <w:t xml:space="preserve"> the cabinet</w:t>
      </w:r>
      <w:r>
        <w:t xml:space="preserve">. If it is not integral, the refrigerated cabinet is </w:t>
      </w:r>
      <w:r w:rsidRPr="002D2BB4">
        <w:t>remote</w:t>
      </w:r>
      <w:r>
        <w:t xml:space="preserve">. </w:t>
      </w:r>
    </w:p>
    <w:p w14:paraId="6C4AD02C" w14:textId="40387034" w:rsidR="008A0A2B" w:rsidRPr="00921BB5" w:rsidRDefault="00633DB7" w:rsidP="00921BB5">
      <w:pPr>
        <w:pStyle w:val="Heading3"/>
      </w:pPr>
      <w:r>
        <w:t>Section 8</w:t>
      </w:r>
      <w:r w:rsidR="000D066C">
        <w:t>—</w:t>
      </w:r>
      <w:r w:rsidR="008A0A2B" w:rsidRPr="00921BB5">
        <w:t>Types</w:t>
      </w:r>
      <w:r>
        <w:t xml:space="preserve"> </w:t>
      </w:r>
      <w:r w:rsidR="008A0A2B" w:rsidRPr="00921BB5">
        <w:t>of refrigerated cabinets</w:t>
      </w:r>
    </w:p>
    <w:p w14:paraId="0D2105F3" w14:textId="77777777" w:rsidR="002F1FF9" w:rsidRDefault="0004333E" w:rsidP="002D2BB4">
      <w:r>
        <w:t>T</w:t>
      </w:r>
      <w:r w:rsidRPr="00090444">
        <w:t>he types of refrigerated cabinet covered by the Determination</w:t>
      </w:r>
      <w:r>
        <w:t>, as defined in section</w:t>
      </w:r>
      <w:r w:rsidR="0073764D">
        <w:t> </w:t>
      </w:r>
      <w:r>
        <w:t>8</w:t>
      </w:r>
      <w:r w:rsidR="0073764D">
        <w:t>,</w:t>
      </w:r>
      <w:r>
        <w:t xml:space="preserve"> are:</w:t>
      </w:r>
    </w:p>
    <w:p w14:paraId="46EDE65C" w14:textId="58DE8129" w:rsidR="0004333E" w:rsidRDefault="0004333E" w:rsidP="005C5BAF">
      <w:pPr>
        <w:pStyle w:val="ListBullet"/>
      </w:pPr>
      <w:r w:rsidRPr="00090444">
        <w:t>ice</w:t>
      </w:r>
      <w:r w:rsidR="005C5BAF">
        <w:t xml:space="preserve"> </w:t>
      </w:r>
      <w:r w:rsidRPr="00090444">
        <w:t>cream freezer cabinet</w:t>
      </w:r>
      <w:r w:rsidR="00921BB5">
        <w:t>;</w:t>
      </w:r>
    </w:p>
    <w:p w14:paraId="2FAB4245" w14:textId="35E3A1D5" w:rsidR="0004333E" w:rsidRDefault="0004333E" w:rsidP="005C5BAF">
      <w:pPr>
        <w:pStyle w:val="ListBullet"/>
      </w:pPr>
      <w:r w:rsidRPr="00090444">
        <w:t>RDC or refrigerated display cabinet</w:t>
      </w:r>
      <w:r w:rsidR="00921BB5">
        <w:t>;</w:t>
      </w:r>
    </w:p>
    <w:p w14:paraId="581A2BA7" w14:textId="1E517907" w:rsidR="0004333E" w:rsidRDefault="0004333E" w:rsidP="005C5BAF">
      <w:pPr>
        <w:pStyle w:val="ListBullet"/>
      </w:pPr>
      <w:r w:rsidRPr="00090444">
        <w:t>Refrigerated drinks cabinet</w:t>
      </w:r>
      <w:r w:rsidR="00921BB5">
        <w:t>;</w:t>
      </w:r>
    </w:p>
    <w:p w14:paraId="7F0996A8" w14:textId="29878400" w:rsidR="0004333E" w:rsidRDefault="0004333E" w:rsidP="005C5BAF">
      <w:pPr>
        <w:pStyle w:val="ListBullet"/>
      </w:pPr>
      <w:r w:rsidRPr="00090444">
        <w:t>RSC or refrigerated storage cabinet</w:t>
      </w:r>
      <w:r w:rsidR="00921BB5">
        <w:t>; and</w:t>
      </w:r>
    </w:p>
    <w:p w14:paraId="2DE5A7F0" w14:textId="70A85649" w:rsidR="0004333E" w:rsidRDefault="005C5BAF" w:rsidP="005C5BAF">
      <w:pPr>
        <w:pStyle w:val="ListBullet"/>
      </w:pPr>
      <w:r>
        <w:t>s</w:t>
      </w:r>
      <w:r w:rsidR="0004333E" w:rsidRPr="00090444">
        <w:t>cooping cabinet</w:t>
      </w:r>
      <w:r w:rsidR="00921BB5">
        <w:t>.</w:t>
      </w:r>
    </w:p>
    <w:p w14:paraId="3890E30A" w14:textId="37B59EB7" w:rsidR="00137655" w:rsidRPr="00921BB5" w:rsidRDefault="00633DB7" w:rsidP="000D066C">
      <w:pPr>
        <w:pStyle w:val="Heading3"/>
      </w:pPr>
      <w:r>
        <w:t>Section 9</w:t>
      </w:r>
      <w:r w:rsidR="000D066C">
        <w:t>—</w:t>
      </w:r>
      <w:r>
        <w:t xml:space="preserve">Meaning of </w:t>
      </w:r>
      <w:r>
        <w:rPr>
          <w:i/>
        </w:rPr>
        <w:t>h</w:t>
      </w:r>
      <w:r w:rsidR="00F6025E" w:rsidRPr="00921BB5">
        <w:rPr>
          <w:i/>
        </w:rPr>
        <w:t>orizontal</w:t>
      </w:r>
      <w:r>
        <w:t xml:space="preserve"> </w:t>
      </w:r>
      <w:r w:rsidR="00F6025E" w:rsidRPr="00921BB5">
        <w:t xml:space="preserve">and </w:t>
      </w:r>
      <w:r w:rsidR="00F6025E" w:rsidRPr="00921BB5">
        <w:rPr>
          <w:i/>
        </w:rPr>
        <w:t>vertical</w:t>
      </w:r>
      <w:r w:rsidR="0004333E" w:rsidRPr="00921BB5">
        <w:t xml:space="preserve"> cabinets</w:t>
      </w:r>
    </w:p>
    <w:p w14:paraId="2962BD38" w14:textId="37489192" w:rsidR="001F6ED9" w:rsidRDefault="008408F0" w:rsidP="00D14786">
      <w:r>
        <w:t>S</w:t>
      </w:r>
      <w:r w:rsidR="00F6025E" w:rsidRPr="00090444">
        <w:t xml:space="preserve">ection </w:t>
      </w:r>
      <w:r w:rsidR="0004333E">
        <w:t xml:space="preserve">9 </w:t>
      </w:r>
      <w:r w:rsidR="00F6025E" w:rsidRPr="00090444">
        <w:t xml:space="preserve">defines </w:t>
      </w:r>
      <w:r w:rsidR="00903CE4">
        <w:t xml:space="preserve">the meaning of </w:t>
      </w:r>
      <w:r w:rsidR="00F6025E" w:rsidRPr="00090444">
        <w:t xml:space="preserve">‘horizontal’ and ‘vertical’ </w:t>
      </w:r>
      <w:r w:rsidR="00903CE4">
        <w:t xml:space="preserve">refrigerated display and storage </w:t>
      </w:r>
      <w:r w:rsidR="00F6025E" w:rsidRPr="00090444">
        <w:t>cabinets</w:t>
      </w:r>
      <w:r w:rsidR="00903CE4">
        <w:t xml:space="preserve">. A horizontal RDC </w:t>
      </w:r>
      <w:r w:rsidR="00D25545">
        <w:t xml:space="preserve">has an access opening only from the top of the cabinet, whether or not the opening can be closed by </w:t>
      </w:r>
      <w:r w:rsidR="00903CE4">
        <w:t>a door or lid.</w:t>
      </w:r>
      <w:r w:rsidR="00903CE4" w:rsidRPr="00090444" w:rsidDel="00903CE4">
        <w:t xml:space="preserve"> </w:t>
      </w:r>
      <w:r w:rsidR="00903CE4">
        <w:t>A horizontal RSC is no taller than 1,050 mm</w:t>
      </w:r>
      <w:r w:rsidR="00D25545">
        <w:t xml:space="preserve"> when determined in accordance with EN 16825</w:t>
      </w:r>
      <w:r w:rsidR="00903CE4">
        <w:t xml:space="preserve">. </w:t>
      </w:r>
      <w:r w:rsidR="00D25545">
        <w:t>If an RDC or RSC is not horizontal, it is vertical.</w:t>
      </w:r>
    </w:p>
    <w:p w14:paraId="7AEA42F9" w14:textId="35223E37" w:rsidR="00E91CA1" w:rsidRPr="00921BB5" w:rsidRDefault="00633DB7" w:rsidP="00921BB5">
      <w:pPr>
        <w:pStyle w:val="Heading3"/>
      </w:pPr>
      <w:r>
        <w:t>Section 10</w:t>
      </w:r>
      <w:r w:rsidR="000D066C">
        <w:t>—</w:t>
      </w:r>
      <w:r w:rsidR="00F6025E" w:rsidRPr="00921BB5">
        <w:t>M-package temperature</w:t>
      </w:r>
      <w:r w:rsidR="00643103" w:rsidRPr="00921BB5">
        <w:t xml:space="preserve"> classes</w:t>
      </w:r>
    </w:p>
    <w:p w14:paraId="5C75E248" w14:textId="77777777" w:rsidR="00335FD1" w:rsidRDefault="008408F0" w:rsidP="002B3C05">
      <w:pPr>
        <w:spacing w:after="80"/>
      </w:pPr>
      <w:r>
        <w:t>S</w:t>
      </w:r>
      <w:r w:rsidR="00F6025E" w:rsidRPr="00090444">
        <w:t xml:space="preserve">ection </w:t>
      </w:r>
      <w:r w:rsidR="008A0A2B">
        <w:t xml:space="preserve">10 </w:t>
      </w:r>
      <w:r w:rsidR="00F6025E" w:rsidRPr="00090444">
        <w:t>sets out the meaning of</w:t>
      </w:r>
      <w:r w:rsidR="001D45B0">
        <w:t xml:space="preserve">, and </w:t>
      </w:r>
      <w:r w:rsidR="000053C8">
        <w:t xml:space="preserve">details </w:t>
      </w:r>
      <w:r w:rsidR="001D45B0">
        <w:t>when a cabinet is considered to meet the requirements of,</w:t>
      </w:r>
      <w:r w:rsidR="00F6025E" w:rsidRPr="00090444">
        <w:t xml:space="preserve"> the M-package temperature classification for RDCs, RSCs, scooping cabinets and ice</w:t>
      </w:r>
      <w:r w:rsidR="005C5BAF">
        <w:t xml:space="preserve"> </w:t>
      </w:r>
      <w:r w:rsidR="00F6025E" w:rsidRPr="00090444">
        <w:t>cream freezers</w:t>
      </w:r>
      <w:r w:rsidR="00F6025E" w:rsidRPr="001612A5">
        <w:t xml:space="preserve">. </w:t>
      </w:r>
    </w:p>
    <w:p w14:paraId="081851DB" w14:textId="5238C2B8" w:rsidR="00E91CA1" w:rsidRDefault="005F7130" w:rsidP="003D31D0">
      <w:pPr>
        <w:spacing w:after="80"/>
      </w:pPr>
      <w:r>
        <w:t>An M</w:t>
      </w:r>
      <w:r>
        <w:noBreakHyphen/>
        <w:t xml:space="preserve">package temperature class is a way of </w:t>
      </w:r>
      <w:r w:rsidR="00CC191F">
        <w:t xml:space="preserve">grouping </w:t>
      </w:r>
      <w:r>
        <w:t>refrigerated cabinets based on their storage temperatures.</w:t>
      </w:r>
      <w:r w:rsidR="006779CC">
        <w:t xml:space="preserve"> </w:t>
      </w:r>
      <w:r w:rsidR="00505FE9">
        <w:t xml:space="preserve">The M-package temperate classes are set out in Schedule 4 and </w:t>
      </w:r>
      <w:r w:rsidR="001D45B0">
        <w:t>requirements relating to the temperature class</w:t>
      </w:r>
      <w:r w:rsidR="00505FE9">
        <w:t xml:space="preserve"> are in section 32</w:t>
      </w:r>
      <w:r w:rsidR="001D45B0">
        <w:t>.</w:t>
      </w:r>
    </w:p>
    <w:p w14:paraId="03705560" w14:textId="58842A2D" w:rsidR="00643103" w:rsidRPr="00921BB5" w:rsidRDefault="00633DB7" w:rsidP="00921BB5">
      <w:pPr>
        <w:pStyle w:val="Heading3"/>
      </w:pPr>
      <w:r>
        <w:t>Section 11</w:t>
      </w:r>
      <w:r w:rsidR="000D066C">
        <w:t>—</w:t>
      </w:r>
      <w:r>
        <w:t xml:space="preserve">Meaning of </w:t>
      </w:r>
      <w:r w:rsidRPr="000D066C">
        <w:rPr>
          <w:i/>
        </w:rPr>
        <w:t>l</w:t>
      </w:r>
      <w:r w:rsidR="00F6025E" w:rsidRPr="00921BB5">
        <w:rPr>
          <w:i/>
        </w:rPr>
        <w:t>ight</w:t>
      </w:r>
      <w:r w:rsidRPr="000D066C">
        <w:rPr>
          <w:i/>
        </w:rPr>
        <w:t xml:space="preserve"> </w:t>
      </w:r>
      <w:r w:rsidR="00F6025E" w:rsidRPr="00921BB5">
        <w:rPr>
          <w:i/>
        </w:rPr>
        <w:t>duty</w:t>
      </w:r>
      <w:r w:rsidR="00F6025E" w:rsidRPr="00921BB5">
        <w:t xml:space="preserve">, </w:t>
      </w:r>
      <w:r w:rsidR="00F6025E" w:rsidRPr="00921BB5">
        <w:rPr>
          <w:i/>
        </w:rPr>
        <w:t>normal duty</w:t>
      </w:r>
      <w:r w:rsidR="00F6025E" w:rsidRPr="00921BB5">
        <w:t xml:space="preserve"> and </w:t>
      </w:r>
      <w:r w:rsidR="00F6025E" w:rsidRPr="00921BB5">
        <w:rPr>
          <w:i/>
        </w:rPr>
        <w:t>heavy duty</w:t>
      </w:r>
      <w:r w:rsidR="008A0A2B" w:rsidRPr="00921BB5">
        <w:t xml:space="preserve"> </w:t>
      </w:r>
    </w:p>
    <w:p w14:paraId="0787FDB9" w14:textId="77777777" w:rsidR="00E91CA1" w:rsidRPr="00643103" w:rsidRDefault="00EA4E1C" w:rsidP="00D14786">
      <w:r>
        <w:t>S</w:t>
      </w:r>
      <w:r w:rsidR="00F6025E" w:rsidRPr="001612A5">
        <w:t xml:space="preserve">ection </w:t>
      </w:r>
      <w:r w:rsidR="0004333E">
        <w:t xml:space="preserve">11 </w:t>
      </w:r>
      <w:r w:rsidR="00517B91">
        <w:t>sets out how to determine if an RSC is considered</w:t>
      </w:r>
      <w:r w:rsidR="00F6025E" w:rsidRPr="001612A5">
        <w:t xml:space="preserve"> ‘light duty’, ‘normal duty’ </w:t>
      </w:r>
      <w:r w:rsidR="00517B91">
        <w:t>or</w:t>
      </w:r>
      <w:r w:rsidR="00517B91" w:rsidRPr="001612A5">
        <w:t xml:space="preserve"> </w:t>
      </w:r>
      <w:r w:rsidR="00F6025E" w:rsidRPr="001612A5">
        <w:t>‘heavy duty’</w:t>
      </w:r>
      <w:r w:rsidR="00517B91">
        <w:t>.</w:t>
      </w:r>
      <w:r w:rsidR="00F6025E" w:rsidRPr="001612A5">
        <w:t xml:space="preserve"> </w:t>
      </w:r>
      <w:r w:rsidR="000053C8">
        <w:t>Under section 23, the GEMS level requirements for heavy duty RSCs differ from those of light or normal duty</w:t>
      </w:r>
      <w:r w:rsidR="000053C8" w:rsidRPr="00403F1E">
        <w:t xml:space="preserve"> </w:t>
      </w:r>
      <w:r w:rsidR="000053C8">
        <w:t>RSCs.</w:t>
      </w:r>
    </w:p>
    <w:p w14:paraId="0CBA5D3F" w14:textId="209ADFC2" w:rsidR="00E91CA1" w:rsidRPr="00921BB5" w:rsidRDefault="00633DB7" w:rsidP="00921BB5">
      <w:pPr>
        <w:pStyle w:val="Heading3"/>
      </w:pPr>
      <w:r>
        <w:t>Section 12</w:t>
      </w:r>
      <w:r w:rsidR="000D066C">
        <w:t>—</w:t>
      </w:r>
      <w:r w:rsidR="00F6025E" w:rsidRPr="00921BB5">
        <w:t>Meaning</w:t>
      </w:r>
      <w:r>
        <w:t xml:space="preserve"> </w:t>
      </w:r>
      <w:r w:rsidR="00F6025E" w:rsidRPr="00921BB5">
        <w:t xml:space="preserve">of </w:t>
      </w:r>
      <w:r w:rsidR="00F6025E" w:rsidRPr="00921BB5">
        <w:rPr>
          <w:i/>
        </w:rPr>
        <w:t>E24h</w:t>
      </w:r>
      <w:r w:rsidR="00F6025E" w:rsidRPr="00921BB5">
        <w:t xml:space="preserve"> and </w:t>
      </w:r>
      <w:r w:rsidR="00F6025E" w:rsidRPr="00921BB5">
        <w:rPr>
          <w:i/>
        </w:rPr>
        <w:t>energy consumption</w:t>
      </w:r>
    </w:p>
    <w:p w14:paraId="6CB4018B" w14:textId="166E327F" w:rsidR="00335FD1" w:rsidRDefault="0055431F" w:rsidP="002B3C05">
      <w:pPr>
        <w:spacing w:after="80"/>
      </w:pPr>
      <w:r>
        <w:t xml:space="preserve">Energy consumption, also referred to as E24h, is the energy consumption of a </w:t>
      </w:r>
      <w:r w:rsidR="00630CC3">
        <w:t xml:space="preserve">refrigerated </w:t>
      </w:r>
      <w:r>
        <w:t xml:space="preserve">cabinet over a 24 hour period. </w:t>
      </w:r>
      <w:r w:rsidR="0004333E">
        <w:t>S</w:t>
      </w:r>
      <w:r>
        <w:t xml:space="preserve">ection </w:t>
      </w:r>
      <w:r w:rsidR="0004333E">
        <w:t xml:space="preserve">12 </w:t>
      </w:r>
      <w:r w:rsidR="003C277B">
        <w:t>sets out how to determine the energy consumption of a refrigerated cabinet, including which test standard is to be used</w:t>
      </w:r>
      <w:r w:rsidR="00335FD1">
        <w:t>.</w:t>
      </w:r>
    </w:p>
    <w:p w14:paraId="64980197" w14:textId="7FA91EED" w:rsidR="00E91CA1" w:rsidRPr="00AE2997" w:rsidRDefault="00335FD1" w:rsidP="00D14786">
      <w:r>
        <w:t xml:space="preserve">The applicable test standard also requires testing to be conducted at a specific climate class. A climate class specifies a range of climactic conditions (e.g. humidity) that a cabinet must be tested at to ensure </w:t>
      </w:r>
      <w:r w:rsidR="00630CC3">
        <w:t xml:space="preserve">the </w:t>
      </w:r>
      <w:r>
        <w:t xml:space="preserve">performance and energy consumption recorded is representative of the conditions likely to be experienced in operation. </w:t>
      </w:r>
      <w:r w:rsidR="00536B96">
        <w:t xml:space="preserve">This Determination includes this level of specificity due to Australian climatic conditions being different to those typically experienced in Europe. </w:t>
      </w:r>
    </w:p>
    <w:p w14:paraId="33024260" w14:textId="716EF0F4" w:rsidR="00E91CA1" w:rsidRPr="00921BB5" w:rsidRDefault="00633DB7" w:rsidP="00921BB5">
      <w:pPr>
        <w:pStyle w:val="Heading3"/>
      </w:pPr>
      <w:r>
        <w:t>Section 13</w:t>
      </w:r>
      <w:r w:rsidR="000D066C">
        <w:t>—</w:t>
      </w:r>
      <w:r>
        <w:t xml:space="preserve">Meaning of </w:t>
      </w:r>
      <w:r w:rsidRPr="000D066C">
        <w:rPr>
          <w:i/>
        </w:rPr>
        <w:t>l</w:t>
      </w:r>
      <w:r w:rsidR="0055431F" w:rsidRPr="00921BB5">
        <w:rPr>
          <w:i/>
        </w:rPr>
        <w:t>ow</w:t>
      </w:r>
      <w:r w:rsidRPr="000D066C">
        <w:rPr>
          <w:i/>
        </w:rPr>
        <w:t xml:space="preserve"> </w:t>
      </w:r>
      <w:r w:rsidR="0055431F" w:rsidRPr="00921BB5">
        <w:rPr>
          <w:i/>
        </w:rPr>
        <w:t>sales volume</w:t>
      </w:r>
      <w:r w:rsidR="0055431F" w:rsidRPr="00921BB5">
        <w:t xml:space="preserve"> </w:t>
      </w:r>
      <w:r w:rsidR="00F6025E" w:rsidRPr="00921BB5">
        <w:t xml:space="preserve">and </w:t>
      </w:r>
      <w:r w:rsidR="00F6025E" w:rsidRPr="00921BB5">
        <w:rPr>
          <w:i/>
        </w:rPr>
        <w:t>oversize</w:t>
      </w:r>
    </w:p>
    <w:p w14:paraId="78B91D29" w14:textId="02B01ED5" w:rsidR="004F16EB" w:rsidRPr="00FF025F" w:rsidRDefault="00ED3E39" w:rsidP="002D2BB4">
      <w:r>
        <w:t>S</w:t>
      </w:r>
      <w:r w:rsidR="00F6025E" w:rsidRPr="001612A5">
        <w:t xml:space="preserve">ection </w:t>
      </w:r>
      <w:r w:rsidR="008A0A2B">
        <w:t xml:space="preserve">13 </w:t>
      </w:r>
      <w:r w:rsidR="00F6025E" w:rsidRPr="001612A5">
        <w:t>defines the meaning of ‘</w:t>
      </w:r>
      <w:r w:rsidR="006214FB">
        <w:t>low sales volume</w:t>
      </w:r>
      <w:r w:rsidR="00B9125B">
        <w:t>’</w:t>
      </w:r>
      <w:r w:rsidR="006214FB" w:rsidRPr="001612A5">
        <w:t xml:space="preserve"> </w:t>
      </w:r>
      <w:r w:rsidR="00F6025E" w:rsidRPr="001612A5">
        <w:t xml:space="preserve">and ‘oversize’ </w:t>
      </w:r>
      <w:r w:rsidR="004F16EB">
        <w:t>cabinets</w:t>
      </w:r>
      <w:r w:rsidR="00F6025E" w:rsidRPr="001612A5">
        <w:t>.</w:t>
      </w:r>
      <w:r w:rsidR="004F16EB">
        <w:t xml:space="preserve"> </w:t>
      </w:r>
      <w:r w:rsidR="004F16EB" w:rsidRPr="00FF025F">
        <w:t xml:space="preserve">Under this </w:t>
      </w:r>
      <w:r w:rsidR="00630CC3">
        <w:t>D</w:t>
      </w:r>
      <w:r w:rsidR="004F16EB" w:rsidRPr="00FF025F">
        <w:t>etermination, the annual energy consumption (</w:t>
      </w:r>
      <w:r w:rsidR="004F16EB" w:rsidRPr="008C0D06">
        <w:t>AEC</w:t>
      </w:r>
      <w:r w:rsidR="004F16EB" w:rsidRPr="00FF025F">
        <w:t xml:space="preserve">) and </w:t>
      </w:r>
      <w:r w:rsidR="004F16EB">
        <w:t xml:space="preserve">reference </w:t>
      </w:r>
      <w:r w:rsidR="004F16EB" w:rsidRPr="00FF025F">
        <w:t>annual energy consumption (</w:t>
      </w:r>
      <w:r w:rsidR="004F16EB" w:rsidRPr="008C0D06">
        <w:t>RAEC</w:t>
      </w:r>
      <w:r w:rsidR="004F16EB" w:rsidRPr="00FF025F">
        <w:t>), and hence the energy efficiency index (</w:t>
      </w:r>
      <w:r w:rsidR="004F16EB" w:rsidRPr="008C0D06">
        <w:t>EEI</w:t>
      </w:r>
      <w:r w:rsidR="004F16EB" w:rsidRPr="00FF025F">
        <w:t xml:space="preserve">), of </w:t>
      </w:r>
      <w:r w:rsidR="003C618A">
        <w:t>‘</w:t>
      </w:r>
      <w:r w:rsidR="004F16EB" w:rsidRPr="00FF025F">
        <w:t>low sales volume</w:t>
      </w:r>
      <w:r w:rsidR="003C618A">
        <w:t>’</w:t>
      </w:r>
      <w:r w:rsidR="004F16EB" w:rsidRPr="00FF025F">
        <w:t xml:space="preserve"> and/or </w:t>
      </w:r>
      <w:r w:rsidR="003C618A">
        <w:t>‘</w:t>
      </w:r>
      <w:r w:rsidR="004F16EB" w:rsidRPr="00FF025F">
        <w:t>oversize</w:t>
      </w:r>
      <w:r w:rsidR="003C618A">
        <w:t>’</w:t>
      </w:r>
      <w:r w:rsidR="004F16EB" w:rsidRPr="00FF025F">
        <w:t xml:space="preserve"> RDCs, and of </w:t>
      </w:r>
      <w:r w:rsidR="003C618A">
        <w:t>‘</w:t>
      </w:r>
      <w:r w:rsidR="004F16EB" w:rsidRPr="00FF025F">
        <w:t>low sales volume</w:t>
      </w:r>
      <w:r w:rsidR="003C618A">
        <w:t>’</w:t>
      </w:r>
      <w:r w:rsidR="004F16EB" w:rsidRPr="00FF025F">
        <w:t xml:space="preserve"> RSCs, are calculated differently from other RDCs and RSCs (see sections </w:t>
      </w:r>
      <w:r w:rsidR="004F16EB">
        <w:t>24</w:t>
      </w:r>
      <w:r w:rsidR="004F16EB" w:rsidRPr="00FF025F">
        <w:t xml:space="preserve"> and </w:t>
      </w:r>
      <w:r w:rsidR="004F16EB">
        <w:t>25</w:t>
      </w:r>
      <w:r w:rsidR="004F16EB" w:rsidRPr="00FF025F">
        <w:t>). There is also additional testing requirement</w:t>
      </w:r>
      <w:r w:rsidR="00630CC3">
        <w:t>s</w:t>
      </w:r>
      <w:r w:rsidR="004F16EB" w:rsidRPr="00FF025F">
        <w:t xml:space="preserve"> for </w:t>
      </w:r>
      <w:r w:rsidR="00630CC3">
        <w:t xml:space="preserve">certain </w:t>
      </w:r>
      <w:r w:rsidR="003C618A">
        <w:t>‘</w:t>
      </w:r>
      <w:r w:rsidR="004F16EB" w:rsidRPr="00FF025F">
        <w:t>low sales volume</w:t>
      </w:r>
      <w:r w:rsidR="003C618A">
        <w:t>’</w:t>
      </w:r>
      <w:r w:rsidR="004F16EB" w:rsidRPr="00FF025F">
        <w:t xml:space="preserve"> RDCs and RSCs (see section </w:t>
      </w:r>
      <w:r w:rsidR="004F16EB">
        <w:t>27</w:t>
      </w:r>
      <w:r w:rsidR="004F16EB" w:rsidRPr="00FF025F">
        <w:t>).</w:t>
      </w:r>
    </w:p>
    <w:p w14:paraId="70A0A840" w14:textId="77777777" w:rsidR="004F16EB" w:rsidRDefault="004F16EB" w:rsidP="00D14786"/>
    <w:p w14:paraId="5E6390EA" w14:textId="49BAFC82" w:rsidR="006214FB" w:rsidRDefault="006214FB" w:rsidP="00D14786">
      <w:r>
        <w:t xml:space="preserve">An RSC </w:t>
      </w:r>
      <w:r w:rsidR="004F16EB">
        <w:t>or</w:t>
      </w:r>
      <w:r>
        <w:t xml:space="preserve"> RDC </w:t>
      </w:r>
      <w:r w:rsidR="00630CC3">
        <w:t xml:space="preserve">is </w:t>
      </w:r>
      <w:r w:rsidR="003C618A">
        <w:t>‘</w:t>
      </w:r>
      <w:r>
        <w:t>low sales volume</w:t>
      </w:r>
      <w:r w:rsidR="003C618A">
        <w:t>’</w:t>
      </w:r>
      <w:r>
        <w:t xml:space="preserve"> </w:t>
      </w:r>
      <w:r w:rsidR="00D30F9B">
        <w:t xml:space="preserve">at a particular date </w:t>
      </w:r>
      <w:r>
        <w:t xml:space="preserve">if no more than 25 units of the models within a family </w:t>
      </w:r>
      <w:r w:rsidR="00D30F9B">
        <w:t xml:space="preserve">of models </w:t>
      </w:r>
      <w:r>
        <w:t>are sold in a calendar year</w:t>
      </w:r>
      <w:r w:rsidR="00D30F9B">
        <w:t xml:space="preserve"> that includes that date</w:t>
      </w:r>
      <w:r>
        <w:t>, or for models that are not part of a family</w:t>
      </w:r>
      <w:r w:rsidR="00D30F9B">
        <w:t xml:space="preserve"> of models</w:t>
      </w:r>
      <w:r>
        <w:t xml:space="preserve">, </w:t>
      </w:r>
      <w:r w:rsidR="00D30F9B">
        <w:t xml:space="preserve">no more than </w:t>
      </w:r>
      <w:r>
        <w:t>10 units</w:t>
      </w:r>
      <w:r w:rsidR="00D30F9B">
        <w:t xml:space="preserve"> are sold in a calendar year that includes that date</w:t>
      </w:r>
      <w:r>
        <w:t>. Ice cream freezers and scooping cabinets cannot be “low sales volume”.</w:t>
      </w:r>
    </w:p>
    <w:p w14:paraId="2CBB4FFA" w14:textId="77777777" w:rsidR="006214FB" w:rsidRDefault="006214FB" w:rsidP="00D14786"/>
    <w:p w14:paraId="28F80409" w14:textId="1B4B98F4" w:rsidR="006214FB" w:rsidRDefault="00ED223D" w:rsidP="00D14786">
      <w:r>
        <w:t xml:space="preserve">Only </w:t>
      </w:r>
      <w:r w:rsidR="00630CC3">
        <w:t>RDC</w:t>
      </w:r>
      <w:r>
        <w:t>s</w:t>
      </w:r>
      <w:r w:rsidR="00630CC3">
        <w:t xml:space="preserve"> </w:t>
      </w:r>
      <w:r>
        <w:t xml:space="preserve">can be classified as </w:t>
      </w:r>
      <w:r w:rsidR="003C618A">
        <w:t>‘</w:t>
      </w:r>
      <w:r>
        <w:t>o</w:t>
      </w:r>
      <w:r w:rsidR="006214FB">
        <w:t>versize</w:t>
      </w:r>
      <w:r w:rsidR="003C618A">
        <w:t>’</w:t>
      </w:r>
      <w:r w:rsidR="004F16EB">
        <w:t xml:space="preserve">. Ice cream freezer cabinets, scooping cabinets and RSCs cannot be </w:t>
      </w:r>
      <w:r w:rsidR="003C618A">
        <w:t>‘</w:t>
      </w:r>
      <w:r w:rsidR="004F16EB">
        <w:t>oversize</w:t>
      </w:r>
      <w:r w:rsidR="003C618A">
        <w:t>’</w:t>
      </w:r>
      <w:r w:rsidR="004F16EB">
        <w:t>. If at the time of applying to register, or vary a registration, there is no N</w:t>
      </w:r>
      <w:r>
        <w:t xml:space="preserve">ational </w:t>
      </w:r>
      <w:r w:rsidR="004F16EB">
        <w:t>A</w:t>
      </w:r>
      <w:r>
        <w:t xml:space="preserve">ssociation of </w:t>
      </w:r>
      <w:r w:rsidR="004F16EB">
        <w:t>T</w:t>
      </w:r>
      <w:r>
        <w:t xml:space="preserve">esting </w:t>
      </w:r>
      <w:r w:rsidR="004F16EB">
        <w:t>A</w:t>
      </w:r>
      <w:r>
        <w:t>uthorities (NATA)</w:t>
      </w:r>
      <w:r w:rsidR="004F16EB">
        <w:t xml:space="preserve"> approved laboratory that can test the cabinet to the relevant test standard (ISO 23953</w:t>
      </w:r>
      <w:r w:rsidR="004F16EB">
        <w:noBreakHyphen/>
        <w:t xml:space="preserve">2) due to its size, the RDC is </w:t>
      </w:r>
      <w:r w:rsidR="003C618A">
        <w:t>‘</w:t>
      </w:r>
      <w:r w:rsidR="004F16EB">
        <w:t>oversize</w:t>
      </w:r>
      <w:r w:rsidR="003C618A">
        <w:t>’</w:t>
      </w:r>
      <w:r w:rsidR="004F16EB">
        <w:t xml:space="preserve">.  </w:t>
      </w:r>
    </w:p>
    <w:p w14:paraId="4DBF9B6B" w14:textId="77777777" w:rsidR="00C74A25" w:rsidRDefault="00C74A25" w:rsidP="00D14786">
      <w:pPr>
        <w:rPr>
          <w:rFonts w:ascii="Arial" w:hAnsi="Arial" w:cs="Arial"/>
          <w:b/>
          <w:highlight w:val="yellow"/>
        </w:rPr>
      </w:pPr>
    </w:p>
    <w:p w14:paraId="4ABA4305" w14:textId="4FB91B81" w:rsidR="004F16EB" w:rsidRDefault="004F16EB" w:rsidP="002D2BB4">
      <w:r w:rsidRPr="00CA6AA8">
        <w:t xml:space="preserve">For an RDC, if at some time after registration, its annual sales exceed the threshold sales volumes, unless models of the product are also </w:t>
      </w:r>
      <w:r w:rsidR="003C618A">
        <w:t>‘</w:t>
      </w:r>
      <w:r w:rsidRPr="00CA6AA8">
        <w:t>oversize</w:t>
      </w:r>
      <w:r w:rsidR="003C618A">
        <w:t>’</w:t>
      </w:r>
      <w:r w:rsidRPr="00CA6AA8">
        <w:t xml:space="preserve">, they will need to comply with the requirements </w:t>
      </w:r>
      <w:r>
        <w:t xml:space="preserve">of this </w:t>
      </w:r>
      <w:r w:rsidR="00ED223D">
        <w:t>D</w:t>
      </w:r>
      <w:r>
        <w:t xml:space="preserve">etermination </w:t>
      </w:r>
      <w:r w:rsidRPr="00CA6AA8">
        <w:t>that apply to RDCs generally.</w:t>
      </w:r>
      <w:r>
        <w:t xml:space="preserve"> </w:t>
      </w:r>
    </w:p>
    <w:p w14:paraId="66A9E6EA" w14:textId="77777777" w:rsidR="004F16EB" w:rsidRDefault="004F16EB" w:rsidP="002D2BB4"/>
    <w:p w14:paraId="1F0C7F85" w14:textId="77777777" w:rsidR="004F16EB" w:rsidRPr="00CA6AA8" w:rsidRDefault="004F16EB" w:rsidP="002D2BB4">
      <w:r w:rsidRPr="00CA6AA8">
        <w:t xml:space="preserve">For an RSC, if at some time after registration, its annual sales exceed the threshold sales volumes, models of the product will need to comply with the requirements </w:t>
      </w:r>
      <w:r>
        <w:t xml:space="preserve">of this determination </w:t>
      </w:r>
      <w:r w:rsidRPr="00CA6AA8">
        <w:t>that apply to RSCs generally.</w:t>
      </w:r>
    </w:p>
    <w:p w14:paraId="3D84C2FF" w14:textId="77777777" w:rsidR="004F16EB" w:rsidRDefault="004F16EB" w:rsidP="00D14786">
      <w:pPr>
        <w:rPr>
          <w:rFonts w:ascii="Arial" w:hAnsi="Arial" w:cs="Arial"/>
          <w:b/>
          <w:highlight w:val="yellow"/>
        </w:rPr>
      </w:pPr>
    </w:p>
    <w:p w14:paraId="29397486" w14:textId="03C7E5A9" w:rsidR="00E91CA1" w:rsidRPr="001612A5" w:rsidRDefault="006C5731" w:rsidP="002D2BB4">
      <w:pPr>
        <w:keepNext/>
        <w:rPr>
          <w:rFonts w:ascii="Arial" w:hAnsi="Arial" w:cs="Arial"/>
          <w:b/>
        </w:rPr>
      </w:pPr>
      <w:r>
        <w:rPr>
          <w:rFonts w:ascii="Arial" w:hAnsi="Arial" w:cs="Arial"/>
          <w:b/>
        </w:rPr>
        <w:t>Section 14</w:t>
      </w:r>
      <w:r w:rsidR="000D066C">
        <w:rPr>
          <w:rFonts w:ascii="Arial" w:hAnsi="Arial" w:cs="Arial"/>
          <w:b/>
        </w:rPr>
        <w:t>—</w:t>
      </w:r>
      <w:r w:rsidR="00F6025E" w:rsidRPr="001612A5">
        <w:rPr>
          <w:rFonts w:ascii="Arial" w:hAnsi="Arial" w:cs="Arial"/>
          <w:b/>
        </w:rPr>
        <w:t>Interpretation</w:t>
      </w:r>
      <w:r>
        <w:rPr>
          <w:rFonts w:ascii="Arial" w:hAnsi="Arial" w:cs="Arial"/>
          <w:b/>
        </w:rPr>
        <w:t xml:space="preserve"> </w:t>
      </w:r>
    </w:p>
    <w:p w14:paraId="1C3801E3" w14:textId="77777777" w:rsidR="00D14786" w:rsidRDefault="00ED3E39" w:rsidP="00D14786">
      <w:r>
        <w:t>S</w:t>
      </w:r>
      <w:r w:rsidR="00810A77">
        <w:t xml:space="preserve">ection </w:t>
      </w:r>
      <w:r w:rsidR="005C5BAF">
        <w:t xml:space="preserve">14 </w:t>
      </w:r>
      <w:r w:rsidR="00810A77">
        <w:t xml:space="preserve">provides guidance for </w:t>
      </w:r>
      <w:r w:rsidR="005C5BAF">
        <w:t>interpreting certain aspects</w:t>
      </w:r>
      <w:r>
        <w:t xml:space="preserve"> of </w:t>
      </w:r>
      <w:r w:rsidR="005C5BAF">
        <w:t>the</w:t>
      </w:r>
      <w:r>
        <w:t xml:space="preserve"> </w:t>
      </w:r>
      <w:r w:rsidR="00810A77">
        <w:t>Determination.</w:t>
      </w:r>
    </w:p>
    <w:p w14:paraId="2BAD26B3" w14:textId="77777777" w:rsidR="00E15917" w:rsidRDefault="00E15917" w:rsidP="00D14786"/>
    <w:p w14:paraId="2CB27493" w14:textId="77777777" w:rsidR="00E15917" w:rsidRPr="0077093A" w:rsidRDefault="00E15917" w:rsidP="00E15917">
      <w:pPr>
        <w:rPr>
          <w:u w:val="single"/>
        </w:rPr>
      </w:pPr>
      <w:r w:rsidRPr="0077093A">
        <w:rPr>
          <w:u w:val="single"/>
        </w:rPr>
        <w:t xml:space="preserve">Subsection </w:t>
      </w:r>
      <w:r>
        <w:rPr>
          <w:u w:val="single"/>
        </w:rPr>
        <w:t>14</w:t>
      </w:r>
      <w:r w:rsidRPr="0077093A">
        <w:rPr>
          <w:u w:val="single"/>
        </w:rPr>
        <w:t>(1)</w:t>
      </w:r>
    </w:p>
    <w:p w14:paraId="552EF32F" w14:textId="6DE6F8F2" w:rsidR="00E15917" w:rsidRPr="0077093A" w:rsidRDefault="00E15917" w:rsidP="00E15917">
      <w:r>
        <w:t>This subsection sets out the order in which priority should be taken in the interpretation of relevant provision</w:t>
      </w:r>
      <w:r w:rsidR="00D276BC">
        <w:t>s</w:t>
      </w:r>
      <w:r>
        <w:t xml:space="preserve"> if there are any inconsistencies between the Act, the Determination and the standards.</w:t>
      </w:r>
    </w:p>
    <w:p w14:paraId="05342C5E" w14:textId="77777777" w:rsidR="00E15917" w:rsidRPr="0077093A" w:rsidRDefault="00E15917" w:rsidP="00E15917"/>
    <w:p w14:paraId="3D96C0E7" w14:textId="77777777" w:rsidR="00E15917" w:rsidRPr="0077093A" w:rsidRDefault="00E15917" w:rsidP="000D066C">
      <w:pPr>
        <w:keepNext/>
        <w:rPr>
          <w:u w:val="single"/>
        </w:rPr>
      </w:pPr>
      <w:r w:rsidRPr="0077093A">
        <w:rPr>
          <w:u w:val="single"/>
        </w:rPr>
        <w:t xml:space="preserve">Subsection </w:t>
      </w:r>
      <w:r>
        <w:rPr>
          <w:u w:val="single"/>
        </w:rPr>
        <w:t>14</w:t>
      </w:r>
      <w:r w:rsidRPr="0077093A">
        <w:rPr>
          <w:u w:val="single"/>
        </w:rPr>
        <w:t>(2)</w:t>
      </w:r>
    </w:p>
    <w:p w14:paraId="5B7344F1" w14:textId="77777777" w:rsidR="00E15917" w:rsidRDefault="00E15917" w:rsidP="00E15917">
      <w:r>
        <w:t>The purpose of this subsection is to make clear that the applicable version of any standard referenced in the Determination, or other relevant document that is referred to in a standard, is the version that is current on the date that the Determination was made.</w:t>
      </w:r>
    </w:p>
    <w:p w14:paraId="7028C862" w14:textId="77777777" w:rsidR="00E15917" w:rsidRDefault="00E15917" w:rsidP="00E15917"/>
    <w:p w14:paraId="679C5AF3" w14:textId="77777777" w:rsidR="00E15917" w:rsidRDefault="00E15917" w:rsidP="00E15917">
      <w:pPr>
        <w:rPr>
          <w:u w:val="single"/>
        </w:rPr>
      </w:pPr>
      <w:r w:rsidRPr="0077093A">
        <w:rPr>
          <w:u w:val="single"/>
        </w:rPr>
        <w:t xml:space="preserve">Subsection </w:t>
      </w:r>
      <w:r>
        <w:rPr>
          <w:u w:val="single"/>
        </w:rPr>
        <w:t>14</w:t>
      </w:r>
      <w:r w:rsidRPr="0077093A">
        <w:rPr>
          <w:u w:val="single"/>
        </w:rPr>
        <w:t>(</w:t>
      </w:r>
      <w:r>
        <w:rPr>
          <w:u w:val="single"/>
        </w:rPr>
        <w:t>3</w:t>
      </w:r>
      <w:r w:rsidRPr="0077093A">
        <w:rPr>
          <w:u w:val="single"/>
        </w:rPr>
        <w:t>)</w:t>
      </w:r>
    </w:p>
    <w:p w14:paraId="745A0626" w14:textId="77777777" w:rsidR="00E15917" w:rsidRPr="000053C8" w:rsidRDefault="00E15917" w:rsidP="00D14786">
      <w:r w:rsidRPr="002D2BB4">
        <w:t>This subsection clarifies that unless a contrary intention appears, expressions used in the Determination have the same meaning as in the relevant test standards.</w:t>
      </w:r>
    </w:p>
    <w:p w14:paraId="3CAAD2E5" w14:textId="77777777" w:rsidR="00ED3E39" w:rsidRPr="000053C8" w:rsidRDefault="00ED3E39" w:rsidP="00D14786"/>
    <w:p w14:paraId="00697509" w14:textId="63D3E4D1" w:rsidR="00757825" w:rsidRPr="001612A5" w:rsidRDefault="00F6025E" w:rsidP="001F3F9B">
      <w:pPr>
        <w:keepNext/>
        <w:autoSpaceDE w:val="0"/>
        <w:autoSpaceDN w:val="0"/>
        <w:adjustRightInd w:val="0"/>
        <w:spacing w:after="80"/>
        <w:rPr>
          <w:rFonts w:ascii="Arial" w:hAnsi="Arial" w:cs="Arial"/>
          <w:b/>
          <w:bCs/>
        </w:rPr>
      </w:pPr>
      <w:r w:rsidRPr="001612A5">
        <w:rPr>
          <w:rFonts w:ascii="Arial" w:hAnsi="Arial" w:cs="Arial"/>
          <w:b/>
          <w:bCs/>
        </w:rPr>
        <w:t>Section 15</w:t>
      </w:r>
      <w:r w:rsidR="000D066C">
        <w:rPr>
          <w:rFonts w:ascii="Arial" w:hAnsi="Arial" w:cs="Arial"/>
          <w:b/>
          <w:bCs/>
        </w:rPr>
        <w:t>—</w:t>
      </w:r>
      <w:r w:rsidRPr="001612A5">
        <w:rPr>
          <w:rFonts w:ascii="Arial" w:hAnsi="Arial" w:cs="Arial"/>
          <w:b/>
          <w:bCs/>
        </w:rPr>
        <w:t>Famil</w:t>
      </w:r>
      <w:r w:rsidR="006C5731">
        <w:rPr>
          <w:rFonts w:ascii="Arial" w:hAnsi="Arial" w:cs="Arial"/>
          <w:b/>
          <w:bCs/>
        </w:rPr>
        <w:t>ies</w:t>
      </w:r>
      <w:r w:rsidRPr="001612A5">
        <w:rPr>
          <w:rFonts w:ascii="Arial" w:hAnsi="Arial" w:cs="Arial"/>
          <w:b/>
          <w:bCs/>
        </w:rPr>
        <w:t xml:space="preserve"> of models</w:t>
      </w:r>
    </w:p>
    <w:p w14:paraId="68BB8593" w14:textId="61402956" w:rsidR="004022FA" w:rsidRDefault="004022FA" w:rsidP="00ED3E39">
      <w:r>
        <w:t xml:space="preserve">Section 28 of the Act provides that a GEMS determination must specify, for each product class covered by the </w:t>
      </w:r>
      <w:r w:rsidR="00D276BC">
        <w:t>d</w:t>
      </w:r>
      <w:r>
        <w:t>etermination, the circumstances in which two or more models in that product class are in the same family of models.</w:t>
      </w:r>
      <w:r w:rsidR="00B16C07">
        <w:t xml:space="preserve"> The circumstances in which a model may be considered to be in the same family has been widened</w:t>
      </w:r>
      <w:r w:rsidR="00AF059B">
        <w:t xml:space="preserve"> in this Determination compared to the revoked Determination</w:t>
      </w:r>
      <w:r w:rsidR="00B16C07">
        <w:t>.</w:t>
      </w:r>
    </w:p>
    <w:p w14:paraId="7D005827" w14:textId="77777777" w:rsidR="004022FA" w:rsidRDefault="004022FA" w:rsidP="00ED3E39"/>
    <w:p w14:paraId="1142D325" w14:textId="34446416" w:rsidR="004022FA" w:rsidRDefault="004022FA" w:rsidP="00ED3E39">
      <w:r>
        <w:t>This section specifies that for two or more models to be in the same family of models</w:t>
      </w:r>
      <w:r w:rsidR="00AF059B">
        <w:t>,</w:t>
      </w:r>
      <w:r>
        <w:t xml:space="preserve"> they must be in the same product class, </w:t>
      </w:r>
      <w:r w:rsidR="00AF059B">
        <w:t xml:space="preserve">and </w:t>
      </w:r>
      <w:r w:rsidR="00B16C07">
        <w:t xml:space="preserve">the </w:t>
      </w:r>
      <w:r w:rsidR="003C618A">
        <w:t>‘</w:t>
      </w:r>
      <w:r w:rsidR="00B16C07">
        <w:t>worst</w:t>
      </w:r>
      <w:r w:rsidR="003C618A">
        <w:t>’</w:t>
      </w:r>
      <w:r w:rsidR="00B16C07">
        <w:t xml:space="preserve"> performing</w:t>
      </w:r>
      <w:r>
        <w:t xml:space="preserve"> model</w:t>
      </w:r>
      <w:r w:rsidR="00AF059B">
        <w:t xml:space="preserve">, as determined by the criteria listed in subsection </w:t>
      </w:r>
      <w:r w:rsidR="00B603BD">
        <w:t>15</w:t>
      </w:r>
      <w:r w:rsidR="00AF059B">
        <w:t>(2),</w:t>
      </w:r>
      <w:r>
        <w:t xml:space="preserve"> must be identified as the parent model</w:t>
      </w:r>
      <w:r w:rsidR="00AF059B">
        <w:t>.</w:t>
      </w:r>
      <w:r>
        <w:t xml:space="preserve"> </w:t>
      </w:r>
      <w:r w:rsidR="00AF059B">
        <w:t>O</w:t>
      </w:r>
      <w:r>
        <w:t xml:space="preserve">ther models </w:t>
      </w:r>
      <w:r w:rsidR="00AF059B">
        <w:t xml:space="preserve">belonging to that same family of models </w:t>
      </w:r>
      <w:r>
        <w:t xml:space="preserve">must meet the requirement of the same or warmer M-package temperature class as the parent model. </w:t>
      </w:r>
      <w:r w:rsidR="00B16C07">
        <w:t>Specific</w:t>
      </w:r>
      <w:r>
        <w:t xml:space="preserve"> requirements are </w:t>
      </w:r>
      <w:r w:rsidR="00B16C07">
        <w:t>set out</w:t>
      </w:r>
      <w:r>
        <w:t xml:space="preserve"> for families of models </w:t>
      </w:r>
      <w:r w:rsidR="00B16C07">
        <w:t>of each type of refrigerated cabinet</w:t>
      </w:r>
      <w:r w:rsidR="00AF059B">
        <w:t xml:space="preserve"> under subsections </w:t>
      </w:r>
      <w:r w:rsidR="00B603BD">
        <w:t>15</w:t>
      </w:r>
      <w:r w:rsidR="00AF059B">
        <w:t xml:space="preserve">(4) to </w:t>
      </w:r>
      <w:r w:rsidR="00B603BD">
        <w:t>15</w:t>
      </w:r>
      <w:r w:rsidR="00AF059B">
        <w:t>(7)</w:t>
      </w:r>
      <w:r>
        <w:t>.</w:t>
      </w:r>
    </w:p>
    <w:p w14:paraId="4BAAF966" w14:textId="77777777" w:rsidR="004022FA" w:rsidRDefault="004022FA" w:rsidP="002D2BB4">
      <w:pPr>
        <w:jc w:val="center"/>
      </w:pPr>
    </w:p>
    <w:p w14:paraId="792E986A" w14:textId="13B6C0C8" w:rsidR="004022FA" w:rsidRDefault="00AF059B" w:rsidP="00ED3E39">
      <w:r>
        <w:t xml:space="preserve">In subsection </w:t>
      </w:r>
      <w:r w:rsidR="00B603BD">
        <w:t>15</w:t>
      </w:r>
      <w:r>
        <w:t>(8), t</w:t>
      </w:r>
      <w:r w:rsidR="00B16C07">
        <w:t>he maximum number of models in a family has been lifted to 25</w:t>
      </w:r>
      <w:r>
        <w:t xml:space="preserve"> compared to the revoked Determination</w:t>
      </w:r>
      <w:r w:rsidR="00B16C07">
        <w:t>.</w:t>
      </w:r>
    </w:p>
    <w:p w14:paraId="61690E8F" w14:textId="2B333DBA" w:rsidR="006C5731" w:rsidRDefault="006C5731" w:rsidP="00ED3E39"/>
    <w:p w14:paraId="7853355E" w14:textId="163A3BF0" w:rsidR="006C5731" w:rsidRDefault="006C5731" w:rsidP="00ED3E39">
      <w:r>
        <w:t xml:space="preserve">Subsection </w:t>
      </w:r>
      <w:r w:rsidR="00B603BD">
        <w:t>15</w:t>
      </w:r>
      <w:r>
        <w:t xml:space="preserve">(9) outlines how to calculate a refrigerated cabinet’s specific energy consumption which is used to determine the parent model of a family. </w:t>
      </w:r>
    </w:p>
    <w:p w14:paraId="0B9A1CF6" w14:textId="3B26CEDE" w:rsidR="004022FA" w:rsidRDefault="004022FA" w:rsidP="00ED3E39"/>
    <w:p w14:paraId="3255C5FC" w14:textId="4EFDDDF9" w:rsidR="00BE5E7B" w:rsidRPr="001612A5" w:rsidRDefault="00F6025E" w:rsidP="002D2BB4">
      <w:pPr>
        <w:rPr>
          <w:rFonts w:ascii="Arial" w:hAnsi="Arial" w:cs="Arial"/>
          <w:b/>
          <w:bCs/>
        </w:rPr>
      </w:pPr>
      <w:r w:rsidRPr="001612A5">
        <w:rPr>
          <w:rFonts w:ascii="Arial" w:hAnsi="Arial" w:cs="Arial"/>
          <w:b/>
          <w:bCs/>
        </w:rPr>
        <w:t>Section 16</w:t>
      </w:r>
      <w:r w:rsidR="000D066C">
        <w:rPr>
          <w:rFonts w:ascii="Arial" w:hAnsi="Arial" w:cs="Arial"/>
          <w:b/>
          <w:bCs/>
        </w:rPr>
        <w:t>—</w:t>
      </w:r>
      <w:r w:rsidRPr="001612A5">
        <w:rPr>
          <w:rFonts w:ascii="Arial" w:hAnsi="Arial" w:cs="Arial"/>
          <w:b/>
          <w:bCs/>
        </w:rPr>
        <w:t>Product categories</w:t>
      </w:r>
    </w:p>
    <w:p w14:paraId="1F992C5D" w14:textId="6A75F840" w:rsidR="00E15917" w:rsidRPr="002D2BB4" w:rsidRDefault="00E15917" w:rsidP="002D2BB4">
      <w:r w:rsidRPr="002D2BB4">
        <w:t xml:space="preserve">Section 29 of the Act requires that a GEMS determination specify whether the products it covers are category A or category B products. </w:t>
      </w:r>
      <w:r w:rsidR="005112B4">
        <w:t>Category B products are subject to higher penalties than category A products for certain offences under the Act, on the basis that category B products have a high impact on energy use or greenhouse gas production.</w:t>
      </w:r>
    </w:p>
    <w:p w14:paraId="5247C121" w14:textId="77777777" w:rsidR="00E15917" w:rsidRDefault="00E15917" w:rsidP="00F6548F"/>
    <w:p w14:paraId="25C8E48F" w14:textId="6E1A03C4" w:rsidR="00F6548F" w:rsidRDefault="00F6548F" w:rsidP="00F6548F">
      <w:r w:rsidRPr="001612A5">
        <w:t xml:space="preserve">Section </w:t>
      </w:r>
      <w:r w:rsidR="00E15917">
        <w:t xml:space="preserve">16 </w:t>
      </w:r>
      <w:r w:rsidRPr="001612A5">
        <w:t>specifies that covered by the Determination are category A products.</w:t>
      </w:r>
      <w:r w:rsidR="00E15917">
        <w:t xml:space="preserve"> This is unchanged from the revoked Determination.</w:t>
      </w:r>
    </w:p>
    <w:p w14:paraId="26F50610" w14:textId="77777777" w:rsidR="00BE5E7B" w:rsidRPr="001612A5" w:rsidRDefault="00BE5E7B" w:rsidP="00BE5E7B"/>
    <w:p w14:paraId="20F64B90" w14:textId="5890B289" w:rsidR="00757825" w:rsidRPr="001612A5" w:rsidRDefault="00F6025E" w:rsidP="002D2BB4">
      <w:pPr>
        <w:keepNext/>
        <w:rPr>
          <w:rFonts w:ascii="Arial" w:hAnsi="Arial" w:cs="Arial"/>
          <w:b/>
          <w:bCs/>
        </w:rPr>
      </w:pPr>
      <w:r w:rsidRPr="001612A5">
        <w:rPr>
          <w:rFonts w:ascii="Arial" w:hAnsi="Arial" w:cs="Arial"/>
          <w:b/>
          <w:bCs/>
        </w:rPr>
        <w:t>Section 17</w:t>
      </w:r>
      <w:r w:rsidR="000D066C">
        <w:rPr>
          <w:rFonts w:ascii="Arial" w:hAnsi="Arial" w:cs="Arial"/>
          <w:b/>
          <w:bCs/>
        </w:rPr>
        <w:t>—</w:t>
      </w:r>
      <w:r w:rsidRPr="001612A5">
        <w:rPr>
          <w:rFonts w:ascii="Arial" w:hAnsi="Arial" w:cs="Arial"/>
          <w:b/>
          <w:bCs/>
        </w:rPr>
        <w:t>Registrations affected by this Determination</w:t>
      </w:r>
    </w:p>
    <w:p w14:paraId="23BD8C2F" w14:textId="34BEA37A" w:rsidR="00E15917" w:rsidRPr="003B7C21" w:rsidRDefault="00E15917" w:rsidP="00E15917">
      <w:r w:rsidRPr="003B7C21">
        <w:t>Section 36 of the Act requires that a GEMS replacement determination must specify whether it affects the registration of all models, specified models, or no models, of GEMS products that were c</w:t>
      </w:r>
      <w:r>
        <w:t>overed by the revoked Determination</w:t>
      </w:r>
      <w:r w:rsidRPr="003B7C21">
        <w:t>.</w:t>
      </w:r>
      <w:r w:rsidR="00547A82">
        <w:t xml:space="preserve"> A registration is affected if the product, or products, covered by it cannot meet the GEMS level requirements imposed by this Determination.</w:t>
      </w:r>
    </w:p>
    <w:p w14:paraId="39B7BBBE" w14:textId="77777777" w:rsidR="00E15917" w:rsidRPr="003B7C21" w:rsidRDefault="00E15917" w:rsidP="00E15917"/>
    <w:p w14:paraId="58AA4B9A" w14:textId="2C612671" w:rsidR="00E15917" w:rsidRDefault="00E15917" w:rsidP="00E15917">
      <w:r>
        <w:t>S</w:t>
      </w:r>
      <w:r w:rsidRPr="00D3232C">
        <w:t xml:space="preserve">ection </w:t>
      </w:r>
      <w:r>
        <w:t xml:space="preserve">17 </w:t>
      </w:r>
      <w:r w:rsidRPr="00D3232C">
        <w:t xml:space="preserve">provides that the registration of models made under the </w:t>
      </w:r>
      <w:r>
        <w:t>revoked Determination</w:t>
      </w:r>
      <w:r w:rsidR="009923C8">
        <w:t xml:space="preserve"> </w:t>
      </w:r>
      <w:r>
        <w:t xml:space="preserve">listed in Table 1 of Schedule 2 </w:t>
      </w:r>
      <w:r w:rsidR="009923C8">
        <w:t xml:space="preserve">to this Determination </w:t>
      </w:r>
      <w:r w:rsidRPr="00D3232C">
        <w:t xml:space="preserve">are </w:t>
      </w:r>
      <w:r w:rsidR="009923C8">
        <w:t xml:space="preserve">affected registrations. This means that the registration of those models against the revoked Determination cease to be in effect </w:t>
      </w:r>
      <w:r w:rsidRPr="00D3232C">
        <w:t xml:space="preserve">from the date this Determination comes into force. </w:t>
      </w:r>
    </w:p>
    <w:p w14:paraId="18233C26" w14:textId="77777777" w:rsidR="00E15917" w:rsidRDefault="00E15917" w:rsidP="00E15917"/>
    <w:p w14:paraId="1AC7322F" w14:textId="77777777" w:rsidR="00E15917" w:rsidRDefault="00E15917" w:rsidP="00E15917">
      <w:pPr>
        <w:rPr>
          <w:highlight w:val="cyan"/>
        </w:rPr>
      </w:pPr>
      <w:r w:rsidRPr="00D3232C">
        <w:t xml:space="preserve">Registrations </w:t>
      </w:r>
      <w:r>
        <w:t xml:space="preserve">that are </w:t>
      </w:r>
      <w:r w:rsidRPr="00D3232C">
        <w:t xml:space="preserve">not </w:t>
      </w:r>
      <w:r>
        <w:t xml:space="preserve">listed in Table 1 of </w:t>
      </w:r>
      <w:r w:rsidRPr="00D3232C">
        <w:t xml:space="preserve">Schedule </w:t>
      </w:r>
      <w:r>
        <w:t>2</w:t>
      </w:r>
      <w:r w:rsidRPr="00D3232C">
        <w:t xml:space="preserve"> are taken to be registered against this Determination from the date it comes into force.</w:t>
      </w:r>
    </w:p>
    <w:p w14:paraId="51536341" w14:textId="77777777" w:rsidR="00921BB5" w:rsidRDefault="00921BB5" w:rsidP="002D2BB4">
      <w:pPr>
        <w:pStyle w:val="Heading1"/>
        <w:sectPr w:rsidR="00921BB5" w:rsidSect="00662031">
          <w:headerReference w:type="default" r:id="rId14"/>
          <w:footerReference w:type="default" r:id="rId15"/>
          <w:pgSz w:w="11907" w:h="16839" w:code="9"/>
          <w:pgMar w:top="1440" w:right="1800" w:bottom="1440" w:left="1800" w:header="720" w:footer="720" w:gutter="0"/>
          <w:cols w:space="720"/>
          <w:noEndnote/>
          <w:docGrid w:linePitch="326"/>
        </w:sectPr>
      </w:pPr>
    </w:p>
    <w:p w14:paraId="66DCE746" w14:textId="2ED3D0E3" w:rsidR="002166AE" w:rsidRPr="001612A5" w:rsidRDefault="00F6025E" w:rsidP="002D2BB4">
      <w:pPr>
        <w:pStyle w:val="Heading1"/>
      </w:pPr>
      <w:r w:rsidRPr="001612A5">
        <w:t>Part 2</w:t>
      </w:r>
      <w:r w:rsidR="00F85BB3">
        <w:t>—</w:t>
      </w:r>
      <w:r w:rsidR="002166AE">
        <w:t>Products covered by determination</w:t>
      </w:r>
    </w:p>
    <w:p w14:paraId="43A15D18" w14:textId="77777777" w:rsidR="00954C3F" w:rsidRDefault="00954C3F" w:rsidP="00C659B5">
      <w:pPr>
        <w:rPr>
          <w:rFonts w:ascii="Arial" w:hAnsi="Arial" w:cs="Arial"/>
          <w:b/>
          <w:bCs/>
        </w:rPr>
      </w:pPr>
    </w:p>
    <w:p w14:paraId="207D3471" w14:textId="345B6C4D" w:rsidR="00E46DEF" w:rsidRDefault="00F6025E" w:rsidP="00C659B5">
      <w:pPr>
        <w:rPr>
          <w:rFonts w:ascii="Arial" w:hAnsi="Arial" w:cs="Arial"/>
          <w:b/>
          <w:bCs/>
        </w:rPr>
      </w:pPr>
      <w:r w:rsidRPr="001612A5">
        <w:rPr>
          <w:rFonts w:ascii="Arial" w:hAnsi="Arial" w:cs="Arial"/>
          <w:b/>
          <w:bCs/>
        </w:rPr>
        <w:t>Section 18</w:t>
      </w:r>
      <w:r w:rsidR="000D066C">
        <w:rPr>
          <w:rFonts w:ascii="Arial" w:hAnsi="Arial" w:cs="Arial"/>
          <w:b/>
          <w:bCs/>
        </w:rPr>
        <w:t>—</w:t>
      </w:r>
      <w:r w:rsidR="00620CA4">
        <w:rPr>
          <w:rFonts w:ascii="Arial" w:hAnsi="Arial" w:cs="Arial"/>
          <w:b/>
          <w:bCs/>
        </w:rPr>
        <w:t>Purpose of Part</w:t>
      </w:r>
    </w:p>
    <w:p w14:paraId="7E519AE7" w14:textId="37C7F3FD" w:rsidR="00954C3F" w:rsidRPr="001612A5" w:rsidRDefault="00F6025E" w:rsidP="00954C3F">
      <w:pPr>
        <w:rPr>
          <w:bCs/>
        </w:rPr>
      </w:pPr>
      <w:r w:rsidRPr="001612A5">
        <w:rPr>
          <w:bCs/>
        </w:rPr>
        <w:t xml:space="preserve">This </w:t>
      </w:r>
      <w:r w:rsidR="00A52974">
        <w:rPr>
          <w:bCs/>
        </w:rPr>
        <w:t>Part</w:t>
      </w:r>
      <w:r w:rsidR="00A52974" w:rsidRPr="001612A5">
        <w:rPr>
          <w:bCs/>
        </w:rPr>
        <w:t xml:space="preserve"> </w:t>
      </w:r>
      <w:r w:rsidR="00954C3F" w:rsidRPr="001612A5">
        <w:rPr>
          <w:bCs/>
        </w:rPr>
        <w:t xml:space="preserve">specifies the classes of products that are covered by the </w:t>
      </w:r>
      <w:r w:rsidR="00954C3F">
        <w:rPr>
          <w:bCs/>
        </w:rPr>
        <w:t>D</w:t>
      </w:r>
      <w:r w:rsidR="00954C3F" w:rsidRPr="001612A5">
        <w:rPr>
          <w:bCs/>
        </w:rPr>
        <w:t>etermination and those that are not</w:t>
      </w:r>
      <w:r w:rsidR="007A4923">
        <w:rPr>
          <w:bCs/>
        </w:rPr>
        <w:t>, for the purposes of subsections 23(1) and (2) of the Act</w:t>
      </w:r>
      <w:r w:rsidR="00954C3F" w:rsidRPr="002A116E">
        <w:rPr>
          <w:bCs/>
        </w:rPr>
        <w:t>.</w:t>
      </w:r>
    </w:p>
    <w:p w14:paraId="1BB0978A" w14:textId="77777777" w:rsidR="00620CA4" w:rsidRDefault="00620CA4" w:rsidP="00C659B5">
      <w:pPr>
        <w:rPr>
          <w:rFonts w:ascii="Arial" w:hAnsi="Arial" w:cs="Arial"/>
          <w:bCs/>
        </w:rPr>
      </w:pPr>
    </w:p>
    <w:p w14:paraId="60B25A47" w14:textId="58D9D0EE" w:rsidR="00620CA4" w:rsidRPr="001612A5" w:rsidRDefault="00F6025E" w:rsidP="00C659B5">
      <w:pPr>
        <w:rPr>
          <w:rFonts w:ascii="Arial" w:hAnsi="Arial" w:cs="Arial"/>
          <w:b/>
          <w:bCs/>
        </w:rPr>
      </w:pPr>
      <w:r w:rsidRPr="001612A5">
        <w:rPr>
          <w:rFonts w:ascii="Arial" w:hAnsi="Arial" w:cs="Arial"/>
          <w:b/>
          <w:bCs/>
        </w:rPr>
        <w:t>Section 19</w:t>
      </w:r>
      <w:r w:rsidR="000D066C">
        <w:rPr>
          <w:rFonts w:ascii="Arial" w:hAnsi="Arial" w:cs="Arial"/>
          <w:b/>
          <w:bCs/>
        </w:rPr>
        <w:t>—</w:t>
      </w:r>
      <w:r w:rsidRPr="001612A5">
        <w:rPr>
          <w:rFonts w:ascii="Arial" w:hAnsi="Arial" w:cs="Arial"/>
          <w:b/>
          <w:bCs/>
        </w:rPr>
        <w:t xml:space="preserve">Classes of products that are covered by the </w:t>
      </w:r>
      <w:r w:rsidR="00A76334">
        <w:rPr>
          <w:rFonts w:ascii="Arial" w:hAnsi="Arial" w:cs="Arial"/>
          <w:b/>
          <w:bCs/>
        </w:rPr>
        <w:t>D</w:t>
      </w:r>
      <w:r w:rsidRPr="001612A5">
        <w:rPr>
          <w:rFonts w:ascii="Arial" w:hAnsi="Arial" w:cs="Arial"/>
          <w:b/>
          <w:bCs/>
        </w:rPr>
        <w:t>etermination</w:t>
      </w:r>
    </w:p>
    <w:p w14:paraId="353E4B22" w14:textId="77777777" w:rsidR="005D4392" w:rsidRDefault="005D4392" w:rsidP="005D4392">
      <w:r>
        <w:rPr>
          <w:bCs/>
        </w:rPr>
        <w:t xml:space="preserve">This section specifies that product classes covered by the Determination are those listed in Schedule 1. Classification is based on </w:t>
      </w:r>
      <w:r>
        <w:t>cabinet type (see section 8), whether the cabinet is integral (see section 7), whether the cabinet is horizontal or vertical (see section 9) and whether the cabinet is a chiller or freezer.</w:t>
      </w:r>
    </w:p>
    <w:p w14:paraId="31D51C10" w14:textId="77777777" w:rsidR="005D4392" w:rsidRDefault="005D4392" w:rsidP="00C659B5">
      <w:pPr>
        <w:rPr>
          <w:bCs/>
        </w:rPr>
      </w:pPr>
    </w:p>
    <w:p w14:paraId="57A25AF1" w14:textId="77777777" w:rsidR="005D4392" w:rsidRDefault="005D4392" w:rsidP="00C659B5">
      <w:pPr>
        <w:rPr>
          <w:bCs/>
        </w:rPr>
      </w:pPr>
      <w:r>
        <w:rPr>
          <w:bCs/>
        </w:rPr>
        <w:t>Products covered by the Determination include refrigerated cabinets, which are defined in section 6 as devices that:</w:t>
      </w:r>
    </w:p>
    <w:p w14:paraId="0A87B42F" w14:textId="77777777" w:rsidR="005D4392" w:rsidRDefault="005D4392" w:rsidP="002D2BB4">
      <w:pPr>
        <w:pStyle w:val="ListBullet"/>
      </w:pPr>
      <w:r>
        <w:t xml:space="preserve">consist of an insulated cabinet with an opening (whether or not the </w:t>
      </w:r>
      <w:r w:rsidRPr="00EE378B">
        <w:t xml:space="preserve">opening </w:t>
      </w:r>
      <w:r>
        <w:t xml:space="preserve">has a lid or a door); </w:t>
      </w:r>
    </w:p>
    <w:p w14:paraId="13182061" w14:textId="77777777" w:rsidR="005D4392" w:rsidRDefault="005D4392" w:rsidP="002D2BB4">
      <w:pPr>
        <w:pStyle w:val="ListBullet"/>
      </w:pPr>
      <w:r>
        <w:t xml:space="preserve">are capable of attaining and maintaining a specified temperature within the insulated cabinet within a range that </w:t>
      </w:r>
      <w:r w:rsidRPr="00336F89">
        <w:t>overlaps the range</w:t>
      </w:r>
      <w:r w:rsidRPr="00A50BFE">
        <w:t xml:space="preserve"> </w:t>
      </w:r>
      <w:r>
        <w:t>-18</w:t>
      </w:r>
      <w:r>
        <w:sym w:font="Symbol" w:char="F0B0"/>
      </w:r>
      <w:r>
        <w:t xml:space="preserve">C </w:t>
      </w:r>
      <w:r w:rsidRPr="00336F89">
        <w:t xml:space="preserve">to </w:t>
      </w:r>
      <w:r>
        <w:t>+10</w:t>
      </w:r>
      <w:r>
        <w:sym w:font="Symbol" w:char="F0B0"/>
      </w:r>
      <w:r>
        <w:t>C; and</w:t>
      </w:r>
    </w:p>
    <w:p w14:paraId="1F9EF0A6" w14:textId="77777777" w:rsidR="005D4392" w:rsidRPr="005D4392" w:rsidRDefault="005D4392" w:rsidP="002D2BB4">
      <w:pPr>
        <w:pStyle w:val="ListBullet"/>
      </w:pPr>
      <w:r>
        <w:t>are designed primarily for storage, display, or both storage and display, of chilled or frozen foodstuffs.</w:t>
      </w:r>
    </w:p>
    <w:p w14:paraId="2F82C7C1" w14:textId="77777777" w:rsidR="005D4392" w:rsidRDefault="005D4392" w:rsidP="00C659B5">
      <w:pPr>
        <w:rPr>
          <w:bCs/>
        </w:rPr>
      </w:pPr>
    </w:p>
    <w:p w14:paraId="4735FA79" w14:textId="2837B89F" w:rsidR="005D4392" w:rsidRDefault="005D4392" w:rsidP="00C659B5">
      <w:pPr>
        <w:rPr>
          <w:bCs/>
        </w:rPr>
      </w:pPr>
      <w:r>
        <w:rPr>
          <w:bCs/>
        </w:rPr>
        <w:t>The</w:t>
      </w:r>
      <w:r w:rsidR="00A76334">
        <w:rPr>
          <w:bCs/>
        </w:rPr>
        <w:t xml:space="preserve"> </w:t>
      </w:r>
      <w:r>
        <w:rPr>
          <w:bCs/>
        </w:rPr>
        <w:t>types of refrigerated cabinet covered by the Determination (see section 8)</w:t>
      </w:r>
      <w:r w:rsidR="00A54BD3">
        <w:rPr>
          <w:bCs/>
        </w:rPr>
        <w:t xml:space="preserve"> has been widened</w:t>
      </w:r>
      <w:r w:rsidR="00131E88">
        <w:rPr>
          <w:bCs/>
        </w:rPr>
        <w:t xml:space="preserve"> compared to the revoke</w:t>
      </w:r>
      <w:r w:rsidR="00CA1519">
        <w:rPr>
          <w:bCs/>
        </w:rPr>
        <w:t>d</w:t>
      </w:r>
      <w:r w:rsidR="00131E88">
        <w:rPr>
          <w:bCs/>
        </w:rPr>
        <w:t xml:space="preserve"> Determination</w:t>
      </w:r>
      <w:r w:rsidR="00A54BD3">
        <w:rPr>
          <w:bCs/>
        </w:rPr>
        <w:t xml:space="preserve">. The revoked Determination covered </w:t>
      </w:r>
      <w:r w:rsidR="00012000">
        <w:rPr>
          <w:bCs/>
        </w:rPr>
        <w:t xml:space="preserve">only </w:t>
      </w:r>
      <w:r w:rsidR="00A54BD3">
        <w:rPr>
          <w:bCs/>
        </w:rPr>
        <w:t xml:space="preserve">refrigerated </w:t>
      </w:r>
      <w:r w:rsidR="00CA1519">
        <w:rPr>
          <w:bCs/>
        </w:rPr>
        <w:t xml:space="preserve">display </w:t>
      </w:r>
      <w:r w:rsidR="00A54BD3">
        <w:rPr>
          <w:bCs/>
        </w:rPr>
        <w:t>cabinets</w:t>
      </w:r>
      <w:r w:rsidR="00012000">
        <w:rPr>
          <w:bCs/>
        </w:rPr>
        <w:t>, whereas t</w:t>
      </w:r>
      <w:r w:rsidR="00A54BD3">
        <w:rPr>
          <w:bCs/>
        </w:rPr>
        <w:t xml:space="preserve">he scope of this Determination includes refrigerated </w:t>
      </w:r>
      <w:r w:rsidR="00CA1519">
        <w:rPr>
          <w:bCs/>
        </w:rPr>
        <w:t xml:space="preserve">storage </w:t>
      </w:r>
      <w:r w:rsidR="00A54BD3">
        <w:rPr>
          <w:bCs/>
        </w:rPr>
        <w:t xml:space="preserve">cabinets, ice cream freezer cabinets and gelato scooping cabinets. </w:t>
      </w:r>
    </w:p>
    <w:p w14:paraId="13A028F2" w14:textId="77777777" w:rsidR="00A52974" w:rsidRDefault="00A52974" w:rsidP="00C659B5">
      <w:pPr>
        <w:rPr>
          <w:bCs/>
        </w:rPr>
      </w:pPr>
    </w:p>
    <w:p w14:paraId="024F8829" w14:textId="6076D658" w:rsidR="005C6662" w:rsidRPr="002D2BB4" w:rsidRDefault="005C6662" w:rsidP="00C659B5">
      <w:pPr>
        <w:rPr>
          <w:bCs/>
        </w:rPr>
      </w:pPr>
      <w:r w:rsidRPr="002D2BB4">
        <w:rPr>
          <w:bCs/>
        </w:rPr>
        <w:t>The Determination</w:t>
      </w:r>
      <w:r>
        <w:rPr>
          <w:bCs/>
        </w:rPr>
        <w:t xml:space="preserve"> covers products in </w:t>
      </w:r>
      <w:r w:rsidR="008C2902">
        <w:rPr>
          <w:bCs/>
        </w:rPr>
        <w:t>the</w:t>
      </w:r>
      <w:r>
        <w:rPr>
          <w:bCs/>
        </w:rPr>
        <w:t xml:space="preserve"> product classes </w:t>
      </w:r>
      <w:r w:rsidR="008C2902">
        <w:rPr>
          <w:bCs/>
        </w:rPr>
        <w:t xml:space="preserve">listed in Schedule 1 </w:t>
      </w:r>
      <w:r>
        <w:rPr>
          <w:bCs/>
        </w:rPr>
        <w:t xml:space="preserve">irrespective of whether </w:t>
      </w:r>
      <w:r w:rsidR="00825599">
        <w:rPr>
          <w:bCs/>
        </w:rPr>
        <w:t xml:space="preserve">the context in which they are used, for example if </w:t>
      </w:r>
      <w:r>
        <w:rPr>
          <w:bCs/>
        </w:rPr>
        <w:t xml:space="preserve">they are used in an industrial, commercial or domestic context. </w:t>
      </w:r>
      <w:r w:rsidR="00A52974">
        <w:t xml:space="preserve">For example, refrigerated drinks cabinets designed for a commercial application that are being used in a domestic applications are covered by the Determination. </w:t>
      </w:r>
    </w:p>
    <w:p w14:paraId="402741DF" w14:textId="77777777" w:rsidR="005C6662" w:rsidRDefault="005C6662" w:rsidP="00C659B5">
      <w:pPr>
        <w:rPr>
          <w:rFonts w:ascii="Arial" w:hAnsi="Arial" w:cs="Arial"/>
          <w:bCs/>
        </w:rPr>
      </w:pPr>
    </w:p>
    <w:p w14:paraId="3D16CB9A" w14:textId="704DF04F" w:rsidR="00620CA4" w:rsidRDefault="00F6025E" w:rsidP="002D2BB4">
      <w:pPr>
        <w:keepNext/>
        <w:rPr>
          <w:rFonts w:ascii="Arial" w:hAnsi="Arial" w:cs="Arial"/>
          <w:b/>
          <w:bCs/>
        </w:rPr>
      </w:pPr>
      <w:r w:rsidRPr="00AC16A8">
        <w:rPr>
          <w:rFonts w:ascii="Arial" w:hAnsi="Arial" w:cs="Arial"/>
          <w:b/>
          <w:bCs/>
        </w:rPr>
        <w:t>Section 20</w:t>
      </w:r>
      <w:r w:rsidR="000D066C">
        <w:rPr>
          <w:rFonts w:ascii="Arial" w:hAnsi="Arial" w:cs="Arial"/>
          <w:b/>
          <w:bCs/>
        </w:rPr>
        <w:t>—</w:t>
      </w:r>
      <w:r w:rsidRPr="00AC16A8">
        <w:rPr>
          <w:rFonts w:ascii="Arial" w:hAnsi="Arial" w:cs="Arial"/>
          <w:b/>
          <w:bCs/>
        </w:rPr>
        <w:t>Classes of products that are not covered by the determination</w:t>
      </w:r>
    </w:p>
    <w:p w14:paraId="2E8D9748" w14:textId="41448B74" w:rsidR="00447380" w:rsidRPr="00AC16A8" w:rsidRDefault="00F6025E" w:rsidP="00C659B5">
      <w:pPr>
        <w:rPr>
          <w:bCs/>
        </w:rPr>
      </w:pPr>
      <w:r w:rsidRPr="00AC16A8">
        <w:rPr>
          <w:bCs/>
        </w:rPr>
        <w:t xml:space="preserve">This </w:t>
      </w:r>
      <w:r w:rsidR="00521F96">
        <w:rPr>
          <w:bCs/>
        </w:rPr>
        <w:t>s</w:t>
      </w:r>
      <w:r w:rsidRPr="00AC16A8">
        <w:rPr>
          <w:bCs/>
        </w:rPr>
        <w:t xml:space="preserve">ection </w:t>
      </w:r>
      <w:r w:rsidR="00A52974">
        <w:rPr>
          <w:bCs/>
        </w:rPr>
        <w:t>sets out</w:t>
      </w:r>
      <w:r w:rsidR="00B57E49">
        <w:rPr>
          <w:bCs/>
        </w:rPr>
        <w:t xml:space="preserve"> </w:t>
      </w:r>
      <w:r w:rsidRPr="00AC16A8">
        <w:rPr>
          <w:bCs/>
        </w:rPr>
        <w:t>product</w:t>
      </w:r>
      <w:r w:rsidR="00B57E49">
        <w:rPr>
          <w:bCs/>
        </w:rPr>
        <w:t xml:space="preserve"> classes</w:t>
      </w:r>
      <w:r w:rsidRPr="00AC16A8">
        <w:rPr>
          <w:bCs/>
        </w:rPr>
        <w:t xml:space="preserve"> that are not covered by the </w:t>
      </w:r>
      <w:r w:rsidR="00B57E49">
        <w:rPr>
          <w:bCs/>
        </w:rPr>
        <w:t>D</w:t>
      </w:r>
      <w:r w:rsidRPr="00AC16A8">
        <w:rPr>
          <w:bCs/>
        </w:rPr>
        <w:t>etermination. These classes of products include:</w:t>
      </w:r>
    </w:p>
    <w:p w14:paraId="08F171D0" w14:textId="77777777" w:rsidR="002F1FF9" w:rsidRPr="00AC16A8" w:rsidRDefault="00F6025E" w:rsidP="000F6ACF">
      <w:pPr>
        <w:numPr>
          <w:ilvl w:val="0"/>
          <w:numId w:val="5"/>
        </w:numPr>
        <w:rPr>
          <w:bCs/>
        </w:rPr>
      </w:pPr>
      <w:r w:rsidRPr="00AC16A8">
        <w:rPr>
          <w:bCs/>
        </w:rPr>
        <w:t>refrigerated vending machines;</w:t>
      </w:r>
    </w:p>
    <w:p w14:paraId="31A7E512" w14:textId="77777777" w:rsidR="002F1FF9" w:rsidRPr="00AC16A8" w:rsidRDefault="00F6025E" w:rsidP="000F6ACF">
      <w:pPr>
        <w:numPr>
          <w:ilvl w:val="0"/>
          <w:numId w:val="5"/>
        </w:numPr>
        <w:rPr>
          <w:bCs/>
        </w:rPr>
      </w:pPr>
      <w:r w:rsidRPr="00AC16A8">
        <w:rPr>
          <w:bCs/>
        </w:rPr>
        <w:t>icemakers;</w:t>
      </w:r>
    </w:p>
    <w:p w14:paraId="110BB956" w14:textId="2950A13A" w:rsidR="002F1FF9" w:rsidRPr="00AC16A8" w:rsidRDefault="00F6025E" w:rsidP="000F6ACF">
      <w:pPr>
        <w:numPr>
          <w:ilvl w:val="0"/>
          <w:numId w:val="5"/>
        </w:numPr>
        <w:rPr>
          <w:bCs/>
        </w:rPr>
      </w:pPr>
      <w:r w:rsidRPr="00AC16A8">
        <w:rPr>
          <w:bCs/>
        </w:rPr>
        <w:t>cabinets designed for both processing and storage</w:t>
      </w:r>
      <w:r w:rsidR="00C33F88">
        <w:rPr>
          <w:bCs/>
        </w:rPr>
        <w:t xml:space="preserve"> (e.g. bakery cabinets that chill</w:t>
      </w:r>
      <w:r w:rsidR="00A76334">
        <w:rPr>
          <w:bCs/>
        </w:rPr>
        <w:t>,</w:t>
      </w:r>
      <w:r w:rsidR="00C33F88">
        <w:rPr>
          <w:bCs/>
        </w:rPr>
        <w:t xml:space="preserve"> heat and humidify; open top tables and saladettes for food preparation; storage cabinets designed to operate at temperatures outside the scope of this Determination (e.g. </w:t>
      </w:r>
      <w:r w:rsidR="00D13E5A">
        <w:rPr>
          <w:bCs/>
        </w:rPr>
        <w:t xml:space="preserve">for storing </w:t>
      </w:r>
      <w:r w:rsidR="00C33F88">
        <w:rPr>
          <w:bCs/>
        </w:rPr>
        <w:t>fresh meat, fresh fish</w:t>
      </w:r>
      <w:r w:rsidR="00AB1F83">
        <w:rPr>
          <w:bCs/>
        </w:rPr>
        <w:t>, wine</w:t>
      </w:r>
      <w:r w:rsidR="00C33F88">
        <w:rPr>
          <w:bCs/>
        </w:rPr>
        <w:t>)</w:t>
      </w:r>
      <w:r w:rsidRPr="00AC16A8">
        <w:rPr>
          <w:bCs/>
        </w:rPr>
        <w:t>;</w:t>
      </w:r>
    </w:p>
    <w:p w14:paraId="09D1CAE6" w14:textId="77777777" w:rsidR="002F1FF9" w:rsidRPr="00AC16A8" w:rsidRDefault="00F6025E" w:rsidP="000F6ACF">
      <w:pPr>
        <w:numPr>
          <w:ilvl w:val="0"/>
          <w:numId w:val="5"/>
        </w:numPr>
        <w:rPr>
          <w:bCs/>
        </w:rPr>
      </w:pPr>
      <w:r w:rsidRPr="00AC16A8">
        <w:rPr>
          <w:bCs/>
        </w:rPr>
        <w:t>refrigerated cabinets with water cooled condensers;</w:t>
      </w:r>
    </w:p>
    <w:p w14:paraId="506184F0" w14:textId="2053B40A" w:rsidR="002F1FF9" w:rsidRPr="00AC16A8" w:rsidRDefault="00825599" w:rsidP="000F6ACF">
      <w:pPr>
        <w:numPr>
          <w:ilvl w:val="0"/>
          <w:numId w:val="5"/>
        </w:numPr>
        <w:rPr>
          <w:bCs/>
        </w:rPr>
      </w:pPr>
      <w:r>
        <w:rPr>
          <w:bCs/>
        </w:rPr>
        <w:t xml:space="preserve">products covered by the </w:t>
      </w:r>
      <w:r w:rsidRPr="00F768C9">
        <w:rPr>
          <w:bCs/>
          <w:i/>
        </w:rPr>
        <w:t>Greenhouse and Energy Minimum Standard (Household Refrigerating Appliances) Determination 2012</w:t>
      </w:r>
      <w:r>
        <w:rPr>
          <w:bCs/>
          <w:i/>
        </w:rPr>
        <w:t xml:space="preserve">, </w:t>
      </w:r>
      <w:r w:rsidRPr="00921BB5">
        <w:rPr>
          <w:bCs/>
        </w:rPr>
        <w:t>for example</w:t>
      </w:r>
      <w:r>
        <w:rPr>
          <w:bCs/>
          <w:i/>
        </w:rPr>
        <w:t xml:space="preserve"> </w:t>
      </w:r>
      <w:r w:rsidR="00F6025E" w:rsidRPr="00AC16A8">
        <w:rPr>
          <w:bCs/>
        </w:rPr>
        <w:t>domestic refrigeration appliances other than beverage coolers;</w:t>
      </w:r>
    </w:p>
    <w:p w14:paraId="4835CB8C" w14:textId="738B9718" w:rsidR="002F1FF9" w:rsidRPr="00AC16A8" w:rsidRDefault="00F6025E" w:rsidP="000F6ACF">
      <w:pPr>
        <w:numPr>
          <w:ilvl w:val="0"/>
          <w:numId w:val="5"/>
        </w:numPr>
        <w:rPr>
          <w:bCs/>
        </w:rPr>
      </w:pPr>
      <w:r w:rsidRPr="00AC16A8">
        <w:rPr>
          <w:bCs/>
        </w:rPr>
        <w:t>refrigerated storage cabinets that are built-in cabinets</w:t>
      </w:r>
      <w:r w:rsidR="00C33F88">
        <w:rPr>
          <w:bCs/>
        </w:rPr>
        <w:t xml:space="preserve"> (as specified in EN 16825)</w:t>
      </w:r>
      <w:r w:rsidRPr="00AC16A8">
        <w:rPr>
          <w:bCs/>
        </w:rPr>
        <w:t>;</w:t>
      </w:r>
    </w:p>
    <w:p w14:paraId="52CE83F6" w14:textId="7CD76E16" w:rsidR="002F1FF9" w:rsidRPr="00AC16A8" w:rsidRDefault="00F6025E" w:rsidP="000F6ACF">
      <w:pPr>
        <w:numPr>
          <w:ilvl w:val="0"/>
          <w:numId w:val="5"/>
        </w:numPr>
        <w:rPr>
          <w:bCs/>
        </w:rPr>
      </w:pPr>
      <w:r w:rsidRPr="00AC16A8">
        <w:rPr>
          <w:bCs/>
        </w:rPr>
        <w:t xml:space="preserve">refrigerated storage cabinets </w:t>
      </w:r>
      <w:r w:rsidR="00D13E5A">
        <w:rPr>
          <w:bCs/>
        </w:rPr>
        <w:t xml:space="preserve">that are </w:t>
      </w:r>
      <w:r w:rsidRPr="00AC16A8">
        <w:rPr>
          <w:bCs/>
        </w:rPr>
        <w:t>roll-in cabinets</w:t>
      </w:r>
      <w:r w:rsidR="00C33F88">
        <w:rPr>
          <w:bCs/>
        </w:rPr>
        <w:t xml:space="preserve"> (as specified in EN 16825)</w:t>
      </w:r>
      <w:r w:rsidRPr="00AC16A8">
        <w:rPr>
          <w:bCs/>
        </w:rPr>
        <w:t>;</w:t>
      </w:r>
    </w:p>
    <w:p w14:paraId="57A966DB" w14:textId="672D9DF1" w:rsidR="002F1FF9" w:rsidRPr="00AC16A8" w:rsidRDefault="00F6025E" w:rsidP="000F6ACF">
      <w:pPr>
        <w:numPr>
          <w:ilvl w:val="0"/>
          <w:numId w:val="5"/>
        </w:numPr>
        <w:rPr>
          <w:bCs/>
        </w:rPr>
      </w:pPr>
      <w:r w:rsidRPr="00AC16A8">
        <w:rPr>
          <w:bCs/>
        </w:rPr>
        <w:t xml:space="preserve">refrigerated storage cabinets </w:t>
      </w:r>
      <w:r w:rsidR="00D13E5A">
        <w:rPr>
          <w:bCs/>
        </w:rPr>
        <w:t xml:space="preserve">that are </w:t>
      </w:r>
      <w:r w:rsidRPr="00AC16A8">
        <w:rPr>
          <w:bCs/>
        </w:rPr>
        <w:t>pass through cabinets</w:t>
      </w:r>
      <w:r w:rsidR="00C33F88">
        <w:rPr>
          <w:bCs/>
        </w:rPr>
        <w:t xml:space="preserve"> (as specified in EN 16825)</w:t>
      </w:r>
      <w:r w:rsidRPr="00AC16A8">
        <w:rPr>
          <w:bCs/>
        </w:rPr>
        <w:t>;</w:t>
      </w:r>
    </w:p>
    <w:p w14:paraId="18DBCE61" w14:textId="3C09D664" w:rsidR="002F1FF9" w:rsidRPr="00A50A13" w:rsidRDefault="00F6025E" w:rsidP="000F6ACF">
      <w:pPr>
        <w:numPr>
          <w:ilvl w:val="0"/>
          <w:numId w:val="5"/>
        </w:numPr>
        <w:rPr>
          <w:bCs/>
        </w:rPr>
      </w:pPr>
      <w:r w:rsidRPr="00A50A13">
        <w:rPr>
          <w:bCs/>
        </w:rPr>
        <w:t xml:space="preserve">appliances for short term </w:t>
      </w:r>
      <w:r w:rsidR="00C33F88">
        <w:rPr>
          <w:bCs/>
        </w:rPr>
        <w:t xml:space="preserve">or intermittent normal </w:t>
      </w:r>
      <w:r w:rsidRPr="00A50A13">
        <w:rPr>
          <w:bCs/>
        </w:rPr>
        <w:t>operation</w:t>
      </w:r>
      <w:r w:rsidR="00C33F88">
        <w:rPr>
          <w:bCs/>
        </w:rPr>
        <w:t xml:space="preserve"> during the full day</w:t>
      </w:r>
      <w:r w:rsidRPr="00A50A13">
        <w:rPr>
          <w:bCs/>
        </w:rPr>
        <w:t>;</w:t>
      </w:r>
      <w:r w:rsidR="00B95DB5">
        <w:rPr>
          <w:bCs/>
        </w:rPr>
        <w:t xml:space="preserve"> </w:t>
      </w:r>
    </w:p>
    <w:p w14:paraId="43892B84" w14:textId="0EF2BB14" w:rsidR="002F1FF9" w:rsidRDefault="00C33F88" w:rsidP="000F6ACF">
      <w:pPr>
        <w:numPr>
          <w:ilvl w:val="0"/>
          <w:numId w:val="5"/>
        </w:numPr>
        <w:rPr>
          <w:bCs/>
        </w:rPr>
      </w:pPr>
      <w:r>
        <w:rPr>
          <w:bCs/>
        </w:rPr>
        <w:t>RDCs that are low sales volume, oversize or both</w:t>
      </w:r>
      <w:r w:rsidR="00D13E5A">
        <w:rPr>
          <w:bCs/>
        </w:rPr>
        <w:t>,</w:t>
      </w:r>
      <w:r>
        <w:rPr>
          <w:bCs/>
        </w:rPr>
        <w:t xml:space="preserve"> </w:t>
      </w:r>
      <w:r w:rsidR="00D13E5A">
        <w:rPr>
          <w:bCs/>
        </w:rPr>
        <w:t xml:space="preserve">and </w:t>
      </w:r>
      <w:r>
        <w:rPr>
          <w:bCs/>
        </w:rPr>
        <w:t xml:space="preserve">have an </w:t>
      </w:r>
      <w:r w:rsidR="00F6025E" w:rsidRPr="00A50A13">
        <w:rPr>
          <w:bCs/>
        </w:rPr>
        <w:t>indirect refrigeration system</w:t>
      </w:r>
      <w:r w:rsidR="00D13E5A">
        <w:rPr>
          <w:bCs/>
        </w:rPr>
        <w:t xml:space="preserve"> within the meaning of ISO 23953-2</w:t>
      </w:r>
      <w:r w:rsidR="00ED72F0">
        <w:rPr>
          <w:bCs/>
        </w:rPr>
        <w:t>; and</w:t>
      </w:r>
    </w:p>
    <w:p w14:paraId="75103295" w14:textId="20B2DCDF" w:rsidR="00D13E5A" w:rsidRDefault="00D13E5A" w:rsidP="000F6ACF">
      <w:pPr>
        <w:numPr>
          <w:ilvl w:val="0"/>
          <w:numId w:val="5"/>
        </w:numPr>
        <w:rPr>
          <w:bCs/>
        </w:rPr>
      </w:pPr>
      <w:r>
        <w:rPr>
          <w:bCs/>
        </w:rPr>
        <w:t>RSCs that are not light duty, normal duty, or heavy duty.</w:t>
      </w:r>
    </w:p>
    <w:p w14:paraId="779B8AF2" w14:textId="55FAEF42" w:rsidR="00010A06" w:rsidRPr="00921BB5" w:rsidRDefault="00010A06" w:rsidP="00921BB5">
      <w:pPr>
        <w:ind w:left="405"/>
        <w:rPr>
          <w:b/>
          <w:bCs/>
          <w:i/>
        </w:rPr>
      </w:pPr>
    </w:p>
    <w:p w14:paraId="00573D5A" w14:textId="68EC1EC8" w:rsidR="00821009" w:rsidRPr="00921BB5" w:rsidRDefault="00921BB5">
      <w:pPr>
        <w:rPr>
          <w:bCs/>
        </w:rPr>
      </w:pPr>
      <w:r w:rsidRPr="00921BB5">
        <w:rPr>
          <w:bCs/>
        </w:rPr>
        <w:t>Definitions are provided for terms that are used in this section.</w:t>
      </w:r>
    </w:p>
    <w:p w14:paraId="47E881ED" w14:textId="77777777" w:rsidR="00F85BB3" w:rsidRDefault="00F85BB3" w:rsidP="002D2BB4">
      <w:pPr>
        <w:pStyle w:val="Heading1"/>
        <w:sectPr w:rsidR="00F85BB3" w:rsidSect="00662031">
          <w:headerReference w:type="default" r:id="rId16"/>
          <w:pgSz w:w="11907" w:h="16839" w:code="9"/>
          <w:pgMar w:top="1440" w:right="1800" w:bottom="1440" w:left="1800" w:header="720" w:footer="720" w:gutter="0"/>
          <w:cols w:space="720"/>
          <w:noEndnote/>
          <w:docGrid w:linePitch="326"/>
        </w:sectPr>
      </w:pPr>
    </w:p>
    <w:p w14:paraId="2DD9435E" w14:textId="722F6A27" w:rsidR="00832752" w:rsidRDefault="00832752" w:rsidP="002D2BB4">
      <w:pPr>
        <w:pStyle w:val="Heading1"/>
      </w:pPr>
      <w:r>
        <w:t>Part 3</w:t>
      </w:r>
      <w:r w:rsidR="00F85BB3">
        <w:t>—</w:t>
      </w:r>
      <w:r>
        <w:t>GEMS level requirements</w:t>
      </w:r>
    </w:p>
    <w:p w14:paraId="02FA444C" w14:textId="4293E890" w:rsidR="00BB2F59" w:rsidRDefault="00BB2F59" w:rsidP="002D2BB4">
      <w:pPr>
        <w:pStyle w:val="Heading1"/>
      </w:pPr>
      <w:r>
        <w:t>Division 1</w:t>
      </w:r>
      <w:r w:rsidR="000D066C">
        <w:t>—</w:t>
      </w:r>
      <w:r>
        <w:t>Preliminary</w:t>
      </w:r>
      <w:r w:rsidR="0043216F">
        <w:t xml:space="preserve"> </w:t>
      </w:r>
    </w:p>
    <w:p w14:paraId="50FA57C8" w14:textId="7FAFDDEF" w:rsidR="008726E8" w:rsidRPr="00921BB5" w:rsidRDefault="008726E8" w:rsidP="00832752">
      <w:pPr>
        <w:autoSpaceDE w:val="0"/>
        <w:autoSpaceDN w:val="0"/>
        <w:adjustRightInd w:val="0"/>
        <w:spacing w:before="120" w:after="80"/>
        <w:rPr>
          <w:rFonts w:ascii="Arial" w:hAnsi="Arial" w:cs="Arial"/>
          <w:b/>
          <w:bCs/>
        </w:rPr>
      </w:pPr>
      <w:r w:rsidRPr="00921BB5">
        <w:rPr>
          <w:rFonts w:ascii="Arial" w:hAnsi="Arial" w:cs="Arial"/>
          <w:b/>
          <w:bCs/>
        </w:rPr>
        <w:t>Section 21</w:t>
      </w:r>
      <w:r w:rsidR="000D066C">
        <w:rPr>
          <w:rFonts w:ascii="Arial" w:hAnsi="Arial" w:cs="Arial"/>
          <w:b/>
          <w:bCs/>
        </w:rPr>
        <w:t>—</w:t>
      </w:r>
      <w:r w:rsidRPr="00921BB5">
        <w:rPr>
          <w:rFonts w:ascii="Arial" w:hAnsi="Arial" w:cs="Arial"/>
          <w:b/>
          <w:bCs/>
        </w:rPr>
        <w:t>Purpose of Part</w:t>
      </w:r>
    </w:p>
    <w:p w14:paraId="561ABC9F" w14:textId="68F72C0C" w:rsidR="00832752" w:rsidRPr="00AC16A8" w:rsidRDefault="008726E8" w:rsidP="00832752">
      <w:pPr>
        <w:autoSpaceDE w:val="0"/>
        <w:autoSpaceDN w:val="0"/>
        <w:adjustRightInd w:val="0"/>
        <w:spacing w:before="120" w:after="80"/>
        <w:rPr>
          <w:bCs/>
        </w:rPr>
      </w:pPr>
      <w:r>
        <w:rPr>
          <w:bCs/>
        </w:rPr>
        <w:t xml:space="preserve">This </w:t>
      </w:r>
      <w:r w:rsidR="00F6025E" w:rsidRPr="00AC16A8">
        <w:rPr>
          <w:bCs/>
        </w:rPr>
        <w:t>Part specifies</w:t>
      </w:r>
      <w:r>
        <w:rPr>
          <w:bCs/>
        </w:rPr>
        <w:t>, in accordance with section 25 of the Act,</w:t>
      </w:r>
      <w:r w:rsidR="00F6025E" w:rsidRPr="00AC16A8">
        <w:rPr>
          <w:bCs/>
        </w:rPr>
        <w:t xml:space="preserve"> the GEMS level requirements for energy use for refrigerated cabinets covered by the Determination, including requirements for conducting tests in order to demonstrate compliance and how to determine the Energy Efficiency Index (</w:t>
      </w:r>
      <w:r w:rsidR="00F6025E" w:rsidRPr="008C0D06">
        <w:rPr>
          <w:bCs/>
        </w:rPr>
        <w:t>EEI</w:t>
      </w:r>
      <w:r w:rsidR="00F6025E" w:rsidRPr="00AC16A8">
        <w:rPr>
          <w:bCs/>
        </w:rPr>
        <w:t xml:space="preserve">) for all types of cabinets </w:t>
      </w:r>
      <w:r w:rsidR="00BB2F59">
        <w:rPr>
          <w:bCs/>
        </w:rPr>
        <w:t>and</w:t>
      </w:r>
      <w:r w:rsidR="00BB2F59" w:rsidRPr="00AC16A8">
        <w:rPr>
          <w:bCs/>
        </w:rPr>
        <w:t xml:space="preserve"> </w:t>
      </w:r>
      <w:r w:rsidR="00442747">
        <w:rPr>
          <w:bCs/>
        </w:rPr>
        <w:t xml:space="preserve">low sales volume </w:t>
      </w:r>
      <w:r w:rsidR="00F6025E" w:rsidRPr="00AC16A8">
        <w:rPr>
          <w:bCs/>
        </w:rPr>
        <w:t>and oversize</w:t>
      </w:r>
      <w:r w:rsidR="00CD7491">
        <w:rPr>
          <w:bCs/>
        </w:rPr>
        <w:t xml:space="preserve"> refrigerated cabinets</w:t>
      </w:r>
      <w:r>
        <w:rPr>
          <w:bCs/>
        </w:rPr>
        <w:t>, for the purposes of paragraphs 24(1)(a) and 25(b) of the Act.</w:t>
      </w:r>
    </w:p>
    <w:p w14:paraId="0CD95FE9" w14:textId="27A06F0A" w:rsidR="005544A1" w:rsidRPr="00921BB5" w:rsidRDefault="005544A1" w:rsidP="00832752">
      <w:pPr>
        <w:autoSpaceDE w:val="0"/>
        <w:autoSpaceDN w:val="0"/>
        <w:adjustRightInd w:val="0"/>
        <w:spacing w:before="120" w:after="80"/>
        <w:rPr>
          <w:rFonts w:ascii="Arial" w:hAnsi="Arial" w:cs="Arial"/>
          <w:b/>
          <w:bCs/>
        </w:rPr>
      </w:pPr>
      <w:r w:rsidRPr="00F768C9">
        <w:rPr>
          <w:rFonts w:ascii="Arial" w:hAnsi="Arial" w:cs="Arial"/>
          <w:b/>
          <w:bCs/>
        </w:rPr>
        <w:t xml:space="preserve">Section </w:t>
      </w:r>
      <w:r>
        <w:rPr>
          <w:rFonts w:ascii="Arial" w:hAnsi="Arial" w:cs="Arial"/>
          <w:b/>
          <w:bCs/>
        </w:rPr>
        <w:t>22</w:t>
      </w:r>
      <w:r w:rsidR="000D066C">
        <w:rPr>
          <w:rFonts w:ascii="Arial" w:hAnsi="Arial" w:cs="Arial"/>
          <w:b/>
          <w:bCs/>
        </w:rPr>
        <w:t>—</w:t>
      </w:r>
      <w:r>
        <w:rPr>
          <w:rFonts w:ascii="Arial" w:hAnsi="Arial" w:cs="Arial"/>
          <w:b/>
          <w:bCs/>
        </w:rPr>
        <w:t>Definitions</w:t>
      </w:r>
    </w:p>
    <w:p w14:paraId="5AC315A0" w14:textId="051A2ED2" w:rsidR="00FA0A18" w:rsidRPr="00AC16A8" w:rsidRDefault="00CD7491" w:rsidP="00832752">
      <w:pPr>
        <w:autoSpaceDE w:val="0"/>
        <w:autoSpaceDN w:val="0"/>
        <w:adjustRightInd w:val="0"/>
        <w:spacing w:before="120" w:after="80"/>
        <w:rPr>
          <w:bCs/>
        </w:rPr>
      </w:pPr>
      <w:r>
        <w:rPr>
          <w:bCs/>
        </w:rPr>
        <w:t>S</w:t>
      </w:r>
      <w:r w:rsidR="00F6025E" w:rsidRPr="00AC16A8">
        <w:rPr>
          <w:bCs/>
        </w:rPr>
        <w:t xml:space="preserve">ection </w:t>
      </w:r>
      <w:r w:rsidR="00BB2F59">
        <w:rPr>
          <w:bCs/>
        </w:rPr>
        <w:t xml:space="preserve">22 </w:t>
      </w:r>
      <w:r w:rsidR="00F6025E" w:rsidRPr="00AC16A8">
        <w:rPr>
          <w:bCs/>
        </w:rPr>
        <w:t xml:space="preserve">defines the </w:t>
      </w:r>
      <w:r w:rsidR="00F67054">
        <w:rPr>
          <w:bCs/>
        </w:rPr>
        <w:t xml:space="preserve">low–efficiency </w:t>
      </w:r>
      <w:r w:rsidR="00820B9D">
        <w:rPr>
          <w:bCs/>
        </w:rPr>
        <w:t xml:space="preserve">terms that are used in this Part, including </w:t>
      </w:r>
      <w:r w:rsidR="00F6025E" w:rsidRPr="00AC16A8">
        <w:rPr>
          <w:bCs/>
        </w:rPr>
        <w:t>relevant component</w:t>
      </w:r>
      <w:r w:rsidR="00F67054">
        <w:rPr>
          <w:bCs/>
        </w:rPr>
        <w:t>s</w:t>
      </w:r>
      <w:r w:rsidR="00F6025E" w:rsidRPr="00AC16A8">
        <w:rPr>
          <w:bCs/>
        </w:rPr>
        <w:t xml:space="preserve"> </w:t>
      </w:r>
      <w:r w:rsidR="00820B9D">
        <w:rPr>
          <w:bCs/>
        </w:rPr>
        <w:t>of RDC</w:t>
      </w:r>
      <w:r w:rsidR="0055660C">
        <w:rPr>
          <w:bCs/>
        </w:rPr>
        <w:t>s</w:t>
      </w:r>
      <w:r w:rsidR="00820B9D">
        <w:rPr>
          <w:bCs/>
        </w:rPr>
        <w:t xml:space="preserve"> or RSCs </w:t>
      </w:r>
      <w:r w:rsidR="00F6025E" w:rsidRPr="00AC16A8">
        <w:rPr>
          <w:bCs/>
        </w:rPr>
        <w:t>and standard component</w:t>
      </w:r>
      <w:r>
        <w:rPr>
          <w:bCs/>
        </w:rPr>
        <w:t>s</w:t>
      </w:r>
      <w:r w:rsidR="00F6025E" w:rsidRPr="00AC16A8">
        <w:rPr>
          <w:bCs/>
        </w:rPr>
        <w:t xml:space="preserve"> in relation to determining the EEI of bespoke or oversize refrigerated cabinets.</w:t>
      </w:r>
      <w:r w:rsidR="00F67054">
        <w:rPr>
          <w:bCs/>
        </w:rPr>
        <w:t xml:space="preserve"> Section 25 uses the components defined in this section to calculate the EEI for these types of cabinets. </w:t>
      </w:r>
    </w:p>
    <w:p w14:paraId="09218142" w14:textId="60B09FCD" w:rsidR="00BB2F59" w:rsidRDefault="00BB2F59" w:rsidP="002D2BB4">
      <w:pPr>
        <w:pStyle w:val="Heading1"/>
      </w:pPr>
      <w:r>
        <w:t>Division 2</w:t>
      </w:r>
      <w:r w:rsidR="000D066C">
        <w:t>—</w:t>
      </w:r>
      <w:r>
        <w:t>GEMS level requirements</w:t>
      </w:r>
    </w:p>
    <w:p w14:paraId="65686431" w14:textId="6DD13662" w:rsidR="00415308" w:rsidRPr="00AC16A8" w:rsidRDefault="00F6025E" w:rsidP="00415308">
      <w:pPr>
        <w:autoSpaceDE w:val="0"/>
        <w:autoSpaceDN w:val="0"/>
        <w:adjustRightInd w:val="0"/>
        <w:spacing w:before="120" w:after="80"/>
        <w:rPr>
          <w:rFonts w:ascii="Arial" w:hAnsi="Arial" w:cs="Arial"/>
          <w:b/>
          <w:bCs/>
        </w:rPr>
      </w:pPr>
      <w:r w:rsidRPr="00AC16A8">
        <w:rPr>
          <w:rFonts w:ascii="Arial" w:hAnsi="Arial" w:cs="Arial"/>
          <w:b/>
          <w:bCs/>
        </w:rPr>
        <w:t>Section 23</w:t>
      </w:r>
      <w:r w:rsidR="000D066C">
        <w:rPr>
          <w:rFonts w:ascii="Arial" w:hAnsi="Arial" w:cs="Arial"/>
          <w:b/>
          <w:bCs/>
        </w:rPr>
        <w:t>—</w:t>
      </w:r>
      <w:r w:rsidRPr="00AC16A8">
        <w:rPr>
          <w:rFonts w:ascii="Arial" w:hAnsi="Arial" w:cs="Arial"/>
          <w:b/>
          <w:bCs/>
        </w:rPr>
        <w:t>GEMS level requirements</w:t>
      </w:r>
    </w:p>
    <w:p w14:paraId="70D893E0" w14:textId="718D7919" w:rsidR="007C1C82" w:rsidRDefault="00CD7491" w:rsidP="00415308">
      <w:r>
        <w:t xml:space="preserve">This </w:t>
      </w:r>
      <w:r w:rsidR="008E73D4">
        <w:t>s</w:t>
      </w:r>
      <w:r w:rsidR="00F6025E" w:rsidRPr="00AC16A8">
        <w:t>ection specifies GEMS level requirements for energy use for refrigerated cabinets covered by the Determination</w:t>
      </w:r>
      <w:r w:rsidR="00033C8D">
        <w:t>,</w:t>
      </w:r>
      <w:r w:rsidR="00F6025E" w:rsidRPr="00AC16A8">
        <w:t xml:space="preserve"> </w:t>
      </w:r>
      <w:r w:rsidR="00033C8D">
        <w:t>in terms of the EEI.</w:t>
      </w:r>
      <w:r w:rsidR="005C7FCD">
        <w:t xml:space="preserve"> The following types of cabinet </w:t>
      </w:r>
      <w:r w:rsidR="007C1C82">
        <w:t>are grouped in relation to the</w:t>
      </w:r>
      <w:r>
        <w:t>ir</w:t>
      </w:r>
      <w:r w:rsidR="007C1C82">
        <w:t xml:space="preserve"> maximum EEI levels:</w:t>
      </w:r>
    </w:p>
    <w:p w14:paraId="3FADDDAE" w14:textId="5B6BB0B0" w:rsidR="002F1FF9" w:rsidRDefault="007C1C82" w:rsidP="000F6ACF">
      <w:pPr>
        <w:numPr>
          <w:ilvl w:val="0"/>
          <w:numId w:val="6"/>
        </w:numPr>
      </w:pPr>
      <w:r>
        <w:t xml:space="preserve">RDCs </w:t>
      </w:r>
      <w:r w:rsidR="00E54EE7">
        <w:t>(</w:t>
      </w:r>
      <w:r>
        <w:t xml:space="preserve">other than </w:t>
      </w:r>
      <w:r w:rsidR="00CA1519">
        <w:t xml:space="preserve">low sales volume </w:t>
      </w:r>
      <w:r>
        <w:t>or oversize cabinets</w:t>
      </w:r>
      <w:r w:rsidR="00E54EE7">
        <w:t>), s</w:t>
      </w:r>
      <w:r>
        <w:t>cooping cabinets</w:t>
      </w:r>
      <w:r w:rsidR="00E54EE7">
        <w:t xml:space="preserve"> and </w:t>
      </w:r>
      <w:r>
        <w:t>ice</w:t>
      </w:r>
      <w:r w:rsidR="00E54EE7">
        <w:t xml:space="preserve"> </w:t>
      </w:r>
      <w:r>
        <w:t>cream freezer cabinet</w:t>
      </w:r>
      <w:r w:rsidR="00E54EE7">
        <w:t>s</w:t>
      </w:r>
      <w:r>
        <w:t>;</w:t>
      </w:r>
    </w:p>
    <w:p w14:paraId="0C1E25DE" w14:textId="77777777" w:rsidR="002F1FF9" w:rsidRDefault="007C1C82" w:rsidP="000F6ACF">
      <w:pPr>
        <w:numPr>
          <w:ilvl w:val="0"/>
          <w:numId w:val="6"/>
        </w:numPr>
      </w:pPr>
      <w:r>
        <w:t>RSCs that are heavy duty;</w:t>
      </w:r>
    </w:p>
    <w:p w14:paraId="7B9F7E53" w14:textId="77777777" w:rsidR="002F1FF9" w:rsidRDefault="007C1C82" w:rsidP="000F6ACF">
      <w:pPr>
        <w:numPr>
          <w:ilvl w:val="0"/>
          <w:numId w:val="6"/>
        </w:numPr>
      </w:pPr>
      <w:r>
        <w:t>RSCs that are light duty or normal duty.</w:t>
      </w:r>
    </w:p>
    <w:p w14:paraId="30BE3DB3" w14:textId="77777777" w:rsidR="00FE0B53" w:rsidRDefault="00FE0B53" w:rsidP="00415308"/>
    <w:p w14:paraId="0D51C623" w14:textId="4C67CB67" w:rsidR="00FE0B53" w:rsidRPr="00AC16A8" w:rsidRDefault="00F6025E" w:rsidP="00415308">
      <w:pPr>
        <w:rPr>
          <w:rFonts w:ascii="Arial" w:hAnsi="Arial" w:cs="Arial"/>
          <w:b/>
        </w:rPr>
      </w:pPr>
      <w:r w:rsidRPr="00AC16A8">
        <w:rPr>
          <w:rFonts w:ascii="Arial" w:hAnsi="Arial" w:cs="Arial"/>
          <w:b/>
        </w:rPr>
        <w:t>Section 24</w:t>
      </w:r>
      <w:r w:rsidR="000D066C">
        <w:rPr>
          <w:rFonts w:ascii="Arial" w:hAnsi="Arial" w:cs="Arial"/>
          <w:b/>
        </w:rPr>
        <w:t>—</w:t>
      </w:r>
      <w:r w:rsidRPr="00AC16A8">
        <w:rPr>
          <w:rFonts w:ascii="Arial" w:hAnsi="Arial" w:cs="Arial"/>
          <w:b/>
        </w:rPr>
        <w:t>Calculation of energy efficiency index (EEI)</w:t>
      </w:r>
    </w:p>
    <w:p w14:paraId="03E5B608" w14:textId="2AD728B7" w:rsidR="00DF12A2" w:rsidRPr="00FF025F" w:rsidRDefault="00033C8D" w:rsidP="00855BEC">
      <w:r>
        <w:t>This section s</w:t>
      </w:r>
      <w:r w:rsidR="0071288D">
        <w:t>pecifies</w:t>
      </w:r>
      <w:r>
        <w:t xml:space="preserve"> the </w:t>
      </w:r>
      <w:r w:rsidR="00511A1F">
        <w:t>formula for</w:t>
      </w:r>
      <w:r>
        <w:t xml:space="preserve"> calculating the EEI using AEC </w:t>
      </w:r>
      <w:r w:rsidR="00820B9D">
        <w:t xml:space="preserve">(annual energy consumption) </w:t>
      </w:r>
      <w:r>
        <w:t xml:space="preserve">and </w:t>
      </w:r>
      <w:r w:rsidR="00DF12A2">
        <w:t>R</w:t>
      </w:r>
      <w:r>
        <w:t>AEC</w:t>
      </w:r>
      <w:r w:rsidR="00DF12A2">
        <w:t xml:space="preserve"> </w:t>
      </w:r>
      <w:r w:rsidR="00820B9D">
        <w:t>(reference annual energy consumption)</w:t>
      </w:r>
      <w:r w:rsidR="00855BEC">
        <w:t>.</w:t>
      </w:r>
      <w:r w:rsidR="00820B9D">
        <w:t xml:space="preserve"> </w:t>
      </w:r>
      <w:r w:rsidR="003B50A3" w:rsidDel="003B50A3">
        <w:t xml:space="preserve"> </w:t>
      </w:r>
    </w:p>
    <w:p w14:paraId="1E850CDA" w14:textId="77777777" w:rsidR="00DF12A2" w:rsidRPr="00AC16A8" w:rsidRDefault="00DF12A2" w:rsidP="00415308">
      <w:pPr>
        <w:rPr>
          <w:rFonts w:ascii="Arial" w:hAnsi="Arial" w:cs="Arial"/>
        </w:rPr>
      </w:pPr>
    </w:p>
    <w:p w14:paraId="714AC6A8" w14:textId="52C5147D" w:rsidR="008F5717" w:rsidRPr="00AC16A8" w:rsidRDefault="00F6025E" w:rsidP="00415308">
      <w:pPr>
        <w:rPr>
          <w:rFonts w:ascii="Arial" w:hAnsi="Arial" w:cs="Arial"/>
          <w:b/>
        </w:rPr>
      </w:pPr>
      <w:r w:rsidRPr="00AC16A8">
        <w:rPr>
          <w:rFonts w:ascii="Arial" w:hAnsi="Arial" w:cs="Arial"/>
          <w:b/>
        </w:rPr>
        <w:t>Section 25</w:t>
      </w:r>
      <w:r w:rsidR="000D066C">
        <w:rPr>
          <w:rFonts w:ascii="Arial" w:hAnsi="Arial" w:cs="Arial"/>
          <w:b/>
        </w:rPr>
        <w:t>—</w:t>
      </w:r>
      <w:r w:rsidRPr="00AC16A8">
        <w:rPr>
          <w:rFonts w:ascii="Arial" w:hAnsi="Arial" w:cs="Arial"/>
          <w:b/>
        </w:rPr>
        <w:t xml:space="preserve">Calculation of annual energy consumption (AEC) and </w:t>
      </w:r>
      <w:r w:rsidR="00BF2F0B">
        <w:rPr>
          <w:rFonts w:ascii="Arial" w:hAnsi="Arial" w:cs="Arial"/>
          <w:b/>
        </w:rPr>
        <w:t>reference</w:t>
      </w:r>
      <w:r w:rsidRPr="00AC16A8">
        <w:rPr>
          <w:rFonts w:ascii="Arial" w:hAnsi="Arial" w:cs="Arial"/>
          <w:b/>
        </w:rPr>
        <w:t xml:space="preserve"> annual energy consumption (</w:t>
      </w:r>
      <w:r w:rsidR="00BF2F0B">
        <w:rPr>
          <w:rFonts w:ascii="Arial" w:hAnsi="Arial" w:cs="Arial"/>
          <w:b/>
        </w:rPr>
        <w:t>R</w:t>
      </w:r>
      <w:r w:rsidRPr="00AC16A8">
        <w:rPr>
          <w:rFonts w:ascii="Arial" w:hAnsi="Arial" w:cs="Arial"/>
          <w:b/>
        </w:rPr>
        <w:t>AEC)</w:t>
      </w:r>
    </w:p>
    <w:p w14:paraId="717430FC" w14:textId="77777777" w:rsidR="0053574E" w:rsidRDefault="0053574E" w:rsidP="0053574E">
      <w:r>
        <w:t>This Section specifies the method of calculating the AEC and the RAEC for each type of refrigerated cabinet covered by the Determination. Similar cabinet types are grouped into product classes to reduce compliance complexity and enable comparability.</w:t>
      </w:r>
    </w:p>
    <w:p w14:paraId="11883ACC" w14:textId="77777777" w:rsidR="0053574E" w:rsidRDefault="0053574E" w:rsidP="0053574E"/>
    <w:p w14:paraId="32445257" w14:textId="77777777" w:rsidR="0053574E" w:rsidRPr="00850B5E" w:rsidRDefault="0053574E" w:rsidP="0053574E">
      <w:pPr>
        <w:autoSpaceDE w:val="0"/>
        <w:autoSpaceDN w:val="0"/>
      </w:pPr>
      <w:r w:rsidRPr="00850B5E">
        <w:t>AEC is the annualised total of electricity used by a refrigerated cabinet. It is derived from the measured 24 hour electricity consumption of the cabinet as provided by the specified test method</w:t>
      </w:r>
      <w:r>
        <w:t xml:space="preserve"> described in the appropriate test s</w:t>
      </w:r>
      <w:r w:rsidRPr="00850B5E">
        <w:t xml:space="preserve">tandard. </w:t>
      </w:r>
    </w:p>
    <w:p w14:paraId="0217B039" w14:textId="77777777" w:rsidR="0053574E" w:rsidRPr="00850B5E" w:rsidRDefault="0053574E" w:rsidP="0053574E">
      <w:pPr>
        <w:autoSpaceDE w:val="0"/>
        <w:autoSpaceDN w:val="0"/>
      </w:pPr>
    </w:p>
    <w:p w14:paraId="61D01B4D" w14:textId="77777777" w:rsidR="0053574E" w:rsidRPr="00FC5498" w:rsidRDefault="0053574E" w:rsidP="0053574E">
      <w:pPr>
        <w:autoSpaceDE w:val="0"/>
        <w:autoSpaceDN w:val="0"/>
      </w:pPr>
      <w:r w:rsidRPr="00850B5E">
        <w:t xml:space="preserve">RAEC is the Reference AEC. </w:t>
      </w:r>
      <w:r w:rsidRPr="00FC5498">
        <w:t xml:space="preserve">The RAEC is a calculated value used to relate the measured electricity consumption of the cabinet (the AEC) to the product class the cabinet is covered by under the Determination. </w:t>
      </w:r>
    </w:p>
    <w:p w14:paraId="07B43358" w14:textId="77777777" w:rsidR="0053574E" w:rsidRPr="00FC5498" w:rsidRDefault="0053574E" w:rsidP="0053574E">
      <w:pPr>
        <w:autoSpaceDE w:val="0"/>
        <w:autoSpaceDN w:val="0"/>
      </w:pPr>
    </w:p>
    <w:p w14:paraId="27225D55" w14:textId="77777777" w:rsidR="0053574E" w:rsidRPr="00850B5E" w:rsidRDefault="0053574E" w:rsidP="0053574E">
      <w:pPr>
        <w:autoSpaceDE w:val="0"/>
        <w:autoSpaceDN w:val="0"/>
      </w:pPr>
      <w:r w:rsidRPr="00FC5498">
        <w:t xml:space="preserve">The RAEC </w:t>
      </w:r>
      <w:r w:rsidRPr="00850B5E">
        <w:t xml:space="preserve">is calculated from co-efficients </w:t>
      </w:r>
      <w:r>
        <w:t>(</w:t>
      </w:r>
      <w:r w:rsidRPr="00850B5E">
        <w:t>specified in Schedule 1</w:t>
      </w:r>
      <w:r>
        <w:t>)</w:t>
      </w:r>
      <w:r w:rsidRPr="00850B5E">
        <w:t xml:space="preserve"> </w:t>
      </w:r>
      <w:r>
        <w:t>which</w:t>
      </w:r>
      <w:r w:rsidRPr="00850B5E">
        <w:t xml:space="preserve"> are </w:t>
      </w:r>
      <w:r>
        <w:t xml:space="preserve">unique to cabinet types specified in a given </w:t>
      </w:r>
      <w:r w:rsidRPr="00850B5E">
        <w:t xml:space="preserve">product class. The co-efficients are combined with the cabinet’s total display area (TDA) or </w:t>
      </w:r>
      <w:r>
        <w:t>net v</w:t>
      </w:r>
      <w:r w:rsidRPr="00850B5E">
        <w:t>olume (Vn) to calculate the RAEC</w:t>
      </w:r>
      <w:r>
        <w:t>.</w:t>
      </w:r>
      <w:r w:rsidRPr="00850B5E">
        <w:t xml:space="preserve">  </w:t>
      </w:r>
    </w:p>
    <w:p w14:paraId="6C635FB7" w14:textId="77777777" w:rsidR="0053574E" w:rsidRPr="00850B5E" w:rsidRDefault="0053574E" w:rsidP="0053574E">
      <w:pPr>
        <w:autoSpaceDE w:val="0"/>
        <w:autoSpaceDN w:val="0"/>
      </w:pPr>
    </w:p>
    <w:p w14:paraId="3B5BE784" w14:textId="77777777" w:rsidR="0053574E" w:rsidRPr="00850B5E" w:rsidRDefault="0053574E" w:rsidP="0053574E">
      <w:r>
        <w:t>The AEC and RAEC are the inputs used to establish a cabinet’s EEI, which</w:t>
      </w:r>
      <w:r w:rsidRPr="00850B5E">
        <w:t xml:space="preserve"> is calculated by dividing the AEC by the RAEC.</w:t>
      </w:r>
    </w:p>
    <w:p w14:paraId="69F52124" w14:textId="1E8745C5" w:rsidR="008F5717" w:rsidRPr="00995594" w:rsidRDefault="008F5717" w:rsidP="00415308">
      <w:pPr>
        <w:rPr>
          <w:b/>
          <w:i/>
        </w:rPr>
      </w:pPr>
    </w:p>
    <w:p w14:paraId="7C0557F0" w14:textId="324DC914" w:rsidR="00BB2F59" w:rsidRDefault="00BB2F59" w:rsidP="001F3F9B">
      <w:pPr>
        <w:pStyle w:val="Heading1"/>
        <w:keepLines/>
      </w:pPr>
      <w:r>
        <w:t>Division 3</w:t>
      </w:r>
      <w:r w:rsidR="00D66FDD">
        <w:t>—</w:t>
      </w:r>
      <w:r>
        <w:t>Conducti</w:t>
      </w:r>
      <w:r w:rsidR="0043216F">
        <w:t>ng</w:t>
      </w:r>
      <w:r>
        <w:t xml:space="preserve"> test</w:t>
      </w:r>
      <w:r w:rsidR="0043216F">
        <w:t>s</w:t>
      </w:r>
    </w:p>
    <w:p w14:paraId="740B87AC" w14:textId="77777777" w:rsidR="00BB2F59" w:rsidRDefault="00BB2F59" w:rsidP="001F3F9B">
      <w:pPr>
        <w:keepNext/>
        <w:keepLines/>
        <w:rPr>
          <w:rFonts w:ascii="Arial" w:hAnsi="Arial" w:cs="Arial"/>
          <w:b/>
        </w:rPr>
      </w:pPr>
    </w:p>
    <w:p w14:paraId="7960CA7E" w14:textId="7A6EC31D" w:rsidR="008F5717" w:rsidRPr="00AC16A8" w:rsidRDefault="00F6025E" w:rsidP="001F3F9B">
      <w:pPr>
        <w:keepNext/>
        <w:keepLines/>
        <w:rPr>
          <w:rFonts w:ascii="Arial" w:hAnsi="Arial" w:cs="Arial"/>
          <w:b/>
        </w:rPr>
      </w:pPr>
      <w:r w:rsidRPr="00AC16A8">
        <w:rPr>
          <w:rFonts w:ascii="Arial" w:hAnsi="Arial" w:cs="Arial"/>
          <w:b/>
        </w:rPr>
        <w:t>Section 26</w:t>
      </w:r>
      <w:r w:rsidR="00D66FDD">
        <w:rPr>
          <w:rFonts w:ascii="Arial" w:hAnsi="Arial" w:cs="Arial"/>
          <w:b/>
        </w:rPr>
        <w:t>—</w:t>
      </w:r>
      <w:r w:rsidRPr="00AC16A8">
        <w:rPr>
          <w:rFonts w:ascii="Arial" w:hAnsi="Arial" w:cs="Arial"/>
          <w:b/>
        </w:rPr>
        <w:t>Testing requirements</w:t>
      </w:r>
      <w:r w:rsidR="007E781C">
        <w:rPr>
          <w:rFonts w:ascii="Arial" w:hAnsi="Arial" w:cs="Arial"/>
          <w:b/>
        </w:rPr>
        <w:t>—</w:t>
      </w:r>
      <w:r w:rsidRPr="00AC16A8">
        <w:rPr>
          <w:rFonts w:ascii="Arial" w:hAnsi="Arial" w:cs="Arial"/>
          <w:b/>
        </w:rPr>
        <w:t>general</w:t>
      </w:r>
    </w:p>
    <w:p w14:paraId="11452B1A" w14:textId="44A74115" w:rsidR="00E07E77" w:rsidRDefault="00F6025E" w:rsidP="00415308">
      <w:r w:rsidRPr="00B8483D">
        <w:t xml:space="preserve">This </w:t>
      </w:r>
      <w:r w:rsidR="008E73D4">
        <w:t>s</w:t>
      </w:r>
      <w:r w:rsidRPr="00B8483D">
        <w:t xml:space="preserve">ection </w:t>
      </w:r>
      <w:r w:rsidRPr="00AC16A8">
        <w:t xml:space="preserve">specifies the requirement that testing of refrigerated cabinets covered by the Determination must be conducted in accordance with the relevant </w:t>
      </w:r>
      <w:r w:rsidR="001B0A13">
        <w:t xml:space="preserve">test </w:t>
      </w:r>
      <w:r w:rsidRPr="00AC16A8">
        <w:t xml:space="preserve">standards as </w:t>
      </w:r>
      <w:r w:rsidR="001B0A13">
        <w:t>cited</w:t>
      </w:r>
      <w:r w:rsidRPr="00AC16A8">
        <w:t xml:space="preserve"> in </w:t>
      </w:r>
      <w:r w:rsidR="00ED513D">
        <w:t xml:space="preserve">the definition of test standard in </w:t>
      </w:r>
      <w:r w:rsidR="0043216F">
        <w:t>section 5</w:t>
      </w:r>
      <w:r w:rsidR="00ED513D">
        <w:t xml:space="preserve"> of this Determination</w:t>
      </w:r>
      <w:r w:rsidRPr="00AC16A8">
        <w:t>.</w:t>
      </w:r>
      <w:r w:rsidR="0023348B">
        <w:t xml:space="preserve"> </w:t>
      </w:r>
    </w:p>
    <w:p w14:paraId="25934A81" w14:textId="77777777" w:rsidR="007B7ED7" w:rsidRDefault="007B7ED7" w:rsidP="00415308"/>
    <w:p w14:paraId="1E9E0A56" w14:textId="3287742D" w:rsidR="007B7ED7" w:rsidRPr="00AC16A8" w:rsidRDefault="0043216F" w:rsidP="00415308">
      <w:r w:rsidRPr="002D2BB4">
        <w:t xml:space="preserve">The test standard for </w:t>
      </w:r>
      <w:r w:rsidR="003B50A3">
        <w:t>r</w:t>
      </w:r>
      <w:r w:rsidR="00561D5C">
        <w:t xml:space="preserve">efrigerated </w:t>
      </w:r>
      <w:r w:rsidR="003B50A3">
        <w:t>d</w:t>
      </w:r>
      <w:r w:rsidR="00561D5C">
        <w:t>isplay cabinets (including those used in domestic applications)</w:t>
      </w:r>
      <w:r>
        <w:t>,</w:t>
      </w:r>
      <w:r w:rsidR="007B7ED7" w:rsidRPr="002D2BB4">
        <w:t xml:space="preserve"> </w:t>
      </w:r>
      <w:r w:rsidR="008713AB" w:rsidRPr="002D2BB4">
        <w:t>ISO 23953</w:t>
      </w:r>
      <w:r w:rsidR="00561D5C">
        <w:t>-</w:t>
      </w:r>
      <w:r w:rsidR="008713AB" w:rsidRPr="002D2BB4">
        <w:t>2</w:t>
      </w:r>
      <w:r>
        <w:t>,</w:t>
      </w:r>
      <w:r w:rsidR="008713AB" w:rsidRPr="002D2BB4">
        <w:t xml:space="preserve"> </w:t>
      </w:r>
      <w:r>
        <w:t xml:space="preserve">has been varied </w:t>
      </w:r>
      <w:r w:rsidR="00667307">
        <w:t xml:space="preserve">as set out in </w:t>
      </w:r>
      <w:r>
        <w:t>Schedule 3</w:t>
      </w:r>
      <w:r w:rsidR="00667307">
        <w:t xml:space="preserve"> to this Determination</w:t>
      </w:r>
      <w:r w:rsidR="008713AB" w:rsidRPr="002D2BB4">
        <w:t xml:space="preserve"> to reduce the door opening and lighting system test requirements</w:t>
      </w:r>
      <w:r w:rsidR="00511804">
        <w:t xml:space="preserve"> to reflect current Australian practice</w:t>
      </w:r>
      <w:r w:rsidR="008713AB" w:rsidRPr="002D2BB4">
        <w:t xml:space="preserve">. </w:t>
      </w:r>
    </w:p>
    <w:p w14:paraId="2FFF460E" w14:textId="77777777" w:rsidR="00E07E77" w:rsidRPr="00CA032F" w:rsidRDefault="00E07E77" w:rsidP="00415308">
      <w:pPr>
        <w:rPr>
          <w:rFonts w:ascii="Arial" w:hAnsi="Arial" w:cs="Arial"/>
        </w:rPr>
      </w:pPr>
    </w:p>
    <w:p w14:paraId="6F2F657E" w14:textId="2FDD271F" w:rsidR="00415308" w:rsidRPr="00AC16A8" w:rsidRDefault="00F6025E" w:rsidP="00415308">
      <w:pPr>
        <w:rPr>
          <w:rFonts w:ascii="Arial" w:hAnsi="Arial" w:cs="Arial"/>
          <w:b/>
        </w:rPr>
      </w:pPr>
      <w:r w:rsidRPr="00AC16A8">
        <w:rPr>
          <w:rFonts w:ascii="Arial" w:hAnsi="Arial" w:cs="Arial"/>
          <w:b/>
        </w:rPr>
        <w:t>Section 27</w:t>
      </w:r>
      <w:r w:rsidR="00D66FDD">
        <w:rPr>
          <w:rFonts w:ascii="Arial" w:hAnsi="Arial" w:cs="Arial"/>
          <w:b/>
        </w:rPr>
        <w:t>—</w:t>
      </w:r>
      <w:r w:rsidRPr="00AC16A8">
        <w:rPr>
          <w:rFonts w:ascii="Arial" w:hAnsi="Arial" w:cs="Arial"/>
          <w:b/>
        </w:rPr>
        <w:t>Additional testing requirements</w:t>
      </w:r>
      <w:r w:rsidR="007E781C">
        <w:rPr>
          <w:rFonts w:ascii="Arial" w:hAnsi="Arial" w:cs="Arial"/>
          <w:b/>
        </w:rPr>
        <w:t>—</w:t>
      </w:r>
      <w:r w:rsidRPr="00AC16A8">
        <w:rPr>
          <w:rFonts w:ascii="Arial" w:hAnsi="Arial" w:cs="Arial"/>
          <w:b/>
        </w:rPr>
        <w:t xml:space="preserve">integral, </w:t>
      </w:r>
      <w:r w:rsidR="004A4143">
        <w:rPr>
          <w:rFonts w:ascii="Arial" w:hAnsi="Arial" w:cs="Arial"/>
          <w:b/>
        </w:rPr>
        <w:t>low sales volume</w:t>
      </w:r>
      <w:r w:rsidR="004A4143" w:rsidRPr="00AC16A8">
        <w:rPr>
          <w:rFonts w:ascii="Arial" w:hAnsi="Arial" w:cs="Arial"/>
          <w:b/>
        </w:rPr>
        <w:t xml:space="preserve"> </w:t>
      </w:r>
      <w:r w:rsidRPr="00AC16A8">
        <w:rPr>
          <w:rFonts w:ascii="Arial" w:hAnsi="Arial" w:cs="Arial"/>
          <w:b/>
        </w:rPr>
        <w:t>RDCs that are not oversize</w:t>
      </w:r>
      <w:r w:rsidR="0071288D">
        <w:rPr>
          <w:rFonts w:ascii="Arial" w:hAnsi="Arial" w:cs="Arial"/>
          <w:b/>
        </w:rPr>
        <w:t xml:space="preserve"> and low volume RSCs</w:t>
      </w:r>
    </w:p>
    <w:p w14:paraId="7D908CBF" w14:textId="3791E07F" w:rsidR="00561D5C" w:rsidRPr="00AC16A8" w:rsidRDefault="00667307" w:rsidP="00415308">
      <w:r>
        <w:t>This section provides that f</w:t>
      </w:r>
      <w:r w:rsidR="00561D5C">
        <w:t xml:space="preserve">or </w:t>
      </w:r>
      <w:r w:rsidR="00C76C64" w:rsidRPr="00AC16A8">
        <w:t>integral</w:t>
      </w:r>
      <w:r w:rsidR="00C76C64">
        <w:t>,</w:t>
      </w:r>
      <w:r w:rsidR="00C76C64" w:rsidRPr="00AC16A8">
        <w:t xml:space="preserve"> </w:t>
      </w:r>
      <w:r w:rsidR="00C76C64">
        <w:t xml:space="preserve">low sales volume </w:t>
      </w:r>
      <w:r w:rsidR="004A4143">
        <w:t>refrigerated display cabinets</w:t>
      </w:r>
      <w:r w:rsidR="00C76C64" w:rsidRPr="0071288D">
        <w:t xml:space="preserve"> t</w:t>
      </w:r>
      <w:r w:rsidR="00C76C64" w:rsidRPr="00AC16A8">
        <w:t>hat are not oversize</w:t>
      </w:r>
      <w:r w:rsidR="00561D5C">
        <w:t>,</w:t>
      </w:r>
      <w:r w:rsidR="004A4143">
        <w:t xml:space="preserve"> and for low </w:t>
      </w:r>
      <w:r>
        <w:t xml:space="preserve">sales </w:t>
      </w:r>
      <w:r w:rsidR="004A4143">
        <w:t>volume refrigerated storage cabinets</w:t>
      </w:r>
      <w:r>
        <w:t>,</w:t>
      </w:r>
      <w:r w:rsidR="00561D5C">
        <w:t xml:space="preserve"> the total energy consumption of the cabinet as a whole must be measured directly by testing in accordance with ISO</w:t>
      </w:r>
      <w:r w:rsidR="004A4143">
        <w:t> </w:t>
      </w:r>
      <w:r w:rsidR="00561D5C">
        <w:t>23953-2.</w:t>
      </w:r>
      <w:r>
        <w:t xml:space="preserve"> </w:t>
      </w:r>
      <w:r w:rsidRPr="002D2BB4">
        <w:t>ISO 23953</w:t>
      </w:r>
      <w:r>
        <w:t>-</w:t>
      </w:r>
      <w:r w:rsidRPr="002D2BB4">
        <w:t>2</w:t>
      </w:r>
      <w:r>
        <w:t>,</w:t>
      </w:r>
      <w:r w:rsidRPr="002D2BB4">
        <w:t xml:space="preserve"> </w:t>
      </w:r>
      <w:r>
        <w:t>has been varied as set out in Schedule 3 to this Determination</w:t>
      </w:r>
      <w:r w:rsidRPr="002D2BB4">
        <w:t xml:space="preserve"> to reduce the door opening and lighting system test requirements</w:t>
      </w:r>
      <w:r>
        <w:t xml:space="preserve"> to reflect current Australian practice</w:t>
      </w:r>
      <w:r w:rsidRPr="002D2BB4">
        <w:t>.</w:t>
      </w:r>
    </w:p>
    <w:p w14:paraId="6FAF3852" w14:textId="69FD734C" w:rsidR="00C70DD8" w:rsidRPr="00AC16A8" w:rsidRDefault="00C70DD8" w:rsidP="00415308">
      <w:pPr>
        <w:rPr>
          <w:rFonts w:ascii="Arial" w:hAnsi="Arial" w:cs="Arial"/>
        </w:rPr>
      </w:pPr>
    </w:p>
    <w:p w14:paraId="3541D5CF" w14:textId="77777777" w:rsidR="00F85BB3" w:rsidRDefault="00F85BB3" w:rsidP="002D2BB4">
      <w:pPr>
        <w:pStyle w:val="Heading1"/>
        <w:sectPr w:rsidR="00F85BB3" w:rsidSect="00662031">
          <w:headerReference w:type="default" r:id="rId17"/>
          <w:pgSz w:w="11907" w:h="16839" w:code="9"/>
          <w:pgMar w:top="1440" w:right="1800" w:bottom="1440" w:left="1800" w:header="720" w:footer="720" w:gutter="0"/>
          <w:cols w:space="720"/>
          <w:noEndnote/>
          <w:docGrid w:linePitch="326"/>
        </w:sectPr>
      </w:pPr>
    </w:p>
    <w:p w14:paraId="4E5C4478" w14:textId="55CA67BF" w:rsidR="00F130FC" w:rsidRPr="004234E7" w:rsidRDefault="00F6025E" w:rsidP="002D2BB4">
      <w:pPr>
        <w:pStyle w:val="Heading1"/>
      </w:pPr>
      <w:r w:rsidRPr="00AC16A8">
        <w:t>Part 4</w:t>
      </w:r>
      <w:r w:rsidR="00D66FDD">
        <w:t>—</w:t>
      </w:r>
      <w:r w:rsidRPr="00AC16A8">
        <w:t>GEMS</w:t>
      </w:r>
      <w:r w:rsidR="00002D39">
        <w:t xml:space="preserve"> </w:t>
      </w:r>
      <w:r w:rsidRPr="00AC16A8">
        <w:t>labelling requirements</w:t>
      </w:r>
    </w:p>
    <w:p w14:paraId="6BB6886A" w14:textId="77777777" w:rsidR="00D66FDD" w:rsidRDefault="00D66FDD" w:rsidP="00415308">
      <w:pPr>
        <w:rPr>
          <w:rFonts w:ascii="Arial" w:hAnsi="Arial" w:cs="Arial"/>
          <w:b/>
        </w:rPr>
      </w:pPr>
    </w:p>
    <w:p w14:paraId="18CB46AC" w14:textId="09080F98" w:rsidR="00D66FDD" w:rsidRPr="00D66FDD" w:rsidRDefault="00D66FDD" w:rsidP="00415308">
      <w:pPr>
        <w:rPr>
          <w:rFonts w:ascii="Arial" w:hAnsi="Arial" w:cs="Arial"/>
          <w:b/>
        </w:rPr>
      </w:pPr>
      <w:r>
        <w:rPr>
          <w:rFonts w:ascii="Arial" w:hAnsi="Arial" w:cs="Arial"/>
          <w:b/>
        </w:rPr>
        <w:t>Section 28—Purpose of Part</w:t>
      </w:r>
    </w:p>
    <w:p w14:paraId="44BB8696" w14:textId="2D025D1D" w:rsidR="00F130FC" w:rsidRPr="004234E7" w:rsidRDefault="0068133E" w:rsidP="00415308">
      <w:r>
        <w:t>S</w:t>
      </w:r>
      <w:r w:rsidR="00F6025E" w:rsidRPr="004234E7">
        <w:t xml:space="preserve">ection </w:t>
      </w:r>
      <w:r w:rsidR="0043216F">
        <w:t>28</w:t>
      </w:r>
      <w:r w:rsidR="00C70DD8">
        <w:t xml:space="preserve"> states that this Part, in accordance with section 26 of the Act, </w:t>
      </w:r>
      <w:r w:rsidR="00F6025E" w:rsidRPr="004234E7">
        <w:t xml:space="preserve">specifies the GEMS labelling requirements for the product classes covered by the Determination </w:t>
      </w:r>
      <w:r w:rsidR="00C70DD8">
        <w:t xml:space="preserve">for the purposes of paragraph </w:t>
      </w:r>
      <w:r w:rsidR="00F6025E" w:rsidRPr="004234E7">
        <w:t>2</w:t>
      </w:r>
      <w:r>
        <w:t>4</w:t>
      </w:r>
      <w:r w:rsidR="00A00357">
        <w:t>(1)(b)</w:t>
      </w:r>
      <w:r w:rsidR="00F6025E" w:rsidRPr="004234E7">
        <w:t xml:space="preserve"> of the Act.</w:t>
      </w:r>
    </w:p>
    <w:p w14:paraId="5ACC57F5" w14:textId="677F575A" w:rsidR="00C70DD8" w:rsidRDefault="00C70DD8" w:rsidP="00415308">
      <w:pPr>
        <w:rPr>
          <w:rFonts w:ascii="Arial" w:hAnsi="Arial" w:cs="Arial"/>
          <w:b/>
          <w:i/>
          <w:highlight w:val="yellow"/>
        </w:rPr>
      </w:pPr>
      <w:r w:rsidRPr="007E781C">
        <w:rPr>
          <w:rFonts w:ascii="Arial" w:hAnsi="Arial" w:cs="Arial"/>
          <w:b/>
          <w:i/>
          <w:highlight w:val="yellow"/>
        </w:rPr>
        <w:t xml:space="preserve"> </w:t>
      </w:r>
    </w:p>
    <w:p w14:paraId="4F827B6D" w14:textId="53E719D7" w:rsidR="00C70DD8" w:rsidRDefault="00C70DD8" w:rsidP="00415308">
      <w:pPr>
        <w:rPr>
          <w:rFonts w:ascii="Arial" w:hAnsi="Arial" w:cs="Arial"/>
          <w:b/>
        </w:rPr>
      </w:pPr>
      <w:r w:rsidRPr="007E781C">
        <w:rPr>
          <w:rFonts w:ascii="Arial" w:hAnsi="Arial" w:cs="Arial"/>
          <w:b/>
        </w:rPr>
        <w:t>Section</w:t>
      </w:r>
      <w:r>
        <w:rPr>
          <w:rFonts w:ascii="Arial" w:hAnsi="Arial" w:cs="Arial"/>
          <w:b/>
        </w:rPr>
        <w:t xml:space="preserve"> 29</w:t>
      </w:r>
      <w:r w:rsidR="00D66FDD">
        <w:rPr>
          <w:rFonts w:ascii="Arial" w:hAnsi="Arial" w:cs="Arial"/>
          <w:b/>
        </w:rPr>
        <w:t>—</w:t>
      </w:r>
      <w:r>
        <w:rPr>
          <w:rFonts w:ascii="Arial" w:hAnsi="Arial" w:cs="Arial"/>
          <w:b/>
        </w:rPr>
        <w:t>Use of star ratings</w:t>
      </w:r>
    </w:p>
    <w:p w14:paraId="17E7B02F" w14:textId="3FB59090" w:rsidR="008B61DF" w:rsidRPr="004234E7" w:rsidRDefault="00A82015" w:rsidP="00415308">
      <w:r>
        <w:t xml:space="preserve">Refrigerated cabinets covered by this Determination do not need to be labelled. </w:t>
      </w:r>
      <w:r w:rsidR="003B5AA4">
        <w:t>This section sets out a</w:t>
      </w:r>
      <w:r>
        <w:t xml:space="preserve"> method of calculating star ratings for suppliers who wish to communicate the energy efficiency of a refrigerated cabinet in terms of stars. If a product’s energy efficiency is described</w:t>
      </w:r>
      <w:r w:rsidR="003B5AA4">
        <w:t xml:space="preserve"> </w:t>
      </w:r>
      <w:r>
        <w:t xml:space="preserve">in terms of one or more stars, </w:t>
      </w:r>
      <w:r w:rsidR="003B5AA4">
        <w:t xml:space="preserve">for example in on-line advertising, </w:t>
      </w:r>
      <w:r>
        <w:t>the rating must be calculated in accordance with Schedule</w:t>
      </w:r>
      <w:r w:rsidR="00903CE4">
        <w:t> </w:t>
      </w:r>
      <w:r>
        <w:t>6</w:t>
      </w:r>
      <w:r w:rsidR="00D20388">
        <w:t xml:space="preserve"> to this Determination</w:t>
      </w:r>
      <w:r w:rsidR="00F6025E" w:rsidRPr="004234E7">
        <w:t>.</w:t>
      </w:r>
    </w:p>
    <w:p w14:paraId="2E5EBB10" w14:textId="77777777" w:rsidR="00F130FC" w:rsidRPr="004234E7" w:rsidRDefault="00F130FC" w:rsidP="00415308">
      <w:pPr>
        <w:rPr>
          <w:b/>
          <w:highlight w:val="yellow"/>
        </w:rPr>
      </w:pPr>
    </w:p>
    <w:p w14:paraId="1A32BF99" w14:textId="54546169" w:rsidR="00D20388" w:rsidRDefault="00D20388" w:rsidP="00415308">
      <w:r w:rsidRPr="00D20388">
        <w:rPr>
          <w:rFonts w:ascii="Arial" w:hAnsi="Arial" w:cs="Arial"/>
          <w:b/>
        </w:rPr>
        <w:t>Section 30</w:t>
      </w:r>
      <w:r w:rsidR="00D66FDD">
        <w:rPr>
          <w:rFonts w:ascii="Arial" w:hAnsi="Arial" w:cs="Arial"/>
          <w:b/>
        </w:rPr>
        <w:t>—</w:t>
      </w:r>
      <w:r w:rsidR="00F6025E" w:rsidRPr="007E781C">
        <w:rPr>
          <w:rFonts w:ascii="Arial" w:hAnsi="Arial" w:cs="Arial"/>
          <w:b/>
        </w:rPr>
        <w:t>Impact of replacement determination</w:t>
      </w:r>
    </w:p>
    <w:p w14:paraId="112BC653" w14:textId="77777777" w:rsidR="0068133E" w:rsidRPr="006B11E8" w:rsidRDefault="00A82015" w:rsidP="00415308">
      <w:r>
        <w:t>Section 30 provides a mechanism, in the event that this Determination is replaced in the future, to allow a transitional labelling provision to be specified in that replacement determination (the new determination) with the effect that complying with its requirements will be taken to be compliance with the labelling requirements of this Determination. This is to prevent the situation arising, in circumstances where a registrant chooses to register to the new determination between the time it is made and when it comes into force (as allowed by section 44 of the Act), of a product needing to comply with the labelling requirements of both determinations.</w:t>
      </w:r>
    </w:p>
    <w:p w14:paraId="57641E38" w14:textId="77777777" w:rsidR="00632CEF" w:rsidRPr="00273D06" w:rsidRDefault="00632CEF" w:rsidP="00415308">
      <w:pPr>
        <w:rPr>
          <w:rFonts w:ascii="Arial" w:hAnsi="Arial" w:cs="Arial"/>
          <w:b/>
        </w:rPr>
      </w:pPr>
    </w:p>
    <w:p w14:paraId="4A89CE57" w14:textId="77777777" w:rsidR="00F85BB3" w:rsidRDefault="00F85BB3" w:rsidP="002D2BB4">
      <w:pPr>
        <w:pStyle w:val="Heading1"/>
        <w:sectPr w:rsidR="00F85BB3" w:rsidSect="00662031">
          <w:headerReference w:type="default" r:id="rId18"/>
          <w:pgSz w:w="11907" w:h="16839" w:code="9"/>
          <w:pgMar w:top="1440" w:right="1800" w:bottom="1440" w:left="1800" w:header="720" w:footer="720" w:gutter="0"/>
          <w:cols w:space="720"/>
          <w:noEndnote/>
          <w:docGrid w:linePitch="326"/>
        </w:sectPr>
      </w:pPr>
    </w:p>
    <w:p w14:paraId="36E82070" w14:textId="7D504BBD" w:rsidR="00F130FC" w:rsidRPr="00273D06" w:rsidRDefault="00F6025E" w:rsidP="002D2BB4">
      <w:pPr>
        <w:pStyle w:val="Heading1"/>
      </w:pPr>
      <w:r w:rsidRPr="00273D06">
        <w:t>Part 5</w:t>
      </w:r>
      <w:r w:rsidR="00D66FDD">
        <w:t>—</w:t>
      </w:r>
      <w:r w:rsidRPr="00273D06">
        <w:t xml:space="preserve">Other requirements </w:t>
      </w:r>
    </w:p>
    <w:p w14:paraId="02313737" w14:textId="77777777" w:rsidR="00632CEF" w:rsidRDefault="00632CEF" w:rsidP="00415308">
      <w:pPr>
        <w:rPr>
          <w:rFonts w:ascii="Arial" w:hAnsi="Arial" w:cs="Arial"/>
          <w:highlight w:val="yellow"/>
        </w:rPr>
      </w:pPr>
    </w:p>
    <w:p w14:paraId="198ECF81" w14:textId="3609A78D" w:rsidR="00D20388" w:rsidRPr="00273D06" w:rsidRDefault="00D20388" w:rsidP="00D20388">
      <w:pPr>
        <w:rPr>
          <w:rFonts w:ascii="Arial" w:hAnsi="Arial" w:cs="Arial"/>
          <w:b/>
        </w:rPr>
      </w:pPr>
      <w:r w:rsidRPr="00273D06">
        <w:rPr>
          <w:rFonts w:ascii="Arial" w:hAnsi="Arial" w:cs="Arial"/>
          <w:b/>
        </w:rPr>
        <w:t>Section 3</w:t>
      </w:r>
      <w:r>
        <w:rPr>
          <w:rFonts w:ascii="Arial" w:hAnsi="Arial" w:cs="Arial"/>
          <w:b/>
        </w:rPr>
        <w:t>1</w:t>
      </w:r>
      <w:r w:rsidR="00D66FDD">
        <w:rPr>
          <w:rFonts w:ascii="Arial" w:hAnsi="Arial" w:cs="Arial"/>
          <w:b/>
        </w:rPr>
        <w:t>—</w:t>
      </w:r>
      <w:r>
        <w:rPr>
          <w:rFonts w:ascii="Arial" w:hAnsi="Arial" w:cs="Arial"/>
          <w:b/>
        </w:rPr>
        <w:t>Purpose of Part</w:t>
      </w:r>
    </w:p>
    <w:p w14:paraId="351FFA3E" w14:textId="047BDE4E" w:rsidR="00632CEF" w:rsidRPr="00273D06" w:rsidRDefault="006B11E8" w:rsidP="00415308">
      <w:r>
        <w:t xml:space="preserve">This </w:t>
      </w:r>
      <w:r w:rsidR="00A00357">
        <w:t xml:space="preserve">Part </w:t>
      </w:r>
      <w:r>
        <w:t xml:space="preserve">specifies </w:t>
      </w:r>
      <w:r w:rsidR="00F6025E" w:rsidRPr="00273D06">
        <w:t>other requirements in accordance with section 27 of the Act</w:t>
      </w:r>
      <w:r w:rsidR="00D20388">
        <w:t xml:space="preserve">, for the purposes of </w:t>
      </w:r>
      <w:r w:rsidR="00D20388" w:rsidRPr="00273D06">
        <w:t>subsection 24(2) of the Act</w:t>
      </w:r>
      <w:r w:rsidR="00F6025E" w:rsidRPr="00273D06">
        <w:t>.</w:t>
      </w:r>
    </w:p>
    <w:p w14:paraId="26CFFE62" w14:textId="77777777" w:rsidR="00A240D8" w:rsidRPr="00273D06" w:rsidRDefault="00A240D8" w:rsidP="00415308">
      <w:pPr>
        <w:rPr>
          <w:rFonts w:ascii="Arial" w:hAnsi="Arial" w:cs="Arial"/>
        </w:rPr>
      </w:pPr>
    </w:p>
    <w:p w14:paraId="145EC8A0" w14:textId="7715EED9" w:rsidR="00632CEF" w:rsidRPr="00273D06" w:rsidRDefault="00F6025E" w:rsidP="00415308">
      <w:pPr>
        <w:rPr>
          <w:rFonts w:ascii="Arial" w:hAnsi="Arial" w:cs="Arial"/>
          <w:b/>
        </w:rPr>
      </w:pPr>
      <w:r w:rsidRPr="00273D06">
        <w:rPr>
          <w:rFonts w:ascii="Arial" w:hAnsi="Arial" w:cs="Arial"/>
          <w:b/>
        </w:rPr>
        <w:t>Section 3</w:t>
      </w:r>
      <w:r w:rsidR="006B11E8">
        <w:rPr>
          <w:rFonts w:ascii="Arial" w:hAnsi="Arial" w:cs="Arial"/>
          <w:b/>
        </w:rPr>
        <w:t>2</w:t>
      </w:r>
      <w:r w:rsidR="00D66FDD">
        <w:rPr>
          <w:rFonts w:ascii="Arial" w:hAnsi="Arial" w:cs="Arial"/>
          <w:b/>
        </w:rPr>
        <w:t>—</w:t>
      </w:r>
      <w:r w:rsidRPr="00273D06">
        <w:rPr>
          <w:rFonts w:ascii="Arial" w:hAnsi="Arial" w:cs="Arial"/>
          <w:b/>
        </w:rPr>
        <w:t>Requirement relating to M-Package temperature class</w:t>
      </w:r>
    </w:p>
    <w:p w14:paraId="13435F7F" w14:textId="28A0E552" w:rsidR="00632CEF" w:rsidRDefault="00F6025E" w:rsidP="00415308">
      <w:r w:rsidRPr="00273D06">
        <w:t xml:space="preserve">This </w:t>
      </w:r>
      <w:r w:rsidR="00306914">
        <w:t>s</w:t>
      </w:r>
      <w:r w:rsidRPr="00273D06">
        <w:t>ection s</w:t>
      </w:r>
      <w:r w:rsidR="006B11E8">
        <w:t>pecifies</w:t>
      </w:r>
      <w:r w:rsidRPr="00273D06">
        <w:t xml:space="preserve"> the M-package temperature class product</w:t>
      </w:r>
      <w:r w:rsidR="00413A34">
        <w:t>s</w:t>
      </w:r>
      <w:r w:rsidRPr="00273D06">
        <w:t xml:space="preserve"> covered by the Determination</w:t>
      </w:r>
      <w:r w:rsidR="00413A34">
        <w:t xml:space="preserve"> must meet.</w:t>
      </w:r>
      <w:r w:rsidR="00A00357">
        <w:t xml:space="preserve"> The requirements do not apply to oversize RDCs.</w:t>
      </w:r>
      <w:r w:rsidR="00400D56">
        <w:t xml:space="preserve"> Section</w:t>
      </w:r>
      <w:r w:rsidR="007E781C">
        <w:t> </w:t>
      </w:r>
      <w:r w:rsidR="00400D56">
        <w:t xml:space="preserve">10 </w:t>
      </w:r>
      <w:r w:rsidR="0082467D">
        <w:t xml:space="preserve">of this Determination sets out definitions in relation to M-Package </w:t>
      </w:r>
      <w:r w:rsidR="00400D56">
        <w:t>temperature class</w:t>
      </w:r>
      <w:r w:rsidR="0082467D">
        <w:t>es</w:t>
      </w:r>
      <w:r w:rsidR="00400D56">
        <w:t>.</w:t>
      </w:r>
    </w:p>
    <w:p w14:paraId="013FD13F" w14:textId="77777777" w:rsidR="00413A34" w:rsidRDefault="00413A34" w:rsidP="00413A34"/>
    <w:p w14:paraId="0A532FF6" w14:textId="5F131429" w:rsidR="00400D56" w:rsidRPr="00AE2997" w:rsidRDefault="00413A34" w:rsidP="00413A34">
      <w:r>
        <w:t xml:space="preserve">Test standards require testing to be conducted at specific climactic conditions (e.g. humidity). This ensures performance and energy consumption recorded is representative of the conditions likely to be experienced in operation. </w:t>
      </w:r>
      <w:r w:rsidR="004457FC">
        <w:t>As</w:t>
      </w:r>
      <w:r>
        <w:t xml:space="preserve"> Australian conditions </w:t>
      </w:r>
      <w:r w:rsidR="004457FC">
        <w:t>are different</w:t>
      </w:r>
      <w:r>
        <w:t xml:space="preserve"> to those typically experienced in Europe</w:t>
      </w:r>
      <w:r w:rsidR="004457FC">
        <w:t xml:space="preserve">, </w:t>
      </w:r>
      <w:r>
        <w:t>test room climate class</w:t>
      </w:r>
      <w:r w:rsidR="004457FC">
        <w:t>es representing Australian conditions are set out in this section</w:t>
      </w:r>
      <w:r>
        <w:t xml:space="preserve">. </w:t>
      </w:r>
      <w:r w:rsidR="00904A22">
        <w:t>Schedule 3 to this Determination sets out variations to the relevant test standards.</w:t>
      </w:r>
    </w:p>
    <w:p w14:paraId="1AB3358C" w14:textId="77777777" w:rsidR="00632CEF" w:rsidRPr="00273D06" w:rsidRDefault="00632CEF" w:rsidP="00415308">
      <w:pPr>
        <w:rPr>
          <w:highlight w:val="yellow"/>
        </w:rPr>
      </w:pPr>
    </w:p>
    <w:p w14:paraId="681A0E5A" w14:textId="13922A05" w:rsidR="006B11E8" w:rsidRDefault="006B11E8" w:rsidP="00415308">
      <w:pPr>
        <w:rPr>
          <w:rFonts w:ascii="Arial" w:hAnsi="Arial" w:cs="Arial"/>
          <w:b/>
        </w:rPr>
      </w:pPr>
      <w:r>
        <w:rPr>
          <w:rFonts w:ascii="Arial" w:hAnsi="Arial" w:cs="Arial"/>
          <w:b/>
        </w:rPr>
        <w:t>Section 33</w:t>
      </w:r>
      <w:r w:rsidR="00D66FDD">
        <w:rPr>
          <w:rFonts w:ascii="Arial" w:hAnsi="Arial" w:cs="Arial"/>
          <w:b/>
        </w:rPr>
        <w:t>—</w:t>
      </w:r>
      <w:r>
        <w:rPr>
          <w:rFonts w:ascii="Arial" w:hAnsi="Arial" w:cs="Arial"/>
          <w:b/>
        </w:rPr>
        <w:t>Marking Plates</w:t>
      </w:r>
    </w:p>
    <w:p w14:paraId="4AA5925F" w14:textId="1E769544" w:rsidR="001E3E67" w:rsidRDefault="006B3450" w:rsidP="001E3E67">
      <w:r>
        <w:t>This sections provides that m</w:t>
      </w:r>
      <w:r w:rsidR="00A00357">
        <w:t xml:space="preserve">arking plates are required to </w:t>
      </w:r>
      <w:r w:rsidR="00A00357" w:rsidRPr="007E781C">
        <w:t xml:space="preserve">be permanently affixed to all types of refrigerated cabinets covered by the Determination. </w:t>
      </w:r>
      <w:r w:rsidR="001E3E67" w:rsidRPr="007E781C">
        <w:t xml:space="preserve">This </w:t>
      </w:r>
      <w:r w:rsidR="00306914" w:rsidRPr="007E781C">
        <w:t>s</w:t>
      </w:r>
      <w:r w:rsidR="001E3E67" w:rsidRPr="007E781C">
        <w:t>ection</w:t>
      </w:r>
      <w:r w:rsidR="001E3E67" w:rsidRPr="001E3E67">
        <w:t xml:space="preserve"> specifies</w:t>
      </w:r>
      <w:r w:rsidR="001E3E67">
        <w:t xml:space="preserve"> the marking plate requirements </w:t>
      </w:r>
      <w:r w:rsidR="00A00357">
        <w:t>by identifying the clause of the relevant standard</w:t>
      </w:r>
      <w:r w:rsidR="004457FC">
        <w:t>s</w:t>
      </w:r>
      <w:r w:rsidR="00A00357">
        <w:t xml:space="preserve"> that must be complied with</w:t>
      </w:r>
      <w:r w:rsidR="001E3E67" w:rsidRPr="00273D06">
        <w:t>.</w:t>
      </w:r>
      <w:r w:rsidR="004457FC">
        <w:t xml:space="preserve"> Information included on marking plates is specific to the type of refrigerated cabinet, but typically includes:</w:t>
      </w:r>
    </w:p>
    <w:p w14:paraId="6D61AE69" w14:textId="77777777" w:rsidR="00ED72F0" w:rsidRPr="00273D06" w:rsidRDefault="00ED72F0" w:rsidP="001E3E67"/>
    <w:p w14:paraId="44F6504D" w14:textId="50444145" w:rsidR="00A27FD2" w:rsidRDefault="00ED72F0" w:rsidP="000F6ACF">
      <w:pPr>
        <w:pStyle w:val="ListParagraph"/>
        <w:numPr>
          <w:ilvl w:val="0"/>
          <w:numId w:val="8"/>
        </w:numPr>
      </w:pPr>
      <w:r>
        <w:t>t</w:t>
      </w:r>
      <w:r w:rsidR="00A27FD2">
        <w:t>he model and serial number of the cabinet including the con</w:t>
      </w:r>
      <w:r w:rsidR="004457FC">
        <w:t>d</w:t>
      </w:r>
      <w:r w:rsidR="00A27FD2">
        <w:t>ensing unit</w:t>
      </w:r>
      <w:r>
        <w:t>;</w:t>
      </w:r>
    </w:p>
    <w:p w14:paraId="2441E033" w14:textId="4BC61529" w:rsidR="00A27FD2" w:rsidRDefault="00ED72F0" w:rsidP="000F6ACF">
      <w:pPr>
        <w:pStyle w:val="ListParagraph"/>
        <w:numPr>
          <w:ilvl w:val="0"/>
          <w:numId w:val="8"/>
        </w:numPr>
      </w:pPr>
      <w:r>
        <w:t>a</w:t>
      </w:r>
      <w:r w:rsidR="00A27FD2">
        <w:t>ll information relating to the power supply of the cabinet</w:t>
      </w:r>
      <w:r>
        <w:t>; and</w:t>
      </w:r>
    </w:p>
    <w:p w14:paraId="7BE70F85" w14:textId="31546055" w:rsidR="00A27FD2" w:rsidRPr="004457FC" w:rsidRDefault="00ED72F0" w:rsidP="000F6ACF">
      <w:pPr>
        <w:pStyle w:val="ListParagraph"/>
        <w:numPr>
          <w:ilvl w:val="0"/>
          <w:numId w:val="8"/>
        </w:numPr>
      </w:pPr>
      <w:r>
        <w:t>t</w:t>
      </w:r>
      <w:r w:rsidR="00A27FD2">
        <w:t xml:space="preserve">he type </w:t>
      </w:r>
      <w:r>
        <w:t xml:space="preserve">and mass </w:t>
      </w:r>
      <w:r w:rsidR="00A27FD2">
        <w:t xml:space="preserve">of </w:t>
      </w:r>
      <w:r>
        <w:t>the refrigerant used.</w:t>
      </w:r>
    </w:p>
    <w:p w14:paraId="2684487B" w14:textId="77777777" w:rsidR="00A27FD2" w:rsidRDefault="00A27FD2" w:rsidP="00415308">
      <w:pPr>
        <w:rPr>
          <w:rFonts w:ascii="Arial" w:hAnsi="Arial" w:cs="Arial"/>
          <w:b/>
        </w:rPr>
      </w:pPr>
    </w:p>
    <w:p w14:paraId="566B8ADC" w14:textId="77777777" w:rsidR="00F85BB3" w:rsidRDefault="00F85BB3" w:rsidP="002D2BB4">
      <w:pPr>
        <w:pStyle w:val="Heading1"/>
        <w:sectPr w:rsidR="00F85BB3" w:rsidSect="00662031">
          <w:headerReference w:type="default" r:id="rId19"/>
          <w:pgSz w:w="11907" w:h="16839" w:code="9"/>
          <w:pgMar w:top="1440" w:right="1800" w:bottom="1440" w:left="1800" w:header="720" w:footer="720" w:gutter="0"/>
          <w:cols w:space="720"/>
          <w:noEndnote/>
          <w:docGrid w:linePitch="326"/>
        </w:sectPr>
      </w:pPr>
    </w:p>
    <w:p w14:paraId="42F5CC3A" w14:textId="2A8F27A9" w:rsidR="00632CEF" w:rsidRPr="00273D06" w:rsidRDefault="00F6025E" w:rsidP="002D2BB4">
      <w:pPr>
        <w:pStyle w:val="Heading1"/>
      </w:pPr>
      <w:r w:rsidRPr="00273D06">
        <w:t>Schedule 1</w:t>
      </w:r>
      <w:r w:rsidR="00F85BB3">
        <w:t>—</w:t>
      </w:r>
      <w:r w:rsidRPr="00273D06">
        <w:t>Product</w:t>
      </w:r>
      <w:r w:rsidR="00002D39">
        <w:t xml:space="preserve"> </w:t>
      </w:r>
      <w:r w:rsidR="004A0F3D">
        <w:t>C</w:t>
      </w:r>
      <w:r w:rsidRPr="00273D06">
        <w:t>lasses</w:t>
      </w:r>
    </w:p>
    <w:p w14:paraId="6AA898AC" w14:textId="58AEA571" w:rsidR="00632CEF" w:rsidRDefault="00F6025E" w:rsidP="00415308">
      <w:r w:rsidRPr="00273D06">
        <w:t xml:space="preserve">This </w:t>
      </w:r>
      <w:r w:rsidR="001E3E67">
        <w:t>Schedule</w:t>
      </w:r>
      <w:r w:rsidRPr="00273D06">
        <w:t xml:space="preserve"> s</w:t>
      </w:r>
      <w:r w:rsidR="001E3E67">
        <w:t>pecifies</w:t>
      </w:r>
      <w:r w:rsidRPr="00273D06">
        <w:t xml:space="preserve"> the product classes, product class descriptions, sub-class codes and the specific coefficients required to calculate the </w:t>
      </w:r>
      <w:r w:rsidR="001E3E67">
        <w:t>R</w:t>
      </w:r>
      <w:r w:rsidRPr="00273D06">
        <w:t>AEC for refrigerated chiller and freezer cabinets covered by the Determination.</w:t>
      </w:r>
      <w:r w:rsidR="00A00357">
        <w:t xml:space="preserve"> </w:t>
      </w:r>
      <w:r w:rsidR="003505C5">
        <w:t>S</w:t>
      </w:r>
      <w:r w:rsidR="00A00357">
        <w:t xml:space="preserve">ection </w:t>
      </w:r>
      <w:r w:rsidR="00B33BC8">
        <w:t xml:space="preserve">19 </w:t>
      </w:r>
      <w:r w:rsidR="003505C5">
        <w:t>of the Determination sets out the definition of product class</w:t>
      </w:r>
      <w:r w:rsidR="00A00357">
        <w:t>.</w:t>
      </w:r>
    </w:p>
    <w:p w14:paraId="540E0797" w14:textId="74F4CCBC" w:rsidR="000C1B41" w:rsidRPr="00273D06" w:rsidRDefault="00F6025E" w:rsidP="002D2BB4">
      <w:pPr>
        <w:pStyle w:val="Heading1"/>
      </w:pPr>
      <w:r w:rsidRPr="00273D06">
        <w:t>Schedule 2</w:t>
      </w:r>
      <w:r w:rsidR="00F85BB3">
        <w:t>—</w:t>
      </w:r>
      <w:r w:rsidRPr="00273D06">
        <w:t>Registrations affected by th</w:t>
      </w:r>
      <w:r w:rsidR="001E3E67">
        <w:t>e</w:t>
      </w:r>
      <w:r w:rsidRPr="00273D06">
        <w:t xml:space="preserve"> </w:t>
      </w:r>
      <w:r w:rsidR="001E3E67">
        <w:t>De</w:t>
      </w:r>
      <w:r w:rsidRPr="00273D06">
        <w:t>termination</w:t>
      </w:r>
    </w:p>
    <w:p w14:paraId="3945FFA0" w14:textId="7221BF2E" w:rsidR="000C1B41" w:rsidRPr="001E3E67" w:rsidRDefault="001E3E67" w:rsidP="00415308">
      <w:r w:rsidRPr="001E3E67">
        <w:t xml:space="preserve">This Schedule lists </w:t>
      </w:r>
      <w:r w:rsidR="007D01AF">
        <w:t xml:space="preserve">registrations under the revoked Determination </w:t>
      </w:r>
      <w:r w:rsidRPr="001E3E67">
        <w:t>affected by the Determination.</w:t>
      </w:r>
      <w:r w:rsidR="00A00357">
        <w:t xml:space="preserve"> Section </w:t>
      </w:r>
      <w:r w:rsidR="00903CE4">
        <w:t>17</w:t>
      </w:r>
      <w:r w:rsidR="00A00357">
        <w:t xml:space="preserve"> </w:t>
      </w:r>
      <w:r w:rsidR="009E49FD">
        <w:t xml:space="preserve">sets out </w:t>
      </w:r>
      <w:r w:rsidR="00B33BC8">
        <w:t>when</w:t>
      </w:r>
      <w:r w:rsidR="00A00357">
        <w:t xml:space="preserve"> a registration </w:t>
      </w:r>
      <w:r w:rsidR="00B33BC8">
        <w:t>is</w:t>
      </w:r>
      <w:r w:rsidR="00A00357">
        <w:t xml:space="preserve"> affected by the Determination.</w:t>
      </w:r>
    </w:p>
    <w:p w14:paraId="5589EE7D" w14:textId="12DC9032" w:rsidR="000C1B41" w:rsidRDefault="00F6025E" w:rsidP="002D2BB4">
      <w:pPr>
        <w:pStyle w:val="Heading1"/>
      </w:pPr>
      <w:r w:rsidRPr="00273D06">
        <w:t>Schedule 3</w:t>
      </w:r>
      <w:r w:rsidR="00F85BB3">
        <w:t>—</w:t>
      </w:r>
      <w:r w:rsidRPr="00273D06">
        <w:t>Variations</w:t>
      </w:r>
      <w:r w:rsidR="00002D39">
        <w:t xml:space="preserve"> </w:t>
      </w:r>
      <w:r w:rsidRPr="00273D06">
        <w:t xml:space="preserve">to </w:t>
      </w:r>
      <w:r w:rsidR="004A0F3D">
        <w:t>S</w:t>
      </w:r>
      <w:r w:rsidRPr="00273D06">
        <w:t>tandards</w:t>
      </w:r>
    </w:p>
    <w:p w14:paraId="278F07A8" w14:textId="358D6BF0" w:rsidR="006D32D1" w:rsidRDefault="00F6025E" w:rsidP="00415308">
      <w:r w:rsidRPr="00273D06">
        <w:t xml:space="preserve">This </w:t>
      </w:r>
      <w:r w:rsidR="00521F96">
        <w:t>S</w:t>
      </w:r>
      <w:r w:rsidRPr="00273D06">
        <w:t xml:space="preserve">chedule </w:t>
      </w:r>
      <w:r w:rsidR="004A0F3D">
        <w:t>lists all</w:t>
      </w:r>
      <w:r w:rsidRPr="00273D06">
        <w:t xml:space="preserve"> variations to the </w:t>
      </w:r>
      <w:r w:rsidR="009E49FD">
        <w:t>s</w:t>
      </w:r>
      <w:r w:rsidRPr="00273D06">
        <w:t xml:space="preserve">tandards </w:t>
      </w:r>
      <w:r w:rsidR="009E49FD">
        <w:t>listed</w:t>
      </w:r>
      <w:r w:rsidR="009E49FD" w:rsidRPr="00273D06">
        <w:t xml:space="preserve"> </w:t>
      </w:r>
      <w:r w:rsidRPr="00273D06">
        <w:t xml:space="preserve">in </w:t>
      </w:r>
      <w:r w:rsidR="004A0F3D">
        <w:t>s</w:t>
      </w:r>
      <w:r w:rsidRPr="00273D06">
        <w:t>ection 4 that specify the test methods and requirements for testing refrigerated cabinets covered in the Determination.</w:t>
      </w:r>
      <w:r w:rsidR="00A00357">
        <w:t xml:space="preserve"> </w:t>
      </w:r>
    </w:p>
    <w:p w14:paraId="728607D8" w14:textId="77777777" w:rsidR="004457FC" w:rsidRDefault="004457FC" w:rsidP="00415308"/>
    <w:p w14:paraId="410CF6B5" w14:textId="4C334B12" w:rsidR="004457FC" w:rsidRPr="00AE2997" w:rsidRDefault="004457FC" w:rsidP="004457FC">
      <w:r>
        <w:t xml:space="preserve">Many of these changes to the test standards are intended to address Australian climatic conditions being different to those typically experienced in Europe. The variations also reflect current practice in the Australian market around door opening test procedures, lighting systems and alternative test packages. </w:t>
      </w:r>
    </w:p>
    <w:p w14:paraId="77FEC75E" w14:textId="0B04809F" w:rsidR="000C1B41" w:rsidRPr="00273D06" w:rsidRDefault="00F6025E" w:rsidP="002D2BB4">
      <w:pPr>
        <w:pStyle w:val="Heading1"/>
      </w:pPr>
      <w:r w:rsidRPr="00273D06">
        <w:t>Schedule 4</w:t>
      </w:r>
      <w:r w:rsidR="00F85BB3">
        <w:t>—</w:t>
      </w:r>
      <w:r w:rsidRPr="00273D06">
        <w:t>M-package temperature classes</w:t>
      </w:r>
    </w:p>
    <w:p w14:paraId="04336A1F" w14:textId="197D30F4" w:rsidR="00CA032F" w:rsidRPr="00273D06" w:rsidRDefault="00F6025E" w:rsidP="00415308">
      <w:r w:rsidRPr="00273D06">
        <w:t xml:space="preserve">This </w:t>
      </w:r>
      <w:r w:rsidR="0067798E">
        <w:t xml:space="preserve">Schedule lists </w:t>
      </w:r>
      <w:r w:rsidRPr="00273D06">
        <w:t>the M-package temperature class and corresponding highest and lowest M-package temperatures for refrigerated cabinets covered by the Determination</w:t>
      </w:r>
      <w:r w:rsidR="0067798E">
        <w:t>.</w:t>
      </w:r>
      <w:r w:rsidRPr="00273D06">
        <w:t xml:space="preserve"> </w:t>
      </w:r>
      <w:r w:rsidR="00A00357">
        <w:t xml:space="preserve">Section </w:t>
      </w:r>
      <w:r w:rsidR="008C2902">
        <w:t>10</w:t>
      </w:r>
      <w:r w:rsidR="00A00357">
        <w:t xml:space="preserve"> </w:t>
      </w:r>
      <w:r w:rsidR="009E49FD">
        <w:t>sets out definitions in relation to M-package temperature classes</w:t>
      </w:r>
      <w:r w:rsidR="00A00357">
        <w:t>.</w:t>
      </w:r>
    </w:p>
    <w:p w14:paraId="5B5FD3BE" w14:textId="24A1F93B" w:rsidR="000C1B41" w:rsidRPr="00273D06" w:rsidRDefault="00F6025E" w:rsidP="002D2BB4">
      <w:pPr>
        <w:pStyle w:val="Heading1"/>
      </w:pPr>
      <w:r w:rsidRPr="00273D06">
        <w:t>Schedule 5</w:t>
      </w:r>
      <w:r w:rsidR="00F85BB3">
        <w:t>—</w:t>
      </w:r>
      <w:r w:rsidRPr="00273D06">
        <w:t>Test room climate classes</w:t>
      </w:r>
    </w:p>
    <w:p w14:paraId="064B1A16" w14:textId="0EC26855" w:rsidR="000C1B41" w:rsidRPr="00273D06" w:rsidRDefault="00F6025E" w:rsidP="00415308">
      <w:r w:rsidRPr="00273D06">
        <w:t xml:space="preserve">This </w:t>
      </w:r>
      <w:r w:rsidR="0067798E">
        <w:t>Schedule lists</w:t>
      </w:r>
      <w:r w:rsidR="00E65EB8">
        <w:t xml:space="preserve"> </w:t>
      </w:r>
      <w:r w:rsidRPr="00273D06">
        <w:t xml:space="preserve">the range of climate classes that are applicable to refrigerated cabinets covered by the Determination. </w:t>
      </w:r>
      <w:r w:rsidR="004332AC">
        <w:t xml:space="preserve">The term test room climate class is defined in </w:t>
      </w:r>
      <w:r w:rsidR="00A00357">
        <w:t xml:space="preserve">section </w:t>
      </w:r>
      <w:r w:rsidR="008C2902">
        <w:t>5</w:t>
      </w:r>
      <w:r w:rsidR="00A00357">
        <w:t>.</w:t>
      </w:r>
    </w:p>
    <w:p w14:paraId="1853C162" w14:textId="5F33EC90" w:rsidR="000C1B41" w:rsidRDefault="00F6025E" w:rsidP="002D2BB4">
      <w:pPr>
        <w:pStyle w:val="Heading1"/>
      </w:pPr>
      <w:r w:rsidRPr="00273D06">
        <w:t>Schedule 6</w:t>
      </w:r>
      <w:r w:rsidR="00F85BB3">
        <w:t>—</w:t>
      </w:r>
      <w:r w:rsidR="00E65EB8">
        <w:t>Star Ratings</w:t>
      </w:r>
    </w:p>
    <w:p w14:paraId="602E7C1B" w14:textId="122DE189" w:rsidR="00A50A13" w:rsidRPr="00273D06" w:rsidRDefault="00A50A13" w:rsidP="00A50A13">
      <w:r w:rsidRPr="00A50A13">
        <w:t xml:space="preserve">This Schedule lists the EEI range and </w:t>
      </w:r>
      <w:r w:rsidR="00893CCC">
        <w:t>the corresponding number of stars</w:t>
      </w:r>
      <w:r w:rsidRPr="00A50A13">
        <w:t xml:space="preserve"> for</w:t>
      </w:r>
      <w:r>
        <w:rPr>
          <w:rFonts w:ascii="Arial" w:hAnsi="Arial" w:cs="Arial"/>
          <w:b/>
        </w:rPr>
        <w:t xml:space="preserve"> </w:t>
      </w:r>
      <w:r w:rsidRPr="00273D06">
        <w:t xml:space="preserve">refrigerated cabinets covered by the Determination. </w:t>
      </w:r>
      <w:r w:rsidR="009A3BD2">
        <w:t>S</w:t>
      </w:r>
      <w:r w:rsidR="00A00357">
        <w:t xml:space="preserve">ection 29 </w:t>
      </w:r>
      <w:r w:rsidR="009A3BD2">
        <w:t xml:space="preserve">sets out the requirements in relation to </w:t>
      </w:r>
      <w:r w:rsidR="00A00357">
        <w:t xml:space="preserve">using star </w:t>
      </w:r>
      <w:r w:rsidR="00EB0872">
        <w:t>ratings.</w:t>
      </w:r>
    </w:p>
    <w:p w14:paraId="725BF7CA" w14:textId="77777777" w:rsidR="00415308" w:rsidRPr="00273D06" w:rsidRDefault="00415308" w:rsidP="00415308">
      <w:pPr>
        <w:rPr>
          <w:u w:val="single"/>
        </w:rPr>
      </w:pPr>
    </w:p>
    <w:bookmarkEnd w:id="3"/>
    <w:bookmarkEnd w:id="4"/>
    <w:p w14:paraId="4D3DF45F" w14:textId="77777777" w:rsidR="00B95DB5" w:rsidRDefault="00B95DB5">
      <w:pPr>
        <w:rPr>
          <w:u w:val="single"/>
        </w:rPr>
      </w:pPr>
      <w:r>
        <w:rPr>
          <w:u w:val="single"/>
        </w:rPr>
        <w:br w:type="page"/>
      </w:r>
    </w:p>
    <w:p w14:paraId="5520DF25" w14:textId="77777777" w:rsidR="00F85BB3" w:rsidRDefault="00F85BB3" w:rsidP="00662031">
      <w:pPr>
        <w:jc w:val="right"/>
        <w:rPr>
          <w:u w:val="single"/>
        </w:rPr>
        <w:sectPr w:rsidR="00F85BB3" w:rsidSect="00662031">
          <w:headerReference w:type="default" r:id="rId20"/>
          <w:pgSz w:w="11907" w:h="16839" w:code="9"/>
          <w:pgMar w:top="1440" w:right="1800" w:bottom="1440" w:left="1800" w:header="720" w:footer="720" w:gutter="0"/>
          <w:cols w:space="720"/>
          <w:noEndnote/>
          <w:docGrid w:linePitch="326"/>
        </w:sectPr>
      </w:pPr>
    </w:p>
    <w:p w14:paraId="5CD4C13E" w14:textId="362C1B52" w:rsidR="00662031" w:rsidRPr="004D3369" w:rsidRDefault="00662031" w:rsidP="00662031">
      <w:pPr>
        <w:jc w:val="right"/>
        <w:rPr>
          <w:u w:val="single"/>
        </w:rPr>
      </w:pPr>
      <w:r w:rsidRPr="004D3369">
        <w:rPr>
          <w:u w:val="single"/>
        </w:rPr>
        <w:t>Attachment B</w:t>
      </w:r>
    </w:p>
    <w:p w14:paraId="69065478" w14:textId="77777777" w:rsidR="00662031" w:rsidRDefault="00662031" w:rsidP="00662031"/>
    <w:p w14:paraId="32E35D7B" w14:textId="77777777" w:rsidR="00662031" w:rsidRPr="00E4135E" w:rsidRDefault="00662031" w:rsidP="00662031">
      <w:pPr>
        <w:spacing w:before="360" w:after="120"/>
        <w:jc w:val="center"/>
        <w:rPr>
          <w:b/>
          <w:sz w:val="28"/>
          <w:szCs w:val="28"/>
        </w:rPr>
      </w:pPr>
      <w:r w:rsidRPr="00E4135E">
        <w:rPr>
          <w:b/>
          <w:sz w:val="28"/>
          <w:szCs w:val="28"/>
        </w:rPr>
        <w:t>Statement of Compatibility with Human Rights</w:t>
      </w:r>
    </w:p>
    <w:p w14:paraId="57860203" w14:textId="77777777" w:rsidR="00662031" w:rsidRPr="00E4135E" w:rsidRDefault="00662031" w:rsidP="00662031">
      <w:pPr>
        <w:spacing w:before="120" w:after="120"/>
        <w:jc w:val="center"/>
      </w:pPr>
      <w:r w:rsidRPr="00E4135E">
        <w:rPr>
          <w:i/>
        </w:rPr>
        <w:t>Prepared in accordance with Part 3 of the Human Rights (Parliamentary Scrutiny) Act 2011</w:t>
      </w:r>
    </w:p>
    <w:p w14:paraId="4B080E1F" w14:textId="525DE014" w:rsidR="00662031" w:rsidRPr="00735CA7" w:rsidRDefault="00662031" w:rsidP="00662031">
      <w:pPr>
        <w:spacing w:before="120" w:after="120"/>
        <w:jc w:val="center"/>
        <w:rPr>
          <w:i/>
        </w:rPr>
      </w:pPr>
      <w:r w:rsidRPr="00735CA7">
        <w:rPr>
          <w:i/>
        </w:rPr>
        <w:t xml:space="preserve">Greenhouse and Energy Minimum Standards </w:t>
      </w:r>
      <w:r>
        <w:rPr>
          <w:i/>
        </w:rPr>
        <w:t>(</w:t>
      </w:r>
      <w:r w:rsidR="00B132EE">
        <w:rPr>
          <w:i/>
        </w:rPr>
        <w:t>Refrigerated C</w:t>
      </w:r>
      <w:r w:rsidR="0088007E">
        <w:rPr>
          <w:i/>
        </w:rPr>
        <w:t>abinets</w:t>
      </w:r>
      <w:r>
        <w:rPr>
          <w:i/>
        </w:rPr>
        <w:t>) Determination</w:t>
      </w:r>
      <w:r w:rsidRPr="00735CA7">
        <w:rPr>
          <w:i/>
        </w:rPr>
        <w:t xml:space="preserve"> </w:t>
      </w:r>
      <w:r w:rsidR="00EB4F18" w:rsidRPr="00735CA7">
        <w:rPr>
          <w:i/>
        </w:rPr>
        <w:t>20</w:t>
      </w:r>
      <w:r w:rsidR="00EB4F18">
        <w:rPr>
          <w:i/>
        </w:rPr>
        <w:t>20</w:t>
      </w:r>
    </w:p>
    <w:p w14:paraId="0F129DB9" w14:textId="77777777" w:rsidR="00662031" w:rsidRPr="00E4135E" w:rsidRDefault="00662031" w:rsidP="00662031">
      <w:pPr>
        <w:spacing w:before="120" w:after="120"/>
        <w:jc w:val="center"/>
      </w:pPr>
      <w:r w:rsidRPr="00E4135E">
        <w:t xml:space="preserve">This Legislative Instrument is compatible with the human rights and freedoms recognised or declared in the international instruments listed in section 3 of the </w:t>
      </w:r>
      <w:r w:rsidRPr="00E4135E">
        <w:rPr>
          <w:i/>
        </w:rPr>
        <w:t>Human Rights (Parliamentary Scrutiny) Act 2011</w:t>
      </w:r>
      <w:r w:rsidRPr="00E4135E">
        <w:t>.</w:t>
      </w:r>
    </w:p>
    <w:p w14:paraId="5839693E" w14:textId="77777777" w:rsidR="00662031" w:rsidRPr="00E4135E" w:rsidRDefault="00662031" w:rsidP="00662031">
      <w:pPr>
        <w:spacing w:before="120" w:after="120"/>
        <w:jc w:val="center"/>
      </w:pPr>
    </w:p>
    <w:p w14:paraId="2D8761B7" w14:textId="77777777" w:rsidR="00662031" w:rsidRPr="00E4135E" w:rsidRDefault="00662031" w:rsidP="00662031">
      <w:pPr>
        <w:spacing w:before="120" w:after="120"/>
        <w:jc w:val="both"/>
        <w:rPr>
          <w:b/>
        </w:rPr>
      </w:pPr>
      <w:r w:rsidRPr="00E4135E">
        <w:rPr>
          <w:b/>
        </w:rPr>
        <w:t>Overview of the Legislative Instrument</w:t>
      </w:r>
    </w:p>
    <w:p w14:paraId="3DBC7C6D" w14:textId="55714D8A" w:rsidR="00662031" w:rsidRPr="00E4135E" w:rsidRDefault="00662031" w:rsidP="00662031">
      <w:pPr>
        <w:spacing w:before="120" w:after="120"/>
      </w:pPr>
      <w:r>
        <w:t xml:space="preserve">The </w:t>
      </w:r>
      <w:r w:rsidRPr="00735CA7">
        <w:rPr>
          <w:i/>
        </w:rPr>
        <w:t xml:space="preserve">Greenhouse and Energy Minimum Standards </w:t>
      </w:r>
      <w:r>
        <w:rPr>
          <w:i/>
        </w:rPr>
        <w:t>(</w:t>
      </w:r>
      <w:r w:rsidR="00B132EE">
        <w:rPr>
          <w:i/>
        </w:rPr>
        <w:t>Refrigerated C</w:t>
      </w:r>
      <w:r w:rsidR="0088007E">
        <w:rPr>
          <w:i/>
        </w:rPr>
        <w:t>abinets</w:t>
      </w:r>
      <w:r>
        <w:rPr>
          <w:i/>
        </w:rPr>
        <w:t>) Determination</w:t>
      </w:r>
      <w:r w:rsidRPr="00735CA7">
        <w:rPr>
          <w:i/>
        </w:rPr>
        <w:t xml:space="preserve"> </w:t>
      </w:r>
      <w:r w:rsidR="00EB4F18" w:rsidRPr="00735CA7">
        <w:rPr>
          <w:i/>
        </w:rPr>
        <w:t>20</w:t>
      </w:r>
      <w:r w:rsidR="00EB4F18">
        <w:rPr>
          <w:i/>
        </w:rPr>
        <w:t xml:space="preserve">20 </w:t>
      </w:r>
      <w:r>
        <w:t xml:space="preserve">prescribes matters relating </w:t>
      </w:r>
      <w:r w:rsidR="00BF6195">
        <w:t xml:space="preserve">to </w:t>
      </w:r>
      <w:r>
        <w:t xml:space="preserve">minimum energy efficiency requirements for </w:t>
      </w:r>
      <w:r w:rsidR="0088007E">
        <w:t>refrigerated cabinets</w:t>
      </w:r>
      <w:r>
        <w:t xml:space="preserve"> under the </w:t>
      </w:r>
      <w:r w:rsidRPr="007D56F5">
        <w:rPr>
          <w:i/>
        </w:rPr>
        <w:t>Greenhouse and Energy Minimum Standards Act 2012</w:t>
      </w:r>
      <w:r>
        <w:t xml:space="preserve">. </w:t>
      </w:r>
      <w:r w:rsidR="00026333">
        <w:t>The Determination establish</w:t>
      </w:r>
      <w:r w:rsidR="00B132EE">
        <w:t>es requirements for energy use</w:t>
      </w:r>
      <w:r w:rsidR="00BC053C">
        <w:t xml:space="preserve"> and energy labelling,</w:t>
      </w:r>
      <w:r w:rsidR="00B132EE">
        <w:t xml:space="preserve"> </w:t>
      </w:r>
      <w:r w:rsidR="00026333">
        <w:t>including requirements for conducting tests in order to demonstrate compliance with those requirements</w:t>
      </w:r>
      <w:r>
        <w:t>.</w:t>
      </w:r>
      <w:r w:rsidR="00CF2DB7">
        <w:t xml:space="preserve"> </w:t>
      </w:r>
      <w:r w:rsidR="00026333">
        <w:t xml:space="preserve">The Determination also sets out the circumstances in which two or more models in a product class may be a family of models, and establishes the </w:t>
      </w:r>
      <w:r w:rsidR="006D569C">
        <w:t xml:space="preserve">applicable </w:t>
      </w:r>
      <w:r w:rsidR="00026333">
        <w:t xml:space="preserve">product category for the purposes of calculating certain penalties under the Act. </w:t>
      </w:r>
    </w:p>
    <w:p w14:paraId="02FE3E5D" w14:textId="77777777" w:rsidR="00662031" w:rsidRPr="00E4135E" w:rsidRDefault="00662031" w:rsidP="00662031">
      <w:pPr>
        <w:spacing w:before="120" w:after="120"/>
        <w:rPr>
          <w:b/>
        </w:rPr>
      </w:pPr>
      <w:r w:rsidRPr="00E4135E">
        <w:rPr>
          <w:b/>
        </w:rPr>
        <w:t>Human rights implications</w:t>
      </w:r>
    </w:p>
    <w:p w14:paraId="6EAB2450" w14:textId="77777777" w:rsidR="00662031" w:rsidRDefault="00662031" w:rsidP="00662031">
      <w:pPr>
        <w:spacing w:before="120" w:after="120"/>
      </w:pPr>
      <w:r w:rsidRPr="00E4135E">
        <w:t>This Legislative Instrument does not engage any of the applicable rights or freedoms.</w:t>
      </w:r>
    </w:p>
    <w:p w14:paraId="369D098D" w14:textId="77777777" w:rsidR="00662031" w:rsidRPr="00E4135E" w:rsidRDefault="00662031" w:rsidP="00662031">
      <w:pPr>
        <w:spacing w:before="120" w:after="120"/>
        <w:rPr>
          <w:b/>
        </w:rPr>
      </w:pPr>
      <w:r w:rsidRPr="00E4135E">
        <w:rPr>
          <w:b/>
        </w:rPr>
        <w:t>Conclusion</w:t>
      </w:r>
    </w:p>
    <w:p w14:paraId="418433C6" w14:textId="77777777" w:rsidR="00662031" w:rsidRPr="00E4135E" w:rsidRDefault="00662031" w:rsidP="00662031">
      <w:pPr>
        <w:spacing w:before="120" w:after="120"/>
      </w:pPr>
      <w:r w:rsidRPr="00E4135E">
        <w:t>This Legislative Instrument is compatible with human rights as it does not raise any human rights issues.</w:t>
      </w:r>
    </w:p>
    <w:p w14:paraId="07C30CB3" w14:textId="77777777" w:rsidR="00662031" w:rsidRPr="00E4135E" w:rsidRDefault="00662031" w:rsidP="00662031">
      <w:pPr>
        <w:spacing w:before="120" w:after="120"/>
        <w:jc w:val="center"/>
      </w:pPr>
    </w:p>
    <w:p w14:paraId="60CAD35E" w14:textId="499A3039" w:rsidR="00662031" w:rsidRPr="002E399F" w:rsidRDefault="00662031" w:rsidP="00662031">
      <w:pPr>
        <w:spacing w:before="120" w:after="120"/>
        <w:jc w:val="center"/>
        <w:rPr>
          <w:b/>
        </w:rPr>
      </w:pPr>
      <w:r w:rsidRPr="00E0060A">
        <w:rPr>
          <w:b/>
        </w:rPr>
        <w:t xml:space="preserve">The Hon </w:t>
      </w:r>
      <w:r w:rsidR="00BC053C">
        <w:rPr>
          <w:b/>
        </w:rPr>
        <w:t>Angus Taylor</w:t>
      </w:r>
      <w:r w:rsidRPr="00E0060A">
        <w:rPr>
          <w:b/>
        </w:rPr>
        <w:t xml:space="preserve"> MP</w:t>
      </w:r>
      <w:r w:rsidRPr="00E0060A">
        <w:rPr>
          <w:b/>
        </w:rPr>
        <w:br/>
      </w:r>
      <w:r w:rsidR="00BC053C">
        <w:rPr>
          <w:b/>
        </w:rPr>
        <w:t>Minister for</w:t>
      </w:r>
      <w:r w:rsidRPr="00E0060A">
        <w:rPr>
          <w:b/>
        </w:rPr>
        <w:t xml:space="preserve"> Energy </w:t>
      </w:r>
      <w:r w:rsidR="00AC6998">
        <w:rPr>
          <w:b/>
        </w:rPr>
        <w:t>and Emissions Reduction</w:t>
      </w:r>
    </w:p>
    <w:p w14:paraId="48683B88" w14:textId="77777777" w:rsidR="005636C7" w:rsidRDefault="005636C7" w:rsidP="00662031">
      <w:pPr>
        <w:sectPr w:rsidR="005636C7" w:rsidSect="00662031">
          <w:headerReference w:type="default" r:id="rId21"/>
          <w:pgSz w:w="11907" w:h="16839" w:code="9"/>
          <w:pgMar w:top="1440" w:right="1800" w:bottom="1440" w:left="1800" w:header="720" w:footer="720" w:gutter="0"/>
          <w:cols w:space="720"/>
          <w:noEndnote/>
          <w:docGrid w:linePitch="326"/>
        </w:sectPr>
      </w:pPr>
    </w:p>
    <w:p w14:paraId="5E6C8B2F" w14:textId="77777777" w:rsidR="005636C7" w:rsidRDefault="005636C7" w:rsidP="005636C7">
      <w:pPr>
        <w:pStyle w:val="E3Title"/>
      </w:pPr>
      <w:r>
        <w:rPr>
          <w:noProof/>
          <w:lang w:eastAsia="en-AU"/>
        </w:rPr>
        <mc:AlternateContent>
          <mc:Choice Requires="wps">
            <w:drawing>
              <wp:inline distT="0" distB="0" distL="0" distR="0" wp14:anchorId="7FCD8833" wp14:editId="0AEF004C">
                <wp:extent cx="6158865" cy="1717040"/>
                <wp:effectExtent l="0" t="0" r="0" b="10160"/>
                <wp:docPr id="1" name="Text Box 1"/>
                <wp:cNvGraphicFramePr/>
                <a:graphic xmlns:a="http://schemas.openxmlformats.org/drawingml/2006/main">
                  <a:graphicData uri="http://schemas.microsoft.com/office/word/2010/wordprocessingShape">
                    <wps:wsp>
                      <wps:cNvSpPr txBox="1"/>
                      <wps:spPr>
                        <a:xfrm>
                          <a:off x="0" y="0"/>
                          <a:ext cx="6158865" cy="1717040"/>
                        </a:xfrm>
                        <a:prstGeom prst="rect">
                          <a:avLst/>
                        </a:prstGeom>
                        <a:noFill/>
                        <a:ln>
                          <a:noFill/>
                        </a:ln>
                        <a:effectLst/>
                        <a:extLst>
                          <a:ext uri="{FAA26D3D-D897-4be2-8F04-BA451C77F1D7}">
                            <ma14:placeholder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FD54B" w14:textId="77777777" w:rsidR="0047107E" w:rsidRDefault="0047107E" w:rsidP="005636C7">
                            <w:pPr>
                              <w:pStyle w:val="E3Title"/>
                            </w:pPr>
                            <w:r>
                              <w:t>Decision RIS: Refrigerated display and storage cabinets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FCD8833" id="_x0000_t202" coordsize="21600,21600" o:spt="202" path="m,l,21600r21600,l21600,xe">
                <v:stroke joinstyle="miter"/>
                <v:path gradientshapeok="t" o:connecttype="rect"/>
              </v:shapetype>
              <v:shape id="Text Box 1" o:spid="_x0000_s1026" type="#_x0000_t202" style="width:484.95pt;height:1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Ea0A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" filled="f" stroked="f">
                <v:textbox>
                  <w:txbxContent>
                    <w:p w14:paraId="452FD54B" w14:textId="77777777" w:rsidR="0047107E" w:rsidRDefault="0047107E" w:rsidP="005636C7">
                      <w:pPr>
                        <w:pStyle w:val="E3Title"/>
                      </w:pPr>
                      <w:r>
                        <w:t>Decision RIS: Refrigerated display and storage cabinets</w:t>
                      </w:r>
                    </w:p>
                  </w:txbxContent>
                </v:textbox>
                <w10:anchorlock/>
              </v:shape>
            </w:pict>
          </mc:Fallback>
        </mc:AlternateContent>
      </w:r>
    </w:p>
    <w:p w14:paraId="05246F88" w14:textId="77777777" w:rsidR="005636C7" w:rsidRDefault="005636C7" w:rsidP="005636C7">
      <w:pPr>
        <w:pStyle w:val="E3Subtitle"/>
      </w:pPr>
      <w:bookmarkStart w:id="5" w:name="_Toc297565335"/>
      <w:bookmarkStart w:id="6" w:name="_Toc297565841"/>
    </w:p>
    <w:p w14:paraId="61D765A2" w14:textId="77777777" w:rsidR="005636C7" w:rsidRDefault="005636C7" w:rsidP="005636C7">
      <w:pPr>
        <w:pStyle w:val="E3Subtitle"/>
      </w:pPr>
    </w:p>
    <w:p w14:paraId="1F62DEA8" w14:textId="77777777" w:rsidR="005636C7" w:rsidRDefault="005636C7" w:rsidP="005636C7">
      <w:pPr>
        <w:pStyle w:val="E3Subtitle"/>
      </w:pPr>
    </w:p>
    <w:p w14:paraId="2F048E9A" w14:textId="77777777" w:rsidR="005636C7" w:rsidRDefault="005636C7" w:rsidP="005636C7">
      <w:pPr>
        <w:pStyle w:val="E3Subtitle"/>
      </w:pPr>
    </w:p>
    <w:p w14:paraId="5CDF6CEE" w14:textId="77777777" w:rsidR="005636C7" w:rsidRDefault="005636C7" w:rsidP="005636C7">
      <w:pPr>
        <w:pStyle w:val="E3Subtitle"/>
      </w:pPr>
    </w:p>
    <w:p w14:paraId="0262CF24" w14:textId="77777777" w:rsidR="005636C7" w:rsidRDefault="005636C7" w:rsidP="005636C7">
      <w:pPr>
        <w:pStyle w:val="E3Subtitle"/>
      </w:pPr>
    </w:p>
    <w:p w14:paraId="23B1420A" w14:textId="77777777" w:rsidR="005636C7" w:rsidRDefault="005636C7" w:rsidP="005636C7">
      <w:pPr>
        <w:pStyle w:val="E3Subtitle"/>
      </w:pPr>
    </w:p>
    <w:bookmarkEnd w:id="5"/>
    <w:bookmarkEnd w:id="6"/>
    <w:p w14:paraId="623F48AF" w14:textId="77777777" w:rsidR="005636C7" w:rsidRDefault="005636C7" w:rsidP="005636C7">
      <w:pPr>
        <w:pStyle w:val="E3InternalCoverPage"/>
      </w:pPr>
      <w:r>
        <w:rPr>
          <w:noProof/>
          <w:lang w:eastAsia="en-AU"/>
        </w:rPr>
        <mc:AlternateContent>
          <mc:Choice Requires="wps">
            <w:drawing>
              <wp:inline distT="0" distB="0" distL="0" distR="0" wp14:anchorId="0DEB0927" wp14:editId="0CCAD0B9">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67E61" w14:textId="77777777" w:rsidR="0047107E" w:rsidRDefault="0047107E" w:rsidP="005636C7">
                            <w:pPr>
                              <w:pStyle w:val="E3Subtitle"/>
                            </w:pPr>
                          </w:p>
                          <w:p w14:paraId="14FB2ACE" w14:textId="77777777" w:rsidR="0047107E" w:rsidRDefault="0047107E" w:rsidP="005636C7">
                            <w:pPr>
                              <w:pStyle w:val="E3Subtitle"/>
                            </w:pPr>
                            <w:r>
                              <w:t>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EB0927"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57167E61" w14:textId="77777777" w:rsidR="0047107E" w:rsidRDefault="0047107E" w:rsidP="005636C7">
                      <w:pPr>
                        <w:pStyle w:val="E3Subtitle"/>
                      </w:pPr>
                    </w:p>
                    <w:p w14:paraId="14FB2ACE" w14:textId="77777777" w:rsidR="0047107E" w:rsidRDefault="0047107E" w:rsidP="005636C7">
                      <w:pPr>
                        <w:pStyle w:val="E3Subtitle"/>
                      </w:pPr>
                      <w:r>
                        <w:t>November 2017</w:t>
                      </w:r>
                    </w:p>
                  </w:txbxContent>
                </v:textbox>
                <w10:anchorlock/>
              </v:shape>
            </w:pict>
          </mc:Fallback>
        </mc:AlternateContent>
      </w:r>
    </w:p>
    <w:p w14:paraId="30D44442" w14:textId="77777777" w:rsidR="005636C7" w:rsidRDefault="005636C7" w:rsidP="005636C7">
      <w:pPr>
        <w:pStyle w:val="E3InternalCoverPage"/>
        <w:rPr>
          <w:rFonts w:ascii="Helvetica" w:hAnsi="Helvetica"/>
          <w:b/>
          <w:sz w:val="24"/>
        </w:rPr>
      </w:pPr>
      <w:r>
        <w:br w:type="page"/>
      </w:r>
    </w:p>
    <w:p w14:paraId="5A4B53EB" w14:textId="77777777" w:rsidR="005636C7" w:rsidRPr="00AD73FE" w:rsidRDefault="005636C7" w:rsidP="005636C7">
      <w:pPr>
        <w:pStyle w:val="E3InternalCoverPage"/>
        <w:sectPr w:rsidR="005636C7" w:rsidRPr="00AD73FE" w:rsidSect="005636C7">
          <w:headerReference w:type="even" r:id="rId22"/>
          <w:headerReference w:type="default" r:id="rId23"/>
          <w:footerReference w:type="even" r:id="rId24"/>
          <w:footerReference w:type="default" r:id="rId25"/>
          <w:headerReference w:type="first" r:id="rId26"/>
          <w:footerReference w:type="first" r:id="rId27"/>
          <w:pgSz w:w="11907" w:h="16840" w:code="9"/>
          <w:pgMar w:top="6237" w:right="1134" w:bottom="1418" w:left="1985" w:header="709" w:footer="492" w:gutter="0"/>
          <w:cols w:space="720"/>
          <w:titlePg/>
          <w:docGrid w:linePitch="360"/>
        </w:sectPr>
      </w:pPr>
    </w:p>
    <w:p w14:paraId="16DF4434" w14:textId="77777777" w:rsidR="005636C7" w:rsidRPr="008A1098" w:rsidRDefault="005636C7" w:rsidP="005636C7">
      <w:pPr>
        <w:pStyle w:val="E3InternalCoverPage"/>
      </w:pPr>
    </w:p>
    <w:p w14:paraId="0E482C9A" w14:textId="77777777" w:rsidR="005636C7" w:rsidRPr="00A05D5E" w:rsidRDefault="005636C7" w:rsidP="005636C7">
      <w:pPr>
        <w:pStyle w:val="E3InternalCoverPage"/>
      </w:pPr>
      <w:r w:rsidRPr="00A05D5E">
        <w:t xml:space="preserve">This work is licensed under the Creative Commons Attribution 3.0 Australia Licence. To view a copy of </w:t>
      </w:r>
      <w:r>
        <w:br/>
      </w:r>
      <w:r w:rsidRPr="00A05D5E">
        <w:t xml:space="preserve">this license, visit </w:t>
      </w:r>
      <w:hyperlink r:id="rId28" w:history="1">
        <w:r w:rsidRPr="00A05D5E">
          <w:rPr>
            <w:rStyle w:val="Hyperlink"/>
          </w:rPr>
          <w:t>the creative commons website.</w:t>
        </w:r>
      </w:hyperlink>
    </w:p>
    <w:p w14:paraId="01E3BBC8" w14:textId="77777777" w:rsidR="005636C7" w:rsidRPr="00A05D5E" w:rsidRDefault="005636C7" w:rsidP="005636C7">
      <w:pPr>
        <w:pStyle w:val="E3InternalCoverPage"/>
      </w:pPr>
    </w:p>
    <w:p w14:paraId="18A7A51A" w14:textId="77777777" w:rsidR="005636C7" w:rsidRPr="00A05D5E" w:rsidRDefault="005636C7" w:rsidP="005636C7">
      <w:pPr>
        <w:pStyle w:val="E3InternalCoverPage"/>
      </w:pPr>
      <w:r>
        <w:t xml:space="preserve">The </w:t>
      </w:r>
      <w:r w:rsidRPr="00A05D5E">
        <w:t xml:space="preserve">Department of </w:t>
      </w:r>
      <w:r>
        <w:t>the Environment and Energy</w:t>
      </w:r>
      <w:r w:rsidRPr="00A05D5E">
        <w:t xml:space="preserve"> on behalf of the Equipment Energy Efficiency Program asserts the right to be recognised as author of the original material in the following manner: </w:t>
      </w:r>
    </w:p>
    <w:p w14:paraId="727587D3" w14:textId="77777777" w:rsidR="005636C7" w:rsidRPr="00A05D5E" w:rsidRDefault="005636C7" w:rsidP="005636C7">
      <w:pPr>
        <w:pStyle w:val="E3InternalCoverPage"/>
      </w:pPr>
      <w:r w:rsidRPr="00A05D5E">
        <w:rPr>
          <w:noProof/>
          <w:lang w:eastAsia="en-AU"/>
        </w:rPr>
        <w:drawing>
          <wp:inline distT="0" distB="0" distL="0" distR="0" wp14:anchorId="5BB5FB7C" wp14:editId="6F7D9950">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21E88F08" w14:textId="77777777" w:rsidR="005636C7" w:rsidRPr="00A05D5E" w:rsidRDefault="005636C7" w:rsidP="005636C7">
      <w:pPr>
        <w:pStyle w:val="E3InternalCoverPage"/>
      </w:pPr>
    </w:p>
    <w:p w14:paraId="71C3F69A" w14:textId="77777777" w:rsidR="005636C7" w:rsidRPr="00A05D5E" w:rsidRDefault="005636C7" w:rsidP="005636C7">
      <w:pPr>
        <w:pStyle w:val="E3InternalCoverPage"/>
      </w:pPr>
      <w:r w:rsidRPr="00A05D5E">
        <w:t xml:space="preserve">© Commonwealth of Australia (Department of </w:t>
      </w:r>
      <w:r>
        <w:t>the Environment and Energy</w:t>
      </w:r>
      <w:r w:rsidRPr="00A05D5E">
        <w:t xml:space="preserve">) </w:t>
      </w:r>
      <w:r w:rsidRPr="00A05D5E">
        <w:fldChar w:fldCharType="begin"/>
      </w:r>
      <w:r w:rsidRPr="00A05D5E">
        <w:instrText xml:space="preserve"> DATE \@ "yyyy" \* MERGEFORMAT </w:instrText>
      </w:r>
      <w:r w:rsidRPr="00A05D5E">
        <w:fldChar w:fldCharType="separate"/>
      </w:r>
      <w:r w:rsidR="00306270">
        <w:rPr>
          <w:noProof/>
        </w:rPr>
        <w:t>2020</w:t>
      </w:r>
      <w:r w:rsidRPr="00A05D5E">
        <w:fldChar w:fldCharType="end"/>
      </w:r>
      <w:r w:rsidRPr="00A05D5E">
        <w:t>.The material in this publication is provided for general information only, and on the understanding that the Australian Government is providing professional advice. Before any action or decision is taken on the basis of this material the reader should obtain appropriate independent professional advice.</w:t>
      </w:r>
    </w:p>
    <w:p w14:paraId="05D863D7" w14:textId="77777777" w:rsidR="005636C7" w:rsidRPr="00A05D5E" w:rsidRDefault="005636C7" w:rsidP="005636C7">
      <w:pPr>
        <w:pStyle w:val="E3InternalCoverPage"/>
        <w:ind w:right="3969"/>
      </w:pPr>
    </w:p>
    <w:p w14:paraId="597AE62D" w14:textId="77777777" w:rsidR="005636C7" w:rsidRPr="00A05D5E" w:rsidRDefault="005636C7" w:rsidP="005636C7">
      <w:pPr>
        <w:pStyle w:val="E3InternalCoverPage"/>
        <w:ind w:right="3969"/>
      </w:pPr>
      <w:r w:rsidRPr="00A05D5E">
        <w:t>This document is available at</w:t>
      </w:r>
      <w:hyperlink r:id="rId30" w:history="1">
        <w:r>
          <w:rPr>
            <w:rStyle w:val="Hyperlink"/>
          </w:rPr>
          <w:t xml:space="preserve"> </w:t>
        </w:r>
        <w:r w:rsidRPr="00A05D5E">
          <w:rPr>
            <w:rStyle w:val="Hyperlink"/>
          </w:rPr>
          <w:t>the Energy Rating website.</w:t>
        </w:r>
      </w:hyperlink>
    </w:p>
    <w:p w14:paraId="5ADD3997" w14:textId="77777777" w:rsidR="005636C7" w:rsidRPr="00A05D5E" w:rsidRDefault="005636C7" w:rsidP="005636C7">
      <w:pPr>
        <w:pStyle w:val="E3InternalCoverPage"/>
        <w:ind w:right="3969"/>
      </w:pPr>
    </w:p>
    <w:p w14:paraId="73F74F9C" w14:textId="77777777" w:rsidR="005636C7" w:rsidRPr="003C469D" w:rsidRDefault="005636C7" w:rsidP="005636C7">
      <w:pPr>
        <w:pStyle w:val="E3InternalCoverPage"/>
        <w:sectPr w:rsidR="005636C7" w:rsidRPr="003C469D" w:rsidSect="005636C7">
          <w:headerReference w:type="first" r:id="rId31"/>
          <w:footerReference w:type="first" r:id="rId32"/>
          <w:pgSz w:w="11907" w:h="16840" w:code="9"/>
          <w:pgMar w:top="1134" w:right="1134" w:bottom="1418" w:left="1134" w:header="709" w:footer="709" w:gutter="0"/>
          <w:pgNumType w:start="0"/>
          <w:cols w:space="720"/>
          <w:titlePg/>
          <w:docGrid w:linePitch="360"/>
        </w:sectPr>
      </w:pPr>
      <w:r w:rsidRPr="003C469D">
        <w:t xml:space="preserve">While reasonable efforts have been made to ensure that the contents of this publication are factually correct, E3 does not accept responsibility for the accuracy or completeness of the content, and shall not be liable for any loss or damage that may be occasioned directly or indirectly through the use of, or reliance on, the contents of this publication. </w:t>
      </w:r>
    </w:p>
    <w:p w14:paraId="71B61A3E" w14:textId="77777777" w:rsidR="005636C7" w:rsidRDefault="005636C7" w:rsidP="005636C7">
      <w:pPr>
        <w:pStyle w:val="E3ChapterTitle"/>
      </w:pPr>
      <w:bookmarkStart w:id="7" w:name="_Toc500151772"/>
      <w:r>
        <w:t>Contents</w:t>
      </w:r>
      <w:bookmarkEnd w:id="7"/>
    </w:p>
    <w:p w14:paraId="72199F0D"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fldChar w:fldCharType="begin"/>
      </w:r>
      <w:r>
        <w:instrText xml:space="preserve"> TOC \f \t "Heading 1,2,Heading 2,3,Heading 3,4,E3 Chapter Title,1,E3 Heading 1,2,E3 Heading 2,3,E3 Heading 3,4,Title,1,E3 TOC Title,1,Back Cover Title,1" </w:instrText>
      </w:r>
      <w:r>
        <w:fldChar w:fldCharType="separate"/>
      </w:r>
      <w:r>
        <w:rPr>
          <w:noProof/>
        </w:rPr>
        <w:t>Contents</w:t>
      </w:r>
      <w:r>
        <w:rPr>
          <w:noProof/>
        </w:rPr>
        <w:tab/>
      </w:r>
      <w:r>
        <w:rPr>
          <w:noProof/>
        </w:rPr>
        <w:fldChar w:fldCharType="begin"/>
      </w:r>
      <w:r>
        <w:rPr>
          <w:noProof/>
        </w:rPr>
        <w:instrText xml:space="preserve"> PAGEREF _Toc500151772 \h </w:instrText>
      </w:r>
      <w:r>
        <w:rPr>
          <w:noProof/>
        </w:rPr>
      </w:r>
      <w:r>
        <w:rPr>
          <w:noProof/>
        </w:rPr>
        <w:fldChar w:fldCharType="separate"/>
      </w:r>
      <w:r w:rsidR="00AC6998">
        <w:rPr>
          <w:noProof/>
        </w:rPr>
        <w:t>1</w:t>
      </w:r>
      <w:r>
        <w:rPr>
          <w:noProof/>
        </w:rPr>
        <w:fldChar w:fldCharType="end"/>
      </w:r>
    </w:p>
    <w:p w14:paraId="5BF7B087"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Glossary</w:t>
      </w:r>
      <w:r>
        <w:rPr>
          <w:noProof/>
        </w:rPr>
        <w:tab/>
      </w:r>
      <w:r>
        <w:rPr>
          <w:noProof/>
        </w:rPr>
        <w:fldChar w:fldCharType="begin"/>
      </w:r>
      <w:r>
        <w:rPr>
          <w:noProof/>
        </w:rPr>
        <w:instrText xml:space="preserve"> PAGEREF _Toc500151773 \h </w:instrText>
      </w:r>
      <w:r>
        <w:rPr>
          <w:noProof/>
        </w:rPr>
      </w:r>
      <w:r>
        <w:rPr>
          <w:noProof/>
        </w:rPr>
        <w:fldChar w:fldCharType="separate"/>
      </w:r>
      <w:r w:rsidR="00AC6998">
        <w:rPr>
          <w:noProof/>
        </w:rPr>
        <w:t>6</w:t>
      </w:r>
      <w:r>
        <w:rPr>
          <w:noProof/>
        </w:rPr>
        <w:fldChar w:fldCharType="end"/>
      </w:r>
    </w:p>
    <w:p w14:paraId="483C2028"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Executive Summary</w:t>
      </w:r>
      <w:r>
        <w:rPr>
          <w:noProof/>
        </w:rPr>
        <w:tab/>
      </w:r>
      <w:r>
        <w:rPr>
          <w:noProof/>
        </w:rPr>
        <w:fldChar w:fldCharType="begin"/>
      </w:r>
      <w:r>
        <w:rPr>
          <w:noProof/>
        </w:rPr>
        <w:instrText xml:space="preserve"> PAGEREF _Toc500151774 \h </w:instrText>
      </w:r>
      <w:r>
        <w:rPr>
          <w:noProof/>
        </w:rPr>
      </w:r>
      <w:r>
        <w:rPr>
          <w:noProof/>
        </w:rPr>
        <w:fldChar w:fldCharType="separate"/>
      </w:r>
      <w:r w:rsidR="00AC6998">
        <w:rPr>
          <w:noProof/>
        </w:rPr>
        <w:t>1</w:t>
      </w:r>
      <w:r>
        <w:rPr>
          <w:noProof/>
        </w:rPr>
        <w:fldChar w:fldCharType="end"/>
      </w:r>
    </w:p>
    <w:p w14:paraId="45AA74B3"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Background</w:t>
      </w:r>
      <w:r>
        <w:rPr>
          <w:noProof/>
        </w:rPr>
        <w:tab/>
      </w:r>
      <w:r>
        <w:rPr>
          <w:noProof/>
        </w:rPr>
        <w:fldChar w:fldCharType="begin"/>
      </w:r>
      <w:r>
        <w:rPr>
          <w:noProof/>
        </w:rPr>
        <w:instrText xml:space="preserve"> PAGEREF _Toc500151775 \h </w:instrText>
      </w:r>
      <w:r>
        <w:rPr>
          <w:noProof/>
        </w:rPr>
      </w:r>
      <w:r>
        <w:rPr>
          <w:noProof/>
        </w:rPr>
        <w:fldChar w:fldCharType="separate"/>
      </w:r>
      <w:r w:rsidR="00AC6998">
        <w:rPr>
          <w:noProof/>
        </w:rPr>
        <w:t>1</w:t>
      </w:r>
      <w:r>
        <w:rPr>
          <w:noProof/>
        </w:rPr>
        <w:fldChar w:fldCharType="end"/>
      </w:r>
    </w:p>
    <w:p w14:paraId="374BCC8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Problem</w:t>
      </w:r>
      <w:r>
        <w:rPr>
          <w:noProof/>
        </w:rPr>
        <w:tab/>
      </w:r>
      <w:r>
        <w:rPr>
          <w:noProof/>
        </w:rPr>
        <w:fldChar w:fldCharType="begin"/>
      </w:r>
      <w:r>
        <w:rPr>
          <w:noProof/>
        </w:rPr>
        <w:instrText xml:space="preserve"> PAGEREF _Toc500151776 \h </w:instrText>
      </w:r>
      <w:r>
        <w:rPr>
          <w:noProof/>
        </w:rPr>
      </w:r>
      <w:r>
        <w:rPr>
          <w:noProof/>
        </w:rPr>
        <w:fldChar w:fldCharType="separate"/>
      </w:r>
      <w:r w:rsidR="00AC6998">
        <w:rPr>
          <w:noProof/>
        </w:rPr>
        <w:t>8</w:t>
      </w:r>
      <w:r>
        <w:rPr>
          <w:noProof/>
        </w:rPr>
        <w:fldChar w:fldCharType="end"/>
      </w:r>
    </w:p>
    <w:p w14:paraId="71F1EDD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Objective</w:t>
      </w:r>
      <w:r>
        <w:rPr>
          <w:noProof/>
        </w:rPr>
        <w:tab/>
      </w:r>
      <w:r>
        <w:rPr>
          <w:noProof/>
        </w:rPr>
        <w:fldChar w:fldCharType="begin"/>
      </w:r>
      <w:r>
        <w:rPr>
          <w:noProof/>
        </w:rPr>
        <w:instrText xml:space="preserve"> PAGEREF _Toc500151777 \h </w:instrText>
      </w:r>
      <w:r>
        <w:rPr>
          <w:noProof/>
        </w:rPr>
      </w:r>
      <w:r>
        <w:rPr>
          <w:noProof/>
        </w:rPr>
        <w:fldChar w:fldCharType="separate"/>
      </w:r>
      <w:r w:rsidR="00AC6998">
        <w:rPr>
          <w:noProof/>
        </w:rPr>
        <w:t>9</w:t>
      </w:r>
      <w:r>
        <w:rPr>
          <w:noProof/>
        </w:rPr>
        <w:fldChar w:fldCharType="end"/>
      </w:r>
    </w:p>
    <w:p w14:paraId="693D738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w:t>
      </w:r>
      <w:r>
        <w:rPr>
          <w:noProof/>
        </w:rPr>
        <w:tab/>
      </w:r>
      <w:r>
        <w:rPr>
          <w:noProof/>
        </w:rPr>
        <w:fldChar w:fldCharType="begin"/>
      </w:r>
      <w:r>
        <w:rPr>
          <w:noProof/>
        </w:rPr>
        <w:instrText xml:space="preserve"> PAGEREF _Toc500151778 \h </w:instrText>
      </w:r>
      <w:r>
        <w:rPr>
          <w:noProof/>
        </w:rPr>
      </w:r>
      <w:r>
        <w:rPr>
          <w:noProof/>
        </w:rPr>
        <w:fldChar w:fldCharType="separate"/>
      </w:r>
      <w:r w:rsidR="00AC6998">
        <w:rPr>
          <w:noProof/>
        </w:rPr>
        <w:t>9</w:t>
      </w:r>
      <w:r>
        <w:rPr>
          <w:noProof/>
        </w:rPr>
        <w:fldChar w:fldCharType="end"/>
      </w:r>
    </w:p>
    <w:p w14:paraId="7585943F"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Costs and Benefits</w:t>
      </w:r>
      <w:r>
        <w:rPr>
          <w:noProof/>
        </w:rPr>
        <w:tab/>
      </w:r>
      <w:r>
        <w:rPr>
          <w:noProof/>
        </w:rPr>
        <w:fldChar w:fldCharType="begin"/>
      </w:r>
      <w:r>
        <w:rPr>
          <w:noProof/>
        </w:rPr>
        <w:instrText xml:space="preserve"> PAGEREF _Toc500151779 \h </w:instrText>
      </w:r>
      <w:r>
        <w:rPr>
          <w:noProof/>
        </w:rPr>
      </w:r>
      <w:r>
        <w:rPr>
          <w:noProof/>
        </w:rPr>
        <w:fldChar w:fldCharType="separate"/>
      </w:r>
      <w:r w:rsidR="00AC6998">
        <w:rPr>
          <w:noProof/>
        </w:rPr>
        <w:t>11</w:t>
      </w:r>
      <w:r>
        <w:rPr>
          <w:noProof/>
        </w:rPr>
        <w:fldChar w:fldCharType="end"/>
      </w:r>
    </w:p>
    <w:p w14:paraId="20953A6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Consultation</w:t>
      </w:r>
      <w:r>
        <w:rPr>
          <w:noProof/>
        </w:rPr>
        <w:tab/>
      </w:r>
      <w:r>
        <w:rPr>
          <w:noProof/>
        </w:rPr>
        <w:fldChar w:fldCharType="begin"/>
      </w:r>
      <w:r>
        <w:rPr>
          <w:noProof/>
        </w:rPr>
        <w:instrText xml:space="preserve"> PAGEREF _Toc500151780 \h </w:instrText>
      </w:r>
      <w:r>
        <w:rPr>
          <w:noProof/>
        </w:rPr>
      </w:r>
      <w:r>
        <w:rPr>
          <w:noProof/>
        </w:rPr>
        <w:fldChar w:fldCharType="separate"/>
      </w:r>
      <w:r w:rsidR="00AC6998">
        <w:rPr>
          <w:noProof/>
        </w:rPr>
        <w:t>13</w:t>
      </w:r>
      <w:r>
        <w:rPr>
          <w:noProof/>
        </w:rPr>
        <w:fldChar w:fldCharType="end"/>
      </w:r>
    </w:p>
    <w:p w14:paraId="17EE9BFF"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Conclusion</w:t>
      </w:r>
      <w:r>
        <w:rPr>
          <w:noProof/>
        </w:rPr>
        <w:tab/>
      </w:r>
      <w:r>
        <w:rPr>
          <w:noProof/>
        </w:rPr>
        <w:fldChar w:fldCharType="begin"/>
      </w:r>
      <w:r>
        <w:rPr>
          <w:noProof/>
        </w:rPr>
        <w:instrText xml:space="preserve"> PAGEREF _Toc500151781 \h </w:instrText>
      </w:r>
      <w:r>
        <w:rPr>
          <w:noProof/>
        </w:rPr>
      </w:r>
      <w:r>
        <w:rPr>
          <w:noProof/>
        </w:rPr>
        <w:fldChar w:fldCharType="separate"/>
      </w:r>
      <w:r w:rsidR="00AC6998">
        <w:rPr>
          <w:noProof/>
        </w:rPr>
        <w:t>14</w:t>
      </w:r>
      <w:r>
        <w:rPr>
          <w:noProof/>
        </w:rPr>
        <w:fldChar w:fldCharType="end"/>
      </w:r>
    </w:p>
    <w:p w14:paraId="37E354E9"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1.</w:t>
      </w:r>
      <w:r>
        <w:rPr>
          <w:rFonts w:asciiTheme="minorHAnsi" w:eastAsiaTheme="minorEastAsia" w:hAnsiTheme="minorHAnsi" w:cstheme="minorBidi"/>
          <w:b w:val="0"/>
          <w:caps w:val="0"/>
          <w:noProof/>
          <w:color w:val="auto"/>
          <w:sz w:val="22"/>
          <w:szCs w:val="22"/>
          <w:lang w:val="en-AU" w:eastAsia="en-AU"/>
        </w:rPr>
        <w:tab/>
      </w:r>
      <w:r>
        <w:rPr>
          <w:noProof/>
        </w:rPr>
        <w:t>Introduction</w:t>
      </w:r>
      <w:r>
        <w:rPr>
          <w:noProof/>
        </w:rPr>
        <w:tab/>
      </w:r>
      <w:r>
        <w:rPr>
          <w:noProof/>
        </w:rPr>
        <w:fldChar w:fldCharType="begin"/>
      </w:r>
      <w:r>
        <w:rPr>
          <w:noProof/>
        </w:rPr>
        <w:instrText xml:space="preserve"> PAGEREF _Toc500151782 \h </w:instrText>
      </w:r>
      <w:r>
        <w:rPr>
          <w:noProof/>
        </w:rPr>
      </w:r>
      <w:r>
        <w:rPr>
          <w:noProof/>
        </w:rPr>
        <w:fldChar w:fldCharType="separate"/>
      </w:r>
      <w:r w:rsidR="00AC6998">
        <w:rPr>
          <w:noProof/>
        </w:rPr>
        <w:t>16</w:t>
      </w:r>
      <w:r>
        <w:rPr>
          <w:noProof/>
        </w:rPr>
        <w:fldChar w:fldCharType="end"/>
      </w:r>
    </w:p>
    <w:p w14:paraId="273D4F3B"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Refrigerated commercial cabinets</w:t>
      </w:r>
      <w:r>
        <w:rPr>
          <w:noProof/>
        </w:rPr>
        <w:tab/>
      </w:r>
      <w:r>
        <w:rPr>
          <w:noProof/>
        </w:rPr>
        <w:fldChar w:fldCharType="begin"/>
      </w:r>
      <w:r>
        <w:rPr>
          <w:noProof/>
        </w:rPr>
        <w:instrText xml:space="preserve"> PAGEREF _Toc500151783 \h </w:instrText>
      </w:r>
      <w:r>
        <w:rPr>
          <w:noProof/>
        </w:rPr>
      </w:r>
      <w:r>
        <w:rPr>
          <w:noProof/>
        </w:rPr>
        <w:fldChar w:fldCharType="separate"/>
      </w:r>
      <w:r w:rsidR="00AC6998">
        <w:rPr>
          <w:noProof/>
        </w:rPr>
        <w:t>16</w:t>
      </w:r>
      <w:r>
        <w:rPr>
          <w:noProof/>
        </w:rPr>
        <w:fldChar w:fldCharType="end"/>
      </w:r>
    </w:p>
    <w:p w14:paraId="76154314"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The Market</w:t>
      </w:r>
      <w:r>
        <w:rPr>
          <w:noProof/>
        </w:rPr>
        <w:tab/>
      </w:r>
      <w:r>
        <w:rPr>
          <w:noProof/>
        </w:rPr>
        <w:fldChar w:fldCharType="begin"/>
      </w:r>
      <w:r>
        <w:rPr>
          <w:noProof/>
        </w:rPr>
        <w:instrText xml:space="preserve"> PAGEREF _Toc500151784 \h </w:instrText>
      </w:r>
      <w:r>
        <w:rPr>
          <w:noProof/>
        </w:rPr>
      </w:r>
      <w:r>
        <w:rPr>
          <w:noProof/>
        </w:rPr>
        <w:fldChar w:fldCharType="separate"/>
      </w:r>
      <w:r w:rsidR="00AC6998">
        <w:rPr>
          <w:noProof/>
        </w:rPr>
        <w:t>19</w:t>
      </w:r>
      <w:r>
        <w:rPr>
          <w:noProof/>
        </w:rPr>
        <w:fldChar w:fldCharType="end"/>
      </w:r>
    </w:p>
    <w:p w14:paraId="28BB3C6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New Zealand market sales, stock and applications</w:t>
      </w:r>
      <w:r>
        <w:rPr>
          <w:noProof/>
        </w:rPr>
        <w:tab/>
      </w:r>
      <w:r>
        <w:rPr>
          <w:noProof/>
        </w:rPr>
        <w:fldChar w:fldCharType="begin"/>
      </w:r>
      <w:r>
        <w:rPr>
          <w:noProof/>
        </w:rPr>
        <w:instrText xml:space="preserve"> PAGEREF _Toc500151785 \h </w:instrText>
      </w:r>
      <w:r>
        <w:rPr>
          <w:noProof/>
        </w:rPr>
      </w:r>
      <w:r>
        <w:rPr>
          <w:noProof/>
        </w:rPr>
        <w:fldChar w:fldCharType="separate"/>
      </w:r>
      <w:r w:rsidR="00AC6998">
        <w:rPr>
          <w:noProof/>
        </w:rPr>
        <w:t>24</w:t>
      </w:r>
      <w:r>
        <w:rPr>
          <w:noProof/>
        </w:rPr>
        <w:fldChar w:fldCharType="end"/>
      </w:r>
    </w:p>
    <w:p w14:paraId="3208B85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Current regulations and requirements</w:t>
      </w:r>
      <w:r>
        <w:rPr>
          <w:noProof/>
        </w:rPr>
        <w:tab/>
      </w:r>
      <w:r>
        <w:rPr>
          <w:noProof/>
        </w:rPr>
        <w:fldChar w:fldCharType="begin"/>
      </w:r>
      <w:r>
        <w:rPr>
          <w:noProof/>
        </w:rPr>
        <w:instrText xml:space="preserve"> PAGEREF _Toc500151786 \h </w:instrText>
      </w:r>
      <w:r>
        <w:rPr>
          <w:noProof/>
        </w:rPr>
      </w:r>
      <w:r>
        <w:rPr>
          <w:noProof/>
        </w:rPr>
        <w:fldChar w:fldCharType="separate"/>
      </w:r>
      <w:r w:rsidR="00AC6998">
        <w:rPr>
          <w:noProof/>
        </w:rPr>
        <w:t>26</w:t>
      </w:r>
      <w:r>
        <w:rPr>
          <w:noProof/>
        </w:rPr>
        <w:fldChar w:fldCharType="end"/>
      </w:r>
    </w:p>
    <w:p w14:paraId="1394F704"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context</w:t>
      </w:r>
      <w:r>
        <w:rPr>
          <w:noProof/>
        </w:rPr>
        <w:tab/>
      </w:r>
      <w:r>
        <w:rPr>
          <w:noProof/>
        </w:rPr>
        <w:fldChar w:fldCharType="begin"/>
      </w:r>
      <w:r>
        <w:rPr>
          <w:noProof/>
        </w:rPr>
        <w:instrText xml:space="preserve"> PAGEREF _Toc500151787 \h </w:instrText>
      </w:r>
      <w:r>
        <w:rPr>
          <w:noProof/>
        </w:rPr>
      </w:r>
      <w:r>
        <w:rPr>
          <w:noProof/>
        </w:rPr>
        <w:fldChar w:fldCharType="separate"/>
      </w:r>
      <w:r w:rsidR="00AC6998">
        <w:rPr>
          <w:noProof/>
        </w:rPr>
        <w:t>28</w:t>
      </w:r>
      <w:r>
        <w:rPr>
          <w:noProof/>
        </w:rPr>
        <w:fldChar w:fldCharType="end"/>
      </w:r>
    </w:p>
    <w:p w14:paraId="54D50F45"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2.</w:t>
      </w:r>
      <w:r>
        <w:rPr>
          <w:rFonts w:asciiTheme="minorHAnsi" w:eastAsiaTheme="minorEastAsia" w:hAnsiTheme="minorHAnsi" w:cstheme="minorBidi"/>
          <w:b w:val="0"/>
          <w:caps w:val="0"/>
          <w:noProof/>
          <w:color w:val="auto"/>
          <w:sz w:val="22"/>
          <w:szCs w:val="22"/>
          <w:lang w:val="en-AU" w:eastAsia="en-AU"/>
        </w:rPr>
        <w:tab/>
      </w:r>
      <w:r>
        <w:rPr>
          <w:noProof/>
        </w:rPr>
        <w:t>The Problem</w:t>
      </w:r>
      <w:r>
        <w:rPr>
          <w:noProof/>
        </w:rPr>
        <w:tab/>
      </w:r>
      <w:r>
        <w:rPr>
          <w:noProof/>
        </w:rPr>
        <w:fldChar w:fldCharType="begin"/>
      </w:r>
      <w:r>
        <w:rPr>
          <w:noProof/>
        </w:rPr>
        <w:instrText xml:space="preserve"> PAGEREF _Toc500151788 \h </w:instrText>
      </w:r>
      <w:r>
        <w:rPr>
          <w:noProof/>
        </w:rPr>
      </w:r>
      <w:r>
        <w:rPr>
          <w:noProof/>
        </w:rPr>
        <w:fldChar w:fldCharType="separate"/>
      </w:r>
      <w:r w:rsidR="00AC6998">
        <w:rPr>
          <w:noProof/>
        </w:rPr>
        <w:t>31</w:t>
      </w:r>
      <w:r>
        <w:rPr>
          <w:noProof/>
        </w:rPr>
        <w:fldChar w:fldCharType="end"/>
      </w:r>
    </w:p>
    <w:p w14:paraId="0CB7BA7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Introduction</w:t>
      </w:r>
      <w:r>
        <w:rPr>
          <w:noProof/>
        </w:rPr>
        <w:tab/>
      </w:r>
      <w:r>
        <w:rPr>
          <w:noProof/>
        </w:rPr>
        <w:fldChar w:fldCharType="begin"/>
      </w:r>
      <w:r>
        <w:rPr>
          <w:noProof/>
        </w:rPr>
        <w:instrText xml:space="preserve"> PAGEREF _Toc500151789 \h </w:instrText>
      </w:r>
      <w:r>
        <w:rPr>
          <w:noProof/>
        </w:rPr>
      </w:r>
      <w:r>
        <w:rPr>
          <w:noProof/>
        </w:rPr>
        <w:fldChar w:fldCharType="separate"/>
      </w:r>
      <w:r w:rsidR="00AC6998">
        <w:rPr>
          <w:noProof/>
        </w:rPr>
        <w:t>31</w:t>
      </w:r>
      <w:r>
        <w:rPr>
          <w:noProof/>
        </w:rPr>
        <w:fldChar w:fldCharType="end"/>
      </w:r>
    </w:p>
    <w:p w14:paraId="7F79060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Problems with the existing regulation</w:t>
      </w:r>
      <w:r>
        <w:rPr>
          <w:noProof/>
        </w:rPr>
        <w:tab/>
      </w:r>
      <w:r>
        <w:rPr>
          <w:noProof/>
        </w:rPr>
        <w:fldChar w:fldCharType="begin"/>
      </w:r>
      <w:r>
        <w:rPr>
          <w:noProof/>
        </w:rPr>
        <w:instrText xml:space="preserve"> PAGEREF _Toc500151790 \h </w:instrText>
      </w:r>
      <w:r>
        <w:rPr>
          <w:noProof/>
        </w:rPr>
      </w:r>
      <w:r>
        <w:rPr>
          <w:noProof/>
        </w:rPr>
        <w:fldChar w:fldCharType="separate"/>
      </w:r>
      <w:r w:rsidR="00AC6998">
        <w:rPr>
          <w:noProof/>
        </w:rPr>
        <w:t>32</w:t>
      </w:r>
      <w:r>
        <w:rPr>
          <w:noProof/>
        </w:rPr>
        <w:fldChar w:fldCharType="end"/>
      </w:r>
    </w:p>
    <w:p w14:paraId="60E9071E"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Information failures</w:t>
      </w:r>
      <w:r>
        <w:rPr>
          <w:noProof/>
        </w:rPr>
        <w:tab/>
      </w:r>
      <w:r>
        <w:rPr>
          <w:noProof/>
        </w:rPr>
        <w:fldChar w:fldCharType="begin"/>
      </w:r>
      <w:r>
        <w:rPr>
          <w:noProof/>
        </w:rPr>
        <w:instrText xml:space="preserve"> PAGEREF _Toc500151791 \h </w:instrText>
      </w:r>
      <w:r>
        <w:rPr>
          <w:noProof/>
        </w:rPr>
      </w:r>
      <w:r>
        <w:rPr>
          <w:noProof/>
        </w:rPr>
        <w:fldChar w:fldCharType="separate"/>
      </w:r>
      <w:r w:rsidR="00AC6998">
        <w:rPr>
          <w:noProof/>
        </w:rPr>
        <w:t>40</w:t>
      </w:r>
      <w:r>
        <w:rPr>
          <w:noProof/>
        </w:rPr>
        <w:fldChar w:fldCharType="end"/>
      </w:r>
    </w:p>
    <w:p w14:paraId="66C2FC5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Market failures</w:t>
      </w:r>
      <w:r>
        <w:rPr>
          <w:noProof/>
        </w:rPr>
        <w:tab/>
      </w:r>
      <w:r>
        <w:rPr>
          <w:noProof/>
        </w:rPr>
        <w:fldChar w:fldCharType="begin"/>
      </w:r>
      <w:r>
        <w:rPr>
          <w:noProof/>
        </w:rPr>
        <w:instrText xml:space="preserve"> PAGEREF _Toc500151792 \h </w:instrText>
      </w:r>
      <w:r>
        <w:rPr>
          <w:noProof/>
        </w:rPr>
      </w:r>
      <w:r>
        <w:rPr>
          <w:noProof/>
        </w:rPr>
        <w:fldChar w:fldCharType="separate"/>
      </w:r>
      <w:r w:rsidR="00AC6998">
        <w:rPr>
          <w:noProof/>
        </w:rPr>
        <w:t>41</w:t>
      </w:r>
      <w:r>
        <w:rPr>
          <w:noProof/>
        </w:rPr>
        <w:fldChar w:fldCharType="end"/>
      </w:r>
    </w:p>
    <w:p w14:paraId="615670E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Conclusion</w:t>
      </w:r>
      <w:r>
        <w:rPr>
          <w:noProof/>
        </w:rPr>
        <w:tab/>
      </w:r>
      <w:r>
        <w:rPr>
          <w:noProof/>
        </w:rPr>
        <w:fldChar w:fldCharType="begin"/>
      </w:r>
      <w:r>
        <w:rPr>
          <w:noProof/>
        </w:rPr>
        <w:instrText xml:space="preserve"> PAGEREF _Toc500151793 \h </w:instrText>
      </w:r>
      <w:r>
        <w:rPr>
          <w:noProof/>
        </w:rPr>
      </w:r>
      <w:r>
        <w:rPr>
          <w:noProof/>
        </w:rPr>
        <w:fldChar w:fldCharType="separate"/>
      </w:r>
      <w:r w:rsidR="00AC6998">
        <w:rPr>
          <w:noProof/>
        </w:rPr>
        <w:t>43</w:t>
      </w:r>
      <w:r>
        <w:rPr>
          <w:noProof/>
        </w:rPr>
        <w:fldChar w:fldCharType="end"/>
      </w:r>
    </w:p>
    <w:p w14:paraId="4C369168"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3.</w:t>
      </w:r>
      <w:r>
        <w:rPr>
          <w:rFonts w:asciiTheme="minorHAnsi" w:eastAsiaTheme="minorEastAsia" w:hAnsiTheme="minorHAnsi" w:cstheme="minorBidi"/>
          <w:b w:val="0"/>
          <w:caps w:val="0"/>
          <w:noProof/>
          <w:color w:val="auto"/>
          <w:sz w:val="22"/>
          <w:szCs w:val="22"/>
          <w:lang w:val="en-AU" w:eastAsia="en-AU"/>
        </w:rPr>
        <w:tab/>
      </w:r>
      <w:r>
        <w:rPr>
          <w:noProof/>
        </w:rPr>
        <w:t>Objective</w:t>
      </w:r>
      <w:r>
        <w:rPr>
          <w:noProof/>
        </w:rPr>
        <w:tab/>
      </w:r>
      <w:r>
        <w:rPr>
          <w:noProof/>
        </w:rPr>
        <w:fldChar w:fldCharType="begin"/>
      </w:r>
      <w:r>
        <w:rPr>
          <w:noProof/>
        </w:rPr>
        <w:instrText xml:space="preserve"> PAGEREF _Toc500151794 \h </w:instrText>
      </w:r>
      <w:r>
        <w:rPr>
          <w:noProof/>
        </w:rPr>
      </w:r>
      <w:r>
        <w:rPr>
          <w:noProof/>
        </w:rPr>
        <w:fldChar w:fldCharType="separate"/>
      </w:r>
      <w:r w:rsidR="00AC6998">
        <w:rPr>
          <w:noProof/>
        </w:rPr>
        <w:t>43</w:t>
      </w:r>
      <w:r>
        <w:rPr>
          <w:noProof/>
        </w:rPr>
        <w:fldChar w:fldCharType="end"/>
      </w:r>
    </w:p>
    <w:p w14:paraId="647518CC"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Why is government action needed?</w:t>
      </w:r>
      <w:r>
        <w:rPr>
          <w:noProof/>
        </w:rPr>
        <w:tab/>
      </w:r>
      <w:r>
        <w:rPr>
          <w:noProof/>
        </w:rPr>
        <w:fldChar w:fldCharType="begin"/>
      </w:r>
      <w:r>
        <w:rPr>
          <w:noProof/>
        </w:rPr>
        <w:instrText xml:space="preserve"> PAGEREF _Toc500151795 \h </w:instrText>
      </w:r>
      <w:r>
        <w:rPr>
          <w:noProof/>
        </w:rPr>
      </w:r>
      <w:r>
        <w:rPr>
          <w:noProof/>
        </w:rPr>
        <w:fldChar w:fldCharType="separate"/>
      </w:r>
      <w:r w:rsidR="00AC6998">
        <w:rPr>
          <w:noProof/>
        </w:rPr>
        <w:t>43</w:t>
      </w:r>
      <w:r>
        <w:rPr>
          <w:noProof/>
        </w:rPr>
        <w:fldChar w:fldCharType="end"/>
      </w:r>
    </w:p>
    <w:p w14:paraId="7B453807"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The role of Government</w:t>
      </w:r>
      <w:r>
        <w:rPr>
          <w:noProof/>
        </w:rPr>
        <w:tab/>
      </w:r>
      <w:r>
        <w:rPr>
          <w:noProof/>
        </w:rPr>
        <w:fldChar w:fldCharType="begin"/>
      </w:r>
      <w:r>
        <w:rPr>
          <w:noProof/>
        </w:rPr>
        <w:instrText xml:space="preserve"> PAGEREF _Toc500151796 \h </w:instrText>
      </w:r>
      <w:r>
        <w:rPr>
          <w:noProof/>
        </w:rPr>
      </w:r>
      <w:r>
        <w:rPr>
          <w:noProof/>
        </w:rPr>
        <w:fldChar w:fldCharType="separate"/>
      </w:r>
      <w:r w:rsidR="00AC6998">
        <w:rPr>
          <w:noProof/>
        </w:rPr>
        <w:t>44</w:t>
      </w:r>
      <w:r>
        <w:rPr>
          <w:noProof/>
        </w:rPr>
        <w:fldChar w:fldCharType="end"/>
      </w:r>
    </w:p>
    <w:p w14:paraId="2983504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w:t>
      </w:r>
      <w:r>
        <w:rPr>
          <w:noProof/>
        </w:rPr>
        <w:tab/>
      </w:r>
      <w:r>
        <w:rPr>
          <w:noProof/>
        </w:rPr>
        <w:fldChar w:fldCharType="begin"/>
      </w:r>
      <w:r>
        <w:rPr>
          <w:noProof/>
        </w:rPr>
        <w:instrText xml:space="preserve"> PAGEREF _Toc500151797 \h </w:instrText>
      </w:r>
      <w:r>
        <w:rPr>
          <w:noProof/>
        </w:rPr>
      </w:r>
      <w:r>
        <w:rPr>
          <w:noProof/>
        </w:rPr>
        <w:fldChar w:fldCharType="separate"/>
      </w:r>
      <w:r w:rsidR="00AC6998">
        <w:rPr>
          <w:noProof/>
        </w:rPr>
        <w:t>44</w:t>
      </w:r>
      <w:r>
        <w:rPr>
          <w:noProof/>
        </w:rPr>
        <w:fldChar w:fldCharType="end"/>
      </w:r>
    </w:p>
    <w:p w14:paraId="2DAC0884"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4.</w:t>
      </w:r>
      <w:r>
        <w:rPr>
          <w:rFonts w:asciiTheme="minorHAnsi" w:eastAsiaTheme="minorEastAsia" w:hAnsiTheme="minorHAnsi" w:cstheme="minorBidi"/>
          <w:b w:val="0"/>
          <w:caps w:val="0"/>
          <w:noProof/>
          <w:color w:val="auto"/>
          <w:sz w:val="22"/>
          <w:szCs w:val="22"/>
          <w:lang w:val="en-AU" w:eastAsia="en-AU"/>
        </w:rPr>
        <w:tab/>
      </w:r>
      <w:r>
        <w:rPr>
          <w:noProof/>
        </w:rPr>
        <w:t>Options</w:t>
      </w:r>
      <w:r>
        <w:rPr>
          <w:noProof/>
        </w:rPr>
        <w:tab/>
      </w:r>
      <w:r>
        <w:rPr>
          <w:noProof/>
        </w:rPr>
        <w:fldChar w:fldCharType="begin"/>
      </w:r>
      <w:r>
        <w:rPr>
          <w:noProof/>
        </w:rPr>
        <w:instrText xml:space="preserve"> PAGEREF _Toc500151798 \h </w:instrText>
      </w:r>
      <w:r>
        <w:rPr>
          <w:noProof/>
        </w:rPr>
      </w:r>
      <w:r>
        <w:rPr>
          <w:noProof/>
        </w:rPr>
        <w:fldChar w:fldCharType="separate"/>
      </w:r>
      <w:r w:rsidR="00AC6998">
        <w:rPr>
          <w:noProof/>
        </w:rPr>
        <w:t>46</w:t>
      </w:r>
      <w:r>
        <w:rPr>
          <w:noProof/>
        </w:rPr>
        <w:fldChar w:fldCharType="end"/>
      </w:r>
    </w:p>
    <w:p w14:paraId="3BCF7D6E"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Policy options under consideration</w:t>
      </w:r>
      <w:r>
        <w:rPr>
          <w:noProof/>
        </w:rPr>
        <w:tab/>
      </w:r>
      <w:r>
        <w:rPr>
          <w:noProof/>
        </w:rPr>
        <w:fldChar w:fldCharType="begin"/>
      </w:r>
      <w:r>
        <w:rPr>
          <w:noProof/>
        </w:rPr>
        <w:instrText xml:space="preserve"> PAGEREF _Toc500151799 \h </w:instrText>
      </w:r>
      <w:r>
        <w:rPr>
          <w:noProof/>
        </w:rPr>
      </w:r>
      <w:r>
        <w:rPr>
          <w:noProof/>
        </w:rPr>
        <w:fldChar w:fldCharType="separate"/>
      </w:r>
      <w:r w:rsidR="00AC6998">
        <w:rPr>
          <w:noProof/>
        </w:rPr>
        <w:t>46</w:t>
      </w:r>
      <w:r>
        <w:rPr>
          <w:noProof/>
        </w:rPr>
        <w:fldChar w:fldCharType="end"/>
      </w:r>
    </w:p>
    <w:p w14:paraId="220BB7C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Regulatory Options</w:t>
      </w:r>
      <w:r>
        <w:rPr>
          <w:noProof/>
        </w:rPr>
        <w:tab/>
      </w:r>
      <w:r>
        <w:rPr>
          <w:noProof/>
        </w:rPr>
        <w:fldChar w:fldCharType="begin"/>
      </w:r>
      <w:r>
        <w:rPr>
          <w:noProof/>
        </w:rPr>
        <w:instrText xml:space="preserve"> PAGEREF _Toc500151800 \h </w:instrText>
      </w:r>
      <w:r>
        <w:rPr>
          <w:noProof/>
        </w:rPr>
      </w:r>
      <w:r>
        <w:rPr>
          <w:noProof/>
        </w:rPr>
        <w:fldChar w:fldCharType="separate"/>
      </w:r>
      <w:r w:rsidR="00AC6998">
        <w:rPr>
          <w:noProof/>
        </w:rPr>
        <w:t>49</w:t>
      </w:r>
      <w:r>
        <w:rPr>
          <w:noProof/>
        </w:rPr>
        <w:fldChar w:fldCharType="end"/>
      </w:r>
    </w:p>
    <w:p w14:paraId="36955C4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Energy efficiency labelling</w:t>
      </w:r>
      <w:r>
        <w:rPr>
          <w:noProof/>
        </w:rPr>
        <w:tab/>
      </w:r>
      <w:r>
        <w:rPr>
          <w:noProof/>
        </w:rPr>
        <w:fldChar w:fldCharType="begin"/>
      </w:r>
      <w:r>
        <w:rPr>
          <w:noProof/>
        </w:rPr>
        <w:instrText xml:space="preserve"> PAGEREF _Toc500151801 \h </w:instrText>
      </w:r>
      <w:r>
        <w:rPr>
          <w:noProof/>
        </w:rPr>
      </w:r>
      <w:r>
        <w:rPr>
          <w:noProof/>
        </w:rPr>
        <w:fldChar w:fldCharType="separate"/>
      </w:r>
      <w:r w:rsidR="00AC6998">
        <w:rPr>
          <w:noProof/>
        </w:rPr>
        <w:t>56</w:t>
      </w:r>
      <w:r>
        <w:rPr>
          <w:noProof/>
        </w:rPr>
        <w:fldChar w:fldCharType="end"/>
      </w:r>
    </w:p>
    <w:p w14:paraId="1B02D31C"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Summary of regulatory options</w:t>
      </w:r>
      <w:r>
        <w:rPr>
          <w:noProof/>
        </w:rPr>
        <w:tab/>
      </w:r>
      <w:r>
        <w:rPr>
          <w:noProof/>
        </w:rPr>
        <w:fldChar w:fldCharType="begin"/>
      </w:r>
      <w:r>
        <w:rPr>
          <w:noProof/>
        </w:rPr>
        <w:instrText xml:space="preserve"> PAGEREF _Toc500151802 \h </w:instrText>
      </w:r>
      <w:r>
        <w:rPr>
          <w:noProof/>
        </w:rPr>
      </w:r>
      <w:r>
        <w:rPr>
          <w:noProof/>
        </w:rPr>
        <w:fldChar w:fldCharType="separate"/>
      </w:r>
      <w:r w:rsidR="00AC6998">
        <w:rPr>
          <w:noProof/>
        </w:rPr>
        <w:t>59</w:t>
      </w:r>
      <w:r>
        <w:rPr>
          <w:noProof/>
        </w:rPr>
        <w:fldChar w:fldCharType="end"/>
      </w:r>
    </w:p>
    <w:p w14:paraId="5669AA8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2</w:t>
      </w:r>
      <w:r>
        <w:rPr>
          <w:noProof/>
        </w:rPr>
        <w:tab/>
      </w:r>
      <w:r>
        <w:rPr>
          <w:noProof/>
        </w:rPr>
        <w:fldChar w:fldCharType="begin"/>
      </w:r>
      <w:r>
        <w:rPr>
          <w:noProof/>
        </w:rPr>
        <w:instrText xml:space="preserve"> PAGEREF _Toc500151803 \h </w:instrText>
      </w:r>
      <w:r>
        <w:rPr>
          <w:noProof/>
        </w:rPr>
      </w:r>
      <w:r>
        <w:rPr>
          <w:noProof/>
        </w:rPr>
        <w:fldChar w:fldCharType="separate"/>
      </w:r>
      <w:r w:rsidR="00AC6998">
        <w:rPr>
          <w:noProof/>
        </w:rPr>
        <w:t>59</w:t>
      </w:r>
      <w:r>
        <w:rPr>
          <w:noProof/>
        </w:rPr>
        <w:fldChar w:fldCharType="end"/>
      </w:r>
    </w:p>
    <w:p w14:paraId="2EC07A6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3</w:t>
      </w:r>
      <w:r>
        <w:rPr>
          <w:noProof/>
        </w:rPr>
        <w:tab/>
      </w:r>
      <w:r>
        <w:rPr>
          <w:noProof/>
        </w:rPr>
        <w:fldChar w:fldCharType="begin"/>
      </w:r>
      <w:r>
        <w:rPr>
          <w:noProof/>
        </w:rPr>
        <w:instrText xml:space="preserve"> PAGEREF _Toc500151804 \h </w:instrText>
      </w:r>
      <w:r>
        <w:rPr>
          <w:noProof/>
        </w:rPr>
      </w:r>
      <w:r>
        <w:rPr>
          <w:noProof/>
        </w:rPr>
        <w:fldChar w:fldCharType="separate"/>
      </w:r>
      <w:r w:rsidR="00AC6998">
        <w:rPr>
          <w:noProof/>
        </w:rPr>
        <w:t>59</w:t>
      </w:r>
      <w:r>
        <w:rPr>
          <w:noProof/>
        </w:rPr>
        <w:fldChar w:fldCharType="end"/>
      </w:r>
    </w:p>
    <w:p w14:paraId="2923939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4</w:t>
      </w:r>
      <w:r>
        <w:rPr>
          <w:noProof/>
        </w:rPr>
        <w:tab/>
      </w:r>
      <w:r>
        <w:rPr>
          <w:noProof/>
        </w:rPr>
        <w:fldChar w:fldCharType="begin"/>
      </w:r>
      <w:r>
        <w:rPr>
          <w:noProof/>
        </w:rPr>
        <w:instrText xml:space="preserve"> PAGEREF _Toc500151805 \h </w:instrText>
      </w:r>
      <w:r>
        <w:rPr>
          <w:noProof/>
        </w:rPr>
      </w:r>
      <w:r>
        <w:rPr>
          <w:noProof/>
        </w:rPr>
        <w:fldChar w:fldCharType="separate"/>
      </w:r>
      <w:r w:rsidR="00AC6998">
        <w:rPr>
          <w:noProof/>
        </w:rPr>
        <w:t>59</w:t>
      </w:r>
      <w:r>
        <w:rPr>
          <w:noProof/>
        </w:rPr>
        <w:fldChar w:fldCharType="end"/>
      </w:r>
    </w:p>
    <w:p w14:paraId="54E1ABBF"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5</w:t>
      </w:r>
      <w:r>
        <w:rPr>
          <w:noProof/>
        </w:rPr>
        <w:tab/>
      </w:r>
      <w:r>
        <w:rPr>
          <w:noProof/>
        </w:rPr>
        <w:fldChar w:fldCharType="begin"/>
      </w:r>
      <w:r>
        <w:rPr>
          <w:noProof/>
        </w:rPr>
        <w:instrText xml:space="preserve"> PAGEREF _Toc500151806 \h </w:instrText>
      </w:r>
      <w:r>
        <w:rPr>
          <w:noProof/>
        </w:rPr>
      </w:r>
      <w:r>
        <w:rPr>
          <w:noProof/>
        </w:rPr>
        <w:fldChar w:fldCharType="separate"/>
      </w:r>
      <w:r w:rsidR="00AC6998">
        <w:rPr>
          <w:noProof/>
        </w:rPr>
        <w:t>59</w:t>
      </w:r>
      <w:r>
        <w:rPr>
          <w:noProof/>
        </w:rPr>
        <w:fldChar w:fldCharType="end"/>
      </w:r>
    </w:p>
    <w:p w14:paraId="70869873"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5.</w:t>
      </w:r>
      <w:r>
        <w:rPr>
          <w:rFonts w:asciiTheme="minorHAnsi" w:eastAsiaTheme="minorEastAsia" w:hAnsiTheme="minorHAnsi" w:cstheme="minorBidi"/>
          <w:b w:val="0"/>
          <w:caps w:val="0"/>
          <w:noProof/>
          <w:color w:val="auto"/>
          <w:sz w:val="22"/>
          <w:szCs w:val="22"/>
          <w:lang w:val="en-AU" w:eastAsia="en-AU"/>
        </w:rPr>
        <w:tab/>
      </w:r>
      <w:r>
        <w:rPr>
          <w:noProof/>
        </w:rPr>
        <w:t>Impacts</w:t>
      </w:r>
      <w:r>
        <w:rPr>
          <w:noProof/>
        </w:rPr>
        <w:tab/>
      </w:r>
      <w:r>
        <w:rPr>
          <w:noProof/>
        </w:rPr>
        <w:fldChar w:fldCharType="begin"/>
      </w:r>
      <w:r>
        <w:rPr>
          <w:noProof/>
        </w:rPr>
        <w:instrText xml:space="preserve"> PAGEREF _Toc500151807 \h </w:instrText>
      </w:r>
      <w:r>
        <w:rPr>
          <w:noProof/>
        </w:rPr>
      </w:r>
      <w:r>
        <w:rPr>
          <w:noProof/>
        </w:rPr>
        <w:fldChar w:fldCharType="separate"/>
      </w:r>
      <w:r w:rsidR="00AC6998">
        <w:rPr>
          <w:noProof/>
        </w:rPr>
        <w:t>62</w:t>
      </w:r>
      <w:r>
        <w:rPr>
          <w:noProof/>
        </w:rPr>
        <w:fldChar w:fldCharType="end"/>
      </w:r>
    </w:p>
    <w:p w14:paraId="76935A5A"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1: Business as Usual (BAU)</w:t>
      </w:r>
      <w:r>
        <w:rPr>
          <w:noProof/>
        </w:rPr>
        <w:tab/>
      </w:r>
      <w:r>
        <w:rPr>
          <w:noProof/>
        </w:rPr>
        <w:fldChar w:fldCharType="begin"/>
      </w:r>
      <w:r>
        <w:rPr>
          <w:noProof/>
        </w:rPr>
        <w:instrText xml:space="preserve"> PAGEREF _Toc500151808 \h </w:instrText>
      </w:r>
      <w:r>
        <w:rPr>
          <w:noProof/>
        </w:rPr>
      </w:r>
      <w:r>
        <w:rPr>
          <w:noProof/>
        </w:rPr>
        <w:fldChar w:fldCharType="separate"/>
      </w:r>
      <w:r w:rsidR="00AC6998">
        <w:rPr>
          <w:noProof/>
        </w:rPr>
        <w:t>62</w:t>
      </w:r>
      <w:r>
        <w:rPr>
          <w:noProof/>
        </w:rPr>
        <w:fldChar w:fldCharType="end"/>
      </w:r>
    </w:p>
    <w:p w14:paraId="0DFE222A"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2</w:t>
      </w:r>
      <w:r>
        <w:rPr>
          <w:noProof/>
        </w:rPr>
        <w:tab/>
      </w:r>
      <w:r>
        <w:rPr>
          <w:noProof/>
        </w:rPr>
        <w:fldChar w:fldCharType="begin"/>
      </w:r>
      <w:r>
        <w:rPr>
          <w:noProof/>
        </w:rPr>
        <w:instrText xml:space="preserve"> PAGEREF _Toc500151809 \h </w:instrText>
      </w:r>
      <w:r>
        <w:rPr>
          <w:noProof/>
        </w:rPr>
      </w:r>
      <w:r>
        <w:rPr>
          <w:noProof/>
        </w:rPr>
        <w:fldChar w:fldCharType="separate"/>
      </w:r>
      <w:r w:rsidR="00AC6998">
        <w:rPr>
          <w:noProof/>
        </w:rPr>
        <w:t>63</w:t>
      </w:r>
      <w:r>
        <w:rPr>
          <w:noProof/>
        </w:rPr>
        <w:fldChar w:fldCharType="end"/>
      </w:r>
    </w:p>
    <w:p w14:paraId="69715549"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Times New Roman"/>
          <w:noProof/>
        </w:rPr>
        <w:t>Advantages of Option 2:</w:t>
      </w:r>
      <w:r>
        <w:rPr>
          <w:noProof/>
        </w:rPr>
        <w:tab/>
      </w:r>
      <w:r>
        <w:rPr>
          <w:noProof/>
        </w:rPr>
        <w:fldChar w:fldCharType="begin"/>
      </w:r>
      <w:r>
        <w:rPr>
          <w:noProof/>
        </w:rPr>
        <w:instrText xml:space="preserve"> PAGEREF _Toc500151810 \h </w:instrText>
      </w:r>
      <w:r>
        <w:rPr>
          <w:noProof/>
        </w:rPr>
      </w:r>
      <w:r>
        <w:rPr>
          <w:noProof/>
        </w:rPr>
        <w:fldChar w:fldCharType="separate"/>
      </w:r>
      <w:r w:rsidR="00AC6998">
        <w:rPr>
          <w:noProof/>
        </w:rPr>
        <w:t>64</w:t>
      </w:r>
      <w:r>
        <w:rPr>
          <w:noProof/>
        </w:rPr>
        <w:fldChar w:fldCharType="end"/>
      </w:r>
    </w:p>
    <w:p w14:paraId="3BE1BBEB"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Times New Roman"/>
          <w:noProof/>
        </w:rPr>
        <w:t>Dis-advantages of Option 2:</w:t>
      </w:r>
      <w:r>
        <w:rPr>
          <w:noProof/>
        </w:rPr>
        <w:tab/>
      </w:r>
      <w:r>
        <w:rPr>
          <w:noProof/>
        </w:rPr>
        <w:fldChar w:fldCharType="begin"/>
      </w:r>
      <w:r>
        <w:rPr>
          <w:noProof/>
        </w:rPr>
        <w:instrText xml:space="preserve"> PAGEREF _Toc500151811 \h </w:instrText>
      </w:r>
      <w:r>
        <w:rPr>
          <w:noProof/>
        </w:rPr>
      </w:r>
      <w:r>
        <w:rPr>
          <w:noProof/>
        </w:rPr>
        <w:fldChar w:fldCharType="separate"/>
      </w:r>
      <w:r w:rsidR="00AC6998">
        <w:rPr>
          <w:noProof/>
        </w:rPr>
        <w:t>64</w:t>
      </w:r>
      <w:r>
        <w:rPr>
          <w:noProof/>
        </w:rPr>
        <w:fldChar w:fldCharType="end"/>
      </w:r>
    </w:p>
    <w:p w14:paraId="5DF2FD83"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Impacts on Market Participants</w:t>
      </w:r>
      <w:r>
        <w:rPr>
          <w:noProof/>
        </w:rPr>
        <w:tab/>
      </w:r>
      <w:r>
        <w:rPr>
          <w:noProof/>
        </w:rPr>
        <w:fldChar w:fldCharType="begin"/>
      </w:r>
      <w:r>
        <w:rPr>
          <w:noProof/>
        </w:rPr>
        <w:instrText xml:space="preserve"> PAGEREF _Toc500151812 \h </w:instrText>
      </w:r>
      <w:r>
        <w:rPr>
          <w:noProof/>
        </w:rPr>
      </w:r>
      <w:r>
        <w:rPr>
          <w:noProof/>
        </w:rPr>
        <w:fldChar w:fldCharType="separate"/>
      </w:r>
      <w:r w:rsidR="00AC6998">
        <w:rPr>
          <w:noProof/>
        </w:rPr>
        <w:t>64</w:t>
      </w:r>
      <w:r>
        <w:rPr>
          <w:noProof/>
        </w:rPr>
        <w:fldChar w:fldCharType="end"/>
      </w:r>
    </w:p>
    <w:p w14:paraId="4DF46DF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Option 3</w:t>
      </w:r>
      <w:r>
        <w:rPr>
          <w:noProof/>
        </w:rPr>
        <w:tab/>
      </w:r>
      <w:r>
        <w:rPr>
          <w:noProof/>
        </w:rPr>
        <w:fldChar w:fldCharType="begin"/>
      </w:r>
      <w:r>
        <w:rPr>
          <w:noProof/>
        </w:rPr>
        <w:instrText xml:space="preserve"> PAGEREF _Toc500151813 \h </w:instrText>
      </w:r>
      <w:r>
        <w:rPr>
          <w:noProof/>
        </w:rPr>
      </w:r>
      <w:r>
        <w:rPr>
          <w:noProof/>
        </w:rPr>
        <w:fldChar w:fldCharType="separate"/>
      </w:r>
      <w:r w:rsidR="00AC6998">
        <w:rPr>
          <w:noProof/>
        </w:rPr>
        <w:t>69</w:t>
      </w:r>
      <w:r>
        <w:rPr>
          <w:noProof/>
        </w:rPr>
        <w:fldChar w:fldCharType="end"/>
      </w:r>
    </w:p>
    <w:p w14:paraId="352AB136"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rFonts w:cs="Arial"/>
          <w:noProof/>
          <w:color w:val="000000" w:themeColor="text1"/>
        </w:rPr>
        <w:t>Option 4</w:t>
      </w:r>
      <w:r>
        <w:rPr>
          <w:noProof/>
        </w:rPr>
        <w:tab/>
      </w:r>
      <w:r>
        <w:rPr>
          <w:noProof/>
        </w:rPr>
        <w:fldChar w:fldCharType="begin"/>
      </w:r>
      <w:r>
        <w:rPr>
          <w:noProof/>
        </w:rPr>
        <w:instrText xml:space="preserve"> PAGEREF _Toc500151814 \h </w:instrText>
      </w:r>
      <w:r>
        <w:rPr>
          <w:noProof/>
        </w:rPr>
      </w:r>
      <w:r>
        <w:rPr>
          <w:noProof/>
        </w:rPr>
        <w:fldChar w:fldCharType="separate"/>
      </w:r>
      <w:r w:rsidR="00AC6998">
        <w:rPr>
          <w:noProof/>
        </w:rPr>
        <w:t>72</w:t>
      </w:r>
      <w:r>
        <w:rPr>
          <w:noProof/>
        </w:rPr>
        <w:fldChar w:fldCharType="end"/>
      </w:r>
    </w:p>
    <w:p w14:paraId="41DD255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Value of online energy rating information</w:t>
      </w:r>
      <w:r>
        <w:rPr>
          <w:noProof/>
        </w:rPr>
        <w:tab/>
      </w:r>
      <w:r>
        <w:rPr>
          <w:noProof/>
        </w:rPr>
        <w:fldChar w:fldCharType="begin"/>
      </w:r>
      <w:r>
        <w:rPr>
          <w:noProof/>
        </w:rPr>
        <w:instrText xml:space="preserve"> PAGEREF _Toc500151815 \h </w:instrText>
      </w:r>
      <w:r>
        <w:rPr>
          <w:noProof/>
        </w:rPr>
      </w:r>
      <w:r>
        <w:rPr>
          <w:noProof/>
        </w:rPr>
        <w:fldChar w:fldCharType="separate"/>
      </w:r>
      <w:r w:rsidR="00AC6998">
        <w:rPr>
          <w:noProof/>
        </w:rPr>
        <w:t>75</w:t>
      </w:r>
      <w:r>
        <w:rPr>
          <w:noProof/>
        </w:rPr>
        <w:fldChar w:fldCharType="end"/>
      </w:r>
    </w:p>
    <w:p w14:paraId="5BEEEB8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Discussion of Non-Regulatory Options</w:t>
      </w:r>
      <w:r>
        <w:rPr>
          <w:noProof/>
        </w:rPr>
        <w:tab/>
      </w:r>
      <w:r>
        <w:rPr>
          <w:noProof/>
        </w:rPr>
        <w:fldChar w:fldCharType="begin"/>
      </w:r>
      <w:r>
        <w:rPr>
          <w:noProof/>
        </w:rPr>
        <w:instrText xml:space="preserve"> PAGEREF _Toc500151816 \h </w:instrText>
      </w:r>
      <w:r>
        <w:rPr>
          <w:noProof/>
        </w:rPr>
      </w:r>
      <w:r>
        <w:rPr>
          <w:noProof/>
        </w:rPr>
        <w:fldChar w:fldCharType="separate"/>
      </w:r>
      <w:r w:rsidR="00AC6998">
        <w:rPr>
          <w:noProof/>
        </w:rPr>
        <w:t>77</w:t>
      </w:r>
      <w:r>
        <w:rPr>
          <w:noProof/>
        </w:rPr>
        <w:fldChar w:fldCharType="end"/>
      </w:r>
    </w:p>
    <w:p w14:paraId="77CD665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Summary of impacts, costs and benefits</w:t>
      </w:r>
      <w:r>
        <w:rPr>
          <w:noProof/>
        </w:rPr>
        <w:tab/>
      </w:r>
      <w:r>
        <w:rPr>
          <w:noProof/>
        </w:rPr>
        <w:fldChar w:fldCharType="begin"/>
      </w:r>
      <w:r>
        <w:rPr>
          <w:noProof/>
        </w:rPr>
        <w:instrText xml:space="preserve"> PAGEREF _Toc500151817 \h </w:instrText>
      </w:r>
      <w:r>
        <w:rPr>
          <w:noProof/>
        </w:rPr>
      </w:r>
      <w:r>
        <w:rPr>
          <w:noProof/>
        </w:rPr>
        <w:fldChar w:fldCharType="separate"/>
      </w:r>
      <w:r w:rsidR="00AC6998">
        <w:rPr>
          <w:noProof/>
        </w:rPr>
        <w:t>78</w:t>
      </w:r>
      <w:r>
        <w:rPr>
          <w:noProof/>
        </w:rPr>
        <w:fldChar w:fldCharType="end"/>
      </w:r>
    </w:p>
    <w:p w14:paraId="1DDCE7F6"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6.</w:t>
      </w:r>
      <w:r>
        <w:rPr>
          <w:rFonts w:asciiTheme="minorHAnsi" w:eastAsiaTheme="minorEastAsia" w:hAnsiTheme="minorHAnsi" w:cstheme="minorBidi"/>
          <w:b w:val="0"/>
          <w:caps w:val="0"/>
          <w:noProof/>
          <w:color w:val="auto"/>
          <w:sz w:val="22"/>
          <w:szCs w:val="22"/>
          <w:lang w:val="en-AU" w:eastAsia="en-AU"/>
        </w:rPr>
        <w:tab/>
      </w:r>
      <w:r>
        <w:rPr>
          <w:noProof/>
        </w:rPr>
        <w:t>Consultation</w:t>
      </w:r>
      <w:r>
        <w:rPr>
          <w:noProof/>
        </w:rPr>
        <w:tab/>
      </w:r>
      <w:r>
        <w:rPr>
          <w:noProof/>
        </w:rPr>
        <w:fldChar w:fldCharType="begin"/>
      </w:r>
      <w:r>
        <w:rPr>
          <w:noProof/>
        </w:rPr>
        <w:instrText xml:space="preserve"> PAGEREF _Toc500151818 \h </w:instrText>
      </w:r>
      <w:r>
        <w:rPr>
          <w:noProof/>
        </w:rPr>
      </w:r>
      <w:r>
        <w:rPr>
          <w:noProof/>
        </w:rPr>
        <w:fldChar w:fldCharType="separate"/>
      </w:r>
      <w:r w:rsidR="00AC6998">
        <w:rPr>
          <w:noProof/>
        </w:rPr>
        <w:t>82</w:t>
      </w:r>
      <w:r>
        <w:rPr>
          <w:noProof/>
        </w:rPr>
        <w:fldChar w:fldCharType="end"/>
      </w:r>
    </w:p>
    <w:p w14:paraId="3EBB8AAE"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Market Research</w:t>
      </w:r>
      <w:r>
        <w:rPr>
          <w:noProof/>
        </w:rPr>
        <w:tab/>
      </w:r>
      <w:r>
        <w:rPr>
          <w:noProof/>
        </w:rPr>
        <w:fldChar w:fldCharType="begin"/>
      </w:r>
      <w:r>
        <w:rPr>
          <w:noProof/>
        </w:rPr>
        <w:instrText xml:space="preserve"> PAGEREF _Toc500151819 \h </w:instrText>
      </w:r>
      <w:r>
        <w:rPr>
          <w:noProof/>
        </w:rPr>
      </w:r>
      <w:r>
        <w:rPr>
          <w:noProof/>
        </w:rPr>
        <w:fldChar w:fldCharType="separate"/>
      </w:r>
      <w:r w:rsidR="00AC6998">
        <w:rPr>
          <w:noProof/>
        </w:rPr>
        <w:t>82</w:t>
      </w:r>
      <w:r>
        <w:rPr>
          <w:noProof/>
        </w:rPr>
        <w:fldChar w:fldCharType="end"/>
      </w:r>
    </w:p>
    <w:p w14:paraId="3BC40589"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Public consultation on the product profile</w:t>
      </w:r>
      <w:r>
        <w:rPr>
          <w:noProof/>
        </w:rPr>
        <w:tab/>
      </w:r>
      <w:r>
        <w:rPr>
          <w:noProof/>
        </w:rPr>
        <w:fldChar w:fldCharType="begin"/>
      </w:r>
      <w:r>
        <w:rPr>
          <w:noProof/>
        </w:rPr>
        <w:instrText xml:space="preserve"> PAGEREF _Toc500151820 \h </w:instrText>
      </w:r>
      <w:r>
        <w:rPr>
          <w:noProof/>
        </w:rPr>
      </w:r>
      <w:r>
        <w:rPr>
          <w:noProof/>
        </w:rPr>
        <w:fldChar w:fldCharType="separate"/>
      </w:r>
      <w:r w:rsidR="00AC6998">
        <w:rPr>
          <w:noProof/>
        </w:rPr>
        <w:t>82</w:t>
      </w:r>
      <w:r>
        <w:rPr>
          <w:noProof/>
        </w:rPr>
        <w:fldChar w:fldCharType="end"/>
      </w:r>
    </w:p>
    <w:p w14:paraId="6A1527D1"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Technical Working Group: recommendations</w:t>
      </w:r>
      <w:r>
        <w:rPr>
          <w:noProof/>
        </w:rPr>
        <w:tab/>
      </w:r>
      <w:r>
        <w:rPr>
          <w:noProof/>
        </w:rPr>
        <w:fldChar w:fldCharType="begin"/>
      </w:r>
      <w:r>
        <w:rPr>
          <w:noProof/>
        </w:rPr>
        <w:instrText xml:space="preserve"> PAGEREF _Toc500151821 \h </w:instrText>
      </w:r>
      <w:r>
        <w:rPr>
          <w:noProof/>
        </w:rPr>
      </w:r>
      <w:r>
        <w:rPr>
          <w:noProof/>
        </w:rPr>
        <w:fldChar w:fldCharType="separate"/>
      </w:r>
      <w:r w:rsidR="00AC6998">
        <w:rPr>
          <w:noProof/>
        </w:rPr>
        <w:t>86</w:t>
      </w:r>
      <w:r>
        <w:rPr>
          <w:noProof/>
        </w:rPr>
        <w:fldChar w:fldCharType="end"/>
      </w:r>
    </w:p>
    <w:p w14:paraId="48A56EF7"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7.</w:t>
      </w:r>
      <w:r>
        <w:rPr>
          <w:rFonts w:asciiTheme="minorHAnsi" w:eastAsiaTheme="minorEastAsia" w:hAnsiTheme="minorHAnsi" w:cstheme="minorBidi"/>
          <w:b w:val="0"/>
          <w:caps w:val="0"/>
          <w:noProof/>
          <w:color w:val="auto"/>
          <w:sz w:val="22"/>
          <w:szCs w:val="22"/>
          <w:lang w:val="en-AU" w:eastAsia="en-AU"/>
        </w:rPr>
        <w:tab/>
      </w:r>
      <w:r>
        <w:rPr>
          <w:noProof/>
        </w:rPr>
        <w:t>Conclusion</w:t>
      </w:r>
      <w:r>
        <w:rPr>
          <w:noProof/>
        </w:rPr>
        <w:tab/>
      </w:r>
      <w:r>
        <w:rPr>
          <w:noProof/>
        </w:rPr>
        <w:fldChar w:fldCharType="begin"/>
      </w:r>
      <w:r>
        <w:rPr>
          <w:noProof/>
        </w:rPr>
        <w:instrText xml:space="preserve"> PAGEREF _Toc500151822 \h </w:instrText>
      </w:r>
      <w:r>
        <w:rPr>
          <w:noProof/>
        </w:rPr>
      </w:r>
      <w:r>
        <w:rPr>
          <w:noProof/>
        </w:rPr>
        <w:fldChar w:fldCharType="separate"/>
      </w:r>
      <w:r w:rsidR="00AC6998">
        <w:rPr>
          <w:noProof/>
        </w:rPr>
        <w:t>87</w:t>
      </w:r>
      <w:r>
        <w:rPr>
          <w:noProof/>
        </w:rPr>
        <w:fldChar w:fldCharType="end"/>
      </w:r>
    </w:p>
    <w:p w14:paraId="0D9EE51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Recommended option</w:t>
      </w:r>
      <w:r>
        <w:rPr>
          <w:noProof/>
        </w:rPr>
        <w:tab/>
      </w:r>
      <w:r>
        <w:rPr>
          <w:noProof/>
        </w:rPr>
        <w:fldChar w:fldCharType="begin"/>
      </w:r>
      <w:r>
        <w:rPr>
          <w:noProof/>
        </w:rPr>
        <w:instrText xml:space="preserve"> PAGEREF _Toc500151823 \h </w:instrText>
      </w:r>
      <w:r>
        <w:rPr>
          <w:noProof/>
        </w:rPr>
      </w:r>
      <w:r>
        <w:rPr>
          <w:noProof/>
        </w:rPr>
        <w:fldChar w:fldCharType="separate"/>
      </w:r>
      <w:r w:rsidR="00AC6998">
        <w:rPr>
          <w:noProof/>
        </w:rPr>
        <w:t>87</w:t>
      </w:r>
      <w:r>
        <w:rPr>
          <w:noProof/>
        </w:rPr>
        <w:fldChar w:fldCharType="end"/>
      </w:r>
    </w:p>
    <w:p w14:paraId="23C7FB73" w14:textId="77777777" w:rsidR="005636C7" w:rsidRDefault="005636C7" w:rsidP="005636C7">
      <w:pPr>
        <w:pStyle w:val="TOC2"/>
        <w:tabs>
          <w:tab w:val="right" w:leader="dot" w:pos="9629"/>
        </w:tabs>
        <w:rPr>
          <w:rFonts w:asciiTheme="minorHAnsi" w:eastAsiaTheme="minorEastAsia" w:hAnsiTheme="minorHAnsi" w:cstheme="minorBidi"/>
          <w:noProof/>
          <w:color w:val="auto"/>
          <w:sz w:val="22"/>
          <w:lang w:val="en-AU" w:eastAsia="en-AU"/>
        </w:rPr>
      </w:pPr>
      <w:r w:rsidRPr="0070021A">
        <w:rPr>
          <w:noProof/>
        </w:rPr>
        <w:t>Option 4</w:t>
      </w:r>
      <w:r>
        <w:rPr>
          <w:noProof/>
        </w:rPr>
        <w:tab/>
      </w:r>
      <w:r>
        <w:rPr>
          <w:noProof/>
        </w:rPr>
        <w:fldChar w:fldCharType="begin"/>
      </w:r>
      <w:r>
        <w:rPr>
          <w:noProof/>
        </w:rPr>
        <w:instrText xml:space="preserve"> PAGEREF _Toc500151824 \h </w:instrText>
      </w:r>
      <w:r>
        <w:rPr>
          <w:noProof/>
        </w:rPr>
      </w:r>
      <w:r>
        <w:rPr>
          <w:noProof/>
        </w:rPr>
        <w:fldChar w:fldCharType="separate"/>
      </w:r>
      <w:r w:rsidR="00AC6998">
        <w:rPr>
          <w:noProof/>
        </w:rPr>
        <w:t>87</w:t>
      </w:r>
      <w:r>
        <w:rPr>
          <w:noProof/>
        </w:rPr>
        <w:fldChar w:fldCharType="end"/>
      </w:r>
    </w:p>
    <w:p w14:paraId="4A063EEC" w14:textId="77777777" w:rsidR="005636C7" w:rsidRDefault="005636C7" w:rsidP="005636C7">
      <w:pPr>
        <w:pStyle w:val="TOC1"/>
        <w:tabs>
          <w:tab w:val="left" w:pos="567"/>
        </w:tabs>
        <w:rPr>
          <w:rFonts w:asciiTheme="minorHAnsi" w:eastAsiaTheme="minorEastAsia" w:hAnsiTheme="minorHAnsi" w:cstheme="minorBidi"/>
          <w:b w:val="0"/>
          <w:caps w:val="0"/>
          <w:noProof/>
          <w:color w:val="auto"/>
          <w:sz w:val="22"/>
          <w:szCs w:val="22"/>
          <w:lang w:val="en-AU" w:eastAsia="en-AU"/>
        </w:rPr>
      </w:pPr>
      <w:r>
        <w:rPr>
          <w:noProof/>
        </w:rPr>
        <w:t>8.</w:t>
      </w:r>
      <w:r>
        <w:rPr>
          <w:rFonts w:asciiTheme="minorHAnsi" w:eastAsiaTheme="minorEastAsia" w:hAnsiTheme="minorHAnsi" w:cstheme="minorBidi"/>
          <w:b w:val="0"/>
          <w:caps w:val="0"/>
          <w:noProof/>
          <w:color w:val="auto"/>
          <w:sz w:val="22"/>
          <w:szCs w:val="22"/>
          <w:lang w:val="en-AU" w:eastAsia="en-AU"/>
        </w:rPr>
        <w:tab/>
      </w:r>
      <w:r>
        <w:rPr>
          <w:noProof/>
        </w:rPr>
        <w:t>Implementation</w:t>
      </w:r>
      <w:r>
        <w:rPr>
          <w:noProof/>
        </w:rPr>
        <w:tab/>
      </w:r>
      <w:r>
        <w:rPr>
          <w:noProof/>
        </w:rPr>
        <w:fldChar w:fldCharType="begin"/>
      </w:r>
      <w:r>
        <w:rPr>
          <w:noProof/>
        </w:rPr>
        <w:instrText xml:space="preserve"> PAGEREF _Toc500151825 \h </w:instrText>
      </w:r>
      <w:r>
        <w:rPr>
          <w:noProof/>
        </w:rPr>
      </w:r>
      <w:r>
        <w:rPr>
          <w:noProof/>
        </w:rPr>
        <w:fldChar w:fldCharType="separate"/>
      </w:r>
      <w:r w:rsidR="00AC6998">
        <w:rPr>
          <w:noProof/>
        </w:rPr>
        <w:t>88</w:t>
      </w:r>
      <w:r>
        <w:rPr>
          <w:noProof/>
        </w:rPr>
        <w:fldChar w:fldCharType="end"/>
      </w:r>
    </w:p>
    <w:p w14:paraId="6CA8BCE6"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Implementing regulatory changes</w:t>
      </w:r>
      <w:r>
        <w:rPr>
          <w:noProof/>
        </w:rPr>
        <w:tab/>
      </w:r>
      <w:r>
        <w:rPr>
          <w:noProof/>
        </w:rPr>
        <w:fldChar w:fldCharType="begin"/>
      </w:r>
      <w:r>
        <w:rPr>
          <w:noProof/>
        </w:rPr>
        <w:instrText xml:space="preserve"> PAGEREF _Toc500151826 \h </w:instrText>
      </w:r>
      <w:r>
        <w:rPr>
          <w:noProof/>
        </w:rPr>
      </w:r>
      <w:r>
        <w:rPr>
          <w:noProof/>
        </w:rPr>
        <w:fldChar w:fldCharType="separate"/>
      </w:r>
      <w:r w:rsidR="00AC6998">
        <w:rPr>
          <w:noProof/>
        </w:rPr>
        <w:t>88</w:t>
      </w:r>
      <w:r>
        <w:rPr>
          <w:noProof/>
        </w:rPr>
        <w:fldChar w:fldCharType="end"/>
      </w:r>
    </w:p>
    <w:p w14:paraId="2063A33E"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sidRPr="0070021A">
        <w:rPr>
          <w:noProof/>
          <w:lang w:val="en-NZ" w:eastAsia="en-NZ"/>
        </w:rPr>
        <w:t>References</w:t>
      </w:r>
      <w:r>
        <w:rPr>
          <w:noProof/>
        </w:rPr>
        <w:tab/>
      </w:r>
      <w:r>
        <w:rPr>
          <w:noProof/>
        </w:rPr>
        <w:fldChar w:fldCharType="begin"/>
      </w:r>
      <w:r>
        <w:rPr>
          <w:noProof/>
        </w:rPr>
        <w:instrText xml:space="preserve"> PAGEREF _Toc500151827 \h </w:instrText>
      </w:r>
      <w:r>
        <w:rPr>
          <w:noProof/>
        </w:rPr>
      </w:r>
      <w:r>
        <w:rPr>
          <w:noProof/>
        </w:rPr>
        <w:fldChar w:fldCharType="separate"/>
      </w:r>
      <w:r w:rsidR="00AC6998">
        <w:rPr>
          <w:noProof/>
        </w:rPr>
        <w:t>93</w:t>
      </w:r>
      <w:r>
        <w:rPr>
          <w:noProof/>
        </w:rPr>
        <w:fldChar w:fldCharType="end"/>
      </w:r>
    </w:p>
    <w:p w14:paraId="297A335A"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A- Australian stock by major sectors</w:t>
      </w:r>
      <w:r>
        <w:rPr>
          <w:noProof/>
        </w:rPr>
        <w:tab/>
      </w:r>
      <w:r>
        <w:rPr>
          <w:noProof/>
        </w:rPr>
        <w:fldChar w:fldCharType="begin"/>
      </w:r>
      <w:r>
        <w:rPr>
          <w:noProof/>
        </w:rPr>
        <w:instrText xml:space="preserve"> PAGEREF _Toc500151828 \h </w:instrText>
      </w:r>
      <w:r>
        <w:rPr>
          <w:noProof/>
        </w:rPr>
      </w:r>
      <w:r>
        <w:rPr>
          <w:noProof/>
        </w:rPr>
        <w:fldChar w:fldCharType="separate"/>
      </w:r>
      <w:r w:rsidR="00AC6998">
        <w:rPr>
          <w:noProof/>
        </w:rPr>
        <w:t>94</w:t>
      </w:r>
      <w:r>
        <w:rPr>
          <w:noProof/>
        </w:rPr>
        <w:fldChar w:fldCharType="end"/>
      </w:r>
    </w:p>
    <w:p w14:paraId="5010D584"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Retail and food services channels</w:t>
      </w:r>
      <w:r>
        <w:rPr>
          <w:noProof/>
        </w:rPr>
        <w:tab/>
      </w:r>
      <w:r>
        <w:rPr>
          <w:noProof/>
        </w:rPr>
        <w:fldChar w:fldCharType="begin"/>
      </w:r>
      <w:r>
        <w:rPr>
          <w:noProof/>
        </w:rPr>
        <w:instrText xml:space="preserve"> PAGEREF _Toc500151829 \h </w:instrText>
      </w:r>
      <w:r>
        <w:rPr>
          <w:noProof/>
        </w:rPr>
      </w:r>
      <w:r>
        <w:rPr>
          <w:noProof/>
        </w:rPr>
        <w:fldChar w:fldCharType="separate"/>
      </w:r>
      <w:r w:rsidR="00AC6998">
        <w:rPr>
          <w:noProof/>
        </w:rPr>
        <w:t>94</w:t>
      </w:r>
      <w:r>
        <w:rPr>
          <w:noProof/>
        </w:rPr>
        <w:fldChar w:fldCharType="end"/>
      </w:r>
    </w:p>
    <w:p w14:paraId="30DC104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Supermarkets, convenience stores and small retail</w:t>
      </w:r>
      <w:r>
        <w:rPr>
          <w:noProof/>
        </w:rPr>
        <w:tab/>
      </w:r>
      <w:r>
        <w:rPr>
          <w:noProof/>
        </w:rPr>
        <w:fldChar w:fldCharType="begin"/>
      </w:r>
      <w:r>
        <w:rPr>
          <w:noProof/>
        </w:rPr>
        <w:instrText xml:space="preserve"> PAGEREF _Toc500151830 \h </w:instrText>
      </w:r>
      <w:r>
        <w:rPr>
          <w:noProof/>
        </w:rPr>
      </w:r>
      <w:r>
        <w:rPr>
          <w:noProof/>
        </w:rPr>
        <w:fldChar w:fldCharType="separate"/>
      </w:r>
      <w:r w:rsidR="00AC6998">
        <w:rPr>
          <w:noProof/>
        </w:rPr>
        <w:t>95</w:t>
      </w:r>
      <w:r>
        <w:rPr>
          <w:noProof/>
        </w:rPr>
        <w:fldChar w:fldCharType="end"/>
      </w:r>
    </w:p>
    <w:p w14:paraId="0569602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Food service channels</w:t>
      </w:r>
      <w:r>
        <w:rPr>
          <w:noProof/>
        </w:rPr>
        <w:tab/>
      </w:r>
      <w:r>
        <w:rPr>
          <w:noProof/>
        </w:rPr>
        <w:fldChar w:fldCharType="begin"/>
      </w:r>
      <w:r>
        <w:rPr>
          <w:noProof/>
        </w:rPr>
        <w:instrText xml:space="preserve"> PAGEREF _Toc500151831 \h </w:instrText>
      </w:r>
      <w:r>
        <w:rPr>
          <w:noProof/>
        </w:rPr>
      </w:r>
      <w:r>
        <w:rPr>
          <w:noProof/>
        </w:rPr>
        <w:fldChar w:fldCharType="separate"/>
      </w:r>
      <w:r w:rsidR="00AC6998">
        <w:rPr>
          <w:noProof/>
        </w:rPr>
        <w:t>96</w:t>
      </w:r>
      <w:r>
        <w:rPr>
          <w:noProof/>
        </w:rPr>
        <w:fldChar w:fldCharType="end"/>
      </w:r>
    </w:p>
    <w:p w14:paraId="369A1195"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B - New Zealand stock by major sectors</w:t>
      </w:r>
      <w:r>
        <w:rPr>
          <w:noProof/>
        </w:rPr>
        <w:tab/>
      </w:r>
      <w:r>
        <w:rPr>
          <w:noProof/>
        </w:rPr>
        <w:fldChar w:fldCharType="begin"/>
      </w:r>
      <w:r>
        <w:rPr>
          <w:noProof/>
        </w:rPr>
        <w:instrText xml:space="preserve"> PAGEREF _Toc500151832 \h </w:instrText>
      </w:r>
      <w:r>
        <w:rPr>
          <w:noProof/>
        </w:rPr>
      </w:r>
      <w:r>
        <w:rPr>
          <w:noProof/>
        </w:rPr>
        <w:fldChar w:fldCharType="separate"/>
      </w:r>
      <w:r w:rsidR="00AC6998">
        <w:rPr>
          <w:noProof/>
        </w:rPr>
        <w:t>100</w:t>
      </w:r>
      <w:r>
        <w:rPr>
          <w:noProof/>
        </w:rPr>
        <w:fldChar w:fldCharType="end"/>
      </w:r>
    </w:p>
    <w:p w14:paraId="4FA1461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Supermarkets, convenience stores and small retail</w:t>
      </w:r>
      <w:r>
        <w:rPr>
          <w:noProof/>
        </w:rPr>
        <w:tab/>
      </w:r>
      <w:r>
        <w:rPr>
          <w:noProof/>
        </w:rPr>
        <w:fldChar w:fldCharType="begin"/>
      </w:r>
      <w:r>
        <w:rPr>
          <w:noProof/>
        </w:rPr>
        <w:instrText xml:space="preserve"> PAGEREF _Toc500151833 \h </w:instrText>
      </w:r>
      <w:r>
        <w:rPr>
          <w:noProof/>
        </w:rPr>
      </w:r>
      <w:r>
        <w:rPr>
          <w:noProof/>
        </w:rPr>
        <w:fldChar w:fldCharType="separate"/>
      </w:r>
      <w:r w:rsidR="00AC6998">
        <w:rPr>
          <w:noProof/>
        </w:rPr>
        <w:t>100</w:t>
      </w:r>
      <w:r>
        <w:rPr>
          <w:noProof/>
        </w:rPr>
        <w:fldChar w:fldCharType="end"/>
      </w:r>
    </w:p>
    <w:p w14:paraId="7909B1D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Food service channels</w:t>
      </w:r>
      <w:r>
        <w:rPr>
          <w:noProof/>
        </w:rPr>
        <w:tab/>
      </w:r>
      <w:r>
        <w:rPr>
          <w:noProof/>
        </w:rPr>
        <w:fldChar w:fldCharType="begin"/>
      </w:r>
      <w:r>
        <w:rPr>
          <w:noProof/>
        </w:rPr>
        <w:instrText xml:space="preserve"> PAGEREF _Toc500151834 \h </w:instrText>
      </w:r>
      <w:r>
        <w:rPr>
          <w:noProof/>
        </w:rPr>
      </w:r>
      <w:r>
        <w:rPr>
          <w:noProof/>
        </w:rPr>
        <w:fldChar w:fldCharType="separate"/>
      </w:r>
      <w:r w:rsidR="00AC6998">
        <w:rPr>
          <w:noProof/>
        </w:rPr>
        <w:t>100</w:t>
      </w:r>
      <w:r>
        <w:rPr>
          <w:noProof/>
        </w:rPr>
        <w:fldChar w:fldCharType="end"/>
      </w:r>
    </w:p>
    <w:p w14:paraId="03F8AA1A"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C- Stock modelling, assumptions / Cost-Benefit methodology</w:t>
      </w:r>
      <w:r>
        <w:rPr>
          <w:noProof/>
        </w:rPr>
        <w:tab/>
      </w:r>
      <w:r>
        <w:rPr>
          <w:noProof/>
        </w:rPr>
        <w:fldChar w:fldCharType="begin"/>
      </w:r>
      <w:r>
        <w:rPr>
          <w:noProof/>
        </w:rPr>
        <w:instrText xml:space="preserve"> PAGEREF _Toc500151835 \h </w:instrText>
      </w:r>
      <w:r>
        <w:rPr>
          <w:noProof/>
        </w:rPr>
      </w:r>
      <w:r>
        <w:rPr>
          <w:noProof/>
        </w:rPr>
        <w:fldChar w:fldCharType="separate"/>
      </w:r>
      <w:r w:rsidR="00AC6998">
        <w:rPr>
          <w:noProof/>
        </w:rPr>
        <w:t>102</w:t>
      </w:r>
      <w:r>
        <w:rPr>
          <w:noProof/>
        </w:rPr>
        <w:fldChar w:fldCharType="end"/>
      </w:r>
    </w:p>
    <w:p w14:paraId="75A25A0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Test and registration costs</w:t>
      </w:r>
      <w:r>
        <w:rPr>
          <w:noProof/>
        </w:rPr>
        <w:tab/>
      </w:r>
      <w:r>
        <w:rPr>
          <w:noProof/>
        </w:rPr>
        <w:fldChar w:fldCharType="begin"/>
      </w:r>
      <w:r>
        <w:rPr>
          <w:noProof/>
        </w:rPr>
        <w:instrText xml:space="preserve"> PAGEREF _Toc500151836 \h </w:instrText>
      </w:r>
      <w:r>
        <w:rPr>
          <w:noProof/>
        </w:rPr>
      </w:r>
      <w:r>
        <w:rPr>
          <w:noProof/>
        </w:rPr>
        <w:fldChar w:fldCharType="separate"/>
      </w:r>
      <w:r w:rsidR="00AC6998">
        <w:rPr>
          <w:noProof/>
        </w:rPr>
        <w:t>103</w:t>
      </w:r>
      <w:r>
        <w:rPr>
          <w:noProof/>
        </w:rPr>
        <w:fldChar w:fldCharType="end"/>
      </w:r>
    </w:p>
    <w:p w14:paraId="706462F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cs="Helvetica"/>
          <w:noProof/>
        </w:rPr>
        <w:t>Costs of improvements</w:t>
      </w:r>
      <w:r>
        <w:rPr>
          <w:noProof/>
        </w:rPr>
        <w:tab/>
      </w:r>
      <w:r>
        <w:rPr>
          <w:noProof/>
        </w:rPr>
        <w:fldChar w:fldCharType="begin"/>
      </w:r>
      <w:r>
        <w:rPr>
          <w:noProof/>
        </w:rPr>
        <w:instrText xml:space="preserve"> PAGEREF _Toc500151837 \h </w:instrText>
      </w:r>
      <w:r>
        <w:rPr>
          <w:noProof/>
        </w:rPr>
      </w:r>
      <w:r>
        <w:rPr>
          <w:noProof/>
        </w:rPr>
        <w:fldChar w:fldCharType="separate"/>
      </w:r>
      <w:r w:rsidR="00AC6998">
        <w:rPr>
          <w:noProof/>
        </w:rPr>
        <w:t>105</w:t>
      </w:r>
      <w:r>
        <w:rPr>
          <w:noProof/>
        </w:rPr>
        <w:fldChar w:fldCharType="end"/>
      </w:r>
    </w:p>
    <w:p w14:paraId="563535A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Energy efficiency opportunities and complementary activities</w:t>
      </w:r>
      <w:r>
        <w:rPr>
          <w:noProof/>
        </w:rPr>
        <w:tab/>
      </w:r>
      <w:r>
        <w:rPr>
          <w:noProof/>
        </w:rPr>
        <w:fldChar w:fldCharType="begin"/>
      </w:r>
      <w:r>
        <w:rPr>
          <w:noProof/>
        </w:rPr>
        <w:instrText xml:space="preserve"> PAGEREF _Toc500151838 \h </w:instrText>
      </w:r>
      <w:r>
        <w:rPr>
          <w:noProof/>
        </w:rPr>
      </w:r>
      <w:r>
        <w:rPr>
          <w:noProof/>
        </w:rPr>
        <w:fldChar w:fldCharType="separate"/>
      </w:r>
      <w:r w:rsidR="00AC6998">
        <w:rPr>
          <w:noProof/>
        </w:rPr>
        <w:t>106</w:t>
      </w:r>
      <w:r>
        <w:rPr>
          <w:noProof/>
        </w:rPr>
        <w:fldChar w:fldCharType="end"/>
      </w:r>
    </w:p>
    <w:p w14:paraId="52575F9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Estimated costs for energy saving technologies</w:t>
      </w:r>
      <w:r>
        <w:rPr>
          <w:noProof/>
        </w:rPr>
        <w:tab/>
      </w:r>
      <w:r>
        <w:rPr>
          <w:noProof/>
        </w:rPr>
        <w:fldChar w:fldCharType="begin"/>
      </w:r>
      <w:r>
        <w:rPr>
          <w:noProof/>
        </w:rPr>
        <w:instrText xml:space="preserve"> PAGEREF _Toc500151839 \h </w:instrText>
      </w:r>
      <w:r>
        <w:rPr>
          <w:noProof/>
        </w:rPr>
      </w:r>
      <w:r>
        <w:rPr>
          <w:noProof/>
        </w:rPr>
        <w:fldChar w:fldCharType="separate"/>
      </w:r>
      <w:r w:rsidR="00AC6998">
        <w:rPr>
          <w:noProof/>
        </w:rPr>
        <w:t>108</w:t>
      </w:r>
      <w:r>
        <w:rPr>
          <w:noProof/>
        </w:rPr>
        <w:fldChar w:fldCharType="end"/>
      </w:r>
    </w:p>
    <w:p w14:paraId="7CFB1897"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Cost of improving efficiency with current registered models</w:t>
      </w:r>
      <w:r>
        <w:rPr>
          <w:noProof/>
        </w:rPr>
        <w:tab/>
      </w:r>
      <w:r>
        <w:rPr>
          <w:noProof/>
        </w:rPr>
        <w:fldChar w:fldCharType="begin"/>
      </w:r>
      <w:r>
        <w:rPr>
          <w:noProof/>
        </w:rPr>
        <w:instrText xml:space="preserve"> PAGEREF _Toc500151840 \h </w:instrText>
      </w:r>
      <w:r>
        <w:rPr>
          <w:noProof/>
        </w:rPr>
      </w:r>
      <w:r>
        <w:rPr>
          <w:noProof/>
        </w:rPr>
        <w:fldChar w:fldCharType="separate"/>
      </w:r>
      <w:r w:rsidR="00AC6998">
        <w:rPr>
          <w:noProof/>
        </w:rPr>
        <w:t>109</w:t>
      </w:r>
      <w:r>
        <w:rPr>
          <w:noProof/>
        </w:rPr>
        <w:fldChar w:fldCharType="end"/>
      </w:r>
    </w:p>
    <w:p w14:paraId="47EB58E8"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Assumptions relating to cost of efficiency improvement</w:t>
      </w:r>
      <w:r>
        <w:rPr>
          <w:noProof/>
        </w:rPr>
        <w:tab/>
      </w:r>
      <w:r>
        <w:rPr>
          <w:noProof/>
        </w:rPr>
        <w:fldChar w:fldCharType="begin"/>
      </w:r>
      <w:r>
        <w:rPr>
          <w:noProof/>
        </w:rPr>
        <w:instrText xml:space="preserve"> PAGEREF _Toc500151841 \h </w:instrText>
      </w:r>
      <w:r>
        <w:rPr>
          <w:noProof/>
        </w:rPr>
      </w:r>
      <w:r>
        <w:rPr>
          <w:noProof/>
        </w:rPr>
        <w:fldChar w:fldCharType="separate"/>
      </w:r>
      <w:r w:rsidR="00AC6998">
        <w:rPr>
          <w:noProof/>
        </w:rPr>
        <w:t>110</w:t>
      </w:r>
      <w:r>
        <w:rPr>
          <w:noProof/>
        </w:rPr>
        <w:fldChar w:fldCharType="end"/>
      </w:r>
    </w:p>
    <w:p w14:paraId="2ABEA675"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color w:val="auto"/>
        </w:rPr>
        <w:t>Cost Benefit Analysis</w:t>
      </w:r>
      <w:r>
        <w:rPr>
          <w:noProof/>
        </w:rPr>
        <w:tab/>
      </w:r>
      <w:r>
        <w:rPr>
          <w:noProof/>
        </w:rPr>
        <w:fldChar w:fldCharType="begin"/>
      </w:r>
      <w:r>
        <w:rPr>
          <w:noProof/>
        </w:rPr>
        <w:instrText xml:space="preserve"> PAGEREF _Toc500151842 \h </w:instrText>
      </w:r>
      <w:r>
        <w:rPr>
          <w:noProof/>
        </w:rPr>
      </w:r>
      <w:r>
        <w:rPr>
          <w:noProof/>
        </w:rPr>
        <w:fldChar w:fldCharType="separate"/>
      </w:r>
      <w:r w:rsidR="00AC6998">
        <w:rPr>
          <w:noProof/>
        </w:rPr>
        <w:t>111</w:t>
      </w:r>
      <w:r>
        <w:rPr>
          <w:noProof/>
        </w:rPr>
        <w:fldChar w:fldCharType="end"/>
      </w:r>
    </w:p>
    <w:p w14:paraId="6F0498B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Heat rejection considerations</w:t>
      </w:r>
      <w:r>
        <w:rPr>
          <w:noProof/>
        </w:rPr>
        <w:tab/>
      </w:r>
      <w:r>
        <w:rPr>
          <w:noProof/>
        </w:rPr>
        <w:fldChar w:fldCharType="begin"/>
      </w:r>
      <w:r>
        <w:rPr>
          <w:noProof/>
        </w:rPr>
        <w:instrText xml:space="preserve"> PAGEREF _Toc500151843 \h </w:instrText>
      </w:r>
      <w:r>
        <w:rPr>
          <w:noProof/>
        </w:rPr>
      </w:r>
      <w:r>
        <w:rPr>
          <w:noProof/>
        </w:rPr>
        <w:fldChar w:fldCharType="separate"/>
      </w:r>
      <w:r w:rsidR="00AC6998">
        <w:rPr>
          <w:noProof/>
        </w:rPr>
        <w:t>114</w:t>
      </w:r>
      <w:r>
        <w:rPr>
          <w:noProof/>
        </w:rPr>
        <w:fldChar w:fldCharType="end"/>
      </w:r>
    </w:p>
    <w:p w14:paraId="1E647A61"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Potential Impacts on peak demand electricity</w:t>
      </w:r>
      <w:r>
        <w:rPr>
          <w:noProof/>
        </w:rPr>
        <w:tab/>
      </w:r>
      <w:r>
        <w:rPr>
          <w:noProof/>
        </w:rPr>
        <w:fldChar w:fldCharType="begin"/>
      </w:r>
      <w:r>
        <w:rPr>
          <w:noProof/>
        </w:rPr>
        <w:instrText xml:space="preserve"> PAGEREF _Toc500151844 \h </w:instrText>
      </w:r>
      <w:r>
        <w:rPr>
          <w:noProof/>
        </w:rPr>
      </w:r>
      <w:r>
        <w:rPr>
          <w:noProof/>
        </w:rPr>
        <w:fldChar w:fldCharType="separate"/>
      </w:r>
      <w:r w:rsidR="00AC6998">
        <w:rPr>
          <w:noProof/>
        </w:rPr>
        <w:t>114</w:t>
      </w:r>
      <w:r>
        <w:rPr>
          <w:noProof/>
        </w:rPr>
        <w:fldChar w:fldCharType="end"/>
      </w:r>
    </w:p>
    <w:p w14:paraId="0FB7AE7D"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Electricity tariffs used in this cost-benefit analysis</w:t>
      </w:r>
      <w:r>
        <w:rPr>
          <w:noProof/>
        </w:rPr>
        <w:tab/>
      </w:r>
      <w:r>
        <w:rPr>
          <w:noProof/>
        </w:rPr>
        <w:fldChar w:fldCharType="begin"/>
      </w:r>
      <w:r>
        <w:rPr>
          <w:noProof/>
        </w:rPr>
        <w:instrText xml:space="preserve"> PAGEREF _Toc500151845 \h </w:instrText>
      </w:r>
      <w:r>
        <w:rPr>
          <w:noProof/>
        </w:rPr>
      </w:r>
      <w:r>
        <w:rPr>
          <w:noProof/>
        </w:rPr>
        <w:fldChar w:fldCharType="separate"/>
      </w:r>
      <w:r w:rsidR="00AC6998">
        <w:rPr>
          <w:noProof/>
        </w:rPr>
        <w:t>115</w:t>
      </w:r>
      <w:r>
        <w:rPr>
          <w:noProof/>
        </w:rPr>
        <w:fldChar w:fldCharType="end"/>
      </w:r>
    </w:p>
    <w:p w14:paraId="14AD9D5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Greenhouse gas factors</w:t>
      </w:r>
      <w:r>
        <w:rPr>
          <w:noProof/>
        </w:rPr>
        <w:tab/>
      </w:r>
      <w:r>
        <w:rPr>
          <w:noProof/>
        </w:rPr>
        <w:fldChar w:fldCharType="begin"/>
      </w:r>
      <w:r>
        <w:rPr>
          <w:noProof/>
        </w:rPr>
        <w:instrText xml:space="preserve"> PAGEREF _Toc500151846 \h </w:instrText>
      </w:r>
      <w:r>
        <w:rPr>
          <w:noProof/>
        </w:rPr>
      </w:r>
      <w:r>
        <w:rPr>
          <w:noProof/>
        </w:rPr>
        <w:fldChar w:fldCharType="separate"/>
      </w:r>
      <w:r w:rsidR="00AC6998">
        <w:rPr>
          <w:noProof/>
        </w:rPr>
        <w:t>115</w:t>
      </w:r>
      <w:r>
        <w:rPr>
          <w:noProof/>
        </w:rPr>
        <w:fldChar w:fldCharType="end"/>
      </w:r>
    </w:p>
    <w:p w14:paraId="6379173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Model parameters and key assumptions</w:t>
      </w:r>
      <w:r>
        <w:rPr>
          <w:noProof/>
        </w:rPr>
        <w:tab/>
      </w:r>
      <w:r>
        <w:rPr>
          <w:noProof/>
        </w:rPr>
        <w:fldChar w:fldCharType="begin"/>
      </w:r>
      <w:r>
        <w:rPr>
          <w:noProof/>
        </w:rPr>
        <w:instrText xml:space="preserve"> PAGEREF _Toc500151847 \h </w:instrText>
      </w:r>
      <w:r>
        <w:rPr>
          <w:noProof/>
        </w:rPr>
      </w:r>
      <w:r>
        <w:rPr>
          <w:noProof/>
        </w:rPr>
        <w:fldChar w:fldCharType="separate"/>
      </w:r>
      <w:r w:rsidR="00AC6998">
        <w:rPr>
          <w:noProof/>
        </w:rPr>
        <w:t>116</w:t>
      </w:r>
      <w:r>
        <w:rPr>
          <w:noProof/>
        </w:rPr>
        <w:fldChar w:fldCharType="end"/>
      </w:r>
    </w:p>
    <w:p w14:paraId="377BD326"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D- Manufacturers and importers</w:t>
      </w:r>
      <w:r>
        <w:rPr>
          <w:noProof/>
        </w:rPr>
        <w:tab/>
      </w:r>
      <w:r>
        <w:rPr>
          <w:noProof/>
        </w:rPr>
        <w:fldChar w:fldCharType="begin"/>
      </w:r>
      <w:r>
        <w:rPr>
          <w:noProof/>
        </w:rPr>
        <w:instrText xml:space="preserve"> PAGEREF _Toc500151848 \h </w:instrText>
      </w:r>
      <w:r>
        <w:rPr>
          <w:noProof/>
        </w:rPr>
      </w:r>
      <w:r>
        <w:rPr>
          <w:noProof/>
        </w:rPr>
        <w:fldChar w:fldCharType="separate"/>
      </w:r>
      <w:r w:rsidR="00AC6998">
        <w:rPr>
          <w:noProof/>
        </w:rPr>
        <w:t>123</w:t>
      </w:r>
      <w:r>
        <w:rPr>
          <w:noProof/>
        </w:rPr>
        <w:fldChar w:fldCharType="end"/>
      </w:r>
    </w:p>
    <w:p w14:paraId="2460278E"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E - Australasian vs International Standards</w:t>
      </w:r>
      <w:r>
        <w:rPr>
          <w:noProof/>
        </w:rPr>
        <w:tab/>
      </w:r>
      <w:r>
        <w:rPr>
          <w:noProof/>
        </w:rPr>
        <w:fldChar w:fldCharType="begin"/>
      </w:r>
      <w:r>
        <w:rPr>
          <w:noProof/>
        </w:rPr>
        <w:instrText xml:space="preserve"> PAGEREF _Toc500151849 \h </w:instrText>
      </w:r>
      <w:r>
        <w:rPr>
          <w:noProof/>
        </w:rPr>
      </w:r>
      <w:r>
        <w:rPr>
          <w:noProof/>
        </w:rPr>
        <w:fldChar w:fldCharType="separate"/>
      </w:r>
      <w:r w:rsidR="00AC6998">
        <w:rPr>
          <w:noProof/>
        </w:rPr>
        <w:t>127</w:t>
      </w:r>
      <w:r>
        <w:rPr>
          <w:noProof/>
        </w:rPr>
        <w:fldChar w:fldCharType="end"/>
      </w:r>
    </w:p>
    <w:p w14:paraId="17DA48C2"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Pr>
          <w:noProof/>
        </w:rPr>
        <w:t>Current AU/NZ test and performance Standard, AS 1731</w:t>
      </w:r>
      <w:r>
        <w:rPr>
          <w:noProof/>
        </w:rPr>
        <w:tab/>
      </w:r>
      <w:r>
        <w:rPr>
          <w:noProof/>
        </w:rPr>
        <w:fldChar w:fldCharType="begin"/>
      </w:r>
      <w:r>
        <w:rPr>
          <w:noProof/>
        </w:rPr>
        <w:instrText xml:space="preserve"> PAGEREF _Toc500151850 \h </w:instrText>
      </w:r>
      <w:r>
        <w:rPr>
          <w:noProof/>
        </w:rPr>
      </w:r>
      <w:r>
        <w:rPr>
          <w:noProof/>
        </w:rPr>
        <w:fldChar w:fldCharType="separate"/>
      </w:r>
      <w:r w:rsidR="00AC6998">
        <w:rPr>
          <w:noProof/>
        </w:rPr>
        <w:t>127</w:t>
      </w:r>
      <w:r>
        <w:rPr>
          <w:noProof/>
        </w:rPr>
        <w:fldChar w:fldCharType="end"/>
      </w:r>
    </w:p>
    <w:p w14:paraId="2C25E99C"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color w:val="auto"/>
        </w:rPr>
        <w:t>Europe</w:t>
      </w:r>
      <w:r>
        <w:rPr>
          <w:noProof/>
        </w:rPr>
        <w:tab/>
      </w:r>
      <w:r>
        <w:rPr>
          <w:noProof/>
        </w:rPr>
        <w:fldChar w:fldCharType="begin"/>
      </w:r>
      <w:r>
        <w:rPr>
          <w:noProof/>
        </w:rPr>
        <w:instrText xml:space="preserve"> PAGEREF _Toc500151851 \h </w:instrText>
      </w:r>
      <w:r>
        <w:rPr>
          <w:noProof/>
        </w:rPr>
      </w:r>
      <w:r>
        <w:rPr>
          <w:noProof/>
        </w:rPr>
        <w:fldChar w:fldCharType="separate"/>
      </w:r>
      <w:r w:rsidR="00AC6998">
        <w:rPr>
          <w:noProof/>
        </w:rPr>
        <w:t>128</w:t>
      </w:r>
      <w:r>
        <w:rPr>
          <w:noProof/>
        </w:rPr>
        <w:fldChar w:fldCharType="end"/>
      </w:r>
    </w:p>
    <w:p w14:paraId="457FC2D0"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eastAsiaTheme="minorEastAsia"/>
          <w:noProof/>
          <w:color w:val="auto"/>
          <w:lang w:val="en-NZ" w:eastAsia="en-NZ"/>
        </w:rPr>
        <w:t>Refrigerated Display Cabinet MEPS</w:t>
      </w:r>
      <w:r>
        <w:rPr>
          <w:noProof/>
        </w:rPr>
        <w:tab/>
      </w:r>
      <w:r>
        <w:rPr>
          <w:noProof/>
        </w:rPr>
        <w:fldChar w:fldCharType="begin"/>
      </w:r>
      <w:r>
        <w:rPr>
          <w:noProof/>
        </w:rPr>
        <w:instrText xml:space="preserve"> PAGEREF _Toc500151852 \h </w:instrText>
      </w:r>
      <w:r>
        <w:rPr>
          <w:noProof/>
        </w:rPr>
      </w:r>
      <w:r>
        <w:rPr>
          <w:noProof/>
        </w:rPr>
        <w:fldChar w:fldCharType="separate"/>
      </w:r>
      <w:r w:rsidR="00AC6998">
        <w:rPr>
          <w:noProof/>
        </w:rPr>
        <w:t>129</w:t>
      </w:r>
      <w:r>
        <w:rPr>
          <w:noProof/>
        </w:rPr>
        <w:fldChar w:fldCharType="end"/>
      </w:r>
    </w:p>
    <w:p w14:paraId="516187C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rFonts w:eastAsiaTheme="minorEastAsia"/>
          <w:noProof/>
          <w:lang w:val="en-NZ" w:eastAsia="en-NZ"/>
        </w:rPr>
        <w:t>Refrigerated Storage Cabinet MEPS</w:t>
      </w:r>
      <w:r>
        <w:rPr>
          <w:noProof/>
        </w:rPr>
        <w:tab/>
      </w:r>
      <w:r>
        <w:rPr>
          <w:noProof/>
        </w:rPr>
        <w:fldChar w:fldCharType="begin"/>
      </w:r>
      <w:r>
        <w:rPr>
          <w:noProof/>
        </w:rPr>
        <w:instrText xml:space="preserve"> PAGEREF _Toc500151853 \h </w:instrText>
      </w:r>
      <w:r>
        <w:rPr>
          <w:noProof/>
        </w:rPr>
      </w:r>
      <w:r>
        <w:rPr>
          <w:noProof/>
        </w:rPr>
        <w:fldChar w:fldCharType="separate"/>
      </w:r>
      <w:r w:rsidR="00AC6998">
        <w:rPr>
          <w:noProof/>
        </w:rPr>
        <w:t>133</w:t>
      </w:r>
      <w:r>
        <w:rPr>
          <w:noProof/>
        </w:rPr>
        <w:fldChar w:fldCharType="end"/>
      </w:r>
    </w:p>
    <w:p w14:paraId="25A3559B" w14:textId="77777777" w:rsidR="005636C7" w:rsidRDefault="005636C7" w:rsidP="005636C7">
      <w:pPr>
        <w:pStyle w:val="TOC3"/>
        <w:tabs>
          <w:tab w:val="right" w:leader="dot" w:pos="9629"/>
        </w:tabs>
        <w:rPr>
          <w:rFonts w:asciiTheme="minorHAnsi" w:eastAsiaTheme="minorEastAsia" w:hAnsiTheme="minorHAnsi" w:cstheme="minorBidi"/>
          <w:noProof/>
          <w:color w:val="auto"/>
          <w:sz w:val="22"/>
          <w:lang w:val="en-AU" w:eastAsia="en-AU"/>
        </w:rPr>
      </w:pPr>
      <w:r w:rsidRPr="0070021A">
        <w:rPr>
          <w:noProof/>
        </w:rPr>
        <w:t>Beyond Europe – other efficiency regimes for refrigerated cabinets</w:t>
      </w:r>
      <w:r>
        <w:rPr>
          <w:noProof/>
        </w:rPr>
        <w:tab/>
      </w:r>
      <w:r>
        <w:rPr>
          <w:noProof/>
        </w:rPr>
        <w:fldChar w:fldCharType="begin"/>
      </w:r>
      <w:r>
        <w:rPr>
          <w:noProof/>
        </w:rPr>
        <w:instrText xml:space="preserve"> PAGEREF _Toc500151854 \h </w:instrText>
      </w:r>
      <w:r>
        <w:rPr>
          <w:noProof/>
        </w:rPr>
      </w:r>
      <w:r>
        <w:rPr>
          <w:noProof/>
        </w:rPr>
        <w:fldChar w:fldCharType="separate"/>
      </w:r>
      <w:r w:rsidR="00AC6998">
        <w:rPr>
          <w:noProof/>
        </w:rPr>
        <w:t>140</w:t>
      </w:r>
      <w:r>
        <w:rPr>
          <w:noProof/>
        </w:rPr>
        <w:fldChar w:fldCharType="end"/>
      </w:r>
    </w:p>
    <w:p w14:paraId="0617F381" w14:textId="77777777" w:rsidR="005636C7" w:rsidRDefault="005636C7" w:rsidP="005636C7">
      <w:pPr>
        <w:pStyle w:val="TOC1"/>
        <w:rPr>
          <w:rFonts w:asciiTheme="minorHAnsi" w:eastAsiaTheme="minorEastAsia" w:hAnsiTheme="minorHAnsi" w:cstheme="minorBidi"/>
          <w:b w:val="0"/>
          <w:caps w:val="0"/>
          <w:noProof/>
          <w:color w:val="auto"/>
          <w:sz w:val="22"/>
          <w:szCs w:val="22"/>
          <w:lang w:val="en-AU" w:eastAsia="en-AU"/>
        </w:rPr>
      </w:pPr>
      <w:r>
        <w:rPr>
          <w:noProof/>
        </w:rPr>
        <w:t>Attachment F – Technical Working Group Recommendations</w:t>
      </w:r>
      <w:r>
        <w:rPr>
          <w:noProof/>
        </w:rPr>
        <w:tab/>
      </w:r>
      <w:r>
        <w:rPr>
          <w:noProof/>
        </w:rPr>
        <w:fldChar w:fldCharType="begin"/>
      </w:r>
      <w:r>
        <w:rPr>
          <w:noProof/>
        </w:rPr>
        <w:instrText xml:space="preserve"> PAGEREF _Toc500151855 \h </w:instrText>
      </w:r>
      <w:r>
        <w:rPr>
          <w:noProof/>
        </w:rPr>
      </w:r>
      <w:r>
        <w:rPr>
          <w:noProof/>
        </w:rPr>
        <w:fldChar w:fldCharType="separate"/>
      </w:r>
      <w:r w:rsidR="00AC6998">
        <w:rPr>
          <w:noProof/>
        </w:rPr>
        <w:t>143</w:t>
      </w:r>
      <w:r>
        <w:rPr>
          <w:noProof/>
        </w:rPr>
        <w:fldChar w:fldCharType="end"/>
      </w:r>
    </w:p>
    <w:p w14:paraId="5FE54752" w14:textId="77777777" w:rsidR="005636C7" w:rsidRDefault="005636C7" w:rsidP="005636C7">
      <w:pPr>
        <w:pStyle w:val="E3BodyText"/>
      </w:pPr>
      <w:r>
        <w:fldChar w:fldCharType="end"/>
      </w:r>
    </w:p>
    <w:p w14:paraId="79EDFC1D" w14:textId="77777777" w:rsidR="005636C7" w:rsidRDefault="005636C7" w:rsidP="005636C7">
      <w:pPr>
        <w:pStyle w:val="TOC1"/>
      </w:pPr>
      <w:r>
        <w:t>List of tables</w:t>
      </w:r>
    </w:p>
    <w:p w14:paraId="39EDD0E2" w14:textId="77777777" w:rsidR="005636C7" w:rsidRDefault="005636C7" w:rsidP="005636C7">
      <w:pPr>
        <w:pStyle w:val="TableofFigures"/>
        <w:tabs>
          <w:tab w:val="right" w:leader="dot" w:pos="9629"/>
        </w:tabs>
      </w:pPr>
    </w:p>
    <w:p w14:paraId="73733AC0" w14:textId="77777777" w:rsidR="005636C7" w:rsidRDefault="005636C7"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r w:rsidRPr="00F20882">
        <w:rPr>
          <w:b/>
          <w:bCs/>
          <w:noProof/>
          <w:szCs w:val="22"/>
        </w:rPr>
        <w:fldChar w:fldCharType="begin"/>
      </w:r>
      <w:r w:rsidRPr="00F20882">
        <w:rPr>
          <w:noProof/>
          <w:szCs w:val="22"/>
        </w:rPr>
        <w:instrText xml:space="preserve"> TOC \h \z \t "E3 Table Titles" \c </w:instrText>
      </w:r>
      <w:r w:rsidRPr="00F20882">
        <w:rPr>
          <w:b/>
          <w:bCs/>
          <w:noProof/>
          <w:szCs w:val="22"/>
        </w:rPr>
        <w:fldChar w:fldCharType="separate"/>
      </w:r>
      <w:hyperlink w:anchor="_Toc500159651" w:history="1">
        <w:r w:rsidRPr="00637D61">
          <w:rPr>
            <w:rStyle w:val="Hyperlink"/>
            <w:noProof/>
          </w:rPr>
          <w:t>Table 1: Published and draft EN Standards and EC MEPS levels (and the parts which are not currently being considered for adoption in Australia and New Zealand).</w:t>
        </w:r>
        <w:r>
          <w:rPr>
            <w:noProof/>
            <w:webHidden/>
          </w:rPr>
          <w:tab/>
        </w:r>
        <w:r>
          <w:rPr>
            <w:noProof/>
            <w:webHidden/>
          </w:rPr>
          <w:fldChar w:fldCharType="begin"/>
        </w:r>
        <w:r>
          <w:rPr>
            <w:noProof/>
            <w:webHidden/>
          </w:rPr>
          <w:instrText xml:space="preserve"> PAGEREF _Toc500159651 \h </w:instrText>
        </w:r>
        <w:r>
          <w:rPr>
            <w:noProof/>
            <w:webHidden/>
          </w:rPr>
        </w:r>
        <w:r>
          <w:rPr>
            <w:noProof/>
            <w:webHidden/>
          </w:rPr>
          <w:fldChar w:fldCharType="separate"/>
        </w:r>
        <w:r w:rsidR="00AC6998">
          <w:rPr>
            <w:noProof/>
            <w:webHidden/>
          </w:rPr>
          <w:t>10</w:t>
        </w:r>
        <w:r>
          <w:rPr>
            <w:noProof/>
            <w:webHidden/>
          </w:rPr>
          <w:fldChar w:fldCharType="end"/>
        </w:r>
      </w:hyperlink>
    </w:p>
    <w:p w14:paraId="26A1D0FC"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2" w:history="1">
        <w:r w:rsidR="005636C7" w:rsidRPr="00637D61">
          <w:rPr>
            <w:rStyle w:val="Hyperlink"/>
            <w:noProof/>
          </w:rPr>
          <w:t>Table 2: A summary of the cost-benefit analysis of regulatory options for Australia and New Zealand, including online energy rating information (from 2017 to 2035).</w:t>
        </w:r>
        <w:r w:rsidR="005636C7">
          <w:rPr>
            <w:noProof/>
            <w:webHidden/>
          </w:rPr>
          <w:tab/>
        </w:r>
        <w:r w:rsidR="005636C7">
          <w:rPr>
            <w:noProof/>
            <w:webHidden/>
          </w:rPr>
          <w:fldChar w:fldCharType="begin"/>
        </w:r>
        <w:r w:rsidR="005636C7">
          <w:rPr>
            <w:noProof/>
            <w:webHidden/>
          </w:rPr>
          <w:instrText xml:space="preserve"> PAGEREF _Toc500159652 \h </w:instrText>
        </w:r>
        <w:r w:rsidR="005636C7">
          <w:rPr>
            <w:noProof/>
            <w:webHidden/>
          </w:rPr>
        </w:r>
        <w:r w:rsidR="005636C7">
          <w:rPr>
            <w:noProof/>
            <w:webHidden/>
          </w:rPr>
          <w:fldChar w:fldCharType="separate"/>
        </w:r>
        <w:r w:rsidR="00AC6998">
          <w:rPr>
            <w:noProof/>
            <w:webHidden/>
          </w:rPr>
          <w:t>12</w:t>
        </w:r>
        <w:r w:rsidR="005636C7">
          <w:rPr>
            <w:noProof/>
            <w:webHidden/>
          </w:rPr>
          <w:fldChar w:fldCharType="end"/>
        </w:r>
      </w:hyperlink>
    </w:p>
    <w:p w14:paraId="28DB297E"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3" w:history="1">
        <w:r w:rsidR="005636C7" w:rsidRPr="00637D61">
          <w:rPr>
            <w:rStyle w:val="Hyperlink"/>
            <w:noProof/>
          </w:rPr>
          <w:t>Table 3: Summary of policy options</w:t>
        </w:r>
        <w:r w:rsidR="005636C7">
          <w:rPr>
            <w:noProof/>
            <w:webHidden/>
          </w:rPr>
          <w:tab/>
        </w:r>
        <w:r w:rsidR="005636C7">
          <w:rPr>
            <w:noProof/>
            <w:webHidden/>
          </w:rPr>
          <w:fldChar w:fldCharType="begin"/>
        </w:r>
        <w:r w:rsidR="005636C7">
          <w:rPr>
            <w:noProof/>
            <w:webHidden/>
          </w:rPr>
          <w:instrText xml:space="preserve"> PAGEREF _Toc500159653 \h </w:instrText>
        </w:r>
        <w:r w:rsidR="005636C7">
          <w:rPr>
            <w:noProof/>
            <w:webHidden/>
          </w:rPr>
        </w:r>
        <w:r w:rsidR="005636C7">
          <w:rPr>
            <w:noProof/>
            <w:webHidden/>
          </w:rPr>
          <w:fldChar w:fldCharType="separate"/>
        </w:r>
        <w:r w:rsidR="00AC6998">
          <w:rPr>
            <w:noProof/>
            <w:webHidden/>
          </w:rPr>
          <w:t>47</w:t>
        </w:r>
        <w:r w:rsidR="005636C7">
          <w:rPr>
            <w:noProof/>
            <w:webHidden/>
          </w:rPr>
          <w:fldChar w:fldCharType="end"/>
        </w:r>
      </w:hyperlink>
    </w:p>
    <w:p w14:paraId="7AD3875C"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4" w:history="1">
        <w:r w:rsidR="005636C7" w:rsidRPr="00637D61">
          <w:rPr>
            <w:rStyle w:val="Hyperlink"/>
            <w:noProof/>
          </w:rPr>
          <w:t>Table 4: Published EN Standards and EC MEPS levels (and the parts which are not currently being considered for adoption in Australia and New Zealand).</w:t>
        </w:r>
        <w:r w:rsidR="005636C7">
          <w:rPr>
            <w:noProof/>
            <w:webHidden/>
          </w:rPr>
          <w:tab/>
        </w:r>
        <w:r w:rsidR="005636C7">
          <w:rPr>
            <w:noProof/>
            <w:webHidden/>
          </w:rPr>
          <w:fldChar w:fldCharType="begin"/>
        </w:r>
        <w:r w:rsidR="005636C7">
          <w:rPr>
            <w:noProof/>
            <w:webHidden/>
          </w:rPr>
          <w:instrText xml:space="preserve"> PAGEREF _Toc500159654 \h </w:instrText>
        </w:r>
        <w:r w:rsidR="005636C7">
          <w:rPr>
            <w:noProof/>
            <w:webHidden/>
          </w:rPr>
        </w:r>
        <w:r w:rsidR="005636C7">
          <w:rPr>
            <w:noProof/>
            <w:webHidden/>
          </w:rPr>
          <w:fldChar w:fldCharType="separate"/>
        </w:r>
        <w:r w:rsidR="00AC6998">
          <w:rPr>
            <w:noProof/>
            <w:webHidden/>
          </w:rPr>
          <w:t>48</w:t>
        </w:r>
        <w:r w:rsidR="005636C7">
          <w:rPr>
            <w:noProof/>
            <w:webHidden/>
          </w:rPr>
          <w:fldChar w:fldCharType="end"/>
        </w:r>
      </w:hyperlink>
    </w:p>
    <w:p w14:paraId="1FFCC44B"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5" w:history="1">
        <w:r w:rsidR="005636C7" w:rsidRPr="00637D61">
          <w:rPr>
            <w:rStyle w:val="Hyperlink"/>
            <w:noProof/>
          </w:rPr>
          <w:t>Table 5: Summary of 15 groups of display and storage cabinets.</w:t>
        </w:r>
        <w:r w:rsidR="005636C7">
          <w:rPr>
            <w:noProof/>
            <w:webHidden/>
          </w:rPr>
          <w:tab/>
        </w:r>
        <w:r w:rsidR="005636C7">
          <w:rPr>
            <w:noProof/>
            <w:webHidden/>
          </w:rPr>
          <w:fldChar w:fldCharType="begin"/>
        </w:r>
        <w:r w:rsidR="005636C7">
          <w:rPr>
            <w:noProof/>
            <w:webHidden/>
          </w:rPr>
          <w:instrText xml:space="preserve"> PAGEREF _Toc500159655 \h </w:instrText>
        </w:r>
        <w:r w:rsidR="005636C7">
          <w:rPr>
            <w:noProof/>
            <w:webHidden/>
          </w:rPr>
        </w:r>
        <w:r w:rsidR="005636C7">
          <w:rPr>
            <w:noProof/>
            <w:webHidden/>
          </w:rPr>
          <w:fldChar w:fldCharType="separate"/>
        </w:r>
        <w:r w:rsidR="00AC6998">
          <w:rPr>
            <w:noProof/>
            <w:webHidden/>
          </w:rPr>
          <w:t>51</w:t>
        </w:r>
        <w:r w:rsidR="005636C7">
          <w:rPr>
            <w:noProof/>
            <w:webHidden/>
          </w:rPr>
          <w:fldChar w:fldCharType="end"/>
        </w:r>
      </w:hyperlink>
    </w:p>
    <w:p w14:paraId="3F032C11"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6" w:history="1">
        <w:r w:rsidR="005636C7" w:rsidRPr="00637D61">
          <w:rPr>
            <w:rStyle w:val="Hyperlink"/>
            <w:noProof/>
          </w:rPr>
          <w:t>Table 6: Proportion of cabinet types per group, estimated from European data vs local sales data.</w:t>
        </w:r>
        <w:r w:rsidR="005636C7">
          <w:rPr>
            <w:noProof/>
            <w:webHidden/>
          </w:rPr>
          <w:tab/>
        </w:r>
        <w:r w:rsidR="005636C7">
          <w:rPr>
            <w:noProof/>
            <w:webHidden/>
          </w:rPr>
          <w:fldChar w:fldCharType="begin"/>
        </w:r>
        <w:r w:rsidR="005636C7">
          <w:rPr>
            <w:noProof/>
            <w:webHidden/>
          </w:rPr>
          <w:instrText xml:space="preserve"> PAGEREF _Toc500159656 \h </w:instrText>
        </w:r>
        <w:r w:rsidR="005636C7">
          <w:rPr>
            <w:noProof/>
            <w:webHidden/>
          </w:rPr>
        </w:r>
        <w:r w:rsidR="005636C7">
          <w:rPr>
            <w:noProof/>
            <w:webHidden/>
          </w:rPr>
          <w:fldChar w:fldCharType="separate"/>
        </w:r>
        <w:r w:rsidR="00AC6998">
          <w:rPr>
            <w:noProof/>
            <w:webHidden/>
          </w:rPr>
          <w:t>53</w:t>
        </w:r>
        <w:r w:rsidR="005636C7">
          <w:rPr>
            <w:noProof/>
            <w:webHidden/>
          </w:rPr>
          <w:fldChar w:fldCharType="end"/>
        </w:r>
      </w:hyperlink>
    </w:p>
    <w:p w14:paraId="77BE5234"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7" w:history="1">
        <w:r w:rsidR="005636C7" w:rsidRPr="00637D61">
          <w:rPr>
            <w:rStyle w:val="Hyperlink"/>
            <w:noProof/>
          </w:rPr>
          <w:t>Table 7: European introduction dates and MEPS for storage cabinets, and draft MEPS for display cabinets.</w:t>
        </w:r>
        <w:r w:rsidR="005636C7">
          <w:rPr>
            <w:noProof/>
            <w:webHidden/>
          </w:rPr>
          <w:tab/>
        </w:r>
        <w:r w:rsidR="005636C7">
          <w:rPr>
            <w:noProof/>
            <w:webHidden/>
          </w:rPr>
          <w:fldChar w:fldCharType="begin"/>
        </w:r>
        <w:r w:rsidR="005636C7">
          <w:rPr>
            <w:noProof/>
            <w:webHidden/>
          </w:rPr>
          <w:instrText xml:space="preserve"> PAGEREF _Toc500159657 \h </w:instrText>
        </w:r>
        <w:r w:rsidR="005636C7">
          <w:rPr>
            <w:noProof/>
            <w:webHidden/>
          </w:rPr>
        </w:r>
        <w:r w:rsidR="005636C7">
          <w:rPr>
            <w:noProof/>
            <w:webHidden/>
          </w:rPr>
          <w:fldChar w:fldCharType="separate"/>
        </w:r>
        <w:r w:rsidR="00AC6998">
          <w:rPr>
            <w:noProof/>
            <w:webHidden/>
          </w:rPr>
          <w:t>55</w:t>
        </w:r>
        <w:r w:rsidR="005636C7">
          <w:rPr>
            <w:noProof/>
            <w:webHidden/>
          </w:rPr>
          <w:fldChar w:fldCharType="end"/>
        </w:r>
      </w:hyperlink>
    </w:p>
    <w:p w14:paraId="5B648069"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8" w:history="1">
        <w:r w:rsidR="005636C7" w:rsidRPr="00637D61">
          <w:rPr>
            <w:rStyle w:val="Hyperlink"/>
            <w:noProof/>
          </w:rPr>
          <w:t>Table 8A: Proposed “MEPS” implementation dates for refrigerated storage cabinets.</w:t>
        </w:r>
        <w:r w:rsidR="005636C7">
          <w:rPr>
            <w:noProof/>
            <w:webHidden/>
          </w:rPr>
          <w:tab/>
        </w:r>
        <w:r w:rsidR="005636C7">
          <w:rPr>
            <w:noProof/>
            <w:webHidden/>
          </w:rPr>
          <w:fldChar w:fldCharType="begin"/>
        </w:r>
        <w:r w:rsidR="005636C7">
          <w:rPr>
            <w:noProof/>
            <w:webHidden/>
          </w:rPr>
          <w:instrText xml:space="preserve"> PAGEREF _Toc500159658 \h </w:instrText>
        </w:r>
        <w:r w:rsidR="005636C7">
          <w:rPr>
            <w:noProof/>
            <w:webHidden/>
          </w:rPr>
        </w:r>
        <w:r w:rsidR="005636C7">
          <w:rPr>
            <w:noProof/>
            <w:webHidden/>
          </w:rPr>
          <w:fldChar w:fldCharType="separate"/>
        </w:r>
        <w:r w:rsidR="00AC6998">
          <w:rPr>
            <w:noProof/>
            <w:webHidden/>
          </w:rPr>
          <w:t>56</w:t>
        </w:r>
        <w:r w:rsidR="005636C7">
          <w:rPr>
            <w:noProof/>
            <w:webHidden/>
          </w:rPr>
          <w:fldChar w:fldCharType="end"/>
        </w:r>
      </w:hyperlink>
    </w:p>
    <w:p w14:paraId="399F2F29"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59" w:history="1">
        <w:r w:rsidR="005636C7" w:rsidRPr="00637D61">
          <w:rPr>
            <w:rStyle w:val="Hyperlink"/>
            <w:noProof/>
          </w:rPr>
          <w:t>Table 8B: Proposed revised “MEPS” implementation dates for refrigerated storage cabinets.</w:t>
        </w:r>
        <w:r w:rsidR="005636C7">
          <w:rPr>
            <w:noProof/>
            <w:webHidden/>
          </w:rPr>
          <w:tab/>
        </w:r>
        <w:r w:rsidR="005636C7">
          <w:rPr>
            <w:noProof/>
            <w:webHidden/>
          </w:rPr>
          <w:fldChar w:fldCharType="begin"/>
        </w:r>
        <w:r w:rsidR="005636C7">
          <w:rPr>
            <w:noProof/>
            <w:webHidden/>
          </w:rPr>
          <w:instrText xml:space="preserve"> PAGEREF _Toc500159659 \h </w:instrText>
        </w:r>
        <w:r w:rsidR="005636C7">
          <w:rPr>
            <w:noProof/>
            <w:webHidden/>
          </w:rPr>
        </w:r>
        <w:r w:rsidR="005636C7">
          <w:rPr>
            <w:noProof/>
            <w:webHidden/>
          </w:rPr>
          <w:fldChar w:fldCharType="separate"/>
        </w:r>
        <w:r w:rsidR="00AC6998">
          <w:rPr>
            <w:noProof/>
            <w:webHidden/>
          </w:rPr>
          <w:t>56</w:t>
        </w:r>
        <w:r w:rsidR="005636C7">
          <w:rPr>
            <w:noProof/>
            <w:webHidden/>
          </w:rPr>
          <w:fldChar w:fldCharType="end"/>
        </w:r>
      </w:hyperlink>
    </w:p>
    <w:p w14:paraId="2AE10AC4"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0" w:history="1">
        <w:r w:rsidR="005636C7" w:rsidRPr="00637D61">
          <w:rPr>
            <w:rStyle w:val="Hyperlink"/>
            <w:noProof/>
          </w:rPr>
          <w:t>Table 9: Proposed efficiency grades for refrigerated display cabinets</w:t>
        </w:r>
        <w:r w:rsidR="005636C7" w:rsidRPr="00637D61">
          <w:rPr>
            <w:rStyle w:val="Hyperlink"/>
            <w:noProof/>
            <w:lang w:eastAsia="en-NZ"/>
          </w:rPr>
          <w:t>.</w:t>
        </w:r>
        <w:r w:rsidR="005636C7">
          <w:rPr>
            <w:noProof/>
            <w:webHidden/>
          </w:rPr>
          <w:tab/>
        </w:r>
        <w:r w:rsidR="005636C7">
          <w:rPr>
            <w:noProof/>
            <w:webHidden/>
          </w:rPr>
          <w:fldChar w:fldCharType="begin"/>
        </w:r>
        <w:r w:rsidR="005636C7">
          <w:rPr>
            <w:noProof/>
            <w:webHidden/>
          </w:rPr>
          <w:instrText xml:space="preserve"> PAGEREF _Toc500159660 \h </w:instrText>
        </w:r>
        <w:r w:rsidR="005636C7">
          <w:rPr>
            <w:noProof/>
            <w:webHidden/>
          </w:rPr>
        </w:r>
        <w:r w:rsidR="005636C7">
          <w:rPr>
            <w:noProof/>
            <w:webHidden/>
          </w:rPr>
          <w:fldChar w:fldCharType="separate"/>
        </w:r>
        <w:r w:rsidR="00AC6998">
          <w:rPr>
            <w:noProof/>
            <w:webHidden/>
          </w:rPr>
          <w:t>56</w:t>
        </w:r>
        <w:r w:rsidR="005636C7">
          <w:rPr>
            <w:noProof/>
            <w:webHidden/>
          </w:rPr>
          <w:fldChar w:fldCharType="end"/>
        </w:r>
      </w:hyperlink>
    </w:p>
    <w:p w14:paraId="1666D700"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1" w:history="1">
        <w:r w:rsidR="005636C7" w:rsidRPr="00637D61">
          <w:rPr>
            <w:rStyle w:val="Hyperlink"/>
            <w:noProof/>
          </w:rPr>
          <w:t>Table 10: Energy efficiency classes for labelling of storage cabinets.</w:t>
        </w:r>
        <w:r w:rsidR="005636C7">
          <w:rPr>
            <w:noProof/>
            <w:webHidden/>
          </w:rPr>
          <w:tab/>
        </w:r>
        <w:r w:rsidR="005636C7">
          <w:rPr>
            <w:noProof/>
            <w:webHidden/>
          </w:rPr>
          <w:fldChar w:fldCharType="begin"/>
        </w:r>
        <w:r w:rsidR="005636C7">
          <w:rPr>
            <w:noProof/>
            <w:webHidden/>
          </w:rPr>
          <w:instrText xml:space="preserve"> PAGEREF _Toc500159661 \h </w:instrText>
        </w:r>
        <w:r w:rsidR="005636C7">
          <w:rPr>
            <w:noProof/>
            <w:webHidden/>
          </w:rPr>
        </w:r>
        <w:r w:rsidR="005636C7">
          <w:rPr>
            <w:noProof/>
            <w:webHidden/>
          </w:rPr>
          <w:fldChar w:fldCharType="separate"/>
        </w:r>
        <w:r w:rsidR="00AC6998">
          <w:rPr>
            <w:noProof/>
            <w:webHidden/>
          </w:rPr>
          <w:t>57</w:t>
        </w:r>
        <w:r w:rsidR="005636C7">
          <w:rPr>
            <w:noProof/>
            <w:webHidden/>
          </w:rPr>
          <w:fldChar w:fldCharType="end"/>
        </w:r>
      </w:hyperlink>
    </w:p>
    <w:p w14:paraId="0252CDA8"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2" w:history="1">
        <w:r w:rsidR="005636C7" w:rsidRPr="00637D61">
          <w:rPr>
            <w:rStyle w:val="Hyperlink"/>
            <w:noProof/>
          </w:rPr>
          <w:t>Table 11: Summary of 15 groups of display and storage cabinets and impacts on models from Option 2.</w:t>
        </w:r>
        <w:r w:rsidR="005636C7">
          <w:rPr>
            <w:noProof/>
            <w:webHidden/>
          </w:rPr>
          <w:tab/>
        </w:r>
        <w:r w:rsidR="005636C7">
          <w:rPr>
            <w:noProof/>
            <w:webHidden/>
          </w:rPr>
          <w:fldChar w:fldCharType="begin"/>
        </w:r>
        <w:r w:rsidR="005636C7">
          <w:rPr>
            <w:noProof/>
            <w:webHidden/>
          </w:rPr>
          <w:instrText xml:space="preserve"> PAGEREF _Toc500159662 \h </w:instrText>
        </w:r>
        <w:r w:rsidR="005636C7">
          <w:rPr>
            <w:noProof/>
            <w:webHidden/>
          </w:rPr>
        </w:r>
        <w:r w:rsidR="005636C7">
          <w:rPr>
            <w:noProof/>
            <w:webHidden/>
          </w:rPr>
          <w:fldChar w:fldCharType="separate"/>
        </w:r>
        <w:r w:rsidR="00AC6998">
          <w:rPr>
            <w:noProof/>
            <w:webHidden/>
          </w:rPr>
          <w:t>67</w:t>
        </w:r>
        <w:r w:rsidR="005636C7">
          <w:rPr>
            <w:noProof/>
            <w:webHidden/>
          </w:rPr>
          <w:fldChar w:fldCharType="end"/>
        </w:r>
      </w:hyperlink>
    </w:p>
    <w:p w14:paraId="3DA8516A"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3" w:history="1">
        <w:r w:rsidR="005636C7" w:rsidRPr="00637D61">
          <w:rPr>
            <w:rStyle w:val="Hyperlink"/>
            <w:noProof/>
          </w:rPr>
          <w:t>Table 12 Evaluation of impacts – Option 2.</w:t>
        </w:r>
        <w:r w:rsidR="005636C7">
          <w:rPr>
            <w:noProof/>
            <w:webHidden/>
          </w:rPr>
          <w:tab/>
        </w:r>
        <w:r w:rsidR="005636C7">
          <w:rPr>
            <w:noProof/>
            <w:webHidden/>
          </w:rPr>
          <w:fldChar w:fldCharType="begin"/>
        </w:r>
        <w:r w:rsidR="005636C7">
          <w:rPr>
            <w:noProof/>
            <w:webHidden/>
          </w:rPr>
          <w:instrText xml:space="preserve"> PAGEREF _Toc500159663 \h </w:instrText>
        </w:r>
        <w:r w:rsidR="005636C7">
          <w:rPr>
            <w:noProof/>
            <w:webHidden/>
          </w:rPr>
        </w:r>
        <w:r w:rsidR="005636C7">
          <w:rPr>
            <w:noProof/>
            <w:webHidden/>
          </w:rPr>
          <w:fldChar w:fldCharType="separate"/>
        </w:r>
        <w:r w:rsidR="00AC6998">
          <w:rPr>
            <w:noProof/>
            <w:webHidden/>
          </w:rPr>
          <w:t>68</w:t>
        </w:r>
        <w:r w:rsidR="005636C7">
          <w:rPr>
            <w:noProof/>
            <w:webHidden/>
          </w:rPr>
          <w:fldChar w:fldCharType="end"/>
        </w:r>
      </w:hyperlink>
    </w:p>
    <w:p w14:paraId="7D482FDD"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4" w:history="1">
        <w:r w:rsidR="005636C7" w:rsidRPr="00637D61">
          <w:rPr>
            <w:rStyle w:val="Hyperlink"/>
            <w:noProof/>
          </w:rPr>
          <w:t>Table 13: Summary of 15 groups of display and storage cabinets and impacts on models from Option 3.</w:t>
        </w:r>
        <w:r w:rsidR="005636C7">
          <w:rPr>
            <w:noProof/>
            <w:webHidden/>
          </w:rPr>
          <w:tab/>
        </w:r>
        <w:r w:rsidR="005636C7">
          <w:rPr>
            <w:noProof/>
            <w:webHidden/>
          </w:rPr>
          <w:fldChar w:fldCharType="begin"/>
        </w:r>
        <w:r w:rsidR="005636C7">
          <w:rPr>
            <w:noProof/>
            <w:webHidden/>
          </w:rPr>
          <w:instrText xml:space="preserve"> PAGEREF _Toc500159664 \h </w:instrText>
        </w:r>
        <w:r w:rsidR="005636C7">
          <w:rPr>
            <w:noProof/>
            <w:webHidden/>
          </w:rPr>
        </w:r>
        <w:r w:rsidR="005636C7">
          <w:rPr>
            <w:noProof/>
            <w:webHidden/>
          </w:rPr>
          <w:fldChar w:fldCharType="separate"/>
        </w:r>
        <w:r w:rsidR="00AC6998">
          <w:rPr>
            <w:noProof/>
            <w:webHidden/>
          </w:rPr>
          <w:t>69</w:t>
        </w:r>
        <w:r w:rsidR="005636C7">
          <w:rPr>
            <w:noProof/>
            <w:webHidden/>
          </w:rPr>
          <w:fldChar w:fldCharType="end"/>
        </w:r>
      </w:hyperlink>
    </w:p>
    <w:p w14:paraId="556138C1"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5" w:history="1">
        <w:r w:rsidR="005636C7" w:rsidRPr="00637D61">
          <w:rPr>
            <w:rStyle w:val="Hyperlink"/>
            <w:noProof/>
          </w:rPr>
          <w:t>Table 14 Evaluation of impacts – Option 3.</w:t>
        </w:r>
        <w:r w:rsidR="005636C7">
          <w:rPr>
            <w:noProof/>
            <w:webHidden/>
          </w:rPr>
          <w:tab/>
        </w:r>
        <w:r w:rsidR="005636C7">
          <w:rPr>
            <w:noProof/>
            <w:webHidden/>
          </w:rPr>
          <w:fldChar w:fldCharType="begin"/>
        </w:r>
        <w:r w:rsidR="005636C7">
          <w:rPr>
            <w:noProof/>
            <w:webHidden/>
          </w:rPr>
          <w:instrText xml:space="preserve"> PAGEREF _Toc500159665 \h </w:instrText>
        </w:r>
        <w:r w:rsidR="005636C7">
          <w:rPr>
            <w:noProof/>
            <w:webHidden/>
          </w:rPr>
        </w:r>
        <w:r w:rsidR="005636C7">
          <w:rPr>
            <w:noProof/>
            <w:webHidden/>
          </w:rPr>
          <w:fldChar w:fldCharType="separate"/>
        </w:r>
        <w:r w:rsidR="00AC6998">
          <w:rPr>
            <w:noProof/>
            <w:webHidden/>
          </w:rPr>
          <w:t>71</w:t>
        </w:r>
        <w:r w:rsidR="005636C7">
          <w:rPr>
            <w:noProof/>
            <w:webHidden/>
          </w:rPr>
          <w:fldChar w:fldCharType="end"/>
        </w:r>
      </w:hyperlink>
    </w:p>
    <w:p w14:paraId="0DCB2D8A"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6" w:history="1">
        <w:r w:rsidR="005636C7" w:rsidRPr="00637D61">
          <w:rPr>
            <w:rStyle w:val="Hyperlink"/>
            <w:noProof/>
          </w:rPr>
          <w:t>Table 15: Summary of 15 groups of display and storage cabinets and impacts on models from Option 4.</w:t>
        </w:r>
        <w:r w:rsidR="005636C7">
          <w:rPr>
            <w:noProof/>
            <w:webHidden/>
          </w:rPr>
          <w:tab/>
        </w:r>
        <w:r w:rsidR="005636C7">
          <w:rPr>
            <w:noProof/>
            <w:webHidden/>
          </w:rPr>
          <w:fldChar w:fldCharType="begin"/>
        </w:r>
        <w:r w:rsidR="005636C7">
          <w:rPr>
            <w:noProof/>
            <w:webHidden/>
          </w:rPr>
          <w:instrText xml:space="preserve"> PAGEREF _Toc500159666 \h </w:instrText>
        </w:r>
        <w:r w:rsidR="005636C7">
          <w:rPr>
            <w:noProof/>
            <w:webHidden/>
          </w:rPr>
        </w:r>
        <w:r w:rsidR="005636C7">
          <w:rPr>
            <w:noProof/>
            <w:webHidden/>
          </w:rPr>
          <w:fldChar w:fldCharType="separate"/>
        </w:r>
        <w:r w:rsidR="00AC6998">
          <w:rPr>
            <w:noProof/>
            <w:webHidden/>
          </w:rPr>
          <w:t>73</w:t>
        </w:r>
        <w:r w:rsidR="005636C7">
          <w:rPr>
            <w:noProof/>
            <w:webHidden/>
          </w:rPr>
          <w:fldChar w:fldCharType="end"/>
        </w:r>
      </w:hyperlink>
    </w:p>
    <w:p w14:paraId="469ED06A"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7" w:history="1">
        <w:r w:rsidR="005636C7" w:rsidRPr="00637D61">
          <w:rPr>
            <w:rStyle w:val="Hyperlink"/>
            <w:noProof/>
          </w:rPr>
          <w:t>Table 16 Evaluation of impacts – Option 4.</w:t>
        </w:r>
        <w:r w:rsidR="005636C7">
          <w:rPr>
            <w:noProof/>
            <w:webHidden/>
          </w:rPr>
          <w:tab/>
        </w:r>
        <w:r w:rsidR="005636C7">
          <w:rPr>
            <w:noProof/>
            <w:webHidden/>
          </w:rPr>
          <w:fldChar w:fldCharType="begin"/>
        </w:r>
        <w:r w:rsidR="005636C7">
          <w:rPr>
            <w:noProof/>
            <w:webHidden/>
          </w:rPr>
          <w:instrText xml:space="preserve"> PAGEREF _Toc500159667 \h </w:instrText>
        </w:r>
        <w:r w:rsidR="005636C7">
          <w:rPr>
            <w:noProof/>
            <w:webHidden/>
          </w:rPr>
        </w:r>
        <w:r w:rsidR="005636C7">
          <w:rPr>
            <w:noProof/>
            <w:webHidden/>
          </w:rPr>
          <w:fldChar w:fldCharType="separate"/>
        </w:r>
        <w:r w:rsidR="00AC6998">
          <w:rPr>
            <w:noProof/>
            <w:webHidden/>
          </w:rPr>
          <w:t>74</w:t>
        </w:r>
        <w:r w:rsidR="005636C7">
          <w:rPr>
            <w:noProof/>
            <w:webHidden/>
          </w:rPr>
          <w:fldChar w:fldCharType="end"/>
        </w:r>
      </w:hyperlink>
    </w:p>
    <w:p w14:paraId="55AE3EB5"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8" w:history="1">
        <w:r w:rsidR="005636C7" w:rsidRPr="00637D61">
          <w:rPr>
            <w:rStyle w:val="Hyperlink"/>
            <w:noProof/>
          </w:rPr>
          <w:t>Table 17: The percentage contribution to the overall cost-benefit analysis, that labelling makes. The scenario is for Option 4 EC MEPS from 2019.</w:t>
        </w:r>
        <w:r w:rsidR="005636C7">
          <w:rPr>
            <w:noProof/>
            <w:webHidden/>
          </w:rPr>
          <w:tab/>
        </w:r>
        <w:r w:rsidR="005636C7">
          <w:rPr>
            <w:noProof/>
            <w:webHidden/>
          </w:rPr>
          <w:fldChar w:fldCharType="begin"/>
        </w:r>
        <w:r w:rsidR="005636C7">
          <w:rPr>
            <w:noProof/>
            <w:webHidden/>
          </w:rPr>
          <w:instrText xml:space="preserve"> PAGEREF _Toc500159668 \h </w:instrText>
        </w:r>
        <w:r w:rsidR="005636C7">
          <w:rPr>
            <w:noProof/>
            <w:webHidden/>
          </w:rPr>
        </w:r>
        <w:r w:rsidR="005636C7">
          <w:rPr>
            <w:noProof/>
            <w:webHidden/>
          </w:rPr>
          <w:fldChar w:fldCharType="separate"/>
        </w:r>
        <w:r w:rsidR="00AC6998">
          <w:rPr>
            <w:noProof/>
            <w:webHidden/>
          </w:rPr>
          <w:t>75</w:t>
        </w:r>
        <w:r w:rsidR="005636C7">
          <w:rPr>
            <w:noProof/>
            <w:webHidden/>
          </w:rPr>
          <w:fldChar w:fldCharType="end"/>
        </w:r>
      </w:hyperlink>
    </w:p>
    <w:p w14:paraId="18A89B8B"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69" w:history="1">
        <w:r w:rsidR="005636C7" w:rsidRPr="00637D61">
          <w:rPr>
            <w:rStyle w:val="Hyperlink"/>
            <w:noProof/>
          </w:rPr>
          <w:t>Table 18: Summary of cost-benefit analysis of regulatory options for Australia and New Zealand (from 2019 to 2035).</w:t>
        </w:r>
        <w:r w:rsidR="005636C7">
          <w:rPr>
            <w:noProof/>
            <w:webHidden/>
          </w:rPr>
          <w:tab/>
        </w:r>
        <w:r w:rsidR="005636C7">
          <w:rPr>
            <w:noProof/>
            <w:webHidden/>
          </w:rPr>
          <w:fldChar w:fldCharType="begin"/>
        </w:r>
        <w:r w:rsidR="005636C7">
          <w:rPr>
            <w:noProof/>
            <w:webHidden/>
          </w:rPr>
          <w:instrText xml:space="preserve"> PAGEREF _Toc500159669 \h </w:instrText>
        </w:r>
        <w:r w:rsidR="005636C7">
          <w:rPr>
            <w:noProof/>
            <w:webHidden/>
          </w:rPr>
        </w:r>
        <w:r w:rsidR="005636C7">
          <w:rPr>
            <w:noProof/>
            <w:webHidden/>
          </w:rPr>
          <w:fldChar w:fldCharType="separate"/>
        </w:r>
        <w:r w:rsidR="00AC6998">
          <w:rPr>
            <w:noProof/>
            <w:webHidden/>
          </w:rPr>
          <w:t>79</w:t>
        </w:r>
        <w:r w:rsidR="005636C7">
          <w:rPr>
            <w:noProof/>
            <w:webHidden/>
          </w:rPr>
          <w:fldChar w:fldCharType="end"/>
        </w:r>
      </w:hyperlink>
    </w:p>
    <w:p w14:paraId="1763EBA8"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0" w:history="1">
        <w:r w:rsidR="005636C7" w:rsidRPr="00637D61">
          <w:rPr>
            <w:rStyle w:val="Hyperlink"/>
            <w:noProof/>
          </w:rPr>
          <w:t>Table B1: Summary of Australian supermarkets and convenience stores dissected by trading floor.</w:t>
        </w:r>
        <w:r w:rsidR="005636C7">
          <w:rPr>
            <w:noProof/>
            <w:webHidden/>
          </w:rPr>
          <w:tab/>
        </w:r>
        <w:r w:rsidR="005636C7">
          <w:rPr>
            <w:noProof/>
            <w:webHidden/>
          </w:rPr>
          <w:fldChar w:fldCharType="begin"/>
        </w:r>
        <w:r w:rsidR="005636C7">
          <w:rPr>
            <w:noProof/>
            <w:webHidden/>
          </w:rPr>
          <w:instrText xml:space="preserve"> PAGEREF _Toc500159670 \h </w:instrText>
        </w:r>
        <w:r w:rsidR="005636C7">
          <w:rPr>
            <w:noProof/>
            <w:webHidden/>
          </w:rPr>
        </w:r>
        <w:r w:rsidR="005636C7">
          <w:rPr>
            <w:noProof/>
            <w:webHidden/>
          </w:rPr>
          <w:fldChar w:fldCharType="separate"/>
        </w:r>
        <w:r w:rsidR="00AC6998">
          <w:rPr>
            <w:noProof/>
            <w:webHidden/>
          </w:rPr>
          <w:t>95</w:t>
        </w:r>
        <w:r w:rsidR="005636C7">
          <w:rPr>
            <w:noProof/>
            <w:webHidden/>
          </w:rPr>
          <w:fldChar w:fldCharType="end"/>
        </w:r>
      </w:hyperlink>
    </w:p>
    <w:p w14:paraId="6F543C6F"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1" w:history="1">
        <w:r w:rsidR="005636C7" w:rsidRPr="00637D61">
          <w:rPr>
            <w:rStyle w:val="Hyperlink"/>
            <w:noProof/>
          </w:rPr>
          <w:t>Table B2: ABS count of small retail food and liquor retailing businesses in Australia.</w:t>
        </w:r>
        <w:r w:rsidR="005636C7">
          <w:rPr>
            <w:noProof/>
            <w:webHidden/>
          </w:rPr>
          <w:tab/>
        </w:r>
        <w:r w:rsidR="005636C7">
          <w:rPr>
            <w:noProof/>
            <w:webHidden/>
          </w:rPr>
          <w:fldChar w:fldCharType="begin"/>
        </w:r>
        <w:r w:rsidR="005636C7">
          <w:rPr>
            <w:noProof/>
            <w:webHidden/>
          </w:rPr>
          <w:instrText xml:space="preserve"> PAGEREF _Toc500159671 \h </w:instrText>
        </w:r>
        <w:r w:rsidR="005636C7">
          <w:rPr>
            <w:noProof/>
            <w:webHidden/>
          </w:rPr>
        </w:r>
        <w:r w:rsidR="005636C7">
          <w:rPr>
            <w:noProof/>
            <w:webHidden/>
          </w:rPr>
          <w:fldChar w:fldCharType="separate"/>
        </w:r>
        <w:r w:rsidR="00AC6998">
          <w:rPr>
            <w:noProof/>
            <w:webHidden/>
          </w:rPr>
          <w:t>96</w:t>
        </w:r>
        <w:r w:rsidR="005636C7">
          <w:rPr>
            <w:noProof/>
            <w:webHidden/>
          </w:rPr>
          <w:fldChar w:fldCharType="end"/>
        </w:r>
      </w:hyperlink>
    </w:p>
    <w:p w14:paraId="0D9F5534"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2" w:history="1">
        <w:r w:rsidR="005636C7" w:rsidRPr="00637D61">
          <w:rPr>
            <w:rStyle w:val="Hyperlink"/>
            <w:noProof/>
          </w:rPr>
          <w:t>Table B 3: ABS count of catering and hospitality businesses in Australia.</w:t>
        </w:r>
        <w:r w:rsidR="005636C7">
          <w:rPr>
            <w:noProof/>
            <w:webHidden/>
          </w:rPr>
          <w:tab/>
        </w:r>
        <w:r w:rsidR="005636C7">
          <w:rPr>
            <w:noProof/>
            <w:webHidden/>
          </w:rPr>
          <w:fldChar w:fldCharType="begin"/>
        </w:r>
        <w:r w:rsidR="005636C7">
          <w:rPr>
            <w:noProof/>
            <w:webHidden/>
          </w:rPr>
          <w:instrText xml:space="preserve"> PAGEREF _Toc500159672 \h </w:instrText>
        </w:r>
        <w:r w:rsidR="005636C7">
          <w:rPr>
            <w:noProof/>
            <w:webHidden/>
          </w:rPr>
        </w:r>
        <w:r w:rsidR="005636C7">
          <w:rPr>
            <w:noProof/>
            <w:webHidden/>
          </w:rPr>
          <w:fldChar w:fldCharType="separate"/>
        </w:r>
        <w:r w:rsidR="00AC6998">
          <w:rPr>
            <w:noProof/>
            <w:webHidden/>
          </w:rPr>
          <w:t>97</w:t>
        </w:r>
        <w:r w:rsidR="005636C7">
          <w:rPr>
            <w:noProof/>
            <w:webHidden/>
          </w:rPr>
          <w:fldChar w:fldCharType="end"/>
        </w:r>
      </w:hyperlink>
    </w:p>
    <w:p w14:paraId="34946E81"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3" w:history="1">
        <w:r w:rsidR="005636C7" w:rsidRPr="00637D61">
          <w:rPr>
            <w:rStyle w:val="Hyperlink"/>
            <w:noProof/>
          </w:rPr>
          <w:t>Table D 2: Incremental costs of changed regime.</w:t>
        </w:r>
        <w:r w:rsidR="005636C7">
          <w:rPr>
            <w:noProof/>
            <w:webHidden/>
          </w:rPr>
          <w:tab/>
        </w:r>
        <w:r w:rsidR="005636C7">
          <w:rPr>
            <w:noProof/>
            <w:webHidden/>
          </w:rPr>
          <w:fldChar w:fldCharType="begin"/>
        </w:r>
        <w:r w:rsidR="005636C7">
          <w:rPr>
            <w:noProof/>
            <w:webHidden/>
          </w:rPr>
          <w:instrText xml:space="preserve"> PAGEREF _Toc500159673 \h </w:instrText>
        </w:r>
        <w:r w:rsidR="005636C7">
          <w:rPr>
            <w:noProof/>
            <w:webHidden/>
          </w:rPr>
        </w:r>
        <w:r w:rsidR="005636C7">
          <w:rPr>
            <w:noProof/>
            <w:webHidden/>
          </w:rPr>
          <w:fldChar w:fldCharType="separate"/>
        </w:r>
        <w:r w:rsidR="00AC6998">
          <w:rPr>
            <w:noProof/>
            <w:webHidden/>
          </w:rPr>
          <w:t>104</w:t>
        </w:r>
        <w:r w:rsidR="005636C7">
          <w:rPr>
            <w:noProof/>
            <w:webHidden/>
          </w:rPr>
          <w:fldChar w:fldCharType="end"/>
        </w:r>
      </w:hyperlink>
    </w:p>
    <w:p w14:paraId="3D6010B2"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4" w:history="1">
        <w:r w:rsidR="005636C7" w:rsidRPr="00637D61">
          <w:rPr>
            <w:rStyle w:val="Hyperlink"/>
            <w:noProof/>
            <w:lang w:eastAsia="en-AU"/>
          </w:rPr>
          <w:t>Table</w:t>
        </w:r>
        <w:r w:rsidR="005636C7" w:rsidRPr="00637D61">
          <w:rPr>
            <w:rStyle w:val="Hyperlink"/>
            <w:noProof/>
          </w:rPr>
          <w:t xml:space="preserve"> D3:</w:t>
        </w:r>
        <w:r w:rsidR="005636C7" w:rsidRPr="00637D61">
          <w:rPr>
            <w:rStyle w:val="Hyperlink"/>
            <w:noProof/>
            <w:lang w:eastAsia="en-AU"/>
          </w:rPr>
          <w:t xml:space="preserve"> Estimated regulatory burden cost (excluding cost to register in Australia) – for Australian businesses (in $AUD).</w:t>
        </w:r>
        <w:r w:rsidR="005636C7">
          <w:rPr>
            <w:noProof/>
            <w:webHidden/>
          </w:rPr>
          <w:tab/>
        </w:r>
        <w:r w:rsidR="005636C7">
          <w:rPr>
            <w:noProof/>
            <w:webHidden/>
          </w:rPr>
          <w:fldChar w:fldCharType="begin"/>
        </w:r>
        <w:r w:rsidR="005636C7">
          <w:rPr>
            <w:noProof/>
            <w:webHidden/>
          </w:rPr>
          <w:instrText xml:space="preserve"> PAGEREF _Toc500159674 \h </w:instrText>
        </w:r>
        <w:r w:rsidR="005636C7">
          <w:rPr>
            <w:noProof/>
            <w:webHidden/>
          </w:rPr>
        </w:r>
        <w:r w:rsidR="005636C7">
          <w:rPr>
            <w:noProof/>
            <w:webHidden/>
          </w:rPr>
          <w:fldChar w:fldCharType="separate"/>
        </w:r>
        <w:r w:rsidR="00AC6998">
          <w:rPr>
            <w:noProof/>
            <w:webHidden/>
          </w:rPr>
          <w:t>105</w:t>
        </w:r>
        <w:r w:rsidR="005636C7">
          <w:rPr>
            <w:noProof/>
            <w:webHidden/>
          </w:rPr>
          <w:fldChar w:fldCharType="end"/>
        </w:r>
      </w:hyperlink>
    </w:p>
    <w:p w14:paraId="296D6198"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5" w:history="1">
        <w:r w:rsidR="005636C7" w:rsidRPr="00637D61">
          <w:rPr>
            <w:rStyle w:val="Hyperlink"/>
            <w:noProof/>
          </w:rPr>
          <w:t>Table D 3: Estimated average prices by grouped cabinet type.</w:t>
        </w:r>
        <w:r w:rsidR="005636C7">
          <w:rPr>
            <w:noProof/>
            <w:webHidden/>
          </w:rPr>
          <w:tab/>
        </w:r>
        <w:r w:rsidR="005636C7">
          <w:rPr>
            <w:noProof/>
            <w:webHidden/>
          </w:rPr>
          <w:fldChar w:fldCharType="begin"/>
        </w:r>
        <w:r w:rsidR="005636C7">
          <w:rPr>
            <w:noProof/>
            <w:webHidden/>
          </w:rPr>
          <w:instrText xml:space="preserve"> PAGEREF _Toc500159675 \h </w:instrText>
        </w:r>
        <w:r w:rsidR="005636C7">
          <w:rPr>
            <w:noProof/>
            <w:webHidden/>
          </w:rPr>
        </w:r>
        <w:r w:rsidR="005636C7">
          <w:rPr>
            <w:noProof/>
            <w:webHidden/>
          </w:rPr>
          <w:fldChar w:fldCharType="separate"/>
        </w:r>
        <w:r w:rsidR="00AC6998">
          <w:rPr>
            <w:noProof/>
            <w:webHidden/>
          </w:rPr>
          <w:t>106</w:t>
        </w:r>
        <w:r w:rsidR="005636C7">
          <w:rPr>
            <w:noProof/>
            <w:webHidden/>
          </w:rPr>
          <w:fldChar w:fldCharType="end"/>
        </w:r>
      </w:hyperlink>
    </w:p>
    <w:p w14:paraId="6445D165"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6" w:history="1">
        <w:r w:rsidR="005636C7" w:rsidRPr="00637D61">
          <w:rPr>
            <w:rStyle w:val="Hyperlink"/>
            <w:noProof/>
          </w:rPr>
          <w:t>Table D 4: Combination of energy efficiency improvement measures by cabinet application.</w:t>
        </w:r>
        <w:r w:rsidR="005636C7">
          <w:rPr>
            <w:noProof/>
            <w:webHidden/>
          </w:rPr>
          <w:tab/>
        </w:r>
        <w:r w:rsidR="005636C7">
          <w:rPr>
            <w:noProof/>
            <w:webHidden/>
          </w:rPr>
          <w:fldChar w:fldCharType="begin"/>
        </w:r>
        <w:r w:rsidR="005636C7">
          <w:rPr>
            <w:noProof/>
            <w:webHidden/>
          </w:rPr>
          <w:instrText xml:space="preserve"> PAGEREF _Toc500159676 \h </w:instrText>
        </w:r>
        <w:r w:rsidR="005636C7">
          <w:rPr>
            <w:noProof/>
            <w:webHidden/>
          </w:rPr>
        </w:r>
        <w:r w:rsidR="005636C7">
          <w:rPr>
            <w:noProof/>
            <w:webHidden/>
          </w:rPr>
          <w:fldChar w:fldCharType="separate"/>
        </w:r>
        <w:r w:rsidR="00AC6998">
          <w:rPr>
            <w:noProof/>
            <w:webHidden/>
          </w:rPr>
          <w:t>107</w:t>
        </w:r>
        <w:r w:rsidR="005636C7">
          <w:rPr>
            <w:noProof/>
            <w:webHidden/>
          </w:rPr>
          <w:fldChar w:fldCharType="end"/>
        </w:r>
      </w:hyperlink>
    </w:p>
    <w:p w14:paraId="657EECFA"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7" w:history="1">
        <w:r w:rsidR="005636C7" w:rsidRPr="00637D61">
          <w:rPr>
            <w:rStyle w:val="Hyperlink"/>
            <w:noProof/>
          </w:rPr>
          <w:t>Table D 5: Percentage improvement and incremental cost for energy efficiency groupings by cabinet type</w:t>
        </w:r>
        <w:r w:rsidR="005636C7">
          <w:rPr>
            <w:noProof/>
            <w:webHidden/>
          </w:rPr>
          <w:tab/>
        </w:r>
        <w:r w:rsidR="005636C7">
          <w:rPr>
            <w:noProof/>
            <w:webHidden/>
          </w:rPr>
          <w:fldChar w:fldCharType="begin"/>
        </w:r>
        <w:r w:rsidR="005636C7">
          <w:rPr>
            <w:noProof/>
            <w:webHidden/>
          </w:rPr>
          <w:instrText xml:space="preserve"> PAGEREF _Toc500159677 \h </w:instrText>
        </w:r>
        <w:r w:rsidR="005636C7">
          <w:rPr>
            <w:noProof/>
            <w:webHidden/>
          </w:rPr>
        </w:r>
        <w:r w:rsidR="005636C7">
          <w:rPr>
            <w:noProof/>
            <w:webHidden/>
          </w:rPr>
          <w:fldChar w:fldCharType="separate"/>
        </w:r>
        <w:r w:rsidR="00AC6998">
          <w:rPr>
            <w:noProof/>
            <w:webHidden/>
          </w:rPr>
          <w:t>108</w:t>
        </w:r>
        <w:r w:rsidR="005636C7">
          <w:rPr>
            <w:noProof/>
            <w:webHidden/>
          </w:rPr>
          <w:fldChar w:fldCharType="end"/>
        </w:r>
      </w:hyperlink>
    </w:p>
    <w:p w14:paraId="51561221"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8" w:history="1">
        <w:r w:rsidR="005636C7" w:rsidRPr="00637D61">
          <w:rPr>
            <w:rStyle w:val="Hyperlink"/>
            <w:noProof/>
          </w:rPr>
          <w:t>Table D 6: Energy efficiency and technology upgrade potential of fan motors and cabinet lighting</w:t>
        </w:r>
        <w:r w:rsidR="005636C7">
          <w:rPr>
            <w:noProof/>
            <w:webHidden/>
          </w:rPr>
          <w:tab/>
        </w:r>
        <w:r w:rsidR="005636C7">
          <w:rPr>
            <w:noProof/>
            <w:webHidden/>
          </w:rPr>
          <w:fldChar w:fldCharType="begin"/>
        </w:r>
        <w:r w:rsidR="005636C7">
          <w:rPr>
            <w:noProof/>
            <w:webHidden/>
          </w:rPr>
          <w:instrText xml:space="preserve"> PAGEREF _Toc500159678 \h </w:instrText>
        </w:r>
        <w:r w:rsidR="005636C7">
          <w:rPr>
            <w:noProof/>
            <w:webHidden/>
          </w:rPr>
        </w:r>
        <w:r w:rsidR="005636C7">
          <w:rPr>
            <w:noProof/>
            <w:webHidden/>
          </w:rPr>
          <w:fldChar w:fldCharType="separate"/>
        </w:r>
        <w:r w:rsidR="00AC6998">
          <w:rPr>
            <w:noProof/>
            <w:webHidden/>
          </w:rPr>
          <w:t>110</w:t>
        </w:r>
        <w:r w:rsidR="005636C7">
          <w:rPr>
            <w:noProof/>
            <w:webHidden/>
          </w:rPr>
          <w:fldChar w:fldCharType="end"/>
        </w:r>
      </w:hyperlink>
    </w:p>
    <w:p w14:paraId="6E0257A0"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79" w:history="1">
        <w:r w:rsidR="005636C7" w:rsidRPr="00637D61">
          <w:rPr>
            <w:rStyle w:val="Hyperlink"/>
            <w:noProof/>
          </w:rPr>
          <w:t>Table D 7: Business electricity prices (real 20116/17 cents/kWh) for Australia and New Zealand</w:t>
        </w:r>
        <w:r w:rsidR="005636C7">
          <w:rPr>
            <w:noProof/>
            <w:webHidden/>
          </w:rPr>
          <w:tab/>
        </w:r>
        <w:r w:rsidR="005636C7">
          <w:rPr>
            <w:noProof/>
            <w:webHidden/>
          </w:rPr>
          <w:fldChar w:fldCharType="begin"/>
        </w:r>
        <w:r w:rsidR="005636C7">
          <w:rPr>
            <w:noProof/>
            <w:webHidden/>
          </w:rPr>
          <w:instrText xml:space="preserve"> PAGEREF _Toc500159679 \h </w:instrText>
        </w:r>
        <w:r w:rsidR="005636C7">
          <w:rPr>
            <w:noProof/>
            <w:webHidden/>
          </w:rPr>
        </w:r>
        <w:r w:rsidR="005636C7">
          <w:rPr>
            <w:noProof/>
            <w:webHidden/>
          </w:rPr>
          <w:fldChar w:fldCharType="separate"/>
        </w:r>
        <w:r w:rsidR="00AC6998">
          <w:rPr>
            <w:noProof/>
            <w:webHidden/>
          </w:rPr>
          <w:t>115</w:t>
        </w:r>
        <w:r w:rsidR="005636C7">
          <w:rPr>
            <w:noProof/>
            <w:webHidden/>
          </w:rPr>
          <w:fldChar w:fldCharType="end"/>
        </w:r>
      </w:hyperlink>
    </w:p>
    <w:p w14:paraId="6AE87495"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0" w:history="1">
        <w:r w:rsidR="005636C7" w:rsidRPr="00637D61">
          <w:rPr>
            <w:rStyle w:val="Hyperlink"/>
            <w:noProof/>
          </w:rPr>
          <w:t>Table D 8 Model parameters and key assumptions.</w:t>
        </w:r>
        <w:r w:rsidR="005636C7">
          <w:rPr>
            <w:noProof/>
            <w:webHidden/>
          </w:rPr>
          <w:tab/>
        </w:r>
        <w:r w:rsidR="005636C7">
          <w:rPr>
            <w:noProof/>
            <w:webHidden/>
          </w:rPr>
          <w:fldChar w:fldCharType="begin"/>
        </w:r>
        <w:r w:rsidR="005636C7">
          <w:rPr>
            <w:noProof/>
            <w:webHidden/>
          </w:rPr>
          <w:instrText xml:space="preserve"> PAGEREF _Toc500159680 \h </w:instrText>
        </w:r>
        <w:r w:rsidR="005636C7">
          <w:rPr>
            <w:noProof/>
            <w:webHidden/>
          </w:rPr>
        </w:r>
        <w:r w:rsidR="005636C7">
          <w:rPr>
            <w:noProof/>
            <w:webHidden/>
          </w:rPr>
          <w:fldChar w:fldCharType="separate"/>
        </w:r>
        <w:r w:rsidR="00AC6998">
          <w:rPr>
            <w:noProof/>
            <w:webHidden/>
          </w:rPr>
          <w:t>116</w:t>
        </w:r>
        <w:r w:rsidR="005636C7">
          <w:rPr>
            <w:noProof/>
            <w:webHidden/>
          </w:rPr>
          <w:fldChar w:fldCharType="end"/>
        </w:r>
      </w:hyperlink>
    </w:p>
    <w:p w14:paraId="72CD61DA"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1" w:history="1">
        <w:r w:rsidR="005636C7" w:rsidRPr="00637D61">
          <w:rPr>
            <w:rStyle w:val="Hyperlink"/>
            <w:noProof/>
          </w:rPr>
          <w:t>Table 9</w:t>
        </w:r>
        <w:r w:rsidR="005636C7" w:rsidRPr="00637D61">
          <w:rPr>
            <w:rStyle w:val="Hyperlink"/>
            <w:noProof/>
            <w:lang w:eastAsia="en-NZ"/>
          </w:rPr>
          <w:t>: European introduction dates and MEPS for storage cabinets, and draft MEPS for display cabinets.</w:t>
        </w:r>
        <w:r w:rsidR="005636C7">
          <w:rPr>
            <w:noProof/>
            <w:webHidden/>
          </w:rPr>
          <w:tab/>
        </w:r>
        <w:r w:rsidR="005636C7">
          <w:rPr>
            <w:noProof/>
            <w:webHidden/>
          </w:rPr>
          <w:fldChar w:fldCharType="begin"/>
        </w:r>
        <w:r w:rsidR="005636C7">
          <w:rPr>
            <w:noProof/>
            <w:webHidden/>
          </w:rPr>
          <w:instrText xml:space="preserve"> PAGEREF _Toc500159681 \h </w:instrText>
        </w:r>
        <w:r w:rsidR="005636C7">
          <w:rPr>
            <w:noProof/>
            <w:webHidden/>
          </w:rPr>
        </w:r>
        <w:r w:rsidR="005636C7">
          <w:rPr>
            <w:noProof/>
            <w:webHidden/>
          </w:rPr>
          <w:fldChar w:fldCharType="separate"/>
        </w:r>
        <w:r w:rsidR="00AC6998">
          <w:rPr>
            <w:noProof/>
            <w:webHidden/>
          </w:rPr>
          <w:t>130</w:t>
        </w:r>
        <w:r w:rsidR="005636C7">
          <w:rPr>
            <w:noProof/>
            <w:webHidden/>
          </w:rPr>
          <w:fldChar w:fldCharType="end"/>
        </w:r>
      </w:hyperlink>
    </w:p>
    <w:p w14:paraId="4C2FCD6C"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2" w:history="1">
        <w:r w:rsidR="005636C7" w:rsidRPr="00637D61">
          <w:rPr>
            <w:rStyle w:val="Hyperlink"/>
            <w:noProof/>
          </w:rPr>
          <w:t>Table F 1: Draft efficiency labelling grades for refrigerated display cabinets.</w:t>
        </w:r>
        <w:r w:rsidR="005636C7">
          <w:rPr>
            <w:noProof/>
            <w:webHidden/>
          </w:rPr>
          <w:tab/>
        </w:r>
        <w:r w:rsidR="005636C7">
          <w:rPr>
            <w:noProof/>
            <w:webHidden/>
          </w:rPr>
          <w:fldChar w:fldCharType="begin"/>
        </w:r>
        <w:r w:rsidR="005636C7">
          <w:rPr>
            <w:noProof/>
            <w:webHidden/>
          </w:rPr>
          <w:instrText xml:space="preserve"> PAGEREF _Toc500159682 \h </w:instrText>
        </w:r>
        <w:r w:rsidR="005636C7">
          <w:rPr>
            <w:noProof/>
            <w:webHidden/>
          </w:rPr>
        </w:r>
        <w:r w:rsidR="005636C7">
          <w:rPr>
            <w:noProof/>
            <w:webHidden/>
          </w:rPr>
          <w:fldChar w:fldCharType="separate"/>
        </w:r>
        <w:r w:rsidR="00AC6998">
          <w:rPr>
            <w:noProof/>
            <w:webHidden/>
          </w:rPr>
          <w:t>130</w:t>
        </w:r>
        <w:r w:rsidR="005636C7">
          <w:rPr>
            <w:noProof/>
            <w:webHidden/>
          </w:rPr>
          <w:fldChar w:fldCharType="end"/>
        </w:r>
      </w:hyperlink>
    </w:p>
    <w:p w14:paraId="60E8915B"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3" w:history="1">
        <w:r w:rsidR="005636C7" w:rsidRPr="00637D61">
          <w:rPr>
            <w:rStyle w:val="Hyperlink"/>
            <w:noProof/>
          </w:rPr>
          <w:t>Table F 2</w:t>
        </w:r>
        <w:r w:rsidR="005636C7" w:rsidRPr="00637D61">
          <w:rPr>
            <w:rStyle w:val="Hyperlink"/>
            <w:noProof/>
            <w:lang w:eastAsia="en-NZ"/>
          </w:rPr>
          <w:t>: Draft “MEPS” improvement implementation dates for refrigerated display cabinets.</w:t>
        </w:r>
        <w:r w:rsidR="005636C7">
          <w:rPr>
            <w:noProof/>
            <w:webHidden/>
          </w:rPr>
          <w:tab/>
        </w:r>
        <w:r w:rsidR="005636C7">
          <w:rPr>
            <w:noProof/>
            <w:webHidden/>
          </w:rPr>
          <w:fldChar w:fldCharType="begin"/>
        </w:r>
        <w:r w:rsidR="005636C7">
          <w:rPr>
            <w:noProof/>
            <w:webHidden/>
          </w:rPr>
          <w:instrText xml:space="preserve"> PAGEREF _Toc500159683 \h </w:instrText>
        </w:r>
        <w:r w:rsidR="005636C7">
          <w:rPr>
            <w:noProof/>
            <w:webHidden/>
          </w:rPr>
        </w:r>
        <w:r w:rsidR="005636C7">
          <w:rPr>
            <w:noProof/>
            <w:webHidden/>
          </w:rPr>
          <w:fldChar w:fldCharType="separate"/>
        </w:r>
        <w:r w:rsidR="00AC6998">
          <w:rPr>
            <w:noProof/>
            <w:webHidden/>
          </w:rPr>
          <w:t>131</w:t>
        </w:r>
        <w:r w:rsidR="005636C7">
          <w:rPr>
            <w:noProof/>
            <w:webHidden/>
          </w:rPr>
          <w:fldChar w:fldCharType="end"/>
        </w:r>
      </w:hyperlink>
    </w:p>
    <w:p w14:paraId="551D4A31"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4" w:history="1">
        <w:r w:rsidR="005636C7" w:rsidRPr="00637D61">
          <w:rPr>
            <w:rStyle w:val="Hyperlink"/>
            <w:noProof/>
          </w:rPr>
          <w:t>Table F 3</w:t>
        </w:r>
        <w:r w:rsidR="005636C7" w:rsidRPr="00637D61">
          <w:rPr>
            <w:rStyle w:val="Hyperlink"/>
            <w:noProof/>
            <w:lang w:eastAsia="en-NZ"/>
          </w:rPr>
          <w:t>: Draft M and N coefficients for Refrigerated display cabinets.</w:t>
        </w:r>
        <w:r w:rsidR="005636C7">
          <w:rPr>
            <w:noProof/>
            <w:webHidden/>
          </w:rPr>
          <w:tab/>
        </w:r>
        <w:r w:rsidR="005636C7">
          <w:rPr>
            <w:noProof/>
            <w:webHidden/>
          </w:rPr>
          <w:fldChar w:fldCharType="begin"/>
        </w:r>
        <w:r w:rsidR="005636C7">
          <w:rPr>
            <w:noProof/>
            <w:webHidden/>
          </w:rPr>
          <w:instrText xml:space="preserve"> PAGEREF _Toc500159684 \h </w:instrText>
        </w:r>
        <w:r w:rsidR="005636C7">
          <w:rPr>
            <w:noProof/>
            <w:webHidden/>
          </w:rPr>
        </w:r>
        <w:r w:rsidR="005636C7">
          <w:rPr>
            <w:noProof/>
            <w:webHidden/>
          </w:rPr>
          <w:fldChar w:fldCharType="separate"/>
        </w:r>
        <w:r w:rsidR="00AC6998">
          <w:rPr>
            <w:noProof/>
            <w:webHidden/>
          </w:rPr>
          <w:t>132</w:t>
        </w:r>
        <w:r w:rsidR="005636C7">
          <w:rPr>
            <w:noProof/>
            <w:webHidden/>
          </w:rPr>
          <w:fldChar w:fldCharType="end"/>
        </w:r>
      </w:hyperlink>
    </w:p>
    <w:p w14:paraId="5FB4167C"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5" w:history="1">
        <w:r w:rsidR="005636C7" w:rsidRPr="00637D61">
          <w:rPr>
            <w:rStyle w:val="Hyperlink"/>
            <w:noProof/>
          </w:rPr>
          <w:t>Table F 4</w:t>
        </w:r>
        <w:r w:rsidR="005636C7" w:rsidRPr="00637D61">
          <w:rPr>
            <w:rStyle w:val="Hyperlink"/>
            <w:noProof/>
            <w:lang w:val="en-NZ"/>
          </w:rPr>
          <w:t>. Coefficient values.</w:t>
        </w:r>
        <w:r w:rsidR="005636C7">
          <w:rPr>
            <w:noProof/>
            <w:webHidden/>
          </w:rPr>
          <w:tab/>
        </w:r>
        <w:r w:rsidR="005636C7">
          <w:rPr>
            <w:noProof/>
            <w:webHidden/>
          </w:rPr>
          <w:fldChar w:fldCharType="begin"/>
        </w:r>
        <w:r w:rsidR="005636C7">
          <w:rPr>
            <w:noProof/>
            <w:webHidden/>
          </w:rPr>
          <w:instrText xml:space="preserve"> PAGEREF _Toc500159685 \h </w:instrText>
        </w:r>
        <w:r w:rsidR="005636C7">
          <w:rPr>
            <w:noProof/>
            <w:webHidden/>
          </w:rPr>
        </w:r>
        <w:r w:rsidR="005636C7">
          <w:rPr>
            <w:noProof/>
            <w:webHidden/>
          </w:rPr>
          <w:fldChar w:fldCharType="separate"/>
        </w:r>
        <w:r w:rsidR="00AC6998">
          <w:rPr>
            <w:noProof/>
            <w:webHidden/>
          </w:rPr>
          <w:t>132</w:t>
        </w:r>
        <w:r w:rsidR="005636C7">
          <w:rPr>
            <w:noProof/>
            <w:webHidden/>
          </w:rPr>
          <w:fldChar w:fldCharType="end"/>
        </w:r>
      </w:hyperlink>
    </w:p>
    <w:p w14:paraId="1ACF8757"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6" w:history="1">
        <w:r w:rsidR="005636C7" w:rsidRPr="00637D61">
          <w:rPr>
            <w:rStyle w:val="Hyperlink"/>
            <w:noProof/>
          </w:rPr>
          <w:t>Table F 5</w:t>
        </w:r>
        <w:r w:rsidR="005636C7" w:rsidRPr="00637D61">
          <w:rPr>
            <w:rStyle w:val="Hyperlink"/>
            <w:noProof/>
            <w:lang w:eastAsia="en-NZ"/>
          </w:rPr>
          <w:t>: M and N coefficients for refrigerated storage cabinets.</w:t>
        </w:r>
        <w:r w:rsidR="005636C7">
          <w:rPr>
            <w:noProof/>
            <w:webHidden/>
          </w:rPr>
          <w:tab/>
        </w:r>
        <w:r w:rsidR="005636C7">
          <w:rPr>
            <w:noProof/>
            <w:webHidden/>
          </w:rPr>
          <w:fldChar w:fldCharType="begin"/>
        </w:r>
        <w:r w:rsidR="005636C7">
          <w:rPr>
            <w:noProof/>
            <w:webHidden/>
          </w:rPr>
          <w:instrText xml:space="preserve"> PAGEREF _Toc500159686 \h </w:instrText>
        </w:r>
        <w:r w:rsidR="005636C7">
          <w:rPr>
            <w:noProof/>
            <w:webHidden/>
          </w:rPr>
        </w:r>
        <w:r w:rsidR="005636C7">
          <w:rPr>
            <w:noProof/>
            <w:webHidden/>
          </w:rPr>
          <w:fldChar w:fldCharType="separate"/>
        </w:r>
        <w:r w:rsidR="00AC6998">
          <w:rPr>
            <w:noProof/>
            <w:webHidden/>
          </w:rPr>
          <w:t>134</w:t>
        </w:r>
        <w:r w:rsidR="005636C7">
          <w:rPr>
            <w:noProof/>
            <w:webHidden/>
          </w:rPr>
          <w:fldChar w:fldCharType="end"/>
        </w:r>
      </w:hyperlink>
    </w:p>
    <w:p w14:paraId="2687C47D"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7" w:history="1">
        <w:r w:rsidR="005636C7" w:rsidRPr="00637D61">
          <w:rPr>
            <w:rStyle w:val="Hyperlink"/>
            <w:noProof/>
          </w:rPr>
          <w:t>Table F 7</w:t>
        </w:r>
        <w:r w:rsidR="005636C7" w:rsidRPr="00637D61">
          <w:rPr>
            <w:rStyle w:val="Hyperlink"/>
            <w:noProof/>
            <w:lang w:eastAsia="en-NZ"/>
          </w:rPr>
          <w:t>: “MEPS” improvement implementation dates for refrigerated storage cabinets.</w:t>
        </w:r>
        <w:r w:rsidR="005636C7">
          <w:rPr>
            <w:noProof/>
            <w:webHidden/>
          </w:rPr>
          <w:tab/>
        </w:r>
        <w:r w:rsidR="005636C7">
          <w:rPr>
            <w:noProof/>
            <w:webHidden/>
          </w:rPr>
          <w:fldChar w:fldCharType="begin"/>
        </w:r>
        <w:r w:rsidR="005636C7">
          <w:rPr>
            <w:noProof/>
            <w:webHidden/>
          </w:rPr>
          <w:instrText xml:space="preserve"> PAGEREF _Toc500159687 \h </w:instrText>
        </w:r>
        <w:r w:rsidR="005636C7">
          <w:rPr>
            <w:noProof/>
            <w:webHidden/>
          </w:rPr>
        </w:r>
        <w:r w:rsidR="005636C7">
          <w:rPr>
            <w:noProof/>
            <w:webHidden/>
          </w:rPr>
          <w:fldChar w:fldCharType="separate"/>
        </w:r>
        <w:r w:rsidR="00AC6998">
          <w:rPr>
            <w:noProof/>
            <w:webHidden/>
          </w:rPr>
          <w:t>135</w:t>
        </w:r>
        <w:r w:rsidR="005636C7">
          <w:rPr>
            <w:noProof/>
            <w:webHidden/>
          </w:rPr>
          <w:fldChar w:fldCharType="end"/>
        </w:r>
      </w:hyperlink>
    </w:p>
    <w:p w14:paraId="4189A582"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8" w:history="1">
        <w:r w:rsidR="005636C7" w:rsidRPr="00637D61">
          <w:rPr>
            <w:rStyle w:val="Hyperlink"/>
            <w:noProof/>
          </w:rPr>
          <w:t>Table 10: Summary structure of EU combined group classifications.</w:t>
        </w:r>
        <w:r w:rsidR="005636C7">
          <w:rPr>
            <w:noProof/>
            <w:webHidden/>
          </w:rPr>
          <w:tab/>
        </w:r>
        <w:r w:rsidR="005636C7">
          <w:rPr>
            <w:noProof/>
            <w:webHidden/>
          </w:rPr>
          <w:fldChar w:fldCharType="begin"/>
        </w:r>
        <w:r w:rsidR="005636C7">
          <w:rPr>
            <w:noProof/>
            <w:webHidden/>
          </w:rPr>
          <w:instrText xml:space="preserve"> PAGEREF _Toc500159688 \h </w:instrText>
        </w:r>
        <w:r w:rsidR="005636C7">
          <w:rPr>
            <w:noProof/>
            <w:webHidden/>
          </w:rPr>
        </w:r>
        <w:r w:rsidR="005636C7">
          <w:rPr>
            <w:noProof/>
            <w:webHidden/>
          </w:rPr>
          <w:fldChar w:fldCharType="separate"/>
        </w:r>
        <w:r w:rsidR="00AC6998">
          <w:rPr>
            <w:noProof/>
            <w:webHidden/>
          </w:rPr>
          <w:t>139</w:t>
        </w:r>
        <w:r w:rsidR="005636C7">
          <w:rPr>
            <w:noProof/>
            <w:webHidden/>
          </w:rPr>
          <w:fldChar w:fldCharType="end"/>
        </w:r>
      </w:hyperlink>
    </w:p>
    <w:p w14:paraId="589F4B9C" w14:textId="77777777" w:rsidR="005636C7" w:rsidRDefault="00306270" w:rsidP="005636C7">
      <w:pPr>
        <w:pStyle w:val="TableofFigures"/>
        <w:tabs>
          <w:tab w:val="right" w:leader="dot" w:pos="9629"/>
        </w:tabs>
        <w:rPr>
          <w:rFonts w:asciiTheme="minorHAnsi" w:eastAsiaTheme="minorEastAsia" w:hAnsiTheme="minorHAnsi" w:cstheme="minorBidi"/>
          <w:noProof/>
          <w:color w:val="auto"/>
          <w:sz w:val="22"/>
          <w:szCs w:val="22"/>
          <w:lang w:val="en-AU" w:eastAsia="en-AU"/>
        </w:rPr>
      </w:pPr>
      <w:hyperlink w:anchor="_Toc500159689" w:history="1">
        <w:r w:rsidR="005636C7" w:rsidRPr="00637D61">
          <w:rPr>
            <w:rStyle w:val="Hyperlink"/>
            <w:noProof/>
          </w:rPr>
          <w:t>Table F 8: PRC Energy efficiency grades of refrigerated display cabinets with remote condensing units.</w:t>
        </w:r>
        <w:r w:rsidR="005636C7">
          <w:rPr>
            <w:noProof/>
            <w:webHidden/>
          </w:rPr>
          <w:tab/>
        </w:r>
        <w:r w:rsidR="005636C7">
          <w:rPr>
            <w:noProof/>
            <w:webHidden/>
          </w:rPr>
          <w:fldChar w:fldCharType="begin"/>
        </w:r>
        <w:r w:rsidR="005636C7">
          <w:rPr>
            <w:noProof/>
            <w:webHidden/>
          </w:rPr>
          <w:instrText xml:space="preserve"> PAGEREF _Toc500159689 \h </w:instrText>
        </w:r>
        <w:r w:rsidR="005636C7">
          <w:rPr>
            <w:noProof/>
            <w:webHidden/>
          </w:rPr>
        </w:r>
        <w:r w:rsidR="005636C7">
          <w:rPr>
            <w:noProof/>
            <w:webHidden/>
          </w:rPr>
          <w:fldChar w:fldCharType="separate"/>
        </w:r>
        <w:r w:rsidR="00AC6998">
          <w:rPr>
            <w:noProof/>
            <w:webHidden/>
          </w:rPr>
          <w:t>142</w:t>
        </w:r>
        <w:r w:rsidR="005636C7">
          <w:rPr>
            <w:noProof/>
            <w:webHidden/>
          </w:rPr>
          <w:fldChar w:fldCharType="end"/>
        </w:r>
      </w:hyperlink>
    </w:p>
    <w:p w14:paraId="72248246" w14:textId="77777777" w:rsidR="005636C7" w:rsidRDefault="005636C7" w:rsidP="005636C7">
      <w:pPr>
        <w:pStyle w:val="E3BodyText"/>
        <w:rPr>
          <w:noProof/>
          <w:szCs w:val="22"/>
        </w:rPr>
      </w:pPr>
      <w:r w:rsidRPr="00F20882">
        <w:rPr>
          <w:noProof/>
          <w:szCs w:val="22"/>
        </w:rPr>
        <w:fldChar w:fldCharType="end"/>
      </w:r>
    </w:p>
    <w:p w14:paraId="7DA6B921" w14:textId="77777777" w:rsidR="005636C7" w:rsidRDefault="005636C7" w:rsidP="005636C7">
      <w:pPr>
        <w:pStyle w:val="E3BodyText"/>
        <w:rPr>
          <w:noProof/>
          <w:szCs w:val="22"/>
        </w:rPr>
      </w:pPr>
    </w:p>
    <w:p w14:paraId="00191104" w14:textId="77777777" w:rsidR="005636C7" w:rsidRDefault="005636C7" w:rsidP="005636C7">
      <w:pPr>
        <w:pStyle w:val="E3BodyText"/>
        <w:rPr>
          <w:noProof/>
          <w:szCs w:val="22"/>
        </w:rPr>
      </w:pPr>
    </w:p>
    <w:p w14:paraId="5CAE7AD4" w14:textId="77777777" w:rsidR="005636C7" w:rsidRDefault="005636C7" w:rsidP="005636C7">
      <w:pPr>
        <w:pStyle w:val="E3BodyText"/>
        <w:rPr>
          <w:noProof/>
          <w:szCs w:val="22"/>
        </w:rPr>
      </w:pPr>
    </w:p>
    <w:p w14:paraId="2CAAEF95" w14:textId="77777777" w:rsidR="005636C7" w:rsidRDefault="005636C7" w:rsidP="005636C7">
      <w:pPr>
        <w:pStyle w:val="E3BodyText"/>
        <w:rPr>
          <w:noProof/>
          <w:szCs w:val="22"/>
        </w:rPr>
      </w:pPr>
    </w:p>
    <w:p w14:paraId="34B60311" w14:textId="77777777" w:rsidR="005636C7" w:rsidRDefault="005636C7" w:rsidP="005636C7">
      <w:pPr>
        <w:pStyle w:val="E3BodyText"/>
        <w:rPr>
          <w:noProof/>
          <w:szCs w:val="22"/>
        </w:rPr>
      </w:pPr>
    </w:p>
    <w:p w14:paraId="45A07825" w14:textId="77777777" w:rsidR="005636C7" w:rsidRDefault="005636C7" w:rsidP="005636C7">
      <w:pPr>
        <w:pStyle w:val="E3BodyText"/>
        <w:rPr>
          <w:noProof/>
          <w:szCs w:val="22"/>
        </w:rPr>
      </w:pPr>
    </w:p>
    <w:p w14:paraId="382DFC88" w14:textId="77777777" w:rsidR="005636C7" w:rsidRDefault="005636C7" w:rsidP="005636C7">
      <w:pPr>
        <w:pStyle w:val="E3BodyText"/>
        <w:rPr>
          <w:noProof/>
          <w:szCs w:val="22"/>
        </w:rPr>
      </w:pPr>
    </w:p>
    <w:p w14:paraId="573DC61F" w14:textId="77777777" w:rsidR="005636C7" w:rsidRDefault="005636C7" w:rsidP="005636C7">
      <w:pPr>
        <w:pStyle w:val="TOC1"/>
      </w:pPr>
      <w:r w:rsidRPr="00D100F1">
        <w:t>List of figures</w:t>
      </w:r>
    </w:p>
    <w:p w14:paraId="77E66F7F" w14:textId="77777777" w:rsidR="005636C7" w:rsidRPr="00D100F1" w:rsidRDefault="005636C7" w:rsidP="005636C7">
      <w:pPr>
        <w:pStyle w:val="TableofFigures"/>
        <w:tabs>
          <w:tab w:val="right" w:leader="dot" w:pos="9629"/>
        </w:tabs>
      </w:pPr>
    </w:p>
    <w:p w14:paraId="5E504BFA" w14:textId="77777777" w:rsidR="005636C7" w:rsidRPr="00F20882" w:rsidRDefault="005636C7" w:rsidP="002E794F">
      <w:pPr>
        <w:pStyle w:val="E3Figuretitles"/>
        <w:spacing w:after="0"/>
        <w:rPr>
          <w:rFonts w:eastAsia="Calibri" w:cs="Georgia"/>
          <w:b w:val="0"/>
          <w:bCs w:val="0"/>
          <w:noProof/>
          <w:color w:val="000000"/>
          <w:sz w:val="24"/>
          <w:szCs w:val="22"/>
        </w:rPr>
      </w:pPr>
      <w:bookmarkStart w:id="8" w:name="_Toc495045821"/>
      <w:r w:rsidRPr="00F20882">
        <w:rPr>
          <w:rFonts w:eastAsia="Calibri" w:cs="Georgia"/>
          <w:b w:val="0"/>
          <w:bCs w:val="0"/>
          <w:noProof/>
          <w:color w:val="000000"/>
          <w:sz w:val="24"/>
          <w:szCs w:val="22"/>
        </w:rPr>
        <w:t xml:space="preserve">Figure </w:t>
      </w:r>
      <w:r w:rsidRPr="00F20882">
        <w:rPr>
          <w:rFonts w:eastAsia="Calibri" w:cs="Georgia"/>
          <w:b w:val="0"/>
          <w:bCs w:val="0"/>
          <w:noProof/>
          <w:color w:val="000000"/>
          <w:sz w:val="24"/>
          <w:szCs w:val="22"/>
        </w:rPr>
        <w:fldChar w:fldCharType="begin"/>
      </w:r>
      <w:r w:rsidRPr="00F20882">
        <w:rPr>
          <w:rFonts w:eastAsia="Calibri" w:cs="Georgia"/>
          <w:b w:val="0"/>
          <w:bCs w:val="0"/>
          <w:noProof/>
          <w:color w:val="000000"/>
          <w:sz w:val="24"/>
          <w:szCs w:val="22"/>
        </w:rPr>
        <w:instrText xml:space="preserve"> SEQ Figure \* ARABIC </w:instrText>
      </w:r>
      <w:r w:rsidRPr="00F20882">
        <w:rPr>
          <w:rFonts w:eastAsia="Calibri" w:cs="Georgia"/>
          <w:b w:val="0"/>
          <w:bCs w:val="0"/>
          <w:noProof/>
          <w:color w:val="000000"/>
          <w:sz w:val="24"/>
          <w:szCs w:val="22"/>
        </w:rPr>
        <w:fldChar w:fldCharType="separate"/>
      </w:r>
      <w:r w:rsidR="00AC6998">
        <w:rPr>
          <w:rFonts w:eastAsia="Calibri" w:cs="Georgia"/>
          <w:b w:val="0"/>
          <w:bCs w:val="0"/>
          <w:noProof/>
          <w:color w:val="000000"/>
          <w:sz w:val="24"/>
          <w:szCs w:val="22"/>
        </w:rPr>
        <w:t>1</w:t>
      </w:r>
      <w:r w:rsidRPr="00F20882">
        <w:rPr>
          <w:rFonts w:eastAsia="Calibri" w:cs="Georgia"/>
          <w:b w:val="0"/>
          <w:bCs w:val="0"/>
          <w:noProof/>
          <w:color w:val="000000"/>
          <w:sz w:val="24"/>
          <w:szCs w:val="22"/>
        </w:rPr>
        <w:fldChar w:fldCharType="end"/>
      </w:r>
      <w:r w:rsidRPr="00F20882">
        <w:rPr>
          <w:rFonts w:eastAsia="Calibri" w:cs="Georgia"/>
          <w:b w:val="0"/>
          <w:bCs w:val="0"/>
          <w:noProof/>
          <w:color w:val="000000"/>
          <w:sz w:val="24"/>
          <w:szCs w:val="22"/>
        </w:rPr>
        <w:t>: E</w:t>
      </w:r>
      <w:r>
        <w:rPr>
          <w:rFonts w:eastAsia="Calibri" w:cs="Georgia"/>
          <w:b w:val="0"/>
          <w:bCs w:val="0"/>
          <w:noProof/>
          <w:color w:val="000000"/>
          <w:sz w:val="24"/>
          <w:szCs w:val="22"/>
        </w:rPr>
        <w:t xml:space="preserve">xamples of refrigerated display </w:t>
      </w:r>
      <w:r w:rsidRPr="00F20882">
        <w:rPr>
          <w:rFonts w:eastAsia="Calibri" w:cs="Georgia"/>
          <w:b w:val="0"/>
          <w:bCs w:val="0"/>
          <w:noProof/>
          <w:color w:val="000000"/>
          <w:sz w:val="24"/>
          <w:szCs w:val="22"/>
        </w:rPr>
        <w:t>cabinets</w:t>
      </w:r>
      <w:bookmarkEnd w:id="8"/>
      <w:r>
        <w:rPr>
          <w:rFonts w:eastAsia="Calibri" w:cs="Georgia"/>
          <w:b w:val="0"/>
          <w:bCs w:val="0"/>
          <w:noProof/>
          <w:color w:val="000000"/>
          <w:sz w:val="24"/>
          <w:szCs w:val="22"/>
        </w:rPr>
        <w:t>……………………………………………………..17</w:t>
      </w:r>
    </w:p>
    <w:p w14:paraId="497FA4F0" w14:textId="306D0099" w:rsidR="005636C7" w:rsidRPr="00F20882" w:rsidRDefault="002E794F" w:rsidP="002E794F">
      <w:pPr>
        <w:pStyle w:val="E3Figuretitles"/>
        <w:spacing w:after="0"/>
        <w:rPr>
          <w:rFonts w:eastAsia="Calibri" w:cs="Georgia"/>
          <w:b w:val="0"/>
          <w:bCs w:val="0"/>
          <w:noProof/>
          <w:color w:val="000000"/>
          <w:sz w:val="24"/>
          <w:szCs w:val="22"/>
        </w:rPr>
      </w:pPr>
      <w:r>
        <w:rPr>
          <w:rFonts w:eastAsia="Calibri" w:cs="Georgia"/>
          <w:b w:val="0"/>
          <w:bCs w:val="0"/>
          <w:noProof/>
          <w:color w:val="000000"/>
          <w:sz w:val="24"/>
          <w:szCs w:val="22"/>
        </w:rPr>
        <w:t>Figure 2: Storge cabinets…..</w:t>
      </w:r>
      <w:r w:rsidR="005636C7" w:rsidRPr="00F20882">
        <w:rPr>
          <w:rFonts w:eastAsia="Calibri" w:cs="Georgia"/>
          <w:b w:val="0"/>
          <w:bCs w:val="0"/>
          <w:noProof/>
          <w:color w:val="000000"/>
          <w:sz w:val="24"/>
          <w:szCs w:val="22"/>
        </w:rPr>
        <w:t>……………………………………</w:t>
      </w:r>
      <w:r w:rsidR="005636C7">
        <w:rPr>
          <w:rFonts w:eastAsia="Calibri" w:cs="Georgia"/>
          <w:b w:val="0"/>
          <w:bCs w:val="0"/>
          <w:noProof/>
          <w:color w:val="000000"/>
          <w:sz w:val="24"/>
          <w:szCs w:val="22"/>
        </w:rPr>
        <w:t>…………………………………………………18</w:t>
      </w:r>
    </w:p>
    <w:p w14:paraId="40E77357" w14:textId="69D3D4D1" w:rsidR="005636C7" w:rsidRPr="00F20882" w:rsidRDefault="002E794F" w:rsidP="002E794F">
      <w:pPr>
        <w:rPr>
          <w:rFonts w:eastAsia="Calibri" w:cs="Georgia"/>
          <w:noProof/>
          <w:color w:val="000000"/>
          <w:szCs w:val="22"/>
          <w:lang w:val="en-US"/>
        </w:rPr>
      </w:pPr>
      <w:r>
        <w:rPr>
          <w:rFonts w:eastAsia="Calibri" w:cs="Georgia"/>
          <w:noProof/>
          <w:color w:val="000000"/>
          <w:szCs w:val="22"/>
          <w:lang w:val="en-US"/>
        </w:rPr>
        <w:t xml:space="preserve">Figure </w:t>
      </w:r>
      <w:r w:rsidR="005636C7" w:rsidRPr="00F20882">
        <w:rPr>
          <w:rFonts w:eastAsia="Calibri" w:cs="Georgia"/>
          <w:noProof/>
          <w:color w:val="000000"/>
          <w:szCs w:val="22"/>
          <w:lang w:val="en-US"/>
        </w:rPr>
        <w:t>3: Refrigerated commercial cabinet supply chain</w:t>
      </w:r>
      <w:r>
        <w:rPr>
          <w:rFonts w:eastAsia="Calibri" w:cs="Georgia"/>
          <w:noProof/>
          <w:color w:val="000000"/>
          <w:szCs w:val="22"/>
          <w:lang w:val="en-US"/>
        </w:rPr>
        <w:t>……………………..</w:t>
      </w:r>
      <w:r w:rsidR="005636C7">
        <w:rPr>
          <w:rFonts w:eastAsia="Calibri" w:cs="Georgia"/>
          <w:noProof/>
          <w:color w:val="000000"/>
          <w:szCs w:val="22"/>
          <w:lang w:val="en-US"/>
        </w:rPr>
        <w:t>…………………….20</w:t>
      </w:r>
    </w:p>
    <w:p w14:paraId="0A409684" w14:textId="60C0823B"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4: estimated annual BAU energy consumption of refrigerated display and storage cabinets (by category) in Australia and New Zealand to 2016 and projected to 2035…</w:t>
      </w:r>
      <w:r w:rsidR="002E794F">
        <w:rPr>
          <w:rFonts w:eastAsia="Calibri" w:cs="Georgia"/>
          <w:noProof/>
          <w:color w:val="000000"/>
          <w:szCs w:val="22"/>
          <w:lang w:val="en-US"/>
        </w:rPr>
        <w:t>……………….</w:t>
      </w:r>
      <w:r w:rsidRPr="00F20882">
        <w:rPr>
          <w:rFonts w:eastAsia="Calibri" w:cs="Georgia"/>
          <w:noProof/>
          <w:color w:val="000000"/>
          <w:szCs w:val="22"/>
          <w:lang w:val="en-US"/>
        </w:rPr>
        <w:t>…</w:t>
      </w:r>
      <w:r>
        <w:rPr>
          <w:rFonts w:eastAsia="Calibri" w:cs="Georgia"/>
          <w:noProof/>
          <w:color w:val="000000"/>
          <w:szCs w:val="22"/>
          <w:lang w:val="en-US"/>
        </w:rPr>
        <w:t>…22</w:t>
      </w:r>
    </w:p>
    <w:p w14:paraId="6ADB0B7C" w14:textId="155932CB"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5: 2015 Commercial refrigerated cabinet stock in Australia</w:t>
      </w:r>
      <w:r>
        <w:rPr>
          <w:rFonts w:eastAsia="Calibri" w:cs="Georgia"/>
          <w:noProof/>
          <w:color w:val="000000"/>
          <w:szCs w:val="22"/>
          <w:lang w:val="en-US"/>
        </w:rPr>
        <w:t xml:space="preserve"> (estimate)………………</w:t>
      </w:r>
      <w:r w:rsidR="002E794F">
        <w:rPr>
          <w:rFonts w:eastAsia="Calibri" w:cs="Georgia"/>
          <w:noProof/>
          <w:color w:val="000000"/>
          <w:szCs w:val="22"/>
          <w:lang w:val="en-US"/>
        </w:rPr>
        <w:t>…….</w:t>
      </w:r>
      <w:r>
        <w:rPr>
          <w:rFonts w:eastAsia="Calibri" w:cs="Georgia"/>
          <w:noProof/>
          <w:color w:val="000000"/>
          <w:szCs w:val="22"/>
          <w:lang w:val="en-US"/>
        </w:rPr>
        <w:t>23</w:t>
      </w:r>
    </w:p>
    <w:p w14:paraId="70548376" w14:textId="4C0F5896"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6: Projected stock in Australia from 2000 to 20</w:t>
      </w:r>
      <w:r w:rsidR="002E794F">
        <w:rPr>
          <w:rFonts w:eastAsia="Calibri" w:cs="Georgia"/>
          <w:noProof/>
          <w:color w:val="000000"/>
          <w:szCs w:val="22"/>
          <w:lang w:val="en-US"/>
        </w:rPr>
        <w:t>35…………………………………………</w:t>
      </w:r>
      <w:r>
        <w:rPr>
          <w:rFonts w:eastAsia="Calibri" w:cs="Georgia"/>
          <w:noProof/>
          <w:color w:val="000000"/>
          <w:szCs w:val="22"/>
          <w:lang w:val="en-US"/>
        </w:rPr>
        <w:t>.24</w:t>
      </w:r>
    </w:p>
    <w:p w14:paraId="754449F6" w14:textId="293CF387"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 xml:space="preserve">Figure 7: Projected stock in New Zealand from 2000 to </w:t>
      </w:r>
      <w:r w:rsidR="002E794F">
        <w:rPr>
          <w:rFonts w:eastAsia="Calibri" w:cs="Georgia"/>
          <w:noProof/>
          <w:color w:val="000000"/>
          <w:szCs w:val="22"/>
          <w:lang w:val="en-US"/>
        </w:rPr>
        <w:t>2035……………………………………..</w:t>
      </w:r>
      <w:r>
        <w:rPr>
          <w:rFonts w:eastAsia="Calibri" w:cs="Georgia"/>
          <w:noProof/>
          <w:color w:val="000000"/>
          <w:szCs w:val="22"/>
          <w:lang w:val="en-US"/>
        </w:rPr>
        <w:t>25</w:t>
      </w:r>
    </w:p>
    <w:p w14:paraId="57D66B8F" w14:textId="543F1763"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8: 2015 Commercial refrigerated cabinet stock in New Zeal</w:t>
      </w:r>
      <w:r>
        <w:rPr>
          <w:rFonts w:eastAsia="Calibri" w:cs="Georgia"/>
          <w:noProof/>
          <w:color w:val="000000"/>
          <w:szCs w:val="22"/>
          <w:lang w:val="en-US"/>
        </w:rPr>
        <w:t>and (estimate)…………</w:t>
      </w:r>
      <w:r w:rsidR="002E794F">
        <w:rPr>
          <w:rFonts w:eastAsia="Calibri" w:cs="Georgia"/>
          <w:noProof/>
          <w:color w:val="000000"/>
          <w:szCs w:val="22"/>
          <w:lang w:val="en-US"/>
        </w:rPr>
        <w:t>……..</w:t>
      </w:r>
      <w:r>
        <w:rPr>
          <w:rFonts w:eastAsia="Calibri" w:cs="Georgia"/>
          <w:noProof/>
          <w:color w:val="000000"/>
          <w:szCs w:val="22"/>
          <w:lang w:val="en-US"/>
        </w:rPr>
        <w:t>26</w:t>
      </w:r>
    </w:p>
    <w:p w14:paraId="57E93D44" w14:textId="145DEBEF"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9:  Process map for the interpretation of AS 1731</w:t>
      </w:r>
      <w:r w:rsidR="002E794F">
        <w:rPr>
          <w:rFonts w:eastAsia="Calibri" w:cs="Georgia"/>
          <w:noProof/>
          <w:color w:val="000000"/>
          <w:szCs w:val="22"/>
          <w:lang w:val="en-US"/>
        </w:rPr>
        <w:t>…………………………………………..</w:t>
      </w:r>
      <w:r>
        <w:rPr>
          <w:rFonts w:eastAsia="Calibri" w:cs="Georgia"/>
          <w:noProof/>
          <w:color w:val="000000"/>
          <w:szCs w:val="22"/>
          <w:lang w:val="en-US"/>
        </w:rPr>
        <w:t>35</w:t>
      </w:r>
    </w:p>
    <w:p w14:paraId="29E03E42" w14:textId="4828A4A0"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10: Sales weighted average efficiency (NZ data) for the most pop</w:t>
      </w:r>
      <w:r>
        <w:rPr>
          <w:rFonts w:eastAsia="Calibri" w:cs="Georgia"/>
          <w:noProof/>
          <w:color w:val="000000"/>
          <w:szCs w:val="22"/>
          <w:lang w:val="en-US"/>
        </w:rPr>
        <w:t>ular cabinet classes…………</w:t>
      </w:r>
      <w:r w:rsidR="002E794F">
        <w:rPr>
          <w:rFonts w:eastAsia="Calibri" w:cs="Georgia"/>
          <w:noProof/>
          <w:color w:val="000000"/>
          <w:szCs w:val="22"/>
          <w:lang w:val="en-US"/>
        </w:rPr>
        <w:t>……………………………………………………………….</w:t>
      </w:r>
      <w:r>
        <w:rPr>
          <w:rFonts w:eastAsia="Calibri" w:cs="Georgia"/>
          <w:noProof/>
          <w:color w:val="000000"/>
          <w:szCs w:val="22"/>
          <w:lang w:val="en-US"/>
        </w:rPr>
        <w:t>…………………....37</w:t>
      </w:r>
    </w:p>
    <w:p w14:paraId="1AC13AAD" w14:textId="6ADBF83C"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11: Analysis of sales, price &amp; efficiency of the most purchased cabinet</w:t>
      </w:r>
      <w:r>
        <w:rPr>
          <w:rFonts w:eastAsia="Calibri" w:cs="Georgia"/>
          <w:noProof/>
          <w:color w:val="000000"/>
          <w:szCs w:val="22"/>
          <w:lang w:val="en-US"/>
        </w:rPr>
        <w:t xml:space="preserve"> type in New Zealand, 2</w:t>
      </w:r>
      <w:r w:rsidR="002E794F">
        <w:rPr>
          <w:rFonts w:eastAsia="Calibri" w:cs="Georgia"/>
          <w:noProof/>
          <w:color w:val="000000"/>
          <w:szCs w:val="22"/>
          <w:lang w:val="en-US"/>
        </w:rPr>
        <w:t>015…………………………………………………………………..</w:t>
      </w:r>
      <w:r>
        <w:rPr>
          <w:rFonts w:eastAsia="Calibri" w:cs="Georgia"/>
          <w:noProof/>
          <w:color w:val="000000"/>
          <w:szCs w:val="22"/>
          <w:lang w:val="en-US"/>
        </w:rPr>
        <w:t>……………………………..39</w:t>
      </w:r>
    </w:p>
    <w:p w14:paraId="01F4CA61" w14:textId="72BB3182"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12: Sales profile for Australia and New Zealand in 2016, based on 15 groups of cabinet types……………………</w:t>
      </w:r>
      <w:r w:rsidR="002E794F">
        <w:rPr>
          <w:rFonts w:eastAsia="Calibri" w:cs="Georgia"/>
          <w:noProof/>
          <w:color w:val="000000"/>
          <w:szCs w:val="22"/>
          <w:lang w:val="en-US"/>
        </w:rPr>
        <w:t>…………………………………</w:t>
      </w:r>
      <w:r>
        <w:rPr>
          <w:rFonts w:eastAsia="Calibri" w:cs="Georgia"/>
          <w:noProof/>
          <w:color w:val="000000"/>
          <w:szCs w:val="22"/>
          <w:lang w:val="en-US"/>
        </w:rPr>
        <w:t>…………………………………………54</w:t>
      </w:r>
    </w:p>
    <w:p w14:paraId="2704A250" w14:textId="3E4D10BC"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13: Generic example of proposed EU label (left) and generic Energy Rating label (right)…………………………</w:t>
      </w:r>
      <w:r w:rsidR="002E794F">
        <w:rPr>
          <w:rFonts w:eastAsia="Calibri" w:cs="Georgia"/>
          <w:noProof/>
          <w:color w:val="000000"/>
          <w:szCs w:val="22"/>
          <w:lang w:val="en-US"/>
        </w:rPr>
        <w:t>……………………………………………………………….…....</w:t>
      </w:r>
      <w:r>
        <w:rPr>
          <w:rFonts w:eastAsia="Calibri" w:cs="Georgia"/>
          <w:noProof/>
          <w:color w:val="000000"/>
          <w:szCs w:val="22"/>
          <w:lang w:val="en-US"/>
        </w:rPr>
        <w:t>.58</w:t>
      </w:r>
    </w:p>
    <w:p w14:paraId="77D39DF2" w14:textId="273D5653"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14: Annual energy consumption from Option 2</w:t>
      </w:r>
      <w:r w:rsidR="002E794F">
        <w:rPr>
          <w:rFonts w:eastAsia="Calibri" w:cs="Georgia"/>
          <w:noProof/>
          <w:color w:val="000000"/>
          <w:szCs w:val="22"/>
          <w:lang w:val="en-US"/>
        </w:rPr>
        <w:t>…………………….</w:t>
      </w:r>
      <w:r>
        <w:rPr>
          <w:rFonts w:eastAsia="Calibri" w:cs="Georgia"/>
          <w:noProof/>
          <w:color w:val="000000"/>
          <w:szCs w:val="22"/>
          <w:lang w:val="en-US"/>
        </w:rPr>
        <w:t>………………………68</w:t>
      </w:r>
    </w:p>
    <w:p w14:paraId="0C5F3751" w14:textId="18EFAFB4"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15: Annual energy consumption from Option 3…</w:t>
      </w:r>
      <w:r w:rsidR="002E794F">
        <w:rPr>
          <w:rFonts w:eastAsia="Calibri" w:cs="Georgia"/>
          <w:noProof/>
          <w:color w:val="000000"/>
          <w:szCs w:val="22"/>
          <w:lang w:val="en-US"/>
        </w:rPr>
        <w:t>………………………………………….</w:t>
      </w:r>
      <w:r>
        <w:rPr>
          <w:rFonts w:eastAsia="Calibri" w:cs="Georgia"/>
          <w:noProof/>
          <w:color w:val="000000"/>
          <w:szCs w:val="22"/>
          <w:lang w:val="en-US"/>
        </w:rPr>
        <w:t>71</w:t>
      </w:r>
    </w:p>
    <w:p w14:paraId="3BD9CF34" w14:textId="4C56B10B" w:rsidR="005636C7" w:rsidRPr="00F20882" w:rsidRDefault="005636C7" w:rsidP="002E794F">
      <w:pPr>
        <w:rPr>
          <w:rFonts w:eastAsia="Calibri" w:cs="Georgia"/>
          <w:noProof/>
          <w:color w:val="000000"/>
          <w:szCs w:val="22"/>
          <w:lang w:val="en-US"/>
        </w:rPr>
      </w:pPr>
      <w:r w:rsidRPr="00F20882">
        <w:rPr>
          <w:rFonts w:eastAsia="Calibri" w:cs="Georgia"/>
          <w:noProof/>
          <w:color w:val="000000"/>
          <w:szCs w:val="22"/>
          <w:lang w:val="en-US"/>
        </w:rPr>
        <w:t>Figure 16: Annual energy consumption from Option 4…</w:t>
      </w:r>
      <w:r w:rsidR="002E794F">
        <w:rPr>
          <w:rFonts w:eastAsia="Calibri" w:cs="Georgia"/>
          <w:noProof/>
          <w:color w:val="000000"/>
          <w:szCs w:val="22"/>
          <w:lang w:val="en-US"/>
        </w:rPr>
        <w:t>………………………………………….</w:t>
      </w:r>
      <w:r>
        <w:rPr>
          <w:rFonts w:eastAsia="Calibri" w:cs="Georgia"/>
          <w:noProof/>
          <w:color w:val="000000"/>
          <w:szCs w:val="22"/>
          <w:lang w:val="en-US"/>
        </w:rPr>
        <w:t>74</w:t>
      </w:r>
    </w:p>
    <w:p w14:paraId="2DEEE13F" w14:textId="77777777" w:rsidR="005636C7" w:rsidRDefault="005636C7" w:rsidP="005636C7">
      <w:pPr>
        <w:pStyle w:val="E3BodyText"/>
        <w:rPr>
          <w:noProof/>
          <w:szCs w:val="22"/>
        </w:rPr>
      </w:pPr>
    </w:p>
    <w:p w14:paraId="4044022E" w14:textId="77777777" w:rsidR="005636C7" w:rsidRDefault="005636C7" w:rsidP="005636C7">
      <w:pPr>
        <w:pStyle w:val="E3BodyText"/>
        <w:rPr>
          <w:noProof/>
          <w:szCs w:val="22"/>
        </w:rPr>
      </w:pPr>
    </w:p>
    <w:p w14:paraId="0C1485D1" w14:textId="77777777" w:rsidR="005636C7" w:rsidRDefault="005636C7" w:rsidP="005636C7">
      <w:pPr>
        <w:pStyle w:val="E3BodyText"/>
        <w:rPr>
          <w:noProof/>
          <w:szCs w:val="22"/>
        </w:rPr>
      </w:pPr>
    </w:p>
    <w:p w14:paraId="0A5E5402" w14:textId="77777777" w:rsidR="005636C7" w:rsidRPr="00F20882" w:rsidRDefault="005636C7" w:rsidP="005636C7">
      <w:pPr>
        <w:pStyle w:val="E3BodyText"/>
        <w:rPr>
          <w:noProof/>
          <w:szCs w:val="22"/>
        </w:rPr>
      </w:pPr>
    </w:p>
    <w:p w14:paraId="5FC9833A" w14:textId="77777777" w:rsidR="005636C7" w:rsidRPr="00F20882" w:rsidRDefault="005636C7" w:rsidP="005636C7">
      <w:pPr>
        <w:pStyle w:val="E3BodyText"/>
        <w:rPr>
          <w:noProof/>
          <w:szCs w:val="22"/>
        </w:rPr>
      </w:pPr>
    </w:p>
    <w:p w14:paraId="50BC323E" w14:textId="77777777" w:rsidR="005636C7" w:rsidRDefault="005636C7" w:rsidP="005636C7">
      <w:pPr>
        <w:pStyle w:val="E3BodyText"/>
        <w:sectPr w:rsidR="005636C7" w:rsidSect="005636C7">
          <w:headerReference w:type="first" r:id="rId33"/>
          <w:footerReference w:type="first" r:id="rId34"/>
          <w:pgSz w:w="11907" w:h="16840" w:code="9"/>
          <w:pgMar w:top="1134" w:right="1134" w:bottom="1418" w:left="1134" w:header="709" w:footer="709" w:gutter="0"/>
          <w:cols w:space="720"/>
          <w:titlePg/>
          <w:docGrid w:linePitch="360"/>
        </w:sectPr>
      </w:pPr>
    </w:p>
    <w:p w14:paraId="5EE05D1F" w14:textId="77777777" w:rsidR="005636C7" w:rsidRDefault="005636C7" w:rsidP="005636C7">
      <w:pPr>
        <w:pStyle w:val="E3ChapterTitle"/>
      </w:pPr>
      <w:bookmarkStart w:id="9" w:name="_Toc500151773"/>
      <w:r>
        <w:t>Glossary</w:t>
      </w:r>
      <w:bookmarkEnd w:id="9"/>
    </w:p>
    <w:p w14:paraId="60615DFA" w14:textId="77777777" w:rsidR="005636C7" w:rsidRPr="00D04E72" w:rsidRDefault="005636C7" w:rsidP="005636C7">
      <w:pPr>
        <w:pStyle w:val="E3BodyText"/>
        <w:rPr>
          <w:lang w:val="en-AU"/>
        </w:rPr>
        <w:sectPr w:rsidR="005636C7" w:rsidRPr="00D04E72" w:rsidSect="005636C7">
          <w:headerReference w:type="default" r:id="rId35"/>
          <w:footerReference w:type="first" r:id="rId36"/>
          <w:pgSz w:w="11907" w:h="16840" w:code="9"/>
          <w:pgMar w:top="1134" w:right="1134" w:bottom="1418" w:left="1134" w:header="709" w:footer="709" w:gutter="0"/>
          <w:cols w:space="720"/>
          <w:titlePg/>
          <w:docGrid w:linePitch="360"/>
        </w:sectPr>
      </w:pPr>
    </w:p>
    <w:p w14:paraId="125F395B" w14:textId="77777777" w:rsidR="005636C7" w:rsidRDefault="005636C7" w:rsidP="005636C7">
      <w:pPr>
        <w:pStyle w:val="E3BodyText"/>
      </w:pPr>
    </w:p>
    <w:p w14:paraId="6A28235C" w14:textId="77777777" w:rsidR="005636C7" w:rsidRPr="000B53C0" w:rsidRDefault="005636C7" w:rsidP="005636C7">
      <w:pPr>
        <w:rPr>
          <w:lang w:val="en-US"/>
        </w:rPr>
        <w:sectPr w:rsidR="005636C7" w:rsidRPr="000B53C0" w:rsidSect="005636C7">
          <w:type w:val="continuous"/>
          <w:pgSz w:w="11907" w:h="16840" w:code="9"/>
          <w:pgMar w:top="1134" w:right="1134" w:bottom="1418" w:left="1134" w:header="709" w:footer="709" w:gutter="0"/>
          <w:cols w:space="720"/>
          <w:titlePg/>
          <w:docGrid w:linePitch="360"/>
        </w:sectPr>
      </w:pPr>
      <w:r>
        <w:rPr>
          <w:noProof/>
        </w:rPr>
        <w:drawing>
          <wp:inline distT="0" distB="0" distL="0" distR="0" wp14:anchorId="406F8707" wp14:editId="119BDFDA">
            <wp:extent cx="6120765" cy="4515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4515485"/>
                    </a:xfrm>
                    <a:prstGeom prst="rect">
                      <a:avLst/>
                    </a:prstGeom>
                  </pic:spPr>
                </pic:pic>
              </a:graphicData>
            </a:graphic>
          </wp:inline>
        </w:drawing>
      </w:r>
    </w:p>
    <w:p w14:paraId="20E16F51" w14:textId="77777777" w:rsidR="005636C7" w:rsidRDefault="005636C7" w:rsidP="005636C7">
      <w:pPr>
        <w:pStyle w:val="E3ChapterTitle"/>
        <w:sectPr w:rsidR="005636C7" w:rsidSect="005636C7">
          <w:footerReference w:type="first" r:id="rId38"/>
          <w:pgSz w:w="11907" w:h="16840" w:code="9"/>
          <w:pgMar w:top="1134" w:right="1134" w:bottom="1418" w:left="1134" w:header="709" w:footer="709" w:gutter="0"/>
          <w:pgNumType w:start="1"/>
          <w:cols w:space="720"/>
          <w:titlePg/>
          <w:docGrid w:linePitch="360"/>
        </w:sectPr>
      </w:pPr>
      <w:bookmarkStart w:id="10" w:name="_Toc496004761"/>
      <w:bookmarkStart w:id="11" w:name="_Toc496010658"/>
      <w:bookmarkStart w:id="12" w:name="_Toc500151774"/>
      <w:r>
        <w:t>Executive Summary</w:t>
      </w:r>
      <w:bookmarkEnd w:id="10"/>
      <w:bookmarkEnd w:id="11"/>
      <w:bookmarkEnd w:id="12"/>
    </w:p>
    <w:p w14:paraId="037849AD" w14:textId="77777777" w:rsidR="005636C7" w:rsidRDefault="005636C7" w:rsidP="005636C7">
      <w:pPr>
        <w:pStyle w:val="E3BodyText"/>
        <w:spacing w:line="360" w:lineRule="auto"/>
        <w:rPr>
          <w:b/>
        </w:rPr>
      </w:pPr>
    </w:p>
    <w:p w14:paraId="38AF1DC2" w14:textId="77777777" w:rsidR="005636C7" w:rsidRPr="00E10F09" w:rsidRDefault="005636C7" w:rsidP="005636C7">
      <w:pPr>
        <w:pStyle w:val="E3Heading2"/>
        <w:jc w:val="both"/>
      </w:pPr>
      <w:bookmarkStart w:id="13" w:name="_Toc496004762"/>
      <w:bookmarkStart w:id="14" w:name="_Toc496010659"/>
      <w:bookmarkStart w:id="15" w:name="_Toc500151775"/>
      <w:r w:rsidRPr="000B53C0">
        <w:t>Background</w:t>
      </w:r>
      <w:bookmarkEnd w:id="13"/>
      <w:bookmarkEnd w:id="14"/>
      <w:bookmarkEnd w:id="15"/>
    </w:p>
    <w:p w14:paraId="31155FE3" w14:textId="77777777" w:rsidR="005636C7" w:rsidRPr="009E4772" w:rsidRDefault="005636C7" w:rsidP="005636C7">
      <w:pPr>
        <w:pStyle w:val="E3BodyText"/>
        <w:jc w:val="both"/>
      </w:pPr>
      <w:r w:rsidRPr="009E4772">
        <w:t>This Regulation Impact Statement (RIS) considers policy proposals to improve the energy efficiency</w:t>
      </w:r>
      <w:r>
        <w:t xml:space="preserve"> </w:t>
      </w:r>
      <w:r w:rsidRPr="009E4772">
        <w:t>of commercial refrigerated cabinets – namely:</w:t>
      </w:r>
    </w:p>
    <w:p w14:paraId="1C0C5B16" w14:textId="77777777" w:rsidR="005636C7" w:rsidRPr="00B90D3E" w:rsidRDefault="005636C7" w:rsidP="009502D6">
      <w:pPr>
        <w:pStyle w:val="ListBullet"/>
        <w:rPr>
          <w:rFonts w:ascii="Georgia" w:hAnsi="Georgia"/>
        </w:rPr>
      </w:pPr>
      <w:r w:rsidRPr="00B90D3E">
        <w:rPr>
          <w:rFonts w:ascii="Georgia" w:hAnsi="Georgia"/>
        </w:rPr>
        <w:t>Refrigerated display cabinets - commercial fridges designed to display food or drink for sale. These cabinets are used by retailers such as supermarkets, corner stores and bakeries to keep food and beverages cool or frozen. Many are open-fronted (to allow customer or staff access), or include transparent doors or lids. They are currently regulated for energy efficiency in Australia and New Zealand.</w:t>
      </w:r>
    </w:p>
    <w:p w14:paraId="210F29BE" w14:textId="77777777" w:rsidR="005636C7" w:rsidRPr="00B90D3E" w:rsidRDefault="005636C7" w:rsidP="009502D6">
      <w:pPr>
        <w:pStyle w:val="ListBullet"/>
        <w:numPr>
          <w:ilvl w:val="0"/>
          <w:numId w:val="0"/>
        </w:numPr>
        <w:ind w:left="360"/>
        <w:rPr>
          <w:rFonts w:ascii="Georgia" w:hAnsi="Georgia"/>
        </w:rPr>
      </w:pPr>
    </w:p>
    <w:p w14:paraId="5DC13431" w14:textId="77777777" w:rsidR="005636C7" w:rsidRPr="00B90D3E" w:rsidRDefault="005636C7" w:rsidP="009502D6">
      <w:pPr>
        <w:pStyle w:val="ListBullet"/>
        <w:spacing w:after="240"/>
        <w:rPr>
          <w:rFonts w:ascii="Georgia" w:hAnsi="Georgia"/>
        </w:rPr>
      </w:pPr>
      <w:r w:rsidRPr="00B90D3E">
        <w:rPr>
          <w:rFonts w:ascii="Georgia" w:hAnsi="Georgia"/>
        </w:rPr>
        <w:t>Refrigerated storage cabinets - (also known as professional or service cabinets) typically have solid doors, are often used behind the scenes in kitchens or by catering companies and are not intended to display food for sale. They have not been regulated for energy efficiency in Australia or New Zealand even though they use very similar components to refrigerated display cabinets.</w:t>
      </w:r>
    </w:p>
    <w:p w14:paraId="57FC114B" w14:textId="77777777" w:rsidR="005636C7" w:rsidRPr="009E4772" w:rsidRDefault="005636C7" w:rsidP="005636C7">
      <w:pPr>
        <w:pStyle w:val="E3BodyText"/>
        <w:jc w:val="both"/>
      </w:pPr>
      <w:r w:rsidRPr="009E4772">
        <w:t xml:space="preserve">Both </w:t>
      </w:r>
      <w:r>
        <w:t>r</w:t>
      </w:r>
      <w:r w:rsidRPr="009E4772">
        <w:t>efrigerated display and storage cabinets are important in the food sector. They are widely used by a range of companies, from small owner-operated businesses to large companies such as supermarket chains.</w:t>
      </w:r>
    </w:p>
    <w:p w14:paraId="7C304DBF" w14:textId="77777777" w:rsidR="005636C7" w:rsidRDefault="005636C7" w:rsidP="005636C7">
      <w:pPr>
        <w:pStyle w:val="E3BodyText"/>
        <w:jc w:val="both"/>
      </w:pPr>
      <w:r w:rsidRPr="009E4772">
        <w:t>The nature of commercial refrigeration use means that commercial cabinets are commonly used for 24 hours per day, seven days a week – resulting in significant energy use</w:t>
      </w:r>
      <w:r>
        <w:t xml:space="preserve">, running costs and </w:t>
      </w:r>
      <w:r w:rsidRPr="009E4772">
        <w:t xml:space="preserve">greenhouse gas emissions.  </w:t>
      </w:r>
    </w:p>
    <w:p w14:paraId="6423A0FB" w14:textId="77777777" w:rsidR="005636C7" w:rsidRDefault="005636C7" w:rsidP="005636C7">
      <w:pPr>
        <w:pStyle w:val="E3Heading2"/>
        <w:jc w:val="both"/>
      </w:pPr>
    </w:p>
    <w:p w14:paraId="45E39C1E" w14:textId="77777777" w:rsidR="005636C7" w:rsidRDefault="005636C7" w:rsidP="005636C7">
      <w:pPr>
        <w:pStyle w:val="E3Heading2"/>
        <w:jc w:val="both"/>
      </w:pPr>
    </w:p>
    <w:p w14:paraId="47E90A0F" w14:textId="77777777" w:rsidR="005636C7" w:rsidRDefault="005636C7" w:rsidP="005636C7">
      <w:pPr>
        <w:pStyle w:val="E3Heading2"/>
        <w:jc w:val="both"/>
      </w:pPr>
    </w:p>
    <w:p w14:paraId="5233AF26" w14:textId="77777777" w:rsidR="005636C7" w:rsidRDefault="005636C7" w:rsidP="005636C7">
      <w:pPr>
        <w:pStyle w:val="E3Heading2"/>
        <w:jc w:val="both"/>
      </w:pPr>
    </w:p>
    <w:p w14:paraId="23D32C82" w14:textId="77777777" w:rsidR="005636C7" w:rsidRDefault="005636C7" w:rsidP="005636C7">
      <w:pPr>
        <w:pStyle w:val="E3Heading2"/>
        <w:jc w:val="both"/>
      </w:pPr>
    </w:p>
    <w:p w14:paraId="775F39AF" w14:textId="77777777" w:rsidR="005636C7" w:rsidRDefault="005636C7" w:rsidP="005636C7">
      <w:pPr>
        <w:pStyle w:val="E3Heading2"/>
        <w:jc w:val="both"/>
      </w:pPr>
    </w:p>
    <w:p w14:paraId="1B34F333" w14:textId="77777777" w:rsidR="005636C7" w:rsidRDefault="005636C7" w:rsidP="005636C7">
      <w:pPr>
        <w:pStyle w:val="E3Heading2"/>
        <w:jc w:val="both"/>
      </w:pPr>
    </w:p>
    <w:p w14:paraId="5962B27C" w14:textId="77777777" w:rsidR="005636C7" w:rsidRDefault="005636C7" w:rsidP="005636C7">
      <w:pPr>
        <w:pStyle w:val="E3Heading2"/>
        <w:jc w:val="both"/>
      </w:pPr>
    </w:p>
    <w:p w14:paraId="3A661969" w14:textId="77777777" w:rsidR="005636C7" w:rsidRDefault="005636C7" w:rsidP="005636C7">
      <w:pPr>
        <w:pStyle w:val="E3Heading2"/>
        <w:jc w:val="both"/>
      </w:pPr>
    </w:p>
    <w:p w14:paraId="79E9AD3A" w14:textId="77777777" w:rsidR="005636C7" w:rsidRDefault="005636C7" w:rsidP="005636C7">
      <w:pPr>
        <w:pStyle w:val="E3Heading2"/>
        <w:jc w:val="both"/>
      </w:pPr>
    </w:p>
    <w:p w14:paraId="14A79358" w14:textId="77777777" w:rsidR="005636C7" w:rsidRDefault="005636C7" w:rsidP="005636C7">
      <w:pPr>
        <w:pStyle w:val="E3Heading2"/>
        <w:jc w:val="both"/>
      </w:pPr>
    </w:p>
    <w:p w14:paraId="7BCC4173" w14:textId="77777777" w:rsidR="005636C7" w:rsidRPr="002F0385" w:rsidRDefault="005636C7" w:rsidP="005636C7">
      <w:pPr>
        <w:pStyle w:val="E3Heading2"/>
        <w:jc w:val="both"/>
      </w:pPr>
      <w:bookmarkStart w:id="16" w:name="_Toc500151776"/>
      <w:r w:rsidRPr="00F24376">
        <w:t>P</w:t>
      </w:r>
      <w:r w:rsidRPr="002F0385">
        <w:t>roblem</w:t>
      </w:r>
      <w:bookmarkEnd w:id="16"/>
    </w:p>
    <w:p w14:paraId="65F7D89A" w14:textId="77777777" w:rsidR="005636C7" w:rsidRPr="00696C15" w:rsidRDefault="005636C7" w:rsidP="005636C7">
      <w:pPr>
        <w:pStyle w:val="E3BodyText"/>
        <w:jc w:val="both"/>
      </w:pPr>
      <w:r w:rsidRPr="00030397">
        <w:t>Energy use from commercial refrigeration is growing in Australia and New Zealand</w:t>
      </w:r>
      <w:r>
        <w:rPr>
          <w:rStyle w:val="FootnoteReference"/>
        </w:rPr>
        <w:footnoteReference w:id="2"/>
      </w:r>
      <w:r w:rsidRPr="00030397">
        <w:t xml:space="preserve">. </w:t>
      </w:r>
      <w:r>
        <w:t>S</w:t>
      </w:r>
      <w:r w:rsidRPr="00AD114D">
        <w:t xml:space="preserve">ales of commercial refrigerated cabinets are expected to increase by </w:t>
      </w:r>
      <w:r>
        <w:t xml:space="preserve">over 40% by 2035. </w:t>
      </w:r>
      <w:r w:rsidRPr="00030397">
        <w:t xml:space="preserve">Annual energy use from commercial cabinets is estimated </w:t>
      </w:r>
      <w:r>
        <w:t>a</w:t>
      </w:r>
      <w:r w:rsidRPr="00030397">
        <w:t xml:space="preserve">t </w:t>
      </w:r>
      <w:r>
        <w:t>7426</w:t>
      </w:r>
      <w:r w:rsidRPr="00030397">
        <w:t xml:space="preserve">GWh for Australia and New Zealand </w:t>
      </w:r>
      <w:r>
        <w:t xml:space="preserve">in </w:t>
      </w:r>
      <w:r w:rsidRPr="00030397">
        <w:t>2015</w:t>
      </w:r>
      <w:r>
        <w:t xml:space="preserve"> and is forecast to increase to over 9000GWh b</w:t>
      </w:r>
      <w:r w:rsidRPr="0041262C">
        <w:t>y 2035, despite general improvements from existing regulation</w:t>
      </w:r>
      <w:r w:rsidRPr="00696C15">
        <w:t>.</w:t>
      </w:r>
    </w:p>
    <w:p w14:paraId="703D87A6" w14:textId="77777777" w:rsidR="005636C7" w:rsidRDefault="005636C7" w:rsidP="005636C7">
      <w:pPr>
        <w:pStyle w:val="E3BodyText"/>
        <w:jc w:val="both"/>
      </w:pPr>
      <w:r>
        <w:t>Current regulatory requirements applicable to refrigerated commercial cabinets have contributed to the development and supply of more efficient appliances in Australia and New Zealand than would have been the case under BAU. However, there is scope to make significant changes to the regulations that can address the current regulatory problems, namely:</w:t>
      </w:r>
    </w:p>
    <w:p w14:paraId="0389E73D" w14:textId="77777777" w:rsidR="005636C7" w:rsidRPr="00542468" w:rsidRDefault="005636C7" w:rsidP="00B90D3E">
      <w:pPr>
        <w:pStyle w:val="ListBullet"/>
        <w:spacing w:after="240" w:line="276" w:lineRule="auto"/>
        <w:ind w:left="357" w:hanging="357"/>
        <w:jc w:val="both"/>
        <w:rPr>
          <w:rFonts w:ascii="Georgia" w:hAnsi="Georgia"/>
        </w:rPr>
      </w:pPr>
      <w:r w:rsidRPr="00542468">
        <w:rPr>
          <w:rFonts w:ascii="Georgia" w:hAnsi="Georgia"/>
        </w:rPr>
        <w:t xml:space="preserve">MEPS levels are set too low for the Australian and New Zealand markets and are no longer driving improved efficiency. More stringent efficiency levels are required to improve energy use in the commercial refrigerated cabinet sector, reduce consumers’ net costs of commercial refrigeration ownership, and also reduce the negative externality of GHG emissions. </w:t>
      </w:r>
    </w:p>
    <w:p w14:paraId="5C78D36B" w14:textId="77777777" w:rsidR="005636C7" w:rsidRPr="00542468" w:rsidRDefault="005636C7" w:rsidP="00B90D3E">
      <w:pPr>
        <w:pStyle w:val="ListBullet"/>
        <w:spacing w:after="240" w:line="276" w:lineRule="auto"/>
        <w:jc w:val="both"/>
        <w:rPr>
          <w:rFonts w:ascii="Georgia" w:hAnsi="Georgia"/>
        </w:rPr>
      </w:pPr>
      <w:r w:rsidRPr="00542468">
        <w:rPr>
          <w:rFonts w:ascii="Georgia" w:hAnsi="Georgia"/>
        </w:rPr>
        <w:t xml:space="preserve">The scope of the regulations is confusing and complicated and has not kept pace with the market. This means refrigerated storage cabinets that are similar in construction to regulated cabinets, and now account for around 20% of the stock, are not included in the scope of the regulations. </w:t>
      </w:r>
    </w:p>
    <w:p w14:paraId="22539BEB" w14:textId="77777777" w:rsidR="005636C7" w:rsidRPr="00542468" w:rsidRDefault="005636C7" w:rsidP="00B90D3E">
      <w:pPr>
        <w:pStyle w:val="ListBullet"/>
        <w:spacing w:after="240" w:line="276" w:lineRule="auto"/>
        <w:jc w:val="both"/>
        <w:rPr>
          <w:rFonts w:ascii="Georgia" w:hAnsi="Georgia"/>
        </w:rPr>
      </w:pPr>
      <w:r w:rsidRPr="00542468">
        <w:rPr>
          <w:rFonts w:ascii="Georgia" w:hAnsi="Georgia"/>
        </w:rPr>
        <w:t xml:space="preserve">Requiring suppliers to test their appliances to complicated Australian and New Zealand standards, which apply nowhere else in the world make appliance testing more difficult than necessary, resulting in an unnecessarily high regulatory burden that contributes to non-registration of products, especially at the low volume end of the market. </w:t>
      </w:r>
    </w:p>
    <w:p w14:paraId="7C915D5C" w14:textId="77777777" w:rsidR="005636C7" w:rsidRDefault="005636C7" w:rsidP="005636C7">
      <w:pPr>
        <w:pStyle w:val="E3BodyText"/>
        <w:jc w:val="both"/>
      </w:pPr>
      <w:r>
        <w:t xml:space="preserve">These regulatory problems are compounded by market and information failures. The nature of the supply chain in the refrigerated commercial cabinet market means that some buyers are not the end-users creating split incentives regarding cabinet purchase.  There is also a lack of accessible and comparable information about the energy efficiency of cabinets that prevents energy efficiency comparisons between models. Voluntary high efficiency standards that were introduced alongside MEPS have failed to resolve this due to their low uptake, and are now out-of-date. In addition, the health and environmental costs of greenhouse gas emissions (and other pollutants) from electricity generation, constitute negative externalities that are not reflected in the electricity price.  </w:t>
      </w:r>
    </w:p>
    <w:p w14:paraId="6FB78E33" w14:textId="77777777" w:rsidR="005636C7" w:rsidRDefault="005636C7" w:rsidP="005636C7">
      <w:pPr>
        <w:pStyle w:val="E3BodyText"/>
        <w:jc w:val="both"/>
      </w:pPr>
    </w:p>
    <w:p w14:paraId="6FD73D6D" w14:textId="77777777" w:rsidR="005636C7" w:rsidRDefault="005636C7" w:rsidP="005636C7">
      <w:pPr>
        <w:pStyle w:val="E3BodyText"/>
        <w:jc w:val="both"/>
      </w:pPr>
      <w:r>
        <w:t>Consequently there is scope to improve the regulations by:</w:t>
      </w:r>
    </w:p>
    <w:p w14:paraId="2F5C6507" w14:textId="77777777" w:rsidR="005636C7" w:rsidRPr="00B90D3E" w:rsidRDefault="005636C7" w:rsidP="00B90D3E">
      <w:pPr>
        <w:pStyle w:val="ListBullet"/>
        <w:spacing w:line="276" w:lineRule="auto"/>
        <w:rPr>
          <w:rFonts w:ascii="Georgia" w:hAnsi="Georgia"/>
        </w:rPr>
      </w:pPr>
      <w:r w:rsidRPr="00B90D3E">
        <w:rPr>
          <w:rFonts w:ascii="Georgia" w:hAnsi="Georgia"/>
        </w:rPr>
        <w:t>increasing MEPS levels across the board or harmonising with MEPS levels adopted by Europe in 2017</w:t>
      </w:r>
      <w:r w:rsidRPr="00B90D3E">
        <w:rPr>
          <w:rFonts w:ascii="Georgia" w:hAnsi="Georgia"/>
          <w:vertAlign w:val="superscript"/>
        </w:rPr>
        <w:footnoteReference w:id="3"/>
      </w:r>
      <w:r w:rsidRPr="00B90D3E">
        <w:rPr>
          <w:rFonts w:ascii="Georgia" w:hAnsi="Georgia"/>
        </w:rPr>
        <w:t xml:space="preserve">; </w:t>
      </w:r>
    </w:p>
    <w:p w14:paraId="069C7CB6" w14:textId="77777777" w:rsidR="005636C7" w:rsidRPr="00B90D3E" w:rsidRDefault="005636C7" w:rsidP="00B90D3E">
      <w:pPr>
        <w:pStyle w:val="ListBullet"/>
        <w:spacing w:line="276" w:lineRule="auto"/>
        <w:rPr>
          <w:rFonts w:ascii="Georgia" w:hAnsi="Georgia"/>
        </w:rPr>
      </w:pPr>
      <w:r w:rsidRPr="00B90D3E">
        <w:rPr>
          <w:rFonts w:ascii="Georgia" w:hAnsi="Georgia"/>
        </w:rPr>
        <w:t>adopting ISO and IEC test standards</w:t>
      </w:r>
      <w:r w:rsidRPr="00B90D3E">
        <w:rPr>
          <w:rFonts w:ascii="Georgia" w:hAnsi="Georgia"/>
          <w:vertAlign w:val="superscript"/>
        </w:rPr>
        <w:footnoteReference w:id="4"/>
      </w:r>
      <w:r w:rsidRPr="00B90D3E">
        <w:rPr>
          <w:rFonts w:ascii="Georgia" w:hAnsi="Georgia"/>
        </w:rPr>
        <w:t>, rather than a regionally specific Australian and New Zealand test standard</w:t>
      </w:r>
      <w:r w:rsidRPr="00B90D3E">
        <w:rPr>
          <w:rStyle w:val="FootnoteReference"/>
          <w:rFonts w:ascii="Georgia" w:hAnsi="Georgia"/>
        </w:rPr>
        <w:footnoteReference w:id="5"/>
      </w:r>
      <w:r w:rsidRPr="00B90D3E">
        <w:rPr>
          <w:rFonts w:ascii="Georgia" w:hAnsi="Georgia"/>
        </w:rPr>
        <w:t xml:space="preserve">; </w:t>
      </w:r>
    </w:p>
    <w:p w14:paraId="3C690A50" w14:textId="77777777" w:rsidR="005636C7" w:rsidRPr="00B90D3E" w:rsidRDefault="005636C7" w:rsidP="00B90D3E">
      <w:pPr>
        <w:pStyle w:val="ListBullet"/>
        <w:spacing w:line="276" w:lineRule="auto"/>
        <w:rPr>
          <w:rFonts w:ascii="Georgia" w:hAnsi="Georgia"/>
        </w:rPr>
      </w:pPr>
      <w:r w:rsidRPr="00B90D3E">
        <w:rPr>
          <w:rFonts w:ascii="Georgia" w:hAnsi="Georgia"/>
        </w:rPr>
        <w:t xml:space="preserve">including refrigerated storage cabinets in the scope of the regulations; </w:t>
      </w:r>
    </w:p>
    <w:p w14:paraId="24BD81BF" w14:textId="77777777" w:rsidR="005636C7" w:rsidRPr="00B90D3E" w:rsidRDefault="005636C7" w:rsidP="00B90D3E">
      <w:pPr>
        <w:pStyle w:val="ListBullet"/>
        <w:spacing w:line="276" w:lineRule="auto"/>
        <w:rPr>
          <w:rFonts w:ascii="Georgia" w:hAnsi="Georgia"/>
        </w:rPr>
      </w:pPr>
      <w:r w:rsidRPr="00B90D3E">
        <w:rPr>
          <w:rFonts w:ascii="Georgia" w:hAnsi="Georgia"/>
        </w:rPr>
        <w:t xml:space="preserve">providing consumers with accessible and comparable information on refrigerated commercial cabinet energy efficiency and running costs.   </w:t>
      </w:r>
    </w:p>
    <w:p w14:paraId="15273855" w14:textId="77777777" w:rsidR="005636C7" w:rsidRPr="006B6F44" w:rsidRDefault="005636C7" w:rsidP="005636C7">
      <w:pPr>
        <w:pStyle w:val="E3Bullets"/>
        <w:ind w:left="227"/>
        <w:jc w:val="both"/>
      </w:pPr>
      <w:r>
        <w:t xml:space="preserve"> </w:t>
      </w:r>
    </w:p>
    <w:p w14:paraId="1CA8D458" w14:textId="77777777" w:rsidR="005636C7" w:rsidRPr="00F24376" w:rsidRDefault="005636C7" w:rsidP="005636C7">
      <w:pPr>
        <w:pStyle w:val="E3Heading2"/>
        <w:jc w:val="both"/>
      </w:pPr>
      <w:bookmarkStart w:id="17" w:name="_Toc500151777"/>
      <w:r w:rsidRPr="00F24376">
        <w:t>Objective</w:t>
      </w:r>
      <w:bookmarkEnd w:id="17"/>
    </w:p>
    <w:p w14:paraId="13E7080B" w14:textId="77777777" w:rsidR="005636C7" w:rsidRDefault="005636C7" w:rsidP="005636C7">
      <w:pPr>
        <w:pStyle w:val="E3BodyText"/>
        <w:jc w:val="both"/>
      </w:pPr>
      <w:r w:rsidRPr="00104ACE">
        <w:t>The</w:t>
      </w:r>
      <w:r w:rsidRPr="009E4772">
        <w:t xml:space="preserve"> objective of the proposed government action is to </w:t>
      </w:r>
      <w:r>
        <w:t xml:space="preserve">resolve problems with </w:t>
      </w:r>
      <w:r w:rsidRPr="009E4772">
        <w:t>the existing</w:t>
      </w:r>
      <w:r>
        <w:t xml:space="preserve"> regulations that impede the supply and purchase of energy efficient cabinets and to remove market and information failures that persist under the status quo. </w:t>
      </w:r>
    </w:p>
    <w:p w14:paraId="212C39D5" w14:textId="77777777" w:rsidR="005636C7" w:rsidRPr="007602B5" w:rsidRDefault="005636C7" w:rsidP="005636C7">
      <w:pPr>
        <w:pStyle w:val="E3BodyText"/>
        <w:jc w:val="both"/>
      </w:pPr>
      <w:r w:rsidRPr="00104ACE">
        <w:t>The</w:t>
      </w:r>
      <w:r>
        <w:t xml:space="preserve"> proposed regulatory action will help Australia and New Zealand to meet their climate change commitments, by improving energy efficiency and reducing greenhouse gas emissions. It will also ensure that the regulations remain relevant and effective over time.</w:t>
      </w:r>
    </w:p>
    <w:p w14:paraId="38B35DD2" w14:textId="77777777" w:rsidR="005636C7" w:rsidRPr="00F24376" w:rsidRDefault="005636C7" w:rsidP="005636C7">
      <w:pPr>
        <w:pStyle w:val="E3Heading2"/>
        <w:jc w:val="both"/>
      </w:pPr>
      <w:bookmarkStart w:id="18" w:name="_Toc500151778"/>
      <w:r w:rsidRPr="00F24376">
        <w:t>Policy options</w:t>
      </w:r>
      <w:bookmarkEnd w:id="18"/>
    </w:p>
    <w:p w14:paraId="54231907" w14:textId="77777777" w:rsidR="005636C7" w:rsidRPr="009E4772" w:rsidRDefault="005636C7" w:rsidP="005636C7">
      <w:pPr>
        <w:pStyle w:val="E3BodyText"/>
        <w:jc w:val="both"/>
      </w:pPr>
      <w:r>
        <w:t>Five</w:t>
      </w:r>
      <w:r w:rsidRPr="009E4772">
        <w:t xml:space="preserve"> policy options have been identified to </w:t>
      </w:r>
      <w:r>
        <w:t>resolve</w:t>
      </w:r>
      <w:r w:rsidRPr="009E4772">
        <w:t xml:space="preserve"> these problems and improve the energy efficiency of </w:t>
      </w:r>
      <w:r>
        <w:t xml:space="preserve">refrigerated </w:t>
      </w:r>
      <w:r w:rsidRPr="009E4772">
        <w:t xml:space="preserve">commercial cabinets. </w:t>
      </w:r>
      <w:r>
        <w:t xml:space="preserve">There are three </w:t>
      </w:r>
      <w:r w:rsidRPr="009E4772">
        <w:t xml:space="preserve">regulatory options </w:t>
      </w:r>
      <w:r>
        <w:t>which all involve including refrigerated storage cabinets in the scope of the regulation, increased MEPS levels, adoption of International and European test Standards, and the introduction of</w:t>
      </w:r>
      <w:r w:rsidRPr="009E4772">
        <w:t xml:space="preserve"> </w:t>
      </w:r>
      <w:r>
        <w:t xml:space="preserve">voluntary online </w:t>
      </w:r>
      <w:r w:rsidRPr="009E4772">
        <w:t>labelling</w:t>
      </w:r>
      <w:r>
        <w:t xml:space="preserve"> (which replaces the mandatory labelling previously proposed).</w:t>
      </w:r>
    </w:p>
    <w:p w14:paraId="61841648" w14:textId="77777777" w:rsidR="005636C7" w:rsidRPr="009E4772" w:rsidRDefault="005636C7" w:rsidP="005636C7">
      <w:pPr>
        <w:pStyle w:val="E3BodyText"/>
        <w:jc w:val="both"/>
      </w:pPr>
      <w:r w:rsidRPr="009E4772">
        <w:t xml:space="preserve">The five options </w:t>
      </w:r>
      <w:r>
        <w:t>are</w:t>
      </w:r>
      <w:r w:rsidRPr="009E4772">
        <w:t xml:space="preserve">: </w:t>
      </w:r>
    </w:p>
    <w:p w14:paraId="2357A1D9" w14:textId="77777777" w:rsidR="005636C7" w:rsidRDefault="005636C7" w:rsidP="00B90D3E">
      <w:pPr>
        <w:pStyle w:val="ListBullet"/>
        <w:spacing w:line="276" w:lineRule="auto"/>
        <w:rPr>
          <w:rFonts w:ascii="Georgia" w:hAnsi="Georgia"/>
        </w:rPr>
      </w:pPr>
      <w:r w:rsidRPr="00B90D3E">
        <w:rPr>
          <w:rFonts w:ascii="Georgia" w:hAnsi="Georgia"/>
          <w:b/>
        </w:rPr>
        <w:t>Option 1</w:t>
      </w:r>
      <w:r w:rsidRPr="00B90D3E">
        <w:rPr>
          <w:rFonts w:ascii="Georgia" w:hAnsi="Georgia"/>
        </w:rPr>
        <w:t>: Business as Usual (BAU) – no change to current MEPS requirements which primarily covers refrigerated display cabinets.</w:t>
      </w:r>
    </w:p>
    <w:p w14:paraId="604AF5FD" w14:textId="77777777" w:rsidR="00B90D3E" w:rsidRPr="00B90D3E" w:rsidRDefault="00B90D3E" w:rsidP="00B90D3E">
      <w:pPr>
        <w:pStyle w:val="ListBullet"/>
        <w:numPr>
          <w:ilvl w:val="0"/>
          <w:numId w:val="0"/>
        </w:numPr>
        <w:spacing w:line="276" w:lineRule="auto"/>
        <w:ind w:left="360"/>
        <w:rPr>
          <w:rFonts w:ascii="Georgia" w:hAnsi="Georgia"/>
        </w:rPr>
      </w:pPr>
    </w:p>
    <w:p w14:paraId="52AC33BF" w14:textId="623303D4" w:rsidR="00B90D3E" w:rsidRDefault="005636C7" w:rsidP="00B90D3E">
      <w:pPr>
        <w:pStyle w:val="ListBullet"/>
        <w:spacing w:before="240" w:after="240" w:line="276" w:lineRule="auto"/>
        <w:rPr>
          <w:rFonts w:ascii="Georgia" w:hAnsi="Georgia"/>
        </w:rPr>
      </w:pPr>
      <w:r w:rsidRPr="00B90D3E">
        <w:rPr>
          <w:rFonts w:ascii="Georgia" w:hAnsi="Georgia"/>
          <w:b/>
        </w:rPr>
        <w:t>Option 2:</w:t>
      </w:r>
      <w:r w:rsidRPr="00B90D3E">
        <w:rPr>
          <w:rFonts w:ascii="Georgia" w:hAnsi="Georgia"/>
        </w:rPr>
        <w:t xml:space="preserve"> Adopting ISO (international) test method for refrigerated display cabinets and EN (European) test methods for other refrigerated display cabinet types and storage cabinets. Australasian MEPS increased to affect the least efficient 10% of cabinet models, based on groups of similar cabinet types (European method), with voluntary online labelling added. </w:t>
      </w:r>
    </w:p>
    <w:p w14:paraId="5A4D4A94" w14:textId="77777777" w:rsidR="00B90D3E" w:rsidRPr="00B90D3E" w:rsidRDefault="00B90D3E" w:rsidP="00B90D3E">
      <w:pPr>
        <w:pStyle w:val="ListBullet"/>
        <w:numPr>
          <w:ilvl w:val="0"/>
          <w:numId w:val="0"/>
        </w:numPr>
        <w:spacing w:before="240" w:after="240" w:line="276" w:lineRule="auto"/>
        <w:rPr>
          <w:rFonts w:ascii="Georgia" w:hAnsi="Georgia"/>
        </w:rPr>
      </w:pPr>
    </w:p>
    <w:p w14:paraId="572E5A03" w14:textId="77777777" w:rsidR="005636C7" w:rsidRDefault="005636C7" w:rsidP="00B90D3E">
      <w:pPr>
        <w:pStyle w:val="ListBullet"/>
        <w:spacing w:line="276" w:lineRule="auto"/>
        <w:rPr>
          <w:rFonts w:ascii="Georgia" w:hAnsi="Georgia"/>
        </w:rPr>
      </w:pPr>
      <w:r w:rsidRPr="00B90D3E">
        <w:rPr>
          <w:rFonts w:ascii="Georgia" w:hAnsi="Georgia"/>
          <w:b/>
        </w:rPr>
        <w:t>Option 3:</w:t>
      </w:r>
      <w:r w:rsidRPr="00B90D3E">
        <w:rPr>
          <w:rFonts w:ascii="Georgia" w:hAnsi="Georgia"/>
        </w:rPr>
        <w:t xml:space="preserve"> As per Option 2 except Australasian MEPS increased to affect the least efficient 30% of models per group. </w:t>
      </w:r>
    </w:p>
    <w:p w14:paraId="5FC86907" w14:textId="77777777" w:rsidR="00B90D3E" w:rsidRDefault="00B90D3E" w:rsidP="00B90D3E">
      <w:pPr>
        <w:pStyle w:val="ListParagraph"/>
        <w:rPr>
          <w:rFonts w:ascii="Georgia" w:hAnsi="Georgia"/>
        </w:rPr>
      </w:pPr>
    </w:p>
    <w:p w14:paraId="24B21B27" w14:textId="77777777" w:rsidR="00B90D3E" w:rsidRPr="00B90D3E" w:rsidRDefault="00B90D3E" w:rsidP="00B90D3E">
      <w:pPr>
        <w:pStyle w:val="ListBullet"/>
        <w:numPr>
          <w:ilvl w:val="0"/>
          <w:numId w:val="0"/>
        </w:numPr>
        <w:spacing w:line="276" w:lineRule="auto"/>
        <w:ind w:left="360" w:hanging="360"/>
        <w:rPr>
          <w:rFonts w:ascii="Georgia" w:hAnsi="Georgia"/>
        </w:rPr>
      </w:pPr>
    </w:p>
    <w:p w14:paraId="3DA499C9" w14:textId="77777777" w:rsidR="005636C7" w:rsidRPr="00B90D3E" w:rsidRDefault="005636C7" w:rsidP="00B90D3E">
      <w:pPr>
        <w:pStyle w:val="ListBullet"/>
        <w:spacing w:line="276" w:lineRule="auto"/>
        <w:rPr>
          <w:rFonts w:ascii="Georgia" w:hAnsi="Georgia"/>
        </w:rPr>
      </w:pPr>
      <w:r w:rsidRPr="00B90D3E">
        <w:rPr>
          <w:rFonts w:ascii="Georgia" w:hAnsi="Georgia"/>
          <w:b/>
        </w:rPr>
        <w:t>Option 4</w:t>
      </w:r>
      <w:r w:rsidRPr="00B90D3E">
        <w:rPr>
          <w:rFonts w:ascii="Georgia" w:hAnsi="Georgia"/>
        </w:rPr>
        <w:t xml:space="preserve"> As per Option 3 except Australasian MEPS to align with European Commission MEPS levels. Approximately 25% of the market is affected, with some groups affected more than others.  (See Table 1 below for the relevant standards and EC MEPS levels).</w:t>
      </w:r>
    </w:p>
    <w:p w14:paraId="6EAC79A0" w14:textId="77777777" w:rsidR="005636C7" w:rsidRPr="00B90D3E" w:rsidRDefault="005636C7" w:rsidP="005636C7">
      <w:pPr>
        <w:pStyle w:val="E3Bullets"/>
        <w:jc w:val="both"/>
      </w:pPr>
    </w:p>
    <w:p w14:paraId="69C2E582" w14:textId="77777777" w:rsidR="005636C7" w:rsidRPr="00B90D3E" w:rsidRDefault="005636C7" w:rsidP="00B90D3E">
      <w:pPr>
        <w:pStyle w:val="ListBullet"/>
        <w:rPr>
          <w:rFonts w:ascii="Georgia" w:hAnsi="Georgia"/>
        </w:rPr>
      </w:pPr>
      <w:r w:rsidRPr="00B90D3E">
        <w:rPr>
          <w:rFonts w:ascii="Georgia" w:hAnsi="Georgia"/>
          <w:b/>
        </w:rPr>
        <w:t>Option 5:</w:t>
      </w:r>
      <w:r w:rsidRPr="00B90D3E">
        <w:rPr>
          <w:rFonts w:ascii="Georgia" w:hAnsi="Georgia"/>
        </w:rPr>
        <w:t xml:space="preserve"> Non-regulatory options in addition to BAU and as an alternative to regulatory intervention.</w:t>
      </w:r>
      <w:bookmarkStart w:id="19" w:name="_Toc494142451"/>
    </w:p>
    <w:p w14:paraId="74EBAC20" w14:textId="77777777" w:rsidR="005636C7" w:rsidRPr="004C3E41" w:rsidRDefault="005636C7" w:rsidP="005636C7">
      <w:pPr>
        <w:pStyle w:val="E3TableTitles"/>
        <w:jc w:val="both"/>
      </w:pPr>
      <w:bookmarkStart w:id="20" w:name="_Toc500159651"/>
      <w:r w:rsidRPr="004C3E41">
        <w:t xml:space="preserve">Table </w:t>
      </w:r>
      <w:r w:rsidRPr="004C3E41">
        <w:fldChar w:fldCharType="begin"/>
      </w:r>
      <w:r w:rsidRPr="004C3E41">
        <w:instrText xml:space="preserve"> SEQ Table \* ARABIC </w:instrText>
      </w:r>
      <w:r w:rsidRPr="004C3E41">
        <w:fldChar w:fldCharType="separate"/>
      </w:r>
      <w:r w:rsidR="00AC6998">
        <w:rPr>
          <w:noProof/>
        </w:rPr>
        <w:t>1</w:t>
      </w:r>
      <w:r w:rsidRPr="004C3E41">
        <w:fldChar w:fldCharType="end"/>
      </w:r>
      <w:r w:rsidRPr="004C3E41">
        <w:t>: Published and draft EN Standards and EC MEPS levels (and the parts which are not currently being considered for adoption in Australia and New Zealand).</w:t>
      </w:r>
      <w:bookmarkEnd w:id="19"/>
      <w:bookmarkEnd w:id="20"/>
    </w:p>
    <w:tbl>
      <w:tblPr>
        <w:tblpPr w:leftFromText="180" w:rightFromText="180" w:vertAnchor="text" w:horzAnchor="margin" w:tblpX="216" w:tblpY="158"/>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1369"/>
        <w:gridCol w:w="1417"/>
        <w:gridCol w:w="3478"/>
      </w:tblGrid>
      <w:tr w:rsidR="005636C7" w:rsidRPr="00C30B82" w14:paraId="534F8071" w14:textId="77777777" w:rsidTr="005636C7">
        <w:trPr>
          <w:trHeight w:val="397"/>
        </w:trPr>
        <w:tc>
          <w:tcPr>
            <w:tcW w:w="2984" w:type="dxa"/>
            <w:shd w:val="clear" w:color="auto" w:fill="000000" w:themeFill="text1"/>
            <w:vAlign w:val="center"/>
            <w:hideMark/>
          </w:tcPr>
          <w:p w14:paraId="10374A27" w14:textId="77777777" w:rsidR="005636C7" w:rsidRPr="00D646FE" w:rsidRDefault="005636C7" w:rsidP="005636C7">
            <w:pPr>
              <w:jc w:val="both"/>
              <w:rPr>
                <w:rFonts w:ascii="Helvetica" w:hAnsi="Helvetica" w:cs="Helvetica"/>
                <w:b/>
                <w:color w:val="FFFFFF" w:themeColor="background1"/>
                <w:sz w:val="15"/>
                <w:szCs w:val="15"/>
                <w:lang w:val="en-NZ" w:eastAsia="en-NZ"/>
              </w:rPr>
            </w:pPr>
          </w:p>
        </w:tc>
        <w:tc>
          <w:tcPr>
            <w:tcW w:w="1369" w:type="dxa"/>
            <w:shd w:val="clear" w:color="auto" w:fill="000000" w:themeFill="text1"/>
            <w:vAlign w:val="center"/>
            <w:hideMark/>
          </w:tcPr>
          <w:p w14:paraId="34247DD4" w14:textId="77777777" w:rsidR="005636C7" w:rsidRPr="00962264" w:rsidRDefault="005636C7" w:rsidP="005636C7">
            <w:pPr>
              <w:jc w:val="both"/>
              <w:rPr>
                <w:rFonts w:ascii="Helvetica" w:hAnsi="Helvetica" w:cs="Helvetica"/>
                <w:b/>
                <w:color w:val="FFFFFF" w:themeColor="background1"/>
                <w:sz w:val="15"/>
                <w:szCs w:val="15"/>
                <w:lang w:val="en-NZ" w:eastAsia="en-NZ"/>
              </w:rPr>
            </w:pPr>
            <w:r w:rsidRPr="00962264">
              <w:rPr>
                <w:rFonts w:ascii="Helvetica" w:hAnsi="Helvetica" w:cs="Helvetica"/>
                <w:b/>
                <w:color w:val="FFFFFF" w:themeColor="background1"/>
                <w:sz w:val="15"/>
                <w:szCs w:val="15"/>
                <w:lang w:val="en-NZ" w:eastAsia="en-NZ"/>
              </w:rPr>
              <w:t>Standards</w:t>
            </w:r>
          </w:p>
          <w:p w14:paraId="76FC08AD" w14:textId="77777777" w:rsidR="005636C7" w:rsidRPr="00D646FE" w:rsidRDefault="005636C7" w:rsidP="005636C7">
            <w:pPr>
              <w:jc w:val="both"/>
              <w:rPr>
                <w:rFonts w:ascii="Helvetica" w:hAnsi="Helvetica" w:cs="Helvetica"/>
                <w:b/>
                <w:color w:val="FFFFFF" w:themeColor="background1"/>
                <w:sz w:val="15"/>
                <w:szCs w:val="15"/>
                <w:lang w:val="en-NZ" w:eastAsia="en-NZ"/>
              </w:rPr>
            </w:pPr>
            <w:r w:rsidRPr="00A4659E">
              <w:rPr>
                <w:rFonts w:ascii="Helvetica" w:hAnsi="Helvetica" w:cs="Helvetica"/>
                <w:b/>
                <w:color w:val="FFFFFF" w:themeColor="background1"/>
                <w:sz w:val="15"/>
                <w:szCs w:val="15"/>
                <w:lang w:val="en-NZ" w:eastAsia="en-NZ"/>
              </w:rPr>
              <w:t xml:space="preserve">Published </w:t>
            </w:r>
          </w:p>
        </w:tc>
        <w:tc>
          <w:tcPr>
            <w:tcW w:w="1417" w:type="dxa"/>
            <w:shd w:val="clear" w:color="auto" w:fill="000000" w:themeFill="text1"/>
            <w:vAlign w:val="center"/>
          </w:tcPr>
          <w:p w14:paraId="3DE5CCCF" w14:textId="77777777" w:rsidR="005636C7" w:rsidRPr="00962264" w:rsidRDefault="005636C7" w:rsidP="005636C7">
            <w:pPr>
              <w:jc w:val="both"/>
              <w:rPr>
                <w:rFonts w:ascii="Helvetica" w:hAnsi="Helvetica" w:cs="Helvetica"/>
                <w:b/>
                <w:color w:val="FFFFFF" w:themeColor="background1"/>
                <w:sz w:val="15"/>
                <w:szCs w:val="15"/>
                <w:lang w:val="en-NZ" w:eastAsia="en-NZ"/>
              </w:rPr>
            </w:pPr>
            <w:r w:rsidRPr="00962264">
              <w:rPr>
                <w:rFonts w:ascii="Helvetica" w:hAnsi="Helvetica" w:cs="Helvetica"/>
                <w:b/>
                <w:color w:val="FFFFFF" w:themeColor="background1"/>
                <w:sz w:val="15"/>
                <w:szCs w:val="15"/>
                <w:lang w:val="en-NZ" w:eastAsia="en-NZ"/>
              </w:rPr>
              <w:t>EC MEPS levels</w:t>
            </w:r>
          </w:p>
          <w:p w14:paraId="33EEF3B2" w14:textId="77777777" w:rsidR="005636C7" w:rsidRPr="00D646FE" w:rsidRDefault="005636C7" w:rsidP="005636C7">
            <w:pPr>
              <w:jc w:val="both"/>
              <w:rPr>
                <w:rFonts w:ascii="Helvetica" w:hAnsi="Helvetica" w:cs="Helvetica"/>
                <w:b/>
                <w:color w:val="FFFFFF" w:themeColor="background1"/>
                <w:sz w:val="15"/>
                <w:szCs w:val="15"/>
                <w:lang w:val="en-NZ" w:eastAsia="en-NZ"/>
              </w:rPr>
            </w:pPr>
            <w:r w:rsidRPr="00A4659E">
              <w:rPr>
                <w:rFonts w:ascii="Helvetica" w:hAnsi="Helvetica" w:cs="Helvetica"/>
                <w:b/>
                <w:color w:val="FFFFFF" w:themeColor="background1"/>
                <w:sz w:val="15"/>
                <w:szCs w:val="15"/>
                <w:lang w:val="en-NZ" w:eastAsia="en-NZ"/>
              </w:rPr>
              <w:t>Published</w:t>
            </w:r>
          </w:p>
        </w:tc>
        <w:tc>
          <w:tcPr>
            <w:tcW w:w="3478" w:type="dxa"/>
            <w:shd w:val="clear" w:color="auto" w:fill="000000" w:themeFill="text1"/>
            <w:vAlign w:val="center"/>
          </w:tcPr>
          <w:p w14:paraId="7107CCFA" w14:textId="77777777" w:rsidR="005636C7" w:rsidRPr="00D646FE" w:rsidRDefault="005636C7" w:rsidP="005636C7">
            <w:pPr>
              <w:jc w:val="both"/>
              <w:rPr>
                <w:rFonts w:ascii="Helvetica" w:hAnsi="Helvetica" w:cs="Helvetica"/>
                <w:b/>
                <w:color w:val="FFFFFF" w:themeColor="background1"/>
                <w:sz w:val="15"/>
                <w:szCs w:val="15"/>
                <w:lang w:val="en-NZ" w:eastAsia="en-NZ"/>
              </w:rPr>
            </w:pPr>
            <w:r w:rsidRPr="00962264">
              <w:rPr>
                <w:rFonts w:ascii="Helvetica" w:hAnsi="Helvetica" w:cs="Helvetica"/>
                <w:b/>
                <w:color w:val="FFFFFF" w:themeColor="background1"/>
                <w:sz w:val="15"/>
                <w:szCs w:val="15"/>
                <w:lang w:val="en-NZ" w:eastAsia="en-NZ"/>
              </w:rPr>
              <w:t>Parts of standards or regulations that are not being considered by current proposals</w:t>
            </w:r>
          </w:p>
        </w:tc>
      </w:tr>
      <w:tr w:rsidR="005636C7" w:rsidRPr="00C30B82" w14:paraId="45A66000" w14:textId="77777777" w:rsidTr="005636C7">
        <w:trPr>
          <w:trHeight w:val="397"/>
        </w:trPr>
        <w:tc>
          <w:tcPr>
            <w:tcW w:w="2984" w:type="dxa"/>
            <w:shd w:val="clear" w:color="auto" w:fill="auto"/>
            <w:vAlign w:val="center"/>
            <w:hideMark/>
          </w:tcPr>
          <w:p w14:paraId="2BFF3F00"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ISO 23953 Refrigerat</w:t>
            </w:r>
            <w:r w:rsidRPr="00A4659E">
              <w:rPr>
                <w:rFonts w:ascii="Helvetica" w:hAnsi="Helvetica" w:cs="Helvetica"/>
                <w:b/>
                <w:sz w:val="15"/>
                <w:szCs w:val="15"/>
                <w:lang w:val="en-NZ" w:eastAsia="en-NZ"/>
              </w:rPr>
              <w:t>ed Display Cabinets</w:t>
            </w:r>
          </w:p>
        </w:tc>
        <w:tc>
          <w:tcPr>
            <w:tcW w:w="1369" w:type="dxa"/>
            <w:shd w:val="clear" w:color="auto" w:fill="auto"/>
            <w:vAlign w:val="center"/>
            <w:hideMark/>
          </w:tcPr>
          <w:p w14:paraId="7A20B591" w14:textId="77777777" w:rsidR="005636C7" w:rsidRPr="001A279D" w:rsidRDefault="005636C7" w:rsidP="005636C7">
            <w:pPr>
              <w:pStyle w:val="E3tabletext1"/>
              <w:jc w:val="both"/>
              <w:rPr>
                <w:rFonts w:ascii="Helvetica" w:hAnsi="Helvetica" w:cs="Helvetica"/>
                <w:sz w:val="15"/>
                <w:szCs w:val="15"/>
                <w:lang w:val="en-NZ"/>
              </w:rPr>
            </w:pPr>
            <w:r w:rsidRPr="00962264">
              <w:rPr>
                <w:rFonts w:ascii="Helvetica" w:hAnsi="Helvetica" w:cs="Helvetica"/>
                <w:sz w:val="15"/>
                <w:szCs w:val="15"/>
                <w:lang w:val="en-NZ"/>
              </w:rPr>
              <w:t>Published</w:t>
            </w:r>
          </w:p>
        </w:tc>
        <w:tc>
          <w:tcPr>
            <w:tcW w:w="1417" w:type="dxa"/>
            <w:shd w:val="clear" w:color="auto" w:fill="auto"/>
            <w:vAlign w:val="center"/>
          </w:tcPr>
          <w:p w14:paraId="53E28252"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lang w:val="en-NZ"/>
              </w:rPr>
              <w:t>Draft</w:t>
            </w:r>
          </w:p>
        </w:tc>
        <w:tc>
          <w:tcPr>
            <w:tcW w:w="3478" w:type="dxa"/>
            <w:shd w:val="clear" w:color="auto" w:fill="auto"/>
            <w:vAlign w:val="center"/>
          </w:tcPr>
          <w:p w14:paraId="33AE6D5D"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rPr>
              <w:t>Beverage Vending machines</w:t>
            </w:r>
          </w:p>
        </w:tc>
      </w:tr>
      <w:tr w:rsidR="005636C7" w:rsidRPr="00C30B82" w14:paraId="4B9A7D46" w14:textId="77777777" w:rsidTr="005636C7">
        <w:trPr>
          <w:trHeight w:val="397"/>
        </w:trPr>
        <w:tc>
          <w:tcPr>
            <w:tcW w:w="2984" w:type="dxa"/>
            <w:shd w:val="clear" w:color="auto" w:fill="auto"/>
            <w:vAlign w:val="center"/>
            <w:hideMark/>
          </w:tcPr>
          <w:p w14:paraId="1ABDCA53"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 xml:space="preserve">EN 16825 </w:t>
            </w:r>
            <w:r w:rsidRPr="00A4659E">
              <w:rPr>
                <w:rFonts w:ascii="Helvetica" w:hAnsi="Helvetica" w:cs="Helvetica"/>
                <w:b/>
                <w:sz w:val="15"/>
                <w:szCs w:val="15"/>
              </w:rPr>
              <w:t>Refrigerated Storage Cabinets and Counters for Professional Use</w:t>
            </w:r>
          </w:p>
        </w:tc>
        <w:tc>
          <w:tcPr>
            <w:tcW w:w="1369" w:type="dxa"/>
            <w:shd w:val="clear" w:color="auto" w:fill="auto"/>
            <w:vAlign w:val="center"/>
          </w:tcPr>
          <w:p w14:paraId="7E07A252"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1417" w:type="dxa"/>
            <w:shd w:val="clear" w:color="auto" w:fill="auto"/>
            <w:vAlign w:val="center"/>
          </w:tcPr>
          <w:p w14:paraId="05EB31A2"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3478" w:type="dxa"/>
            <w:shd w:val="clear" w:color="auto" w:fill="auto"/>
          </w:tcPr>
          <w:p w14:paraId="2ADBC17C"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rPr>
              <w:t>Blast cabinets, condensing units and process chillers</w:t>
            </w:r>
          </w:p>
        </w:tc>
      </w:tr>
      <w:tr w:rsidR="005636C7" w:rsidRPr="00C30B82" w14:paraId="6D486F96" w14:textId="77777777" w:rsidTr="005636C7">
        <w:trPr>
          <w:trHeight w:val="397"/>
        </w:trPr>
        <w:tc>
          <w:tcPr>
            <w:tcW w:w="2984" w:type="dxa"/>
            <w:shd w:val="clear" w:color="auto" w:fill="auto"/>
            <w:vAlign w:val="center"/>
          </w:tcPr>
          <w:p w14:paraId="00C4CE5C"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 xml:space="preserve">EN 16901 Small </w:t>
            </w:r>
            <w:r w:rsidRPr="00A4659E">
              <w:rPr>
                <w:rFonts w:ascii="Helvetica" w:hAnsi="Helvetica" w:cs="Helvetica"/>
                <w:b/>
                <w:sz w:val="15"/>
                <w:szCs w:val="15"/>
                <w:lang w:val="en-NZ" w:eastAsia="en-NZ"/>
              </w:rPr>
              <w:t>Ice-cream Freezers</w:t>
            </w:r>
          </w:p>
        </w:tc>
        <w:tc>
          <w:tcPr>
            <w:tcW w:w="1369" w:type="dxa"/>
            <w:shd w:val="clear" w:color="auto" w:fill="auto"/>
            <w:vAlign w:val="center"/>
          </w:tcPr>
          <w:p w14:paraId="192D506D"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rPr>
              <w:t>Published</w:t>
            </w:r>
          </w:p>
        </w:tc>
        <w:tc>
          <w:tcPr>
            <w:tcW w:w="1417" w:type="dxa"/>
            <w:shd w:val="clear" w:color="auto" w:fill="auto"/>
            <w:vAlign w:val="center"/>
          </w:tcPr>
          <w:p w14:paraId="7A73377E"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lang w:val="en-NZ"/>
              </w:rPr>
              <w:t>D</w:t>
            </w:r>
            <w:r w:rsidRPr="00A4659E">
              <w:rPr>
                <w:rFonts w:ascii="Helvetica" w:hAnsi="Helvetica" w:cs="Helvetica"/>
                <w:sz w:val="15"/>
                <w:szCs w:val="15"/>
                <w:lang w:val="en-NZ"/>
              </w:rPr>
              <w:t>raft</w:t>
            </w:r>
          </w:p>
        </w:tc>
        <w:tc>
          <w:tcPr>
            <w:tcW w:w="3478" w:type="dxa"/>
            <w:shd w:val="clear" w:color="auto" w:fill="auto"/>
          </w:tcPr>
          <w:p w14:paraId="3124D692" w14:textId="77777777" w:rsidR="005636C7" w:rsidRPr="001A279D" w:rsidRDefault="005636C7" w:rsidP="005636C7">
            <w:pPr>
              <w:pStyle w:val="E3tabletext1"/>
              <w:jc w:val="both"/>
              <w:rPr>
                <w:rFonts w:ascii="Helvetica" w:hAnsi="Helvetica" w:cs="Helvetica"/>
                <w:sz w:val="15"/>
                <w:szCs w:val="15"/>
              </w:rPr>
            </w:pPr>
          </w:p>
        </w:tc>
      </w:tr>
      <w:tr w:rsidR="005636C7" w:rsidRPr="00C30B82" w14:paraId="01375151" w14:textId="77777777" w:rsidTr="005636C7">
        <w:trPr>
          <w:trHeight w:val="397"/>
        </w:trPr>
        <w:tc>
          <w:tcPr>
            <w:tcW w:w="2984" w:type="dxa"/>
            <w:shd w:val="clear" w:color="auto" w:fill="auto"/>
            <w:vAlign w:val="center"/>
          </w:tcPr>
          <w:p w14:paraId="0EEDB173" w14:textId="77777777" w:rsidR="005636C7" w:rsidRPr="00D646FE" w:rsidRDefault="005636C7" w:rsidP="005636C7">
            <w:pPr>
              <w:jc w:val="both"/>
              <w:rPr>
                <w:rFonts w:ascii="Helvetica" w:hAnsi="Helvetica" w:cs="Helvetica"/>
                <w:b/>
                <w:sz w:val="15"/>
                <w:szCs w:val="15"/>
                <w:lang w:val="en-NZ" w:eastAsia="en-NZ"/>
              </w:rPr>
            </w:pPr>
            <w:r w:rsidRPr="00962264">
              <w:rPr>
                <w:rFonts w:ascii="Helvetica" w:hAnsi="Helvetica" w:cs="Helvetica"/>
                <w:b/>
                <w:sz w:val="15"/>
                <w:szCs w:val="15"/>
                <w:lang w:val="en-NZ" w:eastAsia="en-NZ"/>
              </w:rPr>
              <w:t>EN 16838 Refrigerated Display S</w:t>
            </w:r>
            <w:r w:rsidRPr="00A4659E">
              <w:rPr>
                <w:rFonts w:ascii="Helvetica" w:hAnsi="Helvetica" w:cs="Helvetica"/>
                <w:b/>
                <w:sz w:val="15"/>
                <w:szCs w:val="15"/>
                <w:lang w:val="en-NZ" w:eastAsia="en-NZ"/>
              </w:rPr>
              <w:t xml:space="preserve">cooping Cabinets for Gelato (soft scoop) </w:t>
            </w:r>
          </w:p>
        </w:tc>
        <w:tc>
          <w:tcPr>
            <w:tcW w:w="1369" w:type="dxa"/>
            <w:shd w:val="clear" w:color="auto" w:fill="auto"/>
            <w:vAlign w:val="center"/>
          </w:tcPr>
          <w:p w14:paraId="4FBD483E" w14:textId="77777777" w:rsidR="005636C7" w:rsidRPr="001A279D" w:rsidRDefault="005636C7" w:rsidP="005636C7">
            <w:pPr>
              <w:pStyle w:val="E3tabletext1"/>
              <w:jc w:val="both"/>
              <w:rPr>
                <w:rFonts w:ascii="Helvetica" w:hAnsi="Helvetica" w:cs="Helvetica"/>
                <w:sz w:val="15"/>
                <w:szCs w:val="15"/>
              </w:rPr>
            </w:pPr>
            <w:r w:rsidRPr="00962264">
              <w:rPr>
                <w:rFonts w:ascii="Helvetica" w:hAnsi="Helvetica" w:cs="Helvetica"/>
                <w:sz w:val="15"/>
                <w:szCs w:val="15"/>
                <w:lang w:val="en-NZ"/>
              </w:rPr>
              <w:t>Published</w:t>
            </w:r>
          </w:p>
        </w:tc>
        <w:tc>
          <w:tcPr>
            <w:tcW w:w="1417" w:type="dxa"/>
            <w:shd w:val="clear" w:color="auto" w:fill="auto"/>
            <w:vAlign w:val="center"/>
          </w:tcPr>
          <w:p w14:paraId="2B894698" w14:textId="77777777" w:rsidR="005636C7" w:rsidRPr="00D646FE" w:rsidRDefault="005636C7" w:rsidP="005636C7">
            <w:pPr>
              <w:pStyle w:val="E3tabletext1"/>
              <w:jc w:val="both"/>
              <w:rPr>
                <w:rFonts w:ascii="Helvetica" w:hAnsi="Helvetica" w:cs="Helvetica"/>
                <w:b/>
                <w:color w:val="000000"/>
                <w:sz w:val="15"/>
                <w:szCs w:val="15"/>
                <w:lang w:val="en-NZ" w:eastAsia="en-NZ"/>
              </w:rPr>
            </w:pPr>
            <w:r w:rsidRPr="00962264">
              <w:rPr>
                <w:rFonts w:ascii="Helvetica" w:hAnsi="Helvetica" w:cs="Helvetica"/>
                <w:sz w:val="15"/>
                <w:szCs w:val="15"/>
              </w:rPr>
              <w:t xml:space="preserve">Published </w:t>
            </w:r>
          </w:p>
        </w:tc>
        <w:tc>
          <w:tcPr>
            <w:tcW w:w="3478" w:type="dxa"/>
            <w:shd w:val="clear" w:color="auto" w:fill="auto"/>
            <w:vAlign w:val="center"/>
          </w:tcPr>
          <w:p w14:paraId="4C66076A" w14:textId="77777777" w:rsidR="005636C7" w:rsidRPr="00D646FE" w:rsidRDefault="005636C7" w:rsidP="005636C7">
            <w:pPr>
              <w:jc w:val="both"/>
              <w:rPr>
                <w:rFonts w:ascii="Helvetica" w:hAnsi="Helvetica" w:cs="Helvetica"/>
                <w:b/>
                <w:color w:val="000000"/>
                <w:sz w:val="15"/>
                <w:szCs w:val="15"/>
                <w:lang w:val="en-NZ" w:eastAsia="en-NZ"/>
              </w:rPr>
            </w:pPr>
          </w:p>
        </w:tc>
      </w:tr>
    </w:tbl>
    <w:p w14:paraId="423741CE" w14:textId="77777777" w:rsidR="005636C7" w:rsidRDefault="005636C7" w:rsidP="005636C7">
      <w:pPr>
        <w:pStyle w:val="E3BodyText"/>
        <w:spacing w:before="120"/>
        <w:jc w:val="both"/>
      </w:pPr>
    </w:p>
    <w:p w14:paraId="5CE44A36" w14:textId="77777777" w:rsidR="005636C7" w:rsidRDefault="005636C7" w:rsidP="005636C7">
      <w:pPr>
        <w:pStyle w:val="E3BodyText"/>
        <w:spacing w:before="120"/>
        <w:jc w:val="both"/>
      </w:pPr>
      <w:r>
        <w:t>Option 4 has been modified and developed following feedback on the Consultation RIS. The original proposal was to adopt ISO and EN test methods and European Commission MEPS, from 2017 and require a mandatory energy rating label.</w:t>
      </w:r>
    </w:p>
    <w:p w14:paraId="3CFFDEC5" w14:textId="77777777" w:rsidR="005636C7" w:rsidRDefault="005636C7" w:rsidP="005636C7">
      <w:pPr>
        <w:pStyle w:val="E3BodyText"/>
        <w:jc w:val="both"/>
      </w:pPr>
      <w:r>
        <w:t xml:space="preserve">Option 4 now </w:t>
      </w:r>
      <w:r w:rsidRPr="009E4772" w:rsidDel="00514F0A">
        <w:t>looks at adopting the test met</w:t>
      </w:r>
      <w:r>
        <w:t>hod</w:t>
      </w:r>
      <w:r w:rsidRPr="009E4772" w:rsidDel="00514F0A">
        <w:t xml:space="preserve"> ISO 23953 for </w:t>
      </w:r>
      <w:r>
        <w:t>r</w:t>
      </w:r>
      <w:r w:rsidRPr="009E4772" w:rsidDel="00514F0A">
        <w:t>efrigerated display cabinets</w:t>
      </w:r>
      <w:r>
        <w:t xml:space="preserve"> and beverage cabinets</w:t>
      </w:r>
      <w:r w:rsidRPr="009E4772" w:rsidDel="00514F0A">
        <w:t xml:space="preserve"> and EN 16825 fo</w:t>
      </w:r>
      <w:r>
        <w:t xml:space="preserve">r refrigerated storage cabinets, from 2019, with minor local variations. </w:t>
      </w:r>
      <w:r w:rsidRPr="009E4772" w:rsidDel="00514F0A">
        <w:t>It also involves adopting related display cabinet standards for gelato cabinets and small ice-cream cabinets. In addition, the European Commission’s MEPS levels for these cabinet types are copied (developed by grouping similar cabinet typ</w:t>
      </w:r>
      <w:r>
        <w:t xml:space="preserve">es together and setting a group </w:t>
      </w:r>
      <w:r w:rsidRPr="009E4772" w:rsidDel="00514F0A">
        <w:t xml:space="preserve">MEPS level). </w:t>
      </w:r>
      <w:r>
        <w:t>Option 4</w:t>
      </w:r>
      <w:r w:rsidRPr="009E4772" w:rsidDel="00514F0A">
        <w:t xml:space="preserve"> also introduces </w:t>
      </w:r>
      <w:r>
        <w:t>online energy rating information</w:t>
      </w:r>
      <w:r w:rsidRPr="009E4772" w:rsidDel="00514F0A">
        <w:t xml:space="preserve"> based on the European Commission’s labelling scheme, translated into star-rating labels</w:t>
      </w:r>
      <w:r>
        <w:t>.  A further modification is the addition of ‘deemed to comply’ requirements to remove concerns that testing would place disproportionately high compliance costs on low-volume manufacturers, making it harder for them to compete in the market.</w:t>
      </w:r>
    </w:p>
    <w:p w14:paraId="3F120DA6" w14:textId="77777777" w:rsidR="005636C7" w:rsidRDefault="005636C7" w:rsidP="005636C7">
      <w:pPr>
        <w:pStyle w:val="E3Heading2"/>
        <w:jc w:val="both"/>
      </w:pPr>
    </w:p>
    <w:p w14:paraId="32A26A3A" w14:textId="77777777" w:rsidR="005636C7" w:rsidRDefault="005636C7" w:rsidP="005636C7">
      <w:pPr>
        <w:pStyle w:val="E3Heading2"/>
        <w:jc w:val="both"/>
      </w:pPr>
    </w:p>
    <w:p w14:paraId="1BD21381" w14:textId="77777777" w:rsidR="005636C7" w:rsidRDefault="005636C7" w:rsidP="005636C7">
      <w:pPr>
        <w:pStyle w:val="E3Heading2"/>
        <w:jc w:val="both"/>
      </w:pPr>
    </w:p>
    <w:p w14:paraId="65430CEF" w14:textId="77777777" w:rsidR="005636C7" w:rsidRDefault="005636C7" w:rsidP="005636C7">
      <w:pPr>
        <w:pStyle w:val="E3Heading2"/>
        <w:jc w:val="both"/>
      </w:pPr>
    </w:p>
    <w:p w14:paraId="58541B31" w14:textId="77777777" w:rsidR="005636C7" w:rsidRDefault="005636C7" w:rsidP="005636C7">
      <w:pPr>
        <w:pStyle w:val="E3Heading2"/>
        <w:jc w:val="both"/>
      </w:pPr>
    </w:p>
    <w:p w14:paraId="5102F548" w14:textId="77777777" w:rsidR="00AF7205" w:rsidRDefault="00AF7205" w:rsidP="00AF7205">
      <w:pPr>
        <w:spacing w:before="240"/>
        <w:rPr>
          <w:rFonts w:ascii="Helvetica" w:eastAsia="Calibri" w:hAnsi="Helvetica" w:cs="Arial"/>
          <w:b/>
          <w:color w:val="000000" w:themeColor="text1"/>
          <w:sz w:val="32"/>
          <w:szCs w:val="26"/>
          <w:lang w:val="en-US" w:eastAsia="en-US"/>
        </w:rPr>
      </w:pPr>
      <w:bookmarkStart w:id="21" w:name="_Toc500151779"/>
      <w:r>
        <w:br w:type="page"/>
      </w:r>
    </w:p>
    <w:p w14:paraId="2DA415FF" w14:textId="69468255" w:rsidR="005636C7" w:rsidRDefault="005636C7" w:rsidP="005636C7">
      <w:pPr>
        <w:pStyle w:val="E3Heading2"/>
        <w:jc w:val="both"/>
      </w:pPr>
      <w:r>
        <w:t>Costs and Benefits</w:t>
      </w:r>
      <w:bookmarkEnd w:id="21"/>
      <w:r>
        <w:t xml:space="preserve"> </w:t>
      </w:r>
    </w:p>
    <w:p w14:paraId="0AECA065" w14:textId="77777777" w:rsidR="005636C7" w:rsidRDefault="005636C7" w:rsidP="005636C7">
      <w:pPr>
        <w:pStyle w:val="E3BodyText"/>
        <w:jc w:val="both"/>
      </w:pPr>
      <w:r>
        <w:t xml:space="preserve">The regulatory proposals will involve one-off new regulatory costs for suppliers of currently regulated products, over and above the existing cost of regulations, as we transition to the new regulatory proposal. The implementation plan recognises this and looks to reduce this additional cost as much as possible. However, over the longer term, the move to international test standards should reduce regulatory costs for suppliers, as it will simplify testing and improve efficiencies. </w:t>
      </w:r>
    </w:p>
    <w:p w14:paraId="32D2047B" w14:textId="77777777" w:rsidR="005636C7" w:rsidRDefault="005636C7" w:rsidP="005636C7">
      <w:pPr>
        <w:pStyle w:val="E3BodyText"/>
        <w:jc w:val="both"/>
      </w:pPr>
      <w:r>
        <w:t>Any additional regulatory costs are of particular concern to local manufacturers who typically build low volume products to local requirements. They face high testing and other compliance costs and may be unable to compete against importers in the market under a revised regulatory environment, as importers will be able to source international product already tested to the required standard. It is proposed that broader family groups of cabinet models and a ‘deemed to comply’ provision be drafted for inclusion in the regulatory proposals in order to reduce testing and regulatory compliance costs.</w:t>
      </w:r>
    </w:p>
    <w:p w14:paraId="3E02A898" w14:textId="77777777" w:rsidR="005636C7" w:rsidRPr="006B6F44" w:rsidRDefault="005636C7" w:rsidP="005636C7">
      <w:pPr>
        <w:pStyle w:val="E3BodyText"/>
        <w:jc w:val="both"/>
      </w:pPr>
      <w:r>
        <w:t>Any regulatory cost need to be weighed against the significant energy savings and greenhouse gas reductions which will result from the proposed regulatory changes.</w:t>
      </w:r>
    </w:p>
    <w:p w14:paraId="070A94C2" w14:textId="77777777" w:rsidR="005636C7" w:rsidRDefault="005636C7" w:rsidP="005636C7">
      <w:pPr>
        <w:pStyle w:val="E3BodyText"/>
        <w:jc w:val="both"/>
      </w:pPr>
      <w:r>
        <w:t>While s</w:t>
      </w:r>
      <w:r w:rsidRPr="009E4772">
        <w:t>ome improvement</w:t>
      </w:r>
      <w:r>
        <w:t>s</w:t>
      </w:r>
      <w:r w:rsidRPr="009E4772">
        <w:t xml:space="preserve"> in </w:t>
      </w:r>
      <w:r>
        <w:t xml:space="preserve">energy </w:t>
      </w:r>
      <w:r w:rsidRPr="009E4772">
        <w:t xml:space="preserve">efficiency </w:t>
      </w:r>
      <w:r>
        <w:t xml:space="preserve">are expected under BAU </w:t>
      </w:r>
      <w:r w:rsidRPr="009E4772">
        <w:t>due to changes in technology and increased user awareness of the cost of energy</w:t>
      </w:r>
      <w:r>
        <w:t>, all r</w:t>
      </w:r>
      <w:r w:rsidRPr="009E4772">
        <w:t xml:space="preserve">egulatory options (options 2 to 4) will result in increased energy savings and greenhouse gas reductions when compared with BAU. These </w:t>
      </w:r>
      <w:r>
        <w:t xml:space="preserve">options </w:t>
      </w:r>
      <w:r w:rsidRPr="009E4772">
        <w:t xml:space="preserve">will save cabinet buyers and users from significant running costs because less electricity </w:t>
      </w:r>
      <w:r>
        <w:t>will be</w:t>
      </w:r>
      <w:r w:rsidRPr="009E4772">
        <w:t xml:space="preserve"> used to deliver their chilled food or drink. </w:t>
      </w:r>
      <w:r>
        <w:t xml:space="preserve">The benefit of reduced running costs outweighs the costs to business from any increased compliance or capital costs. </w:t>
      </w:r>
    </w:p>
    <w:p w14:paraId="3BF9792B" w14:textId="77777777" w:rsidR="005636C7" w:rsidRPr="00C7441A" w:rsidRDefault="005636C7" w:rsidP="005636C7">
      <w:pPr>
        <w:pStyle w:val="E3BodyText"/>
        <w:jc w:val="both"/>
      </w:pPr>
      <w:r>
        <w:rPr>
          <w:b/>
        </w:rPr>
        <w:t xml:space="preserve">Table 2 </w:t>
      </w:r>
      <w:r>
        <w:t>overleaf shows the costs and benefits of all regulatory options (options 2-4) relative to BAU.  It shows that option 4 provides the most energy efficiency gains. The estimated Net Present Value (total benefits less the total costs) of option 4 (EC MEPS would be $1,340 million in Australia and $87 million in New Zealand). The costs of each option increase incrementally with the benefits to be gained (leading to a similar BCR for option 4). While the BCR for option 4 in both countries is lower than the Consultation RIS analysis, the overall benefits from option 4 are greater than the other options.</w:t>
      </w:r>
      <w:r>
        <w:rPr>
          <w:rStyle w:val="FootnoteReference"/>
        </w:rPr>
        <w:footnoteReference w:id="6"/>
      </w:r>
      <w:r w:rsidRPr="00C7441A">
        <w:t xml:space="preserve">  </w:t>
      </w:r>
    </w:p>
    <w:p w14:paraId="6CAA4447" w14:textId="77777777" w:rsidR="005636C7" w:rsidRDefault="005636C7" w:rsidP="005636C7">
      <w:pPr>
        <w:pStyle w:val="E3BodyText"/>
      </w:pPr>
      <w:r>
        <w:t xml:space="preserve"> </w:t>
      </w:r>
      <w:bookmarkStart w:id="22" w:name="_Toc494142452"/>
    </w:p>
    <w:p w14:paraId="5B0A59F1" w14:textId="77777777" w:rsidR="005636C7" w:rsidRPr="004C3E41" w:rsidRDefault="005636C7" w:rsidP="005636C7">
      <w:pPr>
        <w:pStyle w:val="E3TableTitles"/>
      </w:pPr>
      <w:bookmarkStart w:id="23" w:name="_Toc500159652"/>
      <w:r w:rsidRPr="004C3E41">
        <w:t>Table </w:t>
      </w:r>
      <w:r w:rsidRPr="004C3E41">
        <w:fldChar w:fldCharType="begin"/>
      </w:r>
      <w:r w:rsidRPr="004C3E41">
        <w:instrText xml:space="preserve"> SEQ Table \* ARABIC </w:instrText>
      </w:r>
      <w:r w:rsidRPr="004C3E41">
        <w:fldChar w:fldCharType="separate"/>
      </w:r>
      <w:r w:rsidR="00AC6998">
        <w:rPr>
          <w:noProof/>
        </w:rPr>
        <w:t>2</w:t>
      </w:r>
      <w:r w:rsidRPr="004C3E41">
        <w:fldChar w:fldCharType="end"/>
      </w:r>
      <w:r w:rsidRPr="004C3E41">
        <w:t>: A summary of the cost-benefit analysis of regulatory options for Australia and New Zealand, including online energy rating information (from 2017 to 2035).</w:t>
      </w:r>
      <w:bookmarkEnd w:id="22"/>
      <w:bookmarkEnd w:id="23"/>
    </w:p>
    <w:tbl>
      <w:tblPr>
        <w:tblW w:w="10462" w:type="dxa"/>
        <w:tblInd w:w="-289" w:type="dxa"/>
        <w:tblLayout w:type="fixed"/>
        <w:tblLook w:val="04A0" w:firstRow="1" w:lastRow="0" w:firstColumn="1" w:lastColumn="0" w:noHBand="0" w:noVBand="1"/>
      </w:tblPr>
      <w:tblGrid>
        <w:gridCol w:w="1135"/>
        <w:gridCol w:w="567"/>
        <w:gridCol w:w="850"/>
        <w:gridCol w:w="709"/>
        <w:gridCol w:w="709"/>
        <w:gridCol w:w="709"/>
        <w:gridCol w:w="708"/>
        <w:gridCol w:w="1134"/>
        <w:gridCol w:w="680"/>
        <w:gridCol w:w="567"/>
        <w:gridCol w:w="596"/>
        <w:gridCol w:w="680"/>
        <w:gridCol w:w="709"/>
        <w:gridCol w:w="709"/>
      </w:tblGrid>
      <w:tr w:rsidR="005636C7" w:rsidRPr="00310980" w14:paraId="1E910D16" w14:textId="77777777" w:rsidTr="005636C7">
        <w:trPr>
          <w:trHeight w:val="292"/>
        </w:trPr>
        <w:tc>
          <w:tcPr>
            <w:tcW w:w="1135"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37296006" w14:textId="77777777" w:rsidR="005636C7" w:rsidRPr="0041262C" w:rsidRDefault="005636C7" w:rsidP="005636C7">
            <w:pPr>
              <w:pStyle w:val="E3TableHeading"/>
              <w:keepNext/>
              <w:keepLines/>
              <w:rPr>
                <w:sz w:val="14"/>
              </w:rPr>
            </w:pPr>
            <w:r w:rsidRPr="0041262C">
              <w:rPr>
                <w:sz w:val="14"/>
              </w:rPr>
              <w:t>AUSTRALIA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4955881E" w14:textId="77777777" w:rsidR="005636C7" w:rsidRPr="0041262C" w:rsidRDefault="005636C7" w:rsidP="005636C7">
            <w:pPr>
              <w:pStyle w:val="E3TableHeading"/>
              <w:keepNext/>
              <w:keepLines/>
              <w:jc w:val="center"/>
              <w:rPr>
                <w:sz w:val="14"/>
              </w:rPr>
            </w:pPr>
            <w:r w:rsidRPr="0041262C">
              <w:rPr>
                <w:sz w:val="14"/>
              </w:rPr>
              <w:t>Option 2</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7153BABE" w14:textId="77777777" w:rsidR="005636C7" w:rsidRPr="0041262C" w:rsidRDefault="005636C7" w:rsidP="005636C7">
            <w:pPr>
              <w:pStyle w:val="E3TableHeading"/>
              <w:keepNext/>
              <w:keepLines/>
              <w:jc w:val="center"/>
              <w:rPr>
                <w:sz w:val="14"/>
              </w:rPr>
            </w:pPr>
            <w:r w:rsidRPr="0041262C">
              <w:rPr>
                <w:sz w:val="14"/>
              </w:rPr>
              <w:t>3</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342FEEAE" w14:textId="77777777" w:rsidR="005636C7" w:rsidRPr="0041262C" w:rsidRDefault="005636C7" w:rsidP="005636C7">
            <w:pPr>
              <w:pStyle w:val="E3TableHeading"/>
              <w:keepNext/>
              <w:keepLines/>
              <w:jc w:val="center"/>
              <w:rPr>
                <w:sz w:val="14"/>
              </w:rPr>
            </w:pPr>
            <w:r w:rsidRPr="0041262C">
              <w:rPr>
                <w:sz w:val="14"/>
              </w:rPr>
              <w:t>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2DE4532B" w14:textId="77777777" w:rsidR="005636C7" w:rsidRPr="0041262C" w:rsidRDefault="005636C7" w:rsidP="005636C7">
            <w:pPr>
              <w:pStyle w:val="E3TableHeading"/>
              <w:keepNext/>
              <w:keepLines/>
              <w:rPr>
                <w:sz w:val="14"/>
              </w:rPr>
            </w:pPr>
            <w:r w:rsidRPr="0041262C">
              <w:rPr>
                <w:sz w:val="14"/>
              </w:rPr>
              <w:t>NEW ZEALAND</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2B5756D0" w14:textId="77777777" w:rsidR="005636C7" w:rsidRPr="0041262C" w:rsidRDefault="005636C7" w:rsidP="005636C7">
            <w:pPr>
              <w:pStyle w:val="E3TableHeading"/>
              <w:keepNext/>
              <w:keepLines/>
              <w:jc w:val="center"/>
              <w:rPr>
                <w:sz w:val="14"/>
              </w:rPr>
            </w:pPr>
            <w:r w:rsidRPr="0041262C">
              <w:rPr>
                <w:sz w:val="14"/>
              </w:rPr>
              <w:t>2</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50AA3A42" w14:textId="77777777" w:rsidR="005636C7" w:rsidRPr="0041262C" w:rsidRDefault="005636C7" w:rsidP="005636C7">
            <w:pPr>
              <w:pStyle w:val="E3TableHeading"/>
              <w:keepNext/>
              <w:keepLines/>
              <w:jc w:val="center"/>
              <w:rPr>
                <w:sz w:val="14"/>
              </w:rPr>
            </w:pPr>
            <w:r w:rsidRPr="0041262C">
              <w:rPr>
                <w:sz w:val="14"/>
              </w:rPr>
              <w:t>3</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2D89E7DE" w14:textId="77777777" w:rsidR="005636C7" w:rsidRPr="0041262C" w:rsidRDefault="005636C7" w:rsidP="005636C7">
            <w:pPr>
              <w:pStyle w:val="E3TableHeading"/>
              <w:keepNext/>
              <w:keepLines/>
              <w:jc w:val="center"/>
              <w:rPr>
                <w:sz w:val="14"/>
              </w:rPr>
            </w:pPr>
            <w:r w:rsidRPr="0041262C">
              <w:rPr>
                <w:sz w:val="14"/>
              </w:rPr>
              <w:t>4</w:t>
            </w:r>
          </w:p>
        </w:tc>
      </w:tr>
      <w:tr w:rsidR="005636C7" w:rsidRPr="00310980" w14:paraId="3B2DEF6C" w14:textId="77777777" w:rsidTr="005636C7">
        <w:trPr>
          <w:trHeight w:val="44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DAFCBE0"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tcPr>
          <w:p w14:paraId="1C2D23C6"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0AC21CC7"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tcPr>
          <w:p w14:paraId="53D6BA76" w14:textId="77777777" w:rsidR="005636C7" w:rsidRPr="0041262C" w:rsidRDefault="005636C7" w:rsidP="005636C7">
            <w:pPr>
              <w:pStyle w:val="E3tabletext1"/>
              <w:keepNext/>
              <w:keepLines/>
              <w:rPr>
                <w:rFonts w:ascii="Helvetica" w:hAnsi="Helvetica" w:cs="Helvetica"/>
                <w:lang w:val="en-NZ"/>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FBC153C" w14:textId="77777777" w:rsidR="005636C7" w:rsidRPr="0041262C" w:rsidRDefault="005636C7" w:rsidP="005636C7">
            <w:pPr>
              <w:pStyle w:val="E3tabletext1"/>
              <w:keepNext/>
              <w:keepLines/>
              <w:rPr>
                <w:rFonts w:ascii="Helvetica" w:hAnsi="Helvetica" w:cs="Helvetica"/>
                <w:lang w:val="en-NZ"/>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tcPr>
          <w:p w14:paraId="1D878CDE" w14:textId="77777777" w:rsidR="005636C7" w:rsidRPr="0041262C" w:rsidRDefault="005636C7" w:rsidP="005636C7">
            <w:pPr>
              <w:pStyle w:val="E3tabletext1"/>
              <w:keepNext/>
              <w:keepLines/>
              <w:rPr>
                <w:rFonts w:ascii="Helvetica" w:hAnsi="Helvetica" w:cs="Helvetica"/>
                <w:lang w:val="en-NZ"/>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7433F40A"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14:paraId="08262A35" w14:textId="77777777" w:rsidR="005636C7" w:rsidRPr="0041262C" w:rsidRDefault="005636C7" w:rsidP="005636C7">
            <w:pPr>
              <w:pStyle w:val="E3tabletext1"/>
              <w:keepNext/>
              <w:keepLines/>
              <w:rPr>
                <w:rFonts w:ascii="Helvetica" w:hAnsi="Helvetica" w:cs="Helvetica"/>
                <w:lang w:val="en-NZ"/>
              </w:rPr>
            </w:pPr>
          </w:p>
        </w:tc>
      </w:tr>
      <w:tr w:rsidR="005636C7" w:rsidRPr="00310980" w14:paraId="70E3B031" w14:textId="77777777" w:rsidTr="005636C7">
        <w:trPr>
          <w:trHeight w:val="301"/>
        </w:trPr>
        <w:tc>
          <w:tcPr>
            <w:tcW w:w="1135"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6C46D69A" w14:textId="77777777" w:rsidR="005636C7" w:rsidRPr="0041262C" w:rsidRDefault="005636C7" w:rsidP="005636C7">
            <w:pPr>
              <w:pStyle w:val="E3TableHeading"/>
              <w:keepNext/>
              <w:keepLines/>
              <w:rPr>
                <w:sz w:val="14"/>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74A3C003" w14:textId="77777777" w:rsidR="005636C7" w:rsidRPr="0041262C" w:rsidRDefault="005636C7" w:rsidP="005636C7">
            <w:pPr>
              <w:pStyle w:val="E3TableHeading"/>
              <w:keepNext/>
              <w:keepLines/>
              <w:rPr>
                <w:sz w:val="14"/>
              </w:rPr>
            </w:pPr>
            <w:r w:rsidRPr="0041262C">
              <w:rPr>
                <w:sz w:val="14"/>
              </w:rPr>
              <w:t>10% + vol labelling from 2019</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490A2CD9" w14:textId="77777777" w:rsidR="005636C7" w:rsidRPr="0041262C" w:rsidRDefault="005636C7" w:rsidP="005636C7">
            <w:pPr>
              <w:pStyle w:val="E3TableHeading"/>
              <w:keepNext/>
              <w:keepLines/>
              <w:rPr>
                <w:sz w:val="14"/>
              </w:rPr>
            </w:pPr>
            <w:r w:rsidRPr="0041262C">
              <w:rPr>
                <w:sz w:val="14"/>
              </w:rPr>
              <w:t>Au/NZ MEPS 30% + vol labelling from 2019</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2667611E" w14:textId="77777777" w:rsidR="005636C7" w:rsidRPr="0041262C" w:rsidRDefault="005636C7" w:rsidP="005636C7">
            <w:pPr>
              <w:pStyle w:val="E3TableHeading"/>
              <w:keepNext/>
              <w:keepLines/>
              <w:rPr>
                <w:sz w:val="14"/>
              </w:rPr>
            </w:pPr>
            <w:r w:rsidRPr="0041262C">
              <w:rPr>
                <w:sz w:val="14"/>
              </w:rPr>
              <w:t>EC from 2019+ vol labelling</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C0C0C"/>
            <w:vAlign w:val="center"/>
          </w:tcPr>
          <w:p w14:paraId="67057F08" w14:textId="77777777" w:rsidR="005636C7" w:rsidRPr="0041262C" w:rsidRDefault="005636C7" w:rsidP="005636C7">
            <w:pPr>
              <w:pStyle w:val="E3TableHeading"/>
              <w:keepNext/>
              <w:keepLines/>
              <w:rPr>
                <w:sz w:val="14"/>
              </w:rPr>
            </w:pP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58E74C84" w14:textId="77777777" w:rsidR="005636C7" w:rsidRPr="0041262C" w:rsidRDefault="005636C7" w:rsidP="005636C7">
            <w:pPr>
              <w:pStyle w:val="E3TableHeading"/>
              <w:keepNext/>
              <w:keepLines/>
              <w:rPr>
                <w:sz w:val="14"/>
              </w:rPr>
            </w:pPr>
            <w:r w:rsidRPr="0041262C">
              <w:rPr>
                <w:sz w:val="14"/>
              </w:rPr>
              <w:t>10% + vol labelling from 2019</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3C6F5266" w14:textId="77777777" w:rsidR="005636C7" w:rsidRPr="0041262C" w:rsidRDefault="005636C7" w:rsidP="005636C7">
            <w:pPr>
              <w:pStyle w:val="E3TableHeading"/>
              <w:keepNext/>
              <w:keepLines/>
              <w:rPr>
                <w:sz w:val="14"/>
              </w:rPr>
            </w:pPr>
            <w:r w:rsidRPr="0041262C">
              <w:rPr>
                <w:sz w:val="14"/>
              </w:rPr>
              <w:t>Au/NZ MEPS 30% + vol labelling from 2019</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0C0C0C"/>
            <w:vAlign w:val="center"/>
            <w:hideMark/>
          </w:tcPr>
          <w:p w14:paraId="15B8E2DB" w14:textId="77777777" w:rsidR="005636C7" w:rsidRPr="0041262C" w:rsidRDefault="005636C7" w:rsidP="005636C7">
            <w:pPr>
              <w:pStyle w:val="E3TableHeading"/>
              <w:keepNext/>
              <w:keepLines/>
              <w:rPr>
                <w:sz w:val="14"/>
              </w:rPr>
            </w:pPr>
            <w:r w:rsidRPr="0041262C">
              <w:rPr>
                <w:sz w:val="14"/>
              </w:rPr>
              <w:t>EC from 2019+ vol labelling</w:t>
            </w:r>
          </w:p>
        </w:tc>
      </w:tr>
      <w:tr w:rsidR="005636C7" w:rsidRPr="00310980" w14:paraId="06EBCFD3" w14:textId="77777777" w:rsidTr="005636C7">
        <w:trPr>
          <w:trHeight w:val="44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9EB3053"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EA9C8F9"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28FFD14" w14:textId="77777777" w:rsidR="005636C7" w:rsidRPr="0041262C" w:rsidRDefault="005636C7" w:rsidP="005636C7">
            <w:pPr>
              <w:pStyle w:val="E3tabletext1"/>
              <w:keepNext/>
              <w:keepLines/>
              <w:rPr>
                <w:rFonts w:ascii="Helvetica" w:hAnsi="Helvetica" w:cs="Helvetica"/>
                <w:lang w:val="en-N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78ECD595" w14:textId="77777777" w:rsidR="005636C7" w:rsidRPr="0041262C" w:rsidRDefault="005636C7" w:rsidP="005636C7">
            <w:pPr>
              <w:pStyle w:val="E3tabletext1"/>
              <w:keepNext/>
              <w:keepLines/>
              <w:rPr>
                <w:rFonts w:ascii="Helvetica" w:hAnsi="Helvetica" w:cs="Helvetica"/>
                <w:lang w:val="en-NZ"/>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CAB5DB" w14:textId="77777777" w:rsidR="005636C7" w:rsidRPr="0041262C" w:rsidRDefault="005636C7" w:rsidP="005636C7">
            <w:pPr>
              <w:pStyle w:val="E3tabletext1"/>
              <w:keepNext/>
              <w:keepLines/>
              <w:rPr>
                <w:rFonts w:ascii="Helvetica" w:hAnsi="Helvetica" w:cs="Helvetica"/>
                <w:lang w:val="en-NZ"/>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6BAF6ECB" w14:textId="77777777" w:rsidR="005636C7" w:rsidRPr="0041262C" w:rsidRDefault="005636C7" w:rsidP="005636C7">
            <w:pPr>
              <w:pStyle w:val="E3tabletext1"/>
              <w:keepNext/>
              <w:keepLines/>
              <w:rPr>
                <w:rFonts w:ascii="Helvetica" w:hAnsi="Helvetica" w:cs="Helvetica"/>
                <w:lang w:val="en-NZ"/>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43A5297" w14:textId="77777777" w:rsidR="005636C7" w:rsidRPr="0041262C" w:rsidRDefault="005636C7" w:rsidP="005636C7">
            <w:pPr>
              <w:pStyle w:val="E3tabletext1"/>
              <w:keepNext/>
              <w:keepLines/>
              <w:rPr>
                <w:rFonts w:ascii="Helvetica" w:hAnsi="Helvetica" w:cs="Helvetica"/>
                <w:lang w:val="en-NZ"/>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0C7F339D" w14:textId="77777777" w:rsidR="005636C7" w:rsidRPr="0041262C" w:rsidRDefault="005636C7" w:rsidP="005636C7">
            <w:pPr>
              <w:pStyle w:val="E3tabletext1"/>
              <w:keepNext/>
              <w:keepLines/>
              <w:rPr>
                <w:rFonts w:ascii="Helvetica" w:hAnsi="Helvetica" w:cs="Helvetica"/>
                <w:lang w:val="en-NZ"/>
              </w:rPr>
            </w:pPr>
          </w:p>
        </w:tc>
      </w:tr>
      <w:tr w:rsidR="005636C7" w:rsidRPr="00310980" w14:paraId="69002871"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1F90979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Costs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091334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$31</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40DF31E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$115</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4D89AF2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$193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36103A6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Costs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279DBB8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$4.9</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69307E7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$14.6</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0470733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$23.7</w:t>
            </w:r>
          </w:p>
        </w:tc>
      </w:tr>
      <w:tr w:rsidR="005636C7" w:rsidRPr="00310980" w14:paraId="7A8FCB11"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61C6AB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Benefits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4B37BFE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$340</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34C9182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$912</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21B1060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$1,532</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1F40532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Benefits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01C272C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$24.5</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1BBB23C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$65.9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7559369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$111.1</w:t>
            </w:r>
          </w:p>
        </w:tc>
      </w:tr>
      <w:tr w:rsidR="005636C7" w:rsidRPr="00310980" w14:paraId="0D4BE9F2"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796E3C6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NPV ($M)</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150FB3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$309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16737E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$798</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67D61DB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$1,339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1C3E583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NPV ($M)</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1EC9DC1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$19.6</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410D301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$51.3</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31FB35C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$87.4</w:t>
            </w:r>
          </w:p>
        </w:tc>
      </w:tr>
      <w:tr w:rsidR="005636C7" w:rsidRPr="00310980" w14:paraId="5F573A50"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345A8EA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BCR</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112071A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rPr>
              <w:t>11.0</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24B5796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8.0</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60FF147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34C043D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BCR</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4EF659B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5.0</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5BDC31B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4.5</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296D40A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4.7</w:t>
            </w:r>
          </w:p>
        </w:tc>
      </w:tr>
      <w:tr w:rsidR="005636C7" w:rsidRPr="00310980" w14:paraId="6B02BC5F"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3064E68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r>
              <w:rPr>
                <w:rStyle w:val="FootnoteReference"/>
                <w:rFonts w:ascii="Helvetica" w:hAnsi="Helvetica" w:cs="Helvetica"/>
                <w:color w:val="000000"/>
                <w:lang w:val="en-NZ"/>
              </w:rPr>
              <w:footnoteReference w:id="7"/>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29EBBBBB" w14:textId="77777777" w:rsidR="005636C7" w:rsidRPr="0041262C" w:rsidRDefault="005636C7" w:rsidP="005636C7">
            <w:pPr>
              <w:pStyle w:val="E3tabletext1"/>
              <w:keepNext/>
              <w:keepLines/>
              <w:rPr>
                <w:rFonts w:ascii="Helvetica" w:hAnsi="Helvetica" w:cs="Helvetica"/>
                <w:color w:val="000000"/>
                <w:lang w:val="en-NZ"/>
              </w:rPr>
            </w:pPr>
            <w:r w:rsidRPr="000A5FF6">
              <w:rPr>
                <w:rFonts w:ascii="Helvetica" w:hAnsi="Helvetica" w:cs="Helvetica"/>
                <w:color w:val="FF0000"/>
              </w:rPr>
              <w:t>-$98</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538DB8B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-$97</w:t>
            </w:r>
          </w:p>
        </w:tc>
        <w:tc>
          <w:tcPr>
            <w:tcW w:w="1417" w:type="dxa"/>
            <w:gridSpan w:val="2"/>
            <w:tcBorders>
              <w:top w:val="single" w:sz="8" w:space="0" w:color="auto"/>
              <w:left w:val="nil"/>
              <w:bottom w:val="single" w:sz="8" w:space="0" w:color="auto"/>
              <w:right w:val="double" w:sz="6" w:space="0" w:color="000000"/>
            </w:tcBorders>
            <w:shd w:val="clear" w:color="auto" w:fill="auto"/>
            <w:vAlign w:val="center"/>
            <w:hideMark/>
          </w:tcPr>
          <w:p w14:paraId="7EF5399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-$100</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20B0787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247" w:type="dxa"/>
            <w:gridSpan w:val="2"/>
            <w:tcBorders>
              <w:top w:val="single" w:sz="8" w:space="0" w:color="auto"/>
              <w:left w:val="nil"/>
              <w:bottom w:val="single" w:sz="8" w:space="0" w:color="auto"/>
              <w:right w:val="double" w:sz="6" w:space="0" w:color="000000"/>
            </w:tcBorders>
            <w:shd w:val="clear" w:color="auto" w:fill="auto"/>
            <w:vAlign w:val="center"/>
            <w:hideMark/>
          </w:tcPr>
          <w:p w14:paraId="2D0AD9E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-$235</w:t>
            </w:r>
          </w:p>
        </w:tc>
        <w:tc>
          <w:tcPr>
            <w:tcW w:w="1276" w:type="dxa"/>
            <w:gridSpan w:val="2"/>
            <w:tcBorders>
              <w:top w:val="single" w:sz="8" w:space="0" w:color="auto"/>
              <w:left w:val="nil"/>
              <w:bottom w:val="single" w:sz="8" w:space="0" w:color="auto"/>
              <w:right w:val="double" w:sz="6" w:space="0" w:color="000000"/>
            </w:tcBorders>
            <w:shd w:val="clear" w:color="auto" w:fill="auto"/>
            <w:vAlign w:val="center"/>
            <w:hideMark/>
          </w:tcPr>
          <w:p w14:paraId="145751B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-$239</w:t>
            </w:r>
          </w:p>
        </w:tc>
        <w:tc>
          <w:tcPr>
            <w:tcW w:w="1418" w:type="dxa"/>
            <w:gridSpan w:val="2"/>
            <w:tcBorders>
              <w:top w:val="single" w:sz="8" w:space="0" w:color="auto"/>
              <w:left w:val="nil"/>
              <w:bottom w:val="single" w:sz="8" w:space="0" w:color="auto"/>
              <w:right w:val="double" w:sz="6" w:space="0" w:color="000000"/>
            </w:tcBorders>
            <w:shd w:val="clear" w:color="auto" w:fill="auto"/>
            <w:vAlign w:val="center"/>
            <w:hideMark/>
          </w:tcPr>
          <w:p w14:paraId="74E75DB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FF0000"/>
              </w:rPr>
              <w:t>-$238</w:t>
            </w:r>
          </w:p>
        </w:tc>
      </w:tr>
      <w:tr w:rsidR="005636C7" w:rsidRPr="00310980" w14:paraId="06CEA79D" w14:textId="77777777" w:rsidTr="005636C7">
        <w:trPr>
          <w:trHeight w:val="557"/>
        </w:trPr>
        <w:tc>
          <w:tcPr>
            <w:tcW w:w="5387" w:type="dxa"/>
            <w:gridSpan w:val="7"/>
            <w:tcBorders>
              <w:top w:val="nil"/>
              <w:left w:val="single" w:sz="8" w:space="0" w:color="auto"/>
              <w:bottom w:val="single" w:sz="8" w:space="0" w:color="auto"/>
              <w:right w:val="double" w:sz="6" w:space="0" w:color="auto"/>
            </w:tcBorders>
            <w:shd w:val="clear" w:color="auto" w:fill="auto"/>
            <w:vAlign w:val="center"/>
            <w:hideMark/>
          </w:tcPr>
          <w:p w14:paraId="63017D9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Energy savings (GWh)</w:t>
            </w:r>
          </w:p>
        </w:tc>
        <w:tc>
          <w:tcPr>
            <w:tcW w:w="5075" w:type="dxa"/>
            <w:gridSpan w:val="7"/>
            <w:tcBorders>
              <w:top w:val="nil"/>
              <w:left w:val="single" w:sz="8" w:space="0" w:color="auto"/>
              <w:bottom w:val="single" w:sz="8" w:space="0" w:color="auto"/>
              <w:right w:val="double" w:sz="6" w:space="0" w:color="auto"/>
            </w:tcBorders>
            <w:shd w:val="clear" w:color="auto" w:fill="auto"/>
            <w:vAlign w:val="center"/>
            <w:hideMark/>
          </w:tcPr>
          <w:p w14:paraId="4B3D395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Energy savings (GWh)</w:t>
            </w:r>
          </w:p>
        </w:tc>
      </w:tr>
      <w:tr w:rsidR="005636C7" w:rsidRPr="00310980" w14:paraId="2040EAFE"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100EB0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567" w:type="dxa"/>
            <w:tcBorders>
              <w:top w:val="nil"/>
              <w:left w:val="nil"/>
              <w:bottom w:val="single" w:sz="8" w:space="0" w:color="auto"/>
              <w:right w:val="single" w:sz="8" w:space="0" w:color="auto"/>
            </w:tcBorders>
            <w:shd w:val="clear" w:color="auto" w:fill="auto"/>
            <w:vAlign w:val="center"/>
            <w:hideMark/>
          </w:tcPr>
          <w:p w14:paraId="5B465AB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850" w:type="dxa"/>
            <w:tcBorders>
              <w:top w:val="nil"/>
              <w:left w:val="nil"/>
              <w:bottom w:val="single" w:sz="8" w:space="0" w:color="auto"/>
              <w:right w:val="double" w:sz="6" w:space="0" w:color="auto"/>
            </w:tcBorders>
            <w:shd w:val="clear" w:color="auto" w:fill="auto"/>
            <w:vAlign w:val="center"/>
            <w:hideMark/>
          </w:tcPr>
          <w:p w14:paraId="351213A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11883E2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32C5A4F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6355FA5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shd w:val="clear" w:color="auto" w:fill="auto"/>
            <w:vAlign w:val="center"/>
            <w:hideMark/>
          </w:tcPr>
          <w:p w14:paraId="74726D7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4DE6A7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680" w:type="dxa"/>
            <w:tcBorders>
              <w:top w:val="nil"/>
              <w:left w:val="nil"/>
              <w:bottom w:val="single" w:sz="8" w:space="0" w:color="auto"/>
              <w:right w:val="single" w:sz="8" w:space="0" w:color="auto"/>
            </w:tcBorders>
            <w:shd w:val="clear" w:color="auto" w:fill="auto"/>
            <w:vAlign w:val="center"/>
            <w:hideMark/>
          </w:tcPr>
          <w:p w14:paraId="43A7110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shd w:val="clear" w:color="auto" w:fill="auto"/>
            <w:vAlign w:val="center"/>
            <w:hideMark/>
          </w:tcPr>
          <w:p w14:paraId="7B44088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596" w:type="dxa"/>
            <w:tcBorders>
              <w:top w:val="nil"/>
              <w:left w:val="nil"/>
              <w:bottom w:val="single" w:sz="8" w:space="0" w:color="auto"/>
              <w:right w:val="single" w:sz="8" w:space="0" w:color="auto"/>
            </w:tcBorders>
            <w:shd w:val="clear" w:color="auto" w:fill="auto"/>
            <w:vAlign w:val="center"/>
            <w:hideMark/>
          </w:tcPr>
          <w:p w14:paraId="7C0954C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shd w:val="clear" w:color="auto" w:fill="auto"/>
            <w:vAlign w:val="center"/>
            <w:hideMark/>
          </w:tcPr>
          <w:p w14:paraId="0D072A3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66EC6A6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16BB087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r>
      <w:tr w:rsidR="005636C7" w:rsidRPr="00310980" w14:paraId="2BD5DCE7"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7583CE5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567" w:type="dxa"/>
            <w:tcBorders>
              <w:top w:val="nil"/>
              <w:left w:val="nil"/>
              <w:bottom w:val="single" w:sz="8" w:space="0" w:color="auto"/>
              <w:right w:val="single" w:sz="8" w:space="0" w:color="auto"/>
            </w:tcBorders>
            <w:shd w:val="clear" w:color="auto" w:fill="auto"/>
            <w:vAlign w:val="center"/>
            <w:hideMark/>
          </w:tcPr>
          <w:p w14:paraId="5C90B98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86</w:t>
            </w:r>
          </w:p>
        </w:tc>
        <w:tc>
          <w:tcPr>
            <w:tcW w:w="850" w:type="dxa"/>
            <w:tcBorders>
              <w:top w:val="nil"/>
              <w:left w:val="nil"/>
              <w:bottom w:val="single" w:sz="8" w:space="0" w:color="auto"/>
              <w:right w:val="double" w:sz="6" w:space="0" w:color="auto"/>
            </w:tcBorders>
            <w:shd w:val="clear" w:color="auto" w:fill="auto"/>
            <w:vAlign w:val="center"/>
            <w:hideMark/>
          </w:tcPr>
          <w:p w14:paraId="372B222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293</w:t>
            </w:r>
          </w:p>
        </w:tc>
        <w:tc>
          <w:tcPr>
            <w:tcW w:w="709" w:type="dxa"/>
            <w:tcBorders>
              <w:top w:val="nil"/>
              <w:left w:val="nil"/>
              <w:bottom w:val="single" w:sz="8" w:space="0" w:color="auto"/>
              <w:right w:val="single" w:sz="8" w:space="0" w:color="auto"/>
            </w:tcBorders>
            <w:shd w:val="clear" w:color="auto" w:fill="auto"/>
            <w:vAlign w:val="center"/>
            <w:hideMark/>
          </w:tcPr>
          <w:p w14:paraId="0CC8FF8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283</w:t>
            </w:r>
          </w:p>
        </w:tc>
        <w:tc>
          <w:tcPr>
            <w:tcW w:w="709" w:type="dxa"/>
            <w:tcBorders>
              <w:top w:val="nil"/>
              <w:left w:val="nil"/>
              <w:bottom w:val="single" w:sz="8" w:space="0" w:color="auto"/>
              <w:right w:val="double" w:sz="6" w:space="0" w:color="auto"/>
            </w:tcBorders>
            <w:shd w:val="clear" w:color="auto" w:fill="auto"/>
            <w:vAlign w:val="center"/>
            <w:hideMark/>
          </w:tcPr>
          <w:p w14:paraId="160029C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711</w:t>
            </w:r>
          </w:p>
        </w:tc>
        <w:tc>
          <w:tcPr>
            <w:tcW w:w="709" w:type="dxa"/>
            <w:tcBorders>
              <w:top w:val="nil"/>
              <w:left w:val="nil"/>
              <w:bottom w:val="single" w:sz="8" w:space="0" w:color="auto"/>
              <w:right w:val="single" w:sz="8" w:space="0" w:color="auto"/>
            </w:tcBorders>
            <w:shd w:val="clear" w:color="auto" w:fill="auto"/>
            <w:vAlign w:val="center"/>
            <w:hideMark/>
          </w:tcPr>
          <w:p w14:paraId="1F4F663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517</w:t>
            </w:r>
          </w:p>
        </w:tc>
        <w:tc>
          <w:tcPr>
            <w:tcW w:w="708" w:type="dxa"/>
            <w:tcBorders>
              <w:top w:val="nil"/>
              <w:left w:val="nil"/>
              <w:bottom w:val="single" w:sz="8" w:space="0" w:color="auto"/>
              <w:right w:val="double" w:sz="6" w:space="0" w:color="auto"/>
            </w:tcBorders>
            <w:shd w:val="clear" w:color="auto" w:fill="auto"/>
            <w:vAlign w:val="center"/>
            <w:hideMark/>
          </w:tcPr>
          <w:p w14:paraId="4410812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1,156</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4836973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680" w:type="dxa"/>
            <w:tcBorders>
              <w:top w:val="nil"/>
              <w:left w:val="nil"/>
              <w:bottom w:val="single" w:sz="8" w:space="0" w:color="auto"/>
              <w:right w:val="single" w:sz="8" w:space="0" w:color="auto"/>
            </w:tcBorders>
            <w:shd w:val="clear" w:color="auto" w:fill="auto"/>
            <w:vAlign w:val="center"/>
            <w:hideMark/>
          </w:tcPr>
          <w:p w14:paraId="71541D1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15</w:t>
            </w:r>
          </w:p>
        </w:tc>
        <w:tc>
          <w:tcPr>
            <w:tcW w:w="567" w:type="dxa"/>
            <w:tcBorders>
              <w:top w:val="nil"/>
              <w:left w:val="nil"/>
              <w:bottom w:val="single" w:sz="8" w:space="0" w:color="auto"/>
              <w:right w:val="double" w:sz="6" w:space="0" w:color="auto"/>
            </w:tcBorders>
            <w:shd w:val="clear" w:color="auto" w:fill="auto"/>
            <w:vAlign w:val="center"/>
            <w:hideMark/>
          </w:tcPr>
          <w:p w14:paraId="42EC6B0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52</w:t>
            </w:r>
          </w:p>
        </w:tc>
        <w:tc>
          <w:tcPr>
            <w:tcW w:w="596" w:type="dxa"/>
            <w:tcBorders>
              <w:top w:val="nil"/>
              <w:left w:val="nil"/>
              <w:bottom w:val="single" w:sz="8" w:space="0" w:color="auto"/>
              <w:right w:val="single" w:sz="8" w:space="0" w:color="auto"/>
            </w:tcBorders>
            <w:shd w:val="clear" w:color="auto" w:fill="auto"/>
            <w:vAlign w:val="center"/>
            <w:hideMark/>
          </w:tcPr>
          <w:p w14:paraId="02D2883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51</w:t>
            </w:r>
          </w:p>
        </w:tc>
        <w:tc>
          <w:tcPr>
            <w:tcW w:w="680" w:type="dxa"/>
            <w:tcBorders>
              <w:top w:val="nil"/>
              <w:left w:val="nil"/>
              <w:bottom w:val="single" w:sz="8" w:space="0" w:color="auto"/>
              <w:right w:val="double" w:sz="6" w:space="0" w:color="auto"/>
            </w:tcBorders>
            <w:shd w:val="clear" w:color="auto" w:fill="auto"/>
            <w:vAlign w:val="center"/>
            <w:hideMark/>
          </w:tcPr>
          <w:p w14:paraId="61C17BC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126</w:t>
            </w:r>
          </w:p>
        </w:tc>
        <w:tc>
          <w:tcPr>
            <w:tcW w:w="709" w:type="dxa"/>
            <w:tcBorders>
              <w:top w:val="nil"/>
              <w:left w:val="nil"/>
              <w:bottom w:val="single" w:sz="8" w:space="0" w:color="auto"/>
              <w:right w:val="single" w:sz="8" w:space="0" w:color="auto"/>
            </w:tcBorders>
            <w:shd w:val="clear" w:color="auto" w:fill="auto"/>
            <w:vAlign w:val="center"/>
            <w:hideMark/>
          </w:tcPr>
          <w:p w14:paraId="56B75A0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93</w:t>
            </w:r>
          </w:p>
        </w:tc>
        <w:tc>
          <w:tcPr>
            <w:tcW w:w="709" w:type="dxa"/>
            <w:tcBorders>
              <w:top w:val="nil"/>
              <w:left w:val="nil"/>
              <w:bottom w:val="single" w:sz="8" w:space="0" w:color="auto"/>
              <w:right w:val="double" w:sz="6" w:space="0" w:color="auto"/>
            </w:tcBorders>
            <w:shd w:val="clear" w:color="auto" w:fill="auto"/>
            <w:vAlign w:val="center"/>
            <w:hideMark/>
          </w:tcPr>
          <w:p w14:paraId="5306180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205</w:t>
            </w:r>
          </w:p>
        </w:tc>
      </w:tr>
      <w:tr w:rsidR="005636C7" w:rsidRPr="00310980" w14:paraId="66E5A632"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4688618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567" w:type="dxa"/>
            <w:tcBorders>
              <w:top w:val="nil"/>
              <w:left w:val="nil"/>
              <w:bottom w:val="single" w:sz="8" w:space="0" w:color="auto"/>
              <w:right w:val="single" w:sz="8" w:space="0" w:color="auto"/>
            </w:tcBorders>
            <w:shd w:val="clear" w:color="auto" w:fill="auto"/>
            <w:vAlign w:val="center"/>
            <w:hideMark/>
          </w:tcPr>
          <w:p w14:paraId="79119F0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270</w:t>
            </w:r>
          </w:p>
        </w:tc>
        <w:tc>
          <w:tcPr>
            <w:tcW w:w="850" w:type="dxa"/>
            <w:tcBorders>
              <w:top w:val="nil"/>
              <w:left w:val="nil"/>
              <w:bottom w:val="single" w:sz="8" w:space="0" w:color="auto"/>
              <w:right w:val="double" w:sz="6" w:space="0" w:color="auto"/>
            </w:tcBorders>
            <w:shd w:val="clear" w:color="auto" w:fill="auto"/>
            <w:vAlign w:val="center"/>
            <w:hideMark/>
          </w:tcPr>
          <w:p w14:paraId="340EB17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2,278</w:t>
            </w:r>
          </w:p>
        </w:tc>
        <w:tc>
          <w:tcPr>
            <w:tcW w:w="709" w:type="dxa"/>
            <w:tcBorders>
              <w:top w:val="nil"/>
              <w:left w:val="nil"/>
              <w:bottom w:val="single" w:sz="8" w:space="0" w:color="auto"/>
              <w:right w:val="single" w:sz="8" w:space="0" w:color="auto"/>
            </w:tcBorders>
            <w:shd w:val="clear" w:color="auto" w:fill="auto"/>
            <w:vAlign w:val="center"/>
            <w:hideMark/>
          </w:tcPr>
          <w:p w14:paraId="32BB586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957</w:t>
            </w:r>
          </w:p>
        </w:tc>
        <w:tc>
          <w:tcPr>
            <w:tcW w:w="709" w:type="dxa"/>
            <w:tcBorders>
              <w:top w:val="nil"/>
              <w:left w:val="nil"/>
              <w:bottom w:val="single" w:sz="8" w:space="0" w:color="auto"/>
              <w:right w:val="double" w:sz="6" w:space="0" w:color="auto"/>
            </w:tcBorders>
            <w:shd w:val="clear" w:color="auto" w:fill="auto"/>
            <w:vAlign w:val="center"/>
            <w:hideMark/>
          </w:tcPr>
          <w:p w14:paraId="583A70E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6,406</w:t>
            </w:r>
          </w:p>
        </w:tc>
        <w:tc>
          <w:tcPr>
            <w:tcW w:w="709" w:type="dxa"/>
            <w:tcBorders>
              <w:top w:val="nil"/>
              <w:left w:val="nil"/>
              <w:bottom w:val="single" w:sz="8" w:space="0" w:color="auto"/>
              <w:right w:val="single" w:sz="8" w:space="0" w:color="auto"/>
            </w:tcBorders>
            <w:shd w:val="clear" w:color="auto" w:fill="auto"/>
            <w:vAlign w:val="center"/>
            <w:hideMark/>
          </w:tcPr>
          <w:p w14:paraId="55095A4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1,774</w:t>
            </w:r>
          </w:p>
        </w:tc>
        <w:tc>
          <w:tcPr>
            <w:tcW w:w="708" w:type="dxa"/>
            <w:tcBorders>
              <w:top w:val="nil"/>
              <w:left w:val="nil"/>
              <w:bottom w:val="single" w:sz="8" w:space="0" w:color="auto"/>
              <w:right w:val="double" w:sz="6" w:space="0" w:color="auto"/>
            </w:tcBorders>
            <w:shd w:val="clear" w:color="auto" w:fill="auto"/>
            <w:vAlign w:val="center"/>
            <w:hideMark/>
          </w:tcPr>
          <w:p w14:paraId="62DA31C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11,099</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7B3CDF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680" w:type="dxa"/>
            <w:tcBorders>
              <w:top w:val="nil"/>
              <w:left w:val="nil"/>
              <w:bottom w:val="single" w:sz="8" w:space="0" w:color="auto"/>
              <w:right w:val="single" w:sz="8" w:space="0" w:color="auto"/>
            </w:tcBorders>
            <w:shd w:val="clear" w:color="auto" w:fill="auto"/>
            <w:vAlign w:val="center"/>
            <w:hideMark/>
          </w:tcPr>
          <w:p w14:paraId="77F2866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49</w:t>
            </w:r>
          </w:p>
        </w:tc>
        <w:tc>
          <w:tcPr>
            <w:tcW w:w="567" w:type="dxa"/>
            <w:tcBorders>
              <w:top w:val="nil"/>
              <w:left w:val="nil"/>
              <w:bottom w:val="single" w:sz="8" w:space="0" w:color="auto"/>
              <w:right w:val="double" w:sz="6" w:space="0" w:color="auto"/>
            </w:tcBorders>
            <w:shd w:val="clear" w:color="auto" w:fill="auto"/>
            <w:vAlign w:val="center"/>
            <w:hideMark/>
          </w:tcPr>
          <w:p w14:paraId="2E1B044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404</w:t>
            </w:r>
          </w:p>
        </w:tc>
        <w:tc>
          <w:tcPr>
            <w:tcW w:w="596" w:type="dxa"/>
            <w:tcBorders>
              <w:top w:val="nil"/>
              <w:left w:val="nil"/>
              <w:bottom w:val="single" w:sz="8" w:space="0" w:color="auto"/>
              <w:right w:val="single" w:sz="8" w:space="0" w:color="auto"/>
            </w:tcBorders>
            <w:shd w:val="clear" w:color="auto" w:fill="auto"/>
            <w:vAlign w:val="center"/>
            <w:hideMark/>
          </w:tcPr>
          <w:p w14:paraId="5D809A3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173</w:t>
            </w:r>
          </w:p>
        </w:tc>
        <w:tc>
          <w:tcPr>
            <w:tcW w:w="680" w:type="dxa"/>
            <w:tcBorders>
              <w:top w:val="nil"/>
              <w:left w:val="nil"/>
              <w:bottom w:val="single" w:sz="8" w:space="0" w:color="auto"/>
              <w:right w:val="double" w:sz="6" w:space="0" w:color="auto"/>
            </w:tcBorders>
            <w:shd w:val="clear" w:color="auto" w:fill="auto"/>
            <w:vAlign w:val="center"/>
            <w:hideMark/>
          </w:tcPr>
          <w:p w14:paraId="29A9428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1,142</w:t>
            </w:r>
          </w:p>
        </w:tc>
        <w:tc>
          <w:tcPr>
            <w:tcW w:w="709" w:type="dxa"/>
            <w:tcBorders>
              <w:top w:val="nil"/>
              <w:left w:val="nil"/>
              <w:bottom w:val="single" w:sz="8" w:space="0" w:color="auto"/>
              <w:right w:val="single" w:sz="8" w:space="0" w:color="auto"/>
            </w:tcBorders>
            <w:shd w:val="clear" w:color="auto" w:fill="auto"/>
            <w:vAlign w:val="center"/>
            <w:hideMark/>
          </w:tcPr>
          <w:p w14:paraId="5D6A8D0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322</w:t>
            </w:r>
          </w:p>
        </w:tc>
        <w:tc>
          <w:tcPr>
            <w:tcW w:w="709" w:type="dxa"/>
            <w:tcBorders>
              <w:top w:val="nil"/>
              <w:left w:val="nil"/>
              <w:bottom w:val="single" w:sz="8" w:space="0" w:color="auto"/>
              <w:right w:val="double" w:sz="6" w:space="0" w:color="auto"/>
            </w:tcBorders>
            <w:shd w:val="clear" w:color="auto" w:fill="auto"/>
            <w:vAlign w:val="center"/>
            <w:hideMark/>
          </w:tcPr>
          <w:p w14:paraId="5BB26BFD"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1,986</w:t>
            </w:r>
          </w:p>
        </w:tc>
      </w:tr>
      <w:tr w:rsidR="005636C7" w:rsidRPr="00310980" w14:paraId="7BC5D2AD" w14:textId="77777777" w:rsidTr="005636C7">
        <w:trPr>
          <w:trHeight w:val="497"/>
        </w:trPr>
        <w:tc>
          <w:tcPr>
            <w:tcW w:w="5387" w:type="dxa"/>
            <w:gridSpan w:val="7"/>
            <w:tcBorders>
              <w:top w:val="nil"/>
              <w:left w:val="single" w:sz="8" w:space="0" w:color="auto"/>
              <w:bottom w:val="single" w:sz="8" w:space="0" w:color="auto"/>
              <w:right w:val="double" w:sz="6" w:space="0" w:color="auto"/>
            </w:tcBorders>
            <w:shd w:val="clear" w:color="auto" w:fill="auto"/>
            <w:vAlign w:val="center"/>
            <w:hideMark/>
          </w:tcPr>
          <w:p w14:paraId="1325AB7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w:t>
            </w:r>
          </w:p>
        </w:tc>
        <w:tc>
          <w:tcPr>
            <w:tcW w:w="5075" w:type="dxa"/>
            <w:gridSpan w:val="7"/>
            <w:tcBorders>
              <w:top w:val="nil"/>
              <w:left w:val="single" w:sz="8" w:space="0" w:color="auto"/>
              <w:bottom w:val="single" w:sz="8" w:space="0" w:color="auto"/>
              <w:right w:val="double" w:sz="6" w:space="0" w:color="auto"/>
            </w:tcBorders>
            <w:shd w:val="clear" w:color="auto" w:fill="auto"/>
            <w:vAlign w:val="center"/>
            <w:hideMark/>
          </w:tcPr>
          <w:p w14:paraId="27301C99"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w:t>
            </w:r>
          </w:p>
        </w:tc>
      </w:tr>
      <w:tr w:rsidR="005636C7" w:rsidRPr="00310980" w14:paraId="5774DDD9"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6F30206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567" w:type="dxa"/>
            <w:tcBorders>
              <w:top w:val="nil"/>
              <w:left w:val="nil"/>
              <w:bottom w:val="single" w:sz="8" w:space="0" w:color="auto"/>
              <w:right w:val="single" w:sz="8" w:space="0" w:color="auto"/>
            </w:tcBorders>
            <w:shd w:val="clear" w:color="auto" w:fill="auto"/>
            <w:vAlign w:val="center"/>
            <w:hideMark/>
          </w:tcPr>
          <w:p w14:paraId="2458A68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850" w:type="dxa"/>
            <w:tcBorders>
              <w:top w:val="nil"/>
              <w:left w:val="nil"/>
              <w:bottom w:val="single" w:sz="8" w:space="0" w:color="auto"/>
              <w:right w:val="double" w:sz="6" w:space="0" w:color="auto"/>
            </w:tcBorders>
            <w:shd w:val="clear" w:color="auto" w:fill="auto"/>
            <w:vAlign w:val="center"/>
            <w:hideMark/>
          </w:tcPr>
          <w:p w14:paraId="77F9540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331A236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0CCC23F9"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0E8CB1D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shd w:val="clear" w:color="auto" w:fill="auto"/>
            <w:vAlign w:val="center"/>
            <w:hideMark/>
          </w:tcPr>
          <w:p w14:paraId="4690642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2C5EB8C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Year</w:t>
            </w:r>
          </w:p>
        </w:tc>
        <w:tc>
          <w:tcPr>
            <w:tcW w:w="680" w:type="dxa"/>
            <w:tcBorders>
              <w:top w:val="nil"/>
              <w:left w:val="nil"/>
              <w:bottom w:val="single" w:sz="8" w:space="0" w:color="auto"/>
              <w:right w:val="single" w:sz="8" w:space="0" w:color="auto"/>
            </w:tcBorders>
            <w:shd w:val="clear" w:color="auto" w:fill="auto"/>
            <w:vAlign w:val="center"/>
            <w:hideMark/>
          </w:tcPr>
          <w:p w14:paraId="48E2B1B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shd w:val="clear" w:color="auto" w:fill="auto"/>
            <w:vAlign w:val="center"/>
            <w:hideMark/>
          </w:tcPr>
          <w:p w14:paraId="3BC9492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596" w:type="dxa"/>
            <w:tcBorders>
              <w:top w:val="nil"/>
              <w:left w:val="nil"/>
              <w:bottom w:val="single" w:sz="8" w:space="0" w:color="auto"/>
              <w:right w:val="single" w:sz="8" w:space="0" w:color="auto"/>
            </w:tcBorders>
            <w:shd w:val="clear" w:color="auto" w:fill="auto"/>
            <w:vAlign w:val="center"/>
            <w:hideMark/>
          </w:tcPr>
          <w:p w14:paraId="3408E89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shd w:val="clear" w:color="auto" w:fill="auto"/>
            <w:vAlign w:val="center"/>
            <w:hideMark/>
          </w:tcPr>
          <w:p w14:paraId="54CFA6E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shd w:val="clear" w:color="auto" w:fill="auto"/>
            <w:vAlign w:val="center"/>
            <w:hideMark/>
          </w:tcPr>
          <w:p w14:paraId="3D42885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2025</w:t>
            </w:r>
          </w:p>
        </w:tc>
        <w:tc>
          <w:tcPr>
            <w:tcW w:w="709" w:type="dxa"/>
            <w:tcBorders>
              <w:top w:val="nil"/>
              <w:left w:val="nil"/>
              <w:bottom w:val="single" w:sz="8" w:space="0" w:color="auto"/>
              <w:right w:val="double" w:sz="6" w:space="0" w:color="auto"/>
            </w:tcBorders>
            <w:shd w:val="clear" w:color="auto" w:fill="auto"/>
            <w:vAlign w:val="center"/>
            <w:hideMark/>
          </w:tcPr>
          <w:p w14:paraId="3C745F3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2035</w:t>
            </w:r>
          </w:p>
        </w:tc>
      </w:tr>
      <w:tr w:rsidR="005636C7" w:rsidRPr="00310980" w14:paraId="64D724CE" w14:textId="77777777" w:rsidTr="005636C7">
        <w:trPr>
          <w:trHeight w:val="317"/>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396FC21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567" w:type="dxa"/>
            <w:tcBorders>
              <w:top w:val="nil"/>
              <w:left w:val="nil"/>
              <w:bottom w:val="single" w:sz="8" w:space="0" w:color="auto"/>
              <w:right w:val="single" w:sz="8" w:space="0" w:color="auto"/>
            </w:tcBorders>
            <w:shd w:val="clear" w:color="auto" w:fill="auto"/>
            <w:vAlign w:val="center"/>
            <w:hideMark/>
          </w:tcPr>
          <w:p w14:paraId="0F76F58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65</w:t>
            </w:r>
          </w:p>
        </w:tc>
        <w:tc>
          <w:tcPr>
            <w:tcW w:w="850" w:type="dxa"/>
            <w:tcBorders>
              <w:top w:val="nil"/>
              <w:left w:val="nil"/>
              <w:bottom w:val="single" w:sz="8" w:space="0" w:color="auto"/>
              <w:right w:val="double" w:sz="6" w:space="0" w:color="auto"/>
            </w:tcBorders>
            <w:shd w:val="clear" w:color="auto" w:fill="auto"/>
            <w:vAlign w:val="center"/>
            <w:hideMark/>
          </w:tcPr>
          <w:p w14:paraId="61B5325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216</w:t>
            </w:r>
          </w:p>
        </w:tc>
        <w:tc>
          <w:tcPr>
            <w:tcW w:w="709" w:type="dxa"/>
            <w:tcBorders>
              <w:top w:val="nil"/>
              <w:left w:val="nil"/>
              <w:bottom w:val="single" w:sz="8" w:space="0" w:color="auto"/>
              <w:right w:val="single" w:sz="8" w:space="0" w:color="auto"/>
            </w:tcBorders>
            <w:shd w:val="clear" w:color="auto" w:fill="auto"/>
            <w:vAlign w:val="center"/>
            <w:hideMark/>
          </w:tcPr>
          <w:p w14:paraId="7F58798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214</w:t>
            </w:r>
          </w:p>
        </w:tc>
        <w:tc>
          <w:tcPr>
            <w:tcW w:w="709" w:type="dxa"/>
            <w:tcBorders>
              <w:top w:val="nil"/>
              <w:left w:val="nil"/>
              <w:bottom w:val="single" w:sz="8" w:space="0" w:color="auto"/>
              <w:right w:val="double" w:sz="6" w:space="0" w:color="auto"/>
            </w:tcBorders>
            <w:shd w:val="clear" w:color="auto" w:fill="auto"/>
            <w:vAlign w:val="center"/>
            <w:hideMark/>
          </w:tcPr>
          <w:p w14:paraId="003B5F6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524</w:t>
            </w:r>
          </w:p>
        </w:tc>
        <w:tc>
          <w:tcPr>
            <w:tcW w:w="709" w:type="dxa"/>
            <w:tcBorders>
              <w:top w:val="nil"/>
              <w:left w:val="nil"/>
              <w:bottom w:val="single" w:sz="8" w:space="0" w:color="auto"/>
              <w:right w:val="single" w:sz="8" w:space="0" w:color="auto"/>
            </w:tcBorders>
            <w:shd w:val="clear" w:color="auto" w:fill="auto"/>
            <w:vAlign w:val="center"/>
            <w:hideMark/>
          </w:tcPr>
          <w:p w14:paraId="00C6C137"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391</w:t>
            </w:r>
          </w:p>
        </w:tc>
        <w:tc>
          <w:tcPr>
            <w:tcW w:w="708" w:type="dxa"/>
            <w:tcBorders>
              <w:top w:val="nil"/>
              <w:left w:val="nil"/>
              <w:bottom w:val="single" w:sz="8" w:space="0" w:color="auto"/>
              <w:right w:val="double" w:sz="6" w:space="0" w:color="auto"/>
            </w:tcBorders>
            <w:shd w:val="clear" w:color="auto" w:fill="auto"/>
            <w:vAlign w:val="center"/>
            <w:hideMark/>
          </w:tcPr>
          <w:p w14:paraId="63EF1E9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853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677482B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Annual</w:t>
            </w:r>
          </w:p>
        </w:tc>
        <w:tc>
          <w:tcPr>
            <w:tcW w:w="680" w:type="dxa"/>
            <w:tcBorders>
              <w:top w:val="nil"/>
              <w:left w:val="nil"/>
              <w:bottom w:val="single" w:sz="8" w:space="0" w:color="auto"/>
              <w:right w:val="single" w:sz="8" w:space="0" w:color="auto"/>
            </w:tcBorders>
            <w:shd w:val="clear" w:color="auto" w:fill="auto"/>
            <w:vAlign w:val="center"/>
            <w:hideMark/>
          </w:tcPr>
          <w:p w14:paraId="7BC89EE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w:t>
            </w:r>
          </w:p>
        </w:tc>
        <w:tc>
          <w:tcPr>
            <w:tcW w:w="567" w:type="dxa"/>
            <w:tcBorders>
              <w:top w:val="nil"/>
              <w:left w:val="nil"/>
              <w:bottom w:val="single" w:sz="8" w:space="0" w:color="auto"/>
              <w:right w:val="double" w:sz="6" w:space="0" w:color="auto"/>
            </w:tcBorders>
            <w:shd w:val="clear" w:color="auto" w:fill="auto"/>
            <w:vAlign w:val="center"/>
            <w:hideMark/>
          </w:tcPr>
          <w:p w14:paraId="5A858CC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w:t>
            </w:r>
          </w:p>
        </w:tc>
        <w:tc>
          <w:tcPr>
            <w:tcW w:w="596" w:type="dxa"/>
            <w:tcBorders>
              <w:top w:val="nil"/>
              <w:left w:val="nil"/>
              <w:bottom w:val="single" w:sz="8" w:space="0" w:color="auto"/>
              <w:right w:val="single" w:sz="8" w:space="0" w:color="auto"/>
            </w:tcBorders>
            <w:shd w:val="clear" w:color="auto" w:fill="auto"/>
            <w:vAlign w:val="center"/>
            <w:hideMark/>
          </w:tcPr>
          <w:p w14:paraId="5076FF1E"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w:t>
            </w:r>
          </w:p>
        </w:tc>
        <w:tc>
          <w:tcPr>
            <w:tcW w:w="680" w:type="dxa"/>
            <w:tcBorders>
              <w:top w:val="nil"/>
              <w:left w:val="nil"/>
              <w:bottom w:val="single" w:sz="8" w:space="0" w:color="auto"/>
              <w:right w:val="double" w:sz="6" w:space="0" w:color="auto"/>
            </w:tcBorders>
            <w:shd w:val="clear" w:color="auto" w:fill="auto"/>
            <w:vAlign w:val="center"/>
            <w:hideMark/>
          </w:tcPr>
          <w:p w14:paraId="002604A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16</w:t>
            </w:r>
          </w:p>
        </w:tc>
        <w:tc>
          <w:tcPr>
            <w:tcW w:w="709" w:type="dxa"/>
            <w:tcBorders>
              <w:top w:val="nil"/>
              <w:left w:val="nil"/>
              <w:bottom w:val="single" w:sz="8" w:space="0" w:color="auto"/>
              <w:right w:val="single" w:sz="8" w:space="0" w:color="auto"/>
            </w:tcBorders>
            <w:shd w:val="clear" w:color="auto" w:fill="auto"/>
            <w:vAlign w:val="center"/>
            <w:hideMark/>
          </w:tcPr>
          <w:p w14:paraId="4D8D63F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12</w:t>
            </w:r>
          </w:p>
        </w:tc>
        <w:tc>
          <w:tcPr>
            <w:tcW w:w="709" w:type="dxa"/>
            <w:tcBorders>
              <w:top w:val="nil"/>
              <w:left w:val="nil"/>
              <w:bottom w:val="single" w:sz="8" w:space="0" w:color="auto"/>
              <w:right w:val="double" w:sz="6" w:space="0" w:color="auto"/>
            </w:tcBorders>
            <w:shd w:val="clear" w:color="auto" w:fill="auto"/>
            <w:vAlign w:val="center"/>
            <w:hideMark/>
          </w:tcPr>
          <w:p w14:paraId="443FF642"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26</w:t>
            </w:r>
          </w:p>
        </w:tc>
      </w:tr>
      <w:tr w:rsidR="005636C7" w:rsidRPr="004A74A2" w14:paraId="0424D303" w14:textId="77777777" w:rsidTr="005636C7">
        <w:trPr>
          <w:trHeight w:val="376"/>
        </w:trPr>
        <w:tc>
          <w:tcPr>
            <w:tcW w:w="1135" w:type="dxa"/>
            <w:tcBorders>
              <w:top w:val="nil"/>
              <w:left w:val="single" w:sz="8" w:space="0" w:color="auto"/>
              <w:bottom w:val="single" w:sz="8" w:space="0" w:color="auto"/>
              <w:right w:val="double" w:sz="6" w:space="0" w:color="auto"/>
            </w:tcBorders>
            <w:shd w:val="clear" w:color="auto" w:fill="auto"/>
            <w:vAlign w:val="center"/>
            <w:hideMark/>
          </w:tcPr>
          <w:p w14:paraId="2CABE31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567" w:type="dxa"/>
            <w:tcBorders>
              <w:top w:val="nil"/>
              <w:left w:val="nil"/>
              <w:bottom w:val="single" w:sz="8" w:space="0" w:color="auto"/>
              <w:right w:val="single" w:sz="8" w:space="0" w:color="auto"/>
            </w:tcBorders>
            <w:shd w:val="clear" w:color="auto" w:fill="auto"/>
            <w:vAlign w:val="center"/>
            <w:hideMark/>
          </w:tcPr>
          <w:p w14:paraId="593353DA"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207</w:t>
            </w:r>
          </w:p>
        </w:tc>
        <w:tc>
          <w:tcPr>
            <w:tcW w:w="850" w:type="dxa"/>
            <w:tcBorders>
              <w:top w:val="nil"/>
              <w:left w:val="nil"/>
              <w:bottom w:val="single" w:sz="8" w:space="0" w:color="auto"/>
              <w:right w:val="double" w:sz="6" w:space="0" w:color="auto"/>
            </w:tcBorders>
            <w:shd w:val="clear" w:color="auto" w:fill="auto"/>
            <w:vAlign w:val="center"/>
            <w:hideMark/>
          </w:tcPr>
          <w:p w14:paraId="2124A704"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1,692</w:t>
            </w:r>
          </w:p>
        </w:tc>
        <w:tc>
          <w:tcPr>
            <w:tcW w:w="709" w:type="dxa"/>
            <w:tcBorders>
              <w:top w:val="nil"/>
              <w:left w:val="nil"/>
              <w:bottom w:val="single" w:sz="8" w:space="0" w:color="auto"/>
              <w:right w:val="single" w:sz="8" w:space="0" w:color="auto"/>
            </w:tcBorders>
            <w:shd w:val="clear" w:color="auto" w:fill="auto"/>
            <w:vAlign w:val="center"/>
            <w:hideMark/>
          </w:tcPr>
          <w:p w14:paraId="16280F9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734</w:t>
            </w:r>
          </w:p>
        </w:tc>
        <w:tc>
          <w:tcPr>
            <w:tcW w:w="709" w:type="dxa"/>
            <w:tcBorders>
              <w:top w:val="nil"/>
              <w:left w:val="nil"/>
              <w:bottom w:val="single" w:sz="8" w:space="0" w:color="auto"/>
              <w:right w:val="double" w:sz="6" w:space="0" w:color="auto"/>
            </w:tcBorders>
            <w:shd w:val="clear" w:color="auto" w:fill="auto"/>
            <w:vAlign w:val="center"/>
            <w:hideMark/>
          </w:tcPr>
          <w:p w14:paraId="19EB8E45"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4,767</w:t>
            </w:r>
          </w:p>
        </w:tc>
        <w:tc>
          <w:tcPr>
            <w:tcW w:w="709" w:type="dxa"/>
            <w:tcBorders>
              <w:top w:val="nil"/>
              <w:left w:val="nil"/>
              <w:bottom w:val="single" w:sz="8" w:space="0" w:color="auto"/>
              <w:right w:val="single" w:sz="8" w:space="0" w:color="auto"/>
            </w:tcBorders>
            <w:shd w:val="clear" w:color="auto" w:fill="auto"/>
            <w:vAlign w:val="center"/>
            <w:hideMark/>
          </w:tcPr>
          <w:p w14:paraId="7CBDA230"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1,360</w:t>
            </w:r>
          </w:p>
        </w:tc>
        <w:tc>
          <w:tcPr>
            <w:tcW w:w="708" w:type="dxa"/>
            <w:tcBorders>
              <w:top w:val="nil"/>
              <w:left w:val="nil"/>
              <w:bottom w:val="single" w:sz="8" w:space="0" w:color="auto"/>
              <w:right w:val="double" w:sz="6" w:space="0" w:color="auto"/>
            </w:tcBorders>
            <w:shd w:val="clear" w:color="auto" w:fill="auto"/>
            <w:vAlign w:val="center"/>
            <w:hideMark/>
          </w:tcPr>
          <w:p w14:paraId="12040353"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8,263</w:t>
            </w:r>
          </w:p>
        </w:tc>
        <w:tc>
          <w:tcPr>
            <w:tcW w:w="1134" w:type="dxa"/>
            <w:tcBorders>
              <w:top w:val="nil"/>
              <w:left w:val="single" w:sz="8" w:space="0" w:color="auto"/>
              <w:bottom w:val="single" w:sz="8" w:space="0" w:color="auto"/>
              <w:right w:val="double" w:sz="6" w:space="0" w:color="auto"/>
            </w:tcBorders>
            <w:shd w:val="clear" w:color="auto" w:fill="auto"/>
            <w:vAlign w:val="center"/>
            <w:hideMark/>
          </w:tcPr>
          <w:p w14:paraId="3F00529B"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lang w:val="en-NZ"/>
              </w:rPr>
              <w:t>Cumulative</w:t>
            </w:r>
          </w:p>
        </w:tc>
        <w:tc>
          <w:tcPr>
            <w:tcW w:w="680" w:type="dxa"/>
            <w:tcBorders>
              <w:top w:val="nil"/>
              <w:left w:val="nil"/>
              <w:bottom w:val="single" w:sz="8" w:space="0" w:color="auto"/>
              <w:right w:val="single" w:sz="8" w:space="0" w:color="auto"/>
            </w:tcBorders>
            <w:shd w:val="clear" w:color="auto" w:fill="auto"/>
            <w:vAlign w:val="center"/>
            <w:hideMark/>
          </w:tcPr>
          <w:p w14:paraId="0A6DDAC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6</w:t>
            </w:r>
          </w:p>
        </w:tc>
        <w:tc>
          <w:tcPr>
            <w:tcW w:w="567" w:type="dxa"/>
            <w:tcBorders>
              <w:top w:val="nil"/>
              <w:left w:val="nil"/>
              <w:bottom w:val="single" w:sz="8" w:space="0" w:color="auto"/>
              <w:right w:val="double" w:sz="6" w:space="0" w:color="auto"/>
            </w:tcBorders>
            <w:shd w:val="clear" w:color="auto" w:fill="auto"/>
            <w:vAlign w:val="center"/>
            <w:hideMark/>
          </w:tcPr>
          <w:p w14:paraId="336ECF4C"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52</w:t>
            </w:r>
          </w:p>
        </w:tc>
        <w:tc>
          <w:tcPr>
            <w:tcW w:w="596" w:type="dxa"/>
            <w:tcBorders>
              <w:top w:val="nil"/>
              <w:left w:val="nil"/>
              <w:bottom w:val="single" w:sz="8" w:space="0" w:color="auto"/>
              <w:right w:val="single" w:sz="8" w:space="0" w:color="auto"/>
            </w:tcBorders>
            <w:shd w:val="clear" w:color="auto" w:fill="auto"/>
            <w:vAlign w:val="center"/>
            <w:hideMark/>
          </w:tcPr>
          <w:p w14:paraId="3D1369A1"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22</w:t>
            </w:r>
          </w:p>
        </w:tc>
        <w:tc>
          <w:tcPr>
            <w:tcW w:w="680" w:type="dxa"/>
            <w:tcBorders>
              <w:top w:val="nil"/>
              <w:left w:val="nil"/>
              <w:bottom w:val="single" w:sz="8" w:space="0" w:color="auto"/>
              <w:right w:val="double" w:sz="6" w:space="0" w:color="auto"/>
            </w:tcBorders>
            <w:shd w:val="clear" w:color="auto" w:fill="auto"/>
            <w:vAlign w:val="center"/>
            <w:hideMark/>
          </w:tcPr>
          <w:p w14:paraId="2CC82938"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147</w:t>
            </w:r>
          </w:p>
        </w:tc>
        <w:tc>
          <w:tcPr>
            <w:tcW w:w="709" w:type="dxa"/>
            <w:tcBorders>
              <w:top w:val="nil"/>
              <w:left w:val="nil"/>
              <w:bottom w:val="single" w:sz="8" w:space="0" w:color="auto"/>
              <w:right w:val="single" w:sz="8" w:space="0" w:color="auto"/>
            </w:tcBorders>
            <w:shd w:val="clear" w:color="auto" w:fill="auto"/>
            <w:vAlign w:val="center"/>
            <w:hideMark/>
          </w:tcPr>
          <w:p w14:paraId="15E21A1F"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41</w:t>
            </w:r>
          </w:p>
        </w:tc>
        <w:tc>
          <w:tcPr>
            <w:tcW w:w="709" w:type="dxa"/>
            <w:tcBorders>
              <w:top w:val="nil"/>
              <w:left w:val="nil"/>
              <w:bottom w:val="single" w:sz="8" w:space="0" w:color="auto"/>
              <w:right w:val="double" w:sz="6" w:space="0" w:color="auto"/>
            </w:tcBorders>
            <w:shd w:val="clear" w:color="auto" w:fill="auto"/>
            <w:vAlign w:val="center"/>
            <w:hideMark/>
          </w:tcPr>
          <w:p w14:paraId="1E10C366" w14:textId="77777777" w:rsidR="005636C7" w:rsidRPr="0041262C" w:rsidRDefault="005636C7" w:rsidP="005636C7">
            <w:pPr>
              <w:pStyle w:val="E3tabletext1"/>
              <w:keepNext/>
              <w:keepLines/>
              <w:rPr>
                <w:rFonts w:ascii="Helvetica" w:hAnsi="Helvetica" w:cs="Helvetica"/>
                <w:color w:val="000000"/>
                <w:lang w:val="en-NZ"/>
              </w:rPr>
            </w:pPr>
            <w:r w:rsidRPr="0041262C">
              <w:rPr>
                <w:rFonts w:ascii="Helvetica" w:hAnsi="Helvetica" w:cs="Helvetica"/>
                <w:color w:val="000000"/>
              </w:rPr>
              <w:t>256</w:t>
            </w:r>
          </w:p>
        </w:tc>
      </w:tr>
    </w:tbl>
    <w:p w14:paraId="13BFBAFD" w14:textId="77777777" w:rsidR="005636C7" w:rsidRDefault="005636C7" w:rsidP="005636C7">
      <w:pPr>
        <w:pStyle w:val="E3TableTitles"/>
        <w:rPr>
          <w:sz w:val="16"/>
          <w:szCs w:val="16"/>
        </w:rPr>
      </w:pPr>
    </w:p>
    <w:p w14:paraId="3D75256C" w14:textId="77777777" w:rsidR="005636C7" w:rsidRPr="009E4772" w:rsidRDefault="005636C7" w:rsidP="005636C7">
      <w:pPr>
        <w:pStyle w:val="E3BodyText"/>
        <w:jc w:val="both"/>
      </w:pPr>
      <w:r w:rsidRPr="00C7441A">
        <w:t xml:space="preserve">The </w:t>
      </w:r>
      <w:r w:rsidRPr="003334D1">
        <w:t xml:space="preserve">cost benefit </w:t>
      </w:r>
      <w:r w:rsidRPr="0049266A">
        <w:t xml:space="preserve">analysis incorporated a consideration of the incremental costs of the changed regime </w:t>
      </w:r>
      <w:r>
        <w:t>(including testing costs) and the regulatory cost burden on Australasian companies, with the majority of the costs relating to the requirements to meet the new MEPS.</w:t>
      </w:r>
    </w:p>
    <w:p w14:paraId="52296BD6" w14:textId="77777777" w:rsidR="005636C7" w:rsidRPr="00764D3D" w:rsidRDefault="005636C7" w:rsidP="005636C7">
      <w:pPr>
        <w:spacing w:after="240"/>
        <w:jc w:val="both"/>
      </w:pPr>
      <w:r w:rsidRPr="0041262C">
        <w:t xml:space="preserve">Sensitivity testing was </w:t>
      </w:r>
      <w:r>
        <w:t>used</w:t>
      </w:r>
      <w:r w:rsidRPr="0041262C">
        <w:t xml:space="preserve"> to assess the </w:t>
      </w:r>
      <w:r>
        <w:t>effect</w:t>
      </w:r>
      <w:r w:rsidRPr="0041262C">
        <w:t xml:space="preserve"> of changing costs on the modelling outcomes. Full detai</w:t>
      </w:r>
      <w:r>
        <w:t>ls are contained in Attachment C</w:t>
      </w:r>
      <w:r w:rsidRPr="0041262C">
        <w:t xml:space="preserve">. </w:t>
      </w:r>
    </w:p>
    <w:p w14:paraId="1A1AD526" w14:textId="77777777" w:rsidR="005636C7" w:rsidRDefault="005636C7" w:rsidP="005636C7">
      <w:pPr>
        <w:pStyle w:val="E3Heading2"/>
        <w:jc w:val="both"/>
      </w:pPr>
    </w:p>
    <w:p w14:paraId="126FD592" w14:textId="77777777" w:rsidR="005636C7" w:rsidRDefault="005636C7" w:rsidP="005636C7">
      <w:pPr>
        <w:pStyle w:val="E3Heading2"/>
        <w:jc w:val="both"/>
      </w:pPr>
    </w:p>
    <w:p w14:paraId="6760EF72" w14:textId="77777777" w:rsidR="005636C7" w:rsidRDefault="005636C7" w:rsidP="005636C7">
      <w:pPr>
        <w:pStyle w:val="E3Heading2"/>
        <w:jc w:val="both"/>
      </w:pPr>
    </w:p>
    <w:p w14:paraId="0CCEC51B" w14:textId="77777777" w:rsidR="005636C7" w:rsidRPr="00C22857" w:rsidRDefault="005636C7" w:rsidP="005636C7">
      <w:pPr>
        <w:pStyle w:val="E3BodyText"/>
      </w:pPr>
    </w:p>
    <w:p w14:paraId="52578BC5" w14:textId="77777777" w:rsidR="00AD5769" w:rsidRDefault="00AD5769">
      <w:pPr>
        <w:rPr>
          <w:rFonts w:ascii="Helvetica" w:eastAsia="Calibri" w:hAnsi="Helvetica" w:cs="Arial"/>
          <w:b/>
          <w:color w:val="000000" w:themeColor="text1"/>
          <w:sz w:val="32"/>
          <w:szCs w:val="26"/>
          <w:lang w:val="en-US" w:eastAsia="en-US"/>
        </w:rPr>
      </w:pPr>
      <w:bookmarkStart w:id="24" w:name="_Toc500151780"/>
      <w:r>
        <w:br w:type="page"/>
      </w:r>
    </w:p>
    <w:p w14:paraId="736C445E" w14:textId="4D4B06FA" w:rsidR="005636C7" w:rsidRDefault="005636C7" w:rsidP="005636C7">
      <w:pPr>
        <w:pStyle w:val="E3Heading2"/>
        <w:jc w:val="both"/>
      </w:pPr>
      <w:r>
        <w:t>Consultation</w:t>
      </w:r>
      <w:bookmarkEnd w:id="24"/>
    </w:p>
    <w:p w14:paraId="1B87C6C2" w14:textId="77777777" w:rsidR="005636C7" w:rsidRPr="00AD5769" w:rsidRDefault="005636C7" w:rsidP="00AD5769">
      <w:pPr>
        <w:pStyle w:val="E3BodyText"/>
        <w:jc w:val="both"/>
      </w:pPr>
      <w:r w:rsidRPr="00AD5769">
        <w:t>The proposals have been finalised following two main rounds of stakeholder consultation, with meetings held in Australia and New Zealand on the product profile in 2013 and then on the Consultation RIS in August 2016.</w:t>
      </w:r>
    </w:p>
    <w:p w14:paraId="42E0B6A6" w14:textId="77777777" w:rsidR="005636C7" w:rsidRPr="00AD5769" w:rsidRDefault="005636C7" w:rsidP="00AD5769">
      <w:pPr>
        <w:pStyle w:val="E3BodyText"/>
        <w:jc w:val="both"/>
      </w:pPr>
      <w:r w:rsidRPr="00AD5769">
        <w:t>There was almost unanimous support from industry, including individual companies, for the proposal to align with ISO 23953 and EN test methods, with option 4 regarded as the best policy proposal to achieve this. There was consistent support across both consultation processes for an extension of regulatory measures to include storage cabinets.</w:t>
      </w:r>
    </w:p>
    <w:p w14:paraId="41CBE4A8" w14:textId="77777777" w:rsidR="005636C7" w:rsidRPr="00AD5769" w:rsidRDefault="005636C7" w:rsidP="00AD5769">
      <w:pPr>
        <w:pStyle w:val="E3BodyText"/>
        <w:jc w:val="both"/>
      </w:pPr>
      <w:r w:rsidRPr="00AD5769">
        <w:t>It was agreed that MEPS levels needed to be revised, with the majority supporting a move to harmonise with EU efficiency levels, provided there would be sufficient lead in time to ensure that industry could adapt to any changes and find compliant models.</w:t>
      </w:r>
    </w:p>
    <w:p w14:paraId="460FDF84" w14:textId="77777777" w:rsidR="005636C7" w:rsidRPr="00AD5769" w:rsidRDefault="005636C7" w:rsidP="00AD5769">
      <w:pPr>
        <w:pStyle w:val="E3BodyText"/>
        <w:jc w:val="both"/>
      </w:pPr>
      <w:r w:rsidRPr="00AD5769">
        <w:t>Although industry largely supported aligning with international standards and efficiency levels, local manufacturers expressed concern that low-volume suppliers would continue to incur high compliance costs under international standards, while importers would gain a competitive advantage through being able to source compliant products more easily. There was strong support for a ‘deemed to comply’ provision as a means of reducing costs and demonstrating compliance where testing in a laboratory setting may be too difficult or expensive, for example for bespoke or low volume products.</w:t>
      </w:r>
    </w:p>
    <w:p w14:paraId="69FEA6AA" w14:textId="77777777" w:rsidR="005636C7" w:rsidRPr="00AD5769" w:rsidRDefault="005636C7" w:rsidP="00AD5769">
      <w:pPr>
        <w:pStyle w:val="E3BodyText"/>
        <w:jc w:val="both"/>
      </w:pPr>
      <w:r w:rsidRPr="00AD5769">
        <w:t>The only area of disagreement was with mandatory labelling.  Stakeholders at the product profile consultation were supportive of a mandatory energy rating label of some kind (although their preference was for this to be on-line or in the literature) accompanied by education of buyers. It was considered that labelling alone would not add much cost. While there were mixed feelings about the benefit of high efficiency endorsement labelling, the simplistic labelling methods proposed in Europe (in conjunction with European MEPS levels) were supported.  European Commission labelling was seen as likely to be useful in distinguishing between better performing and less efficient models.</w:t>
      </w:r>
    </w:p>
    <w:p w14:paraId="694CAE2F" w14:textId="77777777" w:rsidR="005636C7" w:rsidRPr="00AD5769" w:rsidRDefault="005636C7" w:rsidP="00AD5769">
      <w:pPr>
        <w:pStyle w:val="E3BodyText"/>
        <w:jc w:val="both"/>
      </w:pPr>
      <w:r w:rsidRPr="00AD5769">
        <w:t>At the more recent consultation meetings the proposal to add mandatory labelling to the regulatory options was opposed by industry. Concern was expressed at the additional cost of physical labels which were considered to be of minimal benefit given the purchasing decision or product comparison was not made in the showroom. There was support, however, for online energy rating information using the European Commission style of labelling.</w:t>
      </w:r>
    </w:p>
    <w:p w14:paraId="3DC32687" w14:textId="77777777" w:rsidR="005636C7" w:rsidRPr="00AD5769" w:rsidRDefault="005636C7" w:rsidP="00AD5769">
      <w:pPr>
        <w:pStyle w:val="E3BodyText"/>
        <w:jc w:val="both"/>
      </w:pPr>
      <w:r w:rsidRPr="00AD5769">
        <w:t xml:space="preserve">A Technical Working Group (TWG) was convened following feedback on the Consultation RIS.  The TWG was made up of industry representatives, regulators and independent experts and considered the suitability of the international standards for the local market and if any alterations to these standards would be required. </w:t>
      </w:r>
    </w:p>
    <w:p w14:paraId="02A9E0A3" w14:textId="77777777" w:rsidR="005636C7" w:rsidRPr="00AD5769" w:rsidRDefault="005636C7" w:rsidP="00AD5769">
      <w:pPr>
        <w:pStyle w:val="E3BodyText"/>
        <w:jc w:val="both"/>
      </w:pPr>
      <w:r w:rsidRPr="00AD5769">
        <w:t>Industry feedback was sought on the recommendations of the TWG and two submissions were received. One proposed increasing the MEPS level recommended under option 4. The other (from a small local importer) recommended all regulation be abandoned and the European CE mark to be accepted as compliance. Modelling of the costs and benefits was revised to account for changes following the consultation on the TWG recommendations, including the move to voluntary labelling.</w:t>
      </w:r>
    </w:p>
    <w:p w14:paraId="4A1B8DA7" w14:textId="77777777" w:rsidR="005636C7" w:rsidRDefault="005636C7" w:rsidP="00AF7205">
      <w:pPr>
        <w:pStyle w:val="E3Heading2"/>
        <w:spacing w:before="240"/>
      </w:pPr>
      <w:bookmarkStart w:id="25" w:name="_Toc500151781"/>
      <w:r>
        <w:t>Conclusion</w:t>
      </w:r>
      <w:bookmarkEnd w:id="25"/>
    </w:p>
    <w:p w14:paraId="1E16219B" w14:textId="77777777" w:rsidR="005636C7" w:rsidRPr="009E4772" w:rsidDel="00514F0A" w:rsidRDefault="005636C7" w:rsidP="005636C7">
      <w:pPr>
        <w:pStyle w:val="E3BodyText"/>
        <w:jc w:val="both"/>
      </w:pPr>
      <w:r w:rsidRPr="009E4772" w:rsidDel="00514F0A">
        <w:t xml:space="preserve">Option 4 </w:t>
      </w:r>
      <w:r>
        <w:t xml:space="preserve">provides </w:t>
      </w:r>
      <w:r w:rsidRPr="009E4772" w:rsidDel="00514F0A">
        <w:t xml:space="preserve">the </w:t>
      </w:r>
      <w:r>
        <w:t>greatest Net Present V</w:t>
      </w:r>
      <w:r w:rsidRPr="009E4772" w:rsidDel="00514F0A">
        <w:t>alue</w:t>
      </w:r>
      <w:r>
        <w:t xml:space="preserve"> in both Australia and New Zealand. While the costs of each option increase with the benefits to be gained, the overall benefits of option 4 are greater than the other options. Out of the policy options being considered, option 4 also has the highest energy savings and greenhouse gas reduction potential and the most support from industry</w:t>
      </w:r>
      <w:r w:rsidRPr="009E4772" w:rsidDel="00514F0A">
        <w:t>.</w:t>
      </w:r>
    </w:p>
    <w:p w14:paraId="5213EAEF" w14:textId="77777777" w:rsidR="005636C7" w:rsidRDefault="005636C7" w:rsidP="005636C7">
      <w:pPr>
        <w:pStyle w:val="E3BodyText"/>
        <w:jc w:val="both"/>
      </w:pPr>
      <w:r w:rsidRPr="009E4772" w:rsidDel="00514F0A">
        <w:t xml:space="preserve">There are considerable benefits </w:t>
      </w:r>
      <w:r>
        <w:t xml:space="preserve">to be gained </w:t>
      </w:r>
      <w:r w:rsidRPr="009E4772" w:rsidDel="00514F0A">
        <w:t xml:space="preserve">from moving away from the complexity of </w:t>
      </w:r>
      <w:r>
        <w:t xml:space="preserve">the current Australian and New Zealand regionally-specific Standard </w:t>
      </w:r>
      <w:r w:rsidRPr="009E4772" w:rsidDel="00514F0A">
        <w:t>AS 1731. Adopting the European approach to both test methods and MEPS w</w:t>
      </w:r>
      <w:r>
        <w:t xml:space="preserve">ould </w:t>
      </w:r>
      <w:r w:rsidRPr="009E4772" w:rsidDel="00514F0A">
        <w:t xml:space="preserve">provide a simpler regime </w:t>
      </w:r>
      <w:r>
        <w:t>and harmonization with international standards would facilitate the transition to the new standards.</w:t>
      </w:r>
    </w:p>
    <w:p w14:paraId="6128B26E" w14:textId="77777777" w:rsidR="005636C7" w:rsidRDefault="005636C7" w:rsidP="005636C7">
      <w:pPr>
        <w:pStyle w:val="E3BodyText"/>
        <w:jc w:val="both"/>
      </w:pPr>
      <w:r>
        <w:t>Adoption of a voluntary online label based on the EU label</w:t>
      </w:r>
      <w:r w:rsidRPr="00AC7259">
        <w:t xml:space="preserve"> </w:t>
      </w:r>
      <w:r>
        <w:t xml:space="preserve">would </w:t>
      </w:r>
      <w:r w:rsidRPr="00AC7259">
        <w:t xml:space="preserve">resolve many of the issues with the market that </w:t>
      </w:r>
      <w:r>
        <w:t xml:space="preserve">prevent </w:t>
      </w:r>
      <w:r w:rsidRPr="00AC7259">
        <w:t>buyers from making an informed decision about the</w:t>
      </w:r>
      <w:r>
        <w:t xml:space="preserve"> effects that </w:t>
      </w:r>
      <w:r w:rsidRPr="00AC7259">
        <w:t>energy use</w:t>
      </w:r>
      <w:r>
        <w:t xml:space="preserve"> and has</w:t>
      </w:r>
      <w:r w:rsidRPr="00AC7259">
        <w:t xml:space="preserve"> on a cabinet’s life-cycle cost</w:t>
      </w:r>
      <w:r>
        <w:t>.</w:t>
      </w:r>
      <w:r w:rsidRPr="00AC7259">
        <w:t xml:space="preserve"> It </w:t>
      </w:r>
      <w:r>
        <w:t xml:space="preserve">would </w:t>
      </w:r>
      <w:r w:rsidRPr="00AC7259">
        <w:t>also align energy efficiency specificat</w:t>
      </w:r>
      <w:r>
        <w:t>ions with Australia and NZ’s major trading partners.</w:t>
      </w:r>
    </w:p>
    <w:p w14:paraId="71521D78" w14:textId="77777777" w:rsidR="005636C7" w:rsidRPr="009D0021" w:rsidRDefault="005636C7" w:rsidP="005636C7">
      <w:pPr>
        <w:pStyle w:val="E3BodyText"/>
        <w:jc w:val="both"/>
      </w:pPr>
      <w:r>
        <w:t>It is also proposed that broader family groups of cabinet models and a ‘deemed to comply’ provision be drafted for inclusion in the regulatory proposals which would reduce testing and regulatory compliance costs for low volume manufacturers.</w:t>
      </w:r>
    </w:p>
    <w:p w14:paraId="764179EE" w14:textId="77777777" w:rsidR="005636C7" w:rsidRPr="000B53C0" w:rsidRDefault="005636C7" w:rsidP="00AF7205">
      <w:pPr>
        <w:spacing w:before="240" w:after="240"/>
        <w:jc w:val="both"/>
        <w:rPr>
          <w:rFonts w:ascii="Helvetica" w:eastAsia="Calibri" w:hAnsi="Helvetica" w:cs="Arial"/>
          <w:b/>
          <w:color w:val="000000" w:themeColor="text1"/>
          <w:sz w:val="32"/>
          <w:szCs w:val="26"/>
          <w:lang w:val="en-US"/>
        </w:rPr>
      </w:pPr>
      <w:r w:rsidRPr="000B53C0">
        <w:rPr>
          <w:rFonts w:ascii="Helvetica" w:eastAsia="Calibri" w:hAnsi="Helvetica" w:cs="Arial"/>
          <w:b/>
          <w:color w:val="000000" w:themeColor="text1"/>
          <w:sz w:val="32"/>
          <w:szCs w:val="26"/>
          <w:lang w:val="en-US"/>
        </w:rPr>
        <w:t xml:space="preserve">Implementation and Review </w:t>
      </w:r>
    </w:p>
    <w:p w14:paraId="48EF8AAF" w14:textId="77777777" w:rsidR="005636C7" w:rsidRDefault="005636C7" w:rsidP="00AD5769">
      <w:pPr>
        <w:pStyle w:val="E3BodyText"/>
        <w:jc w:val="both"/>
      </w:pPr>
      <w:r w:rsidRPr="003334D1">
        <w:t xml:space="preserve">The risks of implementing these proposals are considered to be </w:t>
      </w:r>
      <w:r w:rsidRPr="0049266A">
        <w:t xml:space="preserve">low, given </w:t>
      </w:r>
      <w:r w:rsidRPr="00837675">
        <w:t>they involve change</w:t>
      </w:r>
      <w:r>
        <w:t xml:space="preserve">s to local standards to align with internationally accepted test standards and methods. </w:t>
      </w:r>
    </w:p>
    <w:p w14:paraId="28A832B8" w14:textId="77777777" w:rsidR="005636C7" w:rsidRPr="003334D1" w:rsidRDefault="005636C7" w:rsidP="005636C7">
      <w:pPr>
        <w:pStyle w:val="E3BodyText"/>
        <w:jc w:val="both"/>
      </w:pPr>
      <w:r>
        <w:t xml:space="preserve">An implementation date of no earlier than 1 December 2019 is proposed to allow industry to adapt to the changes. </w:t>
      </w:r>
    </w:p>
    <w:p w14:paraId="57AE79D6" w14:textId="77777777" w:rsidR="005636C7" w:rsidRDefault="005636C7" w:rsidP="00AD5769">
      <w:pPr>
        <w:pStyle w:val="E3BodyText"/>
        <w:jc w:val="both"/>
      </w:pPr>
      <w:r w:rsidRPr="003334D1">
        <w:t>The main implementation risk is that t</w:t>
      </w:r>
      <w:r w:rsidRPr="0049266A">
        <w:t>here may be delays with the implemen</w:t>
      </w:r>
      <w:r w:rsidRPr="00837675">
        <w:t>tation of the new MEPS levels in Europe</w:t>
      </w:r>
      <w:r w:rsidRPr="00F94566">
        <w:t xml:space="preserve"> but this has been mitigated by introducing the </w:t>
      </w:r>
      <w:r w:rsidRPr="00A25ABC">
        <w:t xml:space="preserve">EU </w:t>
      </w:r>
      <w:r>
        <w:t xml:space="preserve">January </w:t>
      </w:r>
      <w:r w:rsidRPr="00A25ABC">
        <w:t>201</w:t>
      </w:r>
      <w:r>
        <w:t>8</w:t>
      </w:r>
      <w:r w:rsidRPr="00A25ABC">
        <w:t xml:space="preserve"> </w:t>
      </w:r>
      <w:r w:rsidRPr="003334D1">
        <w:t xml:space="preserve">(announced) MEPS levels in </w:t>
      </w:r>
      <w:r>
        <w:t xml:space="preserve">December </w:t>
      </w:r>
      <w:r w:rsidRPr="003334D1">
        <w:t xml:space="preserve">2019. </w:t>
      </w:r>
    </w:p>
    <w:p w14:paraId="5B84DB09" w14:textId="77777777" w:rsidR="005636C7" w:rsidRDefault="005636C7" w:rsidP="00AD5769">
      <w:pPr>
        <w:pStyle w:val="E3BodyText"/>
        <w:jc w:val="both"/>
      </w:pPr>
      <w:r w:rsidRPr="003334D1">
        <w:t>The membership of the TWG that advised on this proposal</w:t>
      </w:r>
      <w:r w:rsidRPr="00A1036A">
        <w:t xml:space="preserve"> represented </w:t>
      </w:r>
      <w:r>
        <w:t xml:space="preserve">about </w:t>
      </w:r>
      <w:r w:rsidRPr="00A1036A">
        <w:t xml:space="preserve">70% of industry by volume and consensus was achieved </w:t>
      </w:r>
      <w:r>
        <w:t xml:space="preserve">on the proposed implementation timeline. This provides sufficient time for trans-Tasman industry to improve product supply prior to future alignment with EU MEPS when they become available.  </w:t>
      </w:r>
    </w:p>
    <w:p w14:paraId="12D3CF60" w14:textId="77777777" w:rsidR="005636C7" w:rsidRDefault="005636C7" w:rsidP="00AD5769">
      <w:pPr>
        <w:pStyle w:val="E3BodyText"/>
        <w:jc w:val="both"/>
      </w:pPr>
      <w:r>
        <w:t xml:space="preserve">If the Council of Australian Governments’ (COAG) Energy Council in Australia approves one of the proposals, the </w:t>
      </w:r>
      <w:r w:rsidRPr="00AD5769">
        <w:t xml:space="preserve">Greenhouse and Energy Minimum Standards (Refrigerated Display Cabinets) Determination 2012 </w:t>
      </w:r>
      <w:r>
        <w:t xml:space="preserve">would be revised for approval by the Commonwealth Minister for the Environment and Energy. In New Zealand, a policy option requires approval by Cabinet before being adopted under the </w:t>
      </w:r>
      <w:r w:rsidRPr="00AD5769">
        <w:t>Energy Efficiency (Energy Using Products) Regulations 2002</w:t>
      </w:r>
      <w:r>
        <w:t>. If approved, the updated regulations would be subject to compliance monitoring and review in both countries.</w:t>
      </w:r>
    </w:p>
    <w:p w14:paraId="62C746F4" w14:textId="77777777" w:rsidR="005636C7" w:rsidRDefault="005636C7" w:rsidP="00AD5769">
      <w:pPr>
        <w:pStyle w:val="E3BodyText"/>
        <w:jc w:val="both"/>
      </w:pPr>
      <w:r w:rsidRPr="00266E65">
        <w:t>For Australia, a regulatory offset has not been identified to accompany Option 4. However, the Commonwealth Department of the Environment and Energy is seeking to pursue net reductions in compliance costs and will work with affected stakeholders and across Government to identify regulatory burden reductions where appropriate.</w:t>
      </w:r>
    </w:p>
    <w:p w14:paraId="11F9D782" w14:textId="77777777" w:rsidR="005636C7" w:rsidRDefault="005636C7" w:rsidP="005636C7">
      <w:pPr>
        <w:spacing w:after="240"/>
        <w:jc w:val="both"/>
      </w:pPr>
    </w:p>
    <w:p w14:paraId="38CD5A0A" w14:textId="77777777" w:rsidR="005636C7" w:rsidRDefault="005636C7" w:rsidP="005636C7">
      <w:pPr>
        <w:pStyle w:val="E3BodyText"/>
      </w:pPr>
    </w:p>
    <w:p w14:paraId="3903F3DF" w14:textId="77777777" w:rsidR="005636C7" w:rsidRDefault="005636C7" w:rsidP="005636C7">
      <w:pPr>
        <w:pStyle w:val="E3BodyText"/>
      </w:pPr>
    </w:p>
    <w:p w14:paraId="67AF7B5D" w14:textId="77777777" w:rsidR="005636C7" w:rsidRDefault="005636C7" w:rsidP="005636C7">
      <w:pPr>
        <w:pStyle w:val="E3BodyText"/>
      </w:pPr>
    </w:p>
    <w:p w14:paraId="521C9851" w14:textId="77777777" w:rsidR="005636C7" w:rsidRDefault="005636C7" w:rsidP="005636C7">
      <w:pPr>
        <w:pStyle w:val="E3BodyText"/>
      </w:pPr>
    </w:p>
    <w:p w14:paraId="2E0C4D18" w14:textId="77777777" w:rsidR="005636C7" w:rsidRDefault="005636C7" w:rsidP="005636C7">
      <w:pPr>
        <w:pStyle w:val="E3BodyText"/>
      </w:pPr>
    </w:p>
    <w:p w14:paraId="28F65A40" w14:textId="77777777" w:rsidR="005636C7" w:rsidRDefault="005636C7" w:rsidP="005636C7">
      <w:pPr>
        <w:pStyle w:val="E3BodyText"/>
      </w:pPr>
    </w:p>
    <w:p w14:paraId="0DF11C80" w14:textId="77777777" w:rsidR="005636C7" w:rsidRDefault="005636C7" w:rsidP="005636C7">
      <w:pPr>
        <w:pStyle w:val="E3BodyText"/>
      </w:pPr>
    </w:p>
    <w:p w14:paraId="75DF0668" w14:textId="77777777" w:rsidR="005636C7" w:rsidRDefault="005636C7" w:rsidP="005636C7">
      <w:pPr>
        <w:pStyle w:val="E3BodyText"/>
      </w:pPr>
    </w:p>
    <w:p w14:paraId="0805AE8F" w14:textId="77777777" w:rsidR="005636C7" w:rsidRDefault="005636C7" w:rsidP="005636C7">
      <w:pPr>
        <w:pStyle w:val="E3BodyText"/>
      </w:pPr>
    </w:p>
    <w:p w14:paraId="5D065148" w14:textId="77777777" w:rsidR="005636C7" w:rsidRDefault="005636C7" w:rsidP="005636C7">
      <w:pPr>
        <w:pStyle w:val="E3BodyText"/>
      </w:pPr>
    </w:p>
    <w:p w14:paraId="56690CE0" w14:textId="77777777" w:rsidR="005636C7" w:rsidRDefault="005636C7" w:rsidP="005636C7">
      <w:pPr>
        <w:pStyle w:val="E3BodyText"/>
      </w:pPr>
    </w:p>
    <w:p w14:paraId="171FBF6D" w14:textId="77777777" w:rsidR="005636C7" w:rsidRDefault="005636C7" w:rsidP="005636C7">
      <w:pPr>
        <w:pStyle w:val="E3BodyText"/>
      </w:pPr>
    </w:p>
    <w:p w14:paraId="37FF681A" w14:textId="77777777" w:rsidR="005636C7" w:rsidRDefault="005636C7" w:rsidP="005636C7">
      <w:pPr>
        <w:pStyle w:val="E3BodyText"/>
      </w:pPr>
    </w:p>
    <w:p w14:paraId="5C498D6D" w14:textId="77777777" w:rsidR="005636C7" w:rsidRDefault="005636C7" w:rsidP="005636C7">
      <w:pPr>
        <w:pStyle w:val="E3BodyText"/>
      </w:pPr>
    </w:p>
    <w:p w14:paraId="0CC38297" w14:textId="77777777" w:rsidR="005636C7" w:rsidRDefault="005636C7" w:rsidP="005636C7">
      <w:pPr>
        <w:pStyle w:val="E3BodyText"/>
      </w:pPr>
    </w:p>
    <w:p w14:paraId="4375953A" w14:textId="77777777" w:rsidR="005636C7" w:rsidRDefault="005636C7" w:rsidP="005636C7">
      <w:pPr>
        <w:pStyle w:val="E3BodyText"/>
      </w:pPr>
    </w:p>
    <w:p w14:paraId="10EA98A8" w14:textId="77777777" w:rsidR="005636C7" w:rsidRDefault="005636C7" w:rsidP="005636C7">
      <w:pPr>
        <w:pStyle w:val="E3BodyText"/>
      </w:pPr>
    </w:p>
    <w:p w14:paraId="12EF1C8E" w14:textId="77777777" w:rsidR="005636C7" w:rsidRDefault="005636C7" w:rsidP="005636C7">
      <w:pPr>
        <w:pStyle w:val="E3BodyText"/>
      </w:pPr>
    </w:p>
    <w:p w14:paraId="7A273DE9" w14:textId="77777777" w:rsidR="005636C7" w:rsidRDefault="005636C7" w:rsidP="005636C7">
      <w:pPr>
        <w:pStyle w:val="E3BodyText"/>
      </w:pPr>
    </w:p>
    <w:p w14:paraId="4E7F1B0A" w14:textId="77777777" w:rsidR="005636C7" w:rsidRDefault="005636C7" w:rsidP="005636C7">
      <w:pPr>
        <w:pStyle w:val="E3BodyText"/>
      </w:pPr>
    </w:p>
    <w:p w14:paraId="7D3D3129" w14:textId="77777777" w:rsidR="005636C7" w:rsidRDefault="005636C7" w:rsidP="005636C7">
      <w:pPr>
        <w:pStyle w:val="E3BodyText"/>
      </w:pPr>
    </w:p>
    <w:p w14:paraId="2F93ECA1" w14:textId="77777777" w:rsidR="005636C7" w:rsidRDefault="005636C7" w:rsidP="005636C7">
      <w:pPr>
        <w:pStyle w:val="E3BodyText"/>
      </w:pPr>
    </w:p>
    <w:p w14:paraId="58E9A458" w14:textId="77777777" w:rsidR="005636C7" w:rsidRDefault="005636C7" w:rsidP="005636C7">
      <w:pPr>
        <w:pStyle w:val="E3BodyText"/>
      </w:pPr>
    </w:p>
    <w:p w14:paraId="1652A53B" w14:textId="77777777" w:rsidR="005636C7" w:rsidRDefault="005636C7" w:rsidP="000F6ACF">
      <w:pPr>
        <w:pStyle w:val="E3ChapterTitle"/>
        <w:numPr>
          <w:ilvl w:val="0"/>
          <w:numId w:val="30"/>
        </w:numPr>
      </w:pPr>
      <w:bookmarkStart w:id="26" w:name="_Toc500151782"/>
      <w:r>
        <w:rPr>
          <w:noProof/>
          <w:lang w:eastAsia="en-AU"/>
        </w:rPr>
        <w:drawing>
          <wp:anchor distT="0" distB="0" distL="114300" distR="114300" simplePos="0" relativeHeight="251659264" behindDoc="1" locked="1" layoutInCell="1" allowOverlap="1" wp14:anchorId="23E76C8A" wp14:editId="003BA268">
            <wp:simplePos x="0" y="0"/>
            <wp:positionH relativeFrom="margin">
              <wp:align>left</wp:align>
            </wp:positionH>
            <wp:positionV relativeFrom="margin">
              <wp:posOffset>-79375</wp:posOffset>
            </wp:positionV>
            <wp:extent cx="6124575" cy="1800225"/>
            <wp:effectExtent l="0" t="0" r="9525" b="9525"/>
            <wp:wrapNone/>
            <wp:docPr id="13"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Introduction</w:t>
      </w:r>
      <w:bookmarkEnd w:id="26"/>
    </w:p>
    <w:p w14:paraId="7B997311" w14:textId="77777777" w:rsidR="005636C7" w:rsidRDefault="005636C7" w:rsidP="005636C7">
      <w:pPr>
        <w:pStyle w:val="E3BodyText"/>
        <w:jc w:val="both"/>
      </w:pPr>
      <w:r w:rsidRPr="009E4772">
        <w:t xml:space="preserve">This Decision RIS </w:t>
      </w:r>
      <w:r>
        <w:t xml:space="preserve">considers </w:t>
      </w:r>
      <w:r w:rsidRPr="009E4772">
        <w:t>several policy proposals to</w:t>
      </w:r>
      <w:r>
        <w:t xml:space="preserve"> raise the energy efficiency of commercial refrigeration products and various </w:t>
      </w:r>
      <w:r w:rsidRPr="009E4772">
        <w:t xml:space="preserve">issues with the </w:t>
      </w:r>
      <w:r>
        <w:t xml:space="preserve">existing regulation. </w:t>
      </w:r>
      <w:r w:rsidRPr="009E4772">
        <w:t xml:space="preserve">These proposals </w:t>
      </w:r>
      <w:r>
        <w:t>have been</w:t>
      </w:r>
      <w:r w:rsidRPr="009E4772">
        <w:t xml:space="preserve"> developed through the Equipment Energy Efficiency (E3) Program, which aims to increase the energy efficiency of </w:t>
      </w:r>
      <w:r>
        <w:t>appliances and equipment</w:t>
      </w:r>
      <w:r w:rsidRPr="009E4772">
        <w:t xml:space="preserve"> used in the residential, commercial and manufacturing sectors in Australia and New Zealand.</w:t>
      </w:r>
    </w:p>
    <w:p w14:paraId="48E03A94" w14:textId="77777777" w:rsidR="005636C7" w:rsidRDefault="005636C7" w:rsidP="005636C7">
      <w:pPr>
        <w:pStyle w:val="E3BodyText"/>
        <w:jc w:val="both"/>
      </w:pPr>
      <w:r w:rsidRPr="0046124E">
        <w:rPr>
          <w:noProof/>
          <w:lang w:val="en-AU" w:eastAsia="en-AU"/>
        </w:rPr>
        <mc:AlternateContent>
          <mc:Choice Requires="wps">
            <w:drawing>
              <wp:anchor distT="0" distB="0" distL="114300" distR="114300" simplePos="0" relativeHeight="251660288" behindDoc="0" locked="0" layoutInCell="1" allowOverlap="1" wp14:anchorId="0AD23312" wp14:editId="3CFDF15D">
                <wp:simplePos x="0" y="0"/>
                <wp:positionH relativeFrom="page">
                  <wp:posOffset>955675</wp:posOffset>
                </wp:positionH>
                <wp:positionV relativeFrom="page">
                  <wp:posOffset>1007604</wp:posOffset>
                </wp:positionV>
                <wp:extent cx="5420563" cy="797441"/>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5420563" cy="797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5D2F8" w14:textId="77777777" w:rsidR="0047107E" w:rsidRPr="009E4772" w:rsidRDefault="0047107E" w:rsidP="005636C7">
                            <w:pPr>
                              <w:pStyle w:val="E3Chapt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23312" id="Text Box 16" o:spid="_x0000_s1028" type="#_x0000_t202" style="position:absolute;left:0;text-align:left;margin-left:75.25pt;margin-top:79.35pt;width:426.8pt;height:62.8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" filled="f" stroked="f" strokeweight=".5pt">
                <v:textbox>
                  <w:txbxContent>
                    <w:p w14:paraId="02A5D2F8" w14:textId="77777777" w:rsidR="0047107E" w:rsidRPr="009E4772" w:rsidRDefault="0047107E" w:rsidP="005636C7">
                      <w:pPr>
                        <w:pStyle w:val="E3ChapterTitle"/>
                      </w:pPr>
                    </w:p>
                  </w:txbxContent>
                </v:textbox>
                <w10:wrap anchorx="page" anchory="page"/>
              </v:shape>
            </w:pict>
          </mc:Fallback>
        </mc:AlternateContent>
      </w:r>
      <w:r>
        <w:t>Australia and New Zealand first introduced energy efficiency regulation for commercial refrigeration in 2003</w:t>
      </w:r>
      <w:r w:rsidRPr="0046124E">
        <w:t xml:space="preserve">, </w:t>
      </w:r>
      <w:r>
        <w:t xml:space="preserve">using an Australian Standard.  Since then, there has been a considerable growth in </w:t>
      </w:r>
      <w:r w:rsidRPr="0046124E">
        <w:t>energy use</w:t>
      </w:r>
      <w:r>
        <w:t xml:space="preserve"> in the sector </w:t>
      </w:r>
      <w:r w:rsidRPr="0046124E">
        <w:t xml:space="preserve">due to </w:t>
      </w:r>
      <w:r>
        <w:t xml:space="preserve">higher </w:t>
      </w:r>
      <w:r w:rsidRPr="0046124E">
        <w:t>demand for ready-to-eat food</w:t>
      </w:r>
      <w:r>
        <w:t xml:space="preserve"> and the general increases in population</w:t>
      </w:r>
      <w:r w:rsidRPr="0046124E">
        <w:t xml:space="preserve">.  </w:t>
      </w:r>
      <w:r>
        <w:t>Meanwhile, there are now technologies available that can achieve much higher efficiencies than when MEPS were first introduced. So the existing MEPS levels are no longer achieving the intended market transformation.</w:t>
      </w:r>
    </w:p>
    <w:p w14:paraId="5D340CB7" w14:textId="77777777" w:rsidR="005636C7" w:rsidRPr="0046124E" w:rsidRDefault="005636C7" w:rsidP="005636C7">
      <w:pPr>
        <w:pStyle w:val="E3BodyText"/>
        <w:jc w:val="both"/>
      </w:pPr>
      <w:r>
        <w:t>I</w:t>
      </w:r>
      <w:r w:rsidRPr="0046124E">
        <w:t xml:space="preserve">nternational standards have </w:t>
      </w:r>
      <w:r>
        <w:t xml:space="preserve">also </w:t>
      </w:r>
      <w:r w:rsidRPr="0046124E">
        <w:t xml:space="preserve">been developed </w:t>
      </w:r>
      <w:r>
        <w:t>that</w:t>
      </w:r>
      <w:r w:rsidRPr="0046124E">
        <w:t xml:space="preserve"> could </w:t>
      </w:r>
      <w:r>
        <w:t>be applied to update and simplify existing requirements and eliminate</w:t>
      </w:r>
      <w:r w:rsidRPr="0046124E">
        <w:t xml:space="preserve"> the need for testing to local standards</w:t>
      </w:r>
      <w:r>
        <w:t>,</w:t>
      </w:r>
      <w:r w:rsidRPr="0046124E">
        <w:t xml:space="preserve"> thereby reduc</w:t>
      </w:r>
      <w:r>
        <w:t>ing</w:t>
      </w:r>
      <w:r w:rsidRPr="0046124E">
        <w:t xml:space="preserve"> the cost to business </w:t>
      </w:r>
      <w:r>
        <w:t>from</w:t>
      </w:r>
      <w:r w:rsidRPr="0046124E">
        <w:t xml:space="preserve"> having to meet local requirements in a global market. </w:t>
      </w:r>
    </w:p>
    <w:p w14:paraId="30D8B73A" w14:textId="77777777" w:rsidR="005636C7" w:rsidRPr="009E4772" w:rsidRDefault="005636C7" w:rsidP="005636C7">
      <w:pPr>
        <w:pStyle w:val="E3BodyText"/>
        <w:jc w:val="both"/>
      </w:pPr>
      <w:r w:rsidRPr="009E4772">
        <w:t xml:space="preserve">While the current regulations have gone some way to achieving their objective by </w:t>
      </w:r>
      <w:r>
        <w:t>raising the baseline efficiency of</w:t>
      </w:r>
      <w:r w:rsidRPr="009E4772">
        <w:t xml:space="preserve"> commercial </w:t>
      </w:r>
      <w:r>
        <w:t xml:space="preserve">refrigeration </w:t>
      </w:r>
      <w:r w:rsidRPr="009E4772">
        <w:t xml:space="preserve">cabinets, there is </w:t>
      </w:r>
      <w:r>
        <w:t xml:space="preserve">now </w:t>
      </w:r>
      <w:r w:rsidRPr="009E4772">
        <w:t>significant scope to r</w:t>
      </w:r>
      <w:r>
        <w:t>evise the existing requirements.</w:t>
      </w:r>
    </w:p>
    <w:p w14:paraId="04F9F162" w14:textId="77777777" w:rsidR="005636C7" w:rsidRPr="0046124E" w:rsidRDefault="005636C7" w:rsidP="005636C7">
      <w:pPr>
        <w:pStyle w:val="E3BodyText"/>
        <w:jc w:val="both"/>
      </w:pPr>
      <w:r w:rsidRPr="0046124E">
        <w:t xml:space="preserve">This section provides background information about </w:t>
      </w:r>
      <w:r>
        <w:t>r</w:t>
      </w:r>
      <w:r w:rsidRPr="0046124E">
        <w:t>efrigerated commercial cabinets, the cabinet market and the policy context behind the proposals referred to in this document.</w:t>
      </w:r>
    </w:p>
    <w:p w14:paraId="03ADF0C1" w14:textId="77777777" w:rsidR="005636C7" w:rsidRPr="006D707F" w:rsidRDefault="005636C7" w:rsidP="005636C7">
      <w:pPr>
        <w:pStyle w:val="E3Heading1"/>
        <w:spacing w:before="240" w:after="240"/>
        <w:jc w:val="both"/>
        <w:rPr>
          <w:rFonts w:eastAsia="Calibri" w:cs="Arial"/>
          <w:color w:val="000000" w:themeColor="text1"/>
          <w:sz w:val="32"/>
          <w:szCs w:val="26"/>
          <w:lang w:val="en-US"/>
        </w:rPr>
      </w:pPr>
      <w:bookmarkStart w:id="27" w:name="_Toc500151783"/>
      <w:r w:rsidRPr="006D707F">
        <w:rPr>
          <w:rFonts w:eastAsia="Calibri" w:cs="Arial"/>
          <w:color w:val="000000" w:themeColor="text1"/>
          <w:sz w:val="32"/>
          <w:szCs w:val="26"/>
          <w:lang w:val="en-US"/>
        </w:rPr>
        <w:t>Refrigerated commercial cabinets</w:t>
      </w:r>
      <w:bookmarkEnd w:id="27"/>
    </w:p>
    <w:p w14:paraId="42F9DFC6" w14:textId="77777777" w:rsidR="005636C7" w:rsidRDefault="005636C7" w:rsidP="005636C7">
      <w:pPr>
        <w:pStyle w:val="E3BodyText"/>
        <w:jc w:val="both"/>
      </w:pPr>
      <w:r w:rsidRPr="006459A2">
        <w:t>The term “refrigerated commercial cabinet” in this context refers to a range of food display and preparation situations. It covers a variety of display fridges and freezers, including those with transparent doors or lids</w:t>
      </w:r>
      <w:r>
        <w:t>,</w:t>
      </w:r>
      <w:r w:rsidRPr="006459A2">
        <w:t xml:space="preserve"> open-fronted cabinets with shelves, horizontal freezers and drinks chillers – all of which display food for sale. These are often described as </w:t>
      </w:r>
      <w:r w:rsidRPr="00A1036A">
        <w:t xml:space="preserve">refrigerated display cabinets.  </w:t>
      </w:r>
    </w:p>
    <w:p w14:paraId="070A8999" w14:textId="77777777" w:rsidR="005636C7" w:rsidRDefault="005636C7" w:rsidP="005636C7">
      <w:pPr>
        <w:pStyle w:val="E3BodyText"/>
        <w:jc w:val="both"/>
      </w:pPr>
      <w:r w:rsidRPr="0046124E">
        <w:t xml:space="preserve">It also covers </w:t>
      </w:r>
      <w:r>
        <w:t>r</w:t>
      </w:r>
      <w:r w:rsidRPr="0046124E">
        <w:t xml:space="preserve">efrigerated storage cabinets (also known as professional or service cabinets), </w:t>
      </w:r>
      <w:r>
        <w:t xml:space="preserve">which </w:t>
      </w:r>
      <w:r w:rsidRPr="0046124E">
        <w:t xml:space="preserve">are often used behind the scenes in kitchens or catering, with transparent or opaque (solid) doors or lids.  Both display and storage cabinets are important in the food sector and used by a range of company sizes – from small, owner-operated cafes and corner </w:t>
      </w:r>
      <w:r>
        <w:t>shops</w:t>
      </w:r>
      <w:r w:rsidRPr="0046124E">
        <w:t xml:space="preserve"> through to larger companies such as supermarket chains</w:t>
      </w:r>
      <w:r>
        <w:t>.</w:t>
      </w:r>
    </w:p>
    <w:p w14:paraId="3A4D5DD1" w14:textId="77777777" w:rsidR="005636C7" w:rsidRDefault="005636C7" w:rsidP="005636C7">
      <w:pPr>
        <w:pStyle w:val="E3BodyText"/>
        <w:jc w:val="both"/>
      </w:pPr>
      <w:r w:rsidRPr="00FE2651">
        <w:t xml:space="preserve">Refrigerated storage cabinets are designed to store chilled or frozen foodstuffs at food-safe temperatures, but not to display products for sale to the public.  </w:t>
      </w:r>
    </w:p>
    <w:p w14:paraId="4514ED59" w14:textId="77777777" w:rsidR="005636C7" w:rsidRPr="006459A2" w:rsidRDefault="005636C7" w:rsidP="005636C7">
      <w:pPr>
        <w:pStyle w:val="E3BodyText"/>
        <w:jc w:val="both"/>
      </w:pPr>
      <w:r w:rsidRPr="00FE2651">
        <w:t xml:space="preserve">They are an essential part of the “cold chain” and are mostly used by small to medium enterprises in catering and hospitality applications, including non-retail areas of restaurants and institutional facilities such as hospitals, nursing homes and canteens. </w:t>
      </w:r>
      <w:r w:rsidRPr="0041262C">
        <w:t>Often storage cabinets are required to operate under more onerous ambient conditions, (e.g.</w:t>
      </w:r>
      <w:r>
        <w:t xml:space="preserve"> </w:t>
      </w:r>
      <w:r w:rsidRPr="0041262C">
        <w:t xml:space="preserve">commercial kitchens), and are rarely visible to the general public. </w:t>
      </w:r>
      <w:r>
        <w:t xml:space="preserve">In contrast, </w:t>
      </w:r>
      <w:r w:rsidRPr="008454E3">
        <w:t>r</w:t>
      </w:r>
      <w:r w:rsidRPr="0041262C">
        <w:t xml:space="preserve">efrigerated display cabinets operate in a visible and </w:t>
      </w:r>
      <w:r>
        <w:t xml:space="preserve">often air </w:t>
      </w:r>
      <w:r w:rsidRPr="0041262C">
        <w:t>conditioned space.</w:t>
      </w:r>
    </w:p>
    <w:p w14:paraId="4EE241AD" w14:textId="77777777" w:rsidR="005636C7" w:rsidRPr="003E237C" w:rsidRDefault="005636C7" w:rsidP="005636C7">
      <w:pPr>
        <w:pStyle w:val="E3BodyText"/>
        <w:jc w:val="both"/>
      </w:pPr>
      <w:r w:rsidRPr="003E237C">
        <w:t xml:space="preserve">Refrigerated commercial cabinets are commonly used for 24 hours per day, seven days a week and as a result use significant amounts of energy, which </w:t>
      </w:r>
      <w:r>
        <w:t>increases emissions of</w:t>
      </w:r>
      <w:r w:rsidRPr="003E237C">
        <w:t xml:space="preserve"> greenhouse gas</w:t>
      </w:r>
      <w:r>
        <w:t>es.</w:t>
      </w:r>
    </w:p>
    <w:p w14:paraId="58FE7B96" w14:textId="77777777" w:rsidR="005636C7" w:rsidRPr="003E237C" w:rsidRDefault="005636C7" w:rsidP="005636C7">
      <w:pPr>
        <w:pStyle w:val="E3BodyText"/>
        <w:jc w:val="both"/>
      </w:pPr>
      <w:r w:rsidRPr="0041262C">
        <w:t>Energy use from commercial refrigeration is growing in Australia and New Zealand due to population growth and increased demand for ready-to-eat food</w:t>
      </w:r>
      <w:r>
        <w:t xml:space="preserve"> and this increase is expected to continue. </w:t>
      </w:r>
      <w:r w:rsidRPr="0041262C">
        <w:t xml:space="preserve">By 2035, </w:t>
      </w:r>
      <w:r>
        <w:t xml:space="preserve">Australasian </w:t>
      </w:r>
      <w:r w:rsidRPr="0041262C">
        <w:t xml:space="preserve">sales of refrigerated commercial cabinets are projected to increase by </w:t>
      </w:r>
      <w:r>
        <w:t>over 40%</w:t>
      </w:r>
      <w:r w:rsidRPr="0041262C">
        <w:t xml:space="preserve"> and energy use will increase </w:t>
      </w:r>
      <w:r>
        <w:t>to over 9000GWh per year</w:t>
      </w:r>
      <w:r w:rsidRPr="0041262C">
        <w:t xml:space="preserve">, despite general improvements in these cabinets from past regulatory action. </w:t>
      </w:r>
      <w:r>
        <w:t>This compares with</w:t>
      </w:r>
      <w:r w:rsidRPr="0041262C">
        <w:t xml:space="preserve"> </w:t>
      </w:r>
      <w:r>
        <w:t xml:space="preserve">a </w:t>
      </w:r>
      <w:r w:rsidRPr="0041262C">
        <w:t>commercial energ</w:t>
      </w:r>
      <w:r>
        <w:t>y of 7426</w:t>
      </w:r>
      <w:r w:rsidRPr="0041262C">
        <w:t xml:space="preserve">GWh </w:t>
      </w:r>
      <w:r>
        <w:t>(Australia and New Zealand - 2015)</w:t>
      </w:r>
      <w:r w:rsidRPr="0041262C">
        <w:t>.</w:t>
      </w:r>
    </w:p>
    <w:p w14:paraId="35D81F5B" w14:textId="77777777" w:rsidR="005636C7" w:rsidRPr="0009059E" w:rsidRDefault="005636C7" w:rsidP="005636C7">
      <w:pPr>
        <w:pStyle w:val="E3BodyText"/>
        <w:jc w:val="both"/>
      </w:pPr>
      <w:r w:rsidRPr="003E237C">
        <w:t>Examples of r</w:t>
      </w:r>
      <w:r w:rsidRPr="00F94566">
        <w:t xml:space="preserve">efrigerated display and storage cabinets are shown in </w:t>
      </w:r>
      <w:r w:rsidRPr="00E05C54">
        <w:rPr>
          <w:b/>
        </w:rPr>
        <w:t>Figure 1</w:t>
      </w:r>
      <w:r>
        <w:rPr>
          <w:noProof/>
        </w:rPr>
        <w:t xml:space="preserve"> </w:t>
      </w:r>
      <w:r w:rsidRPr="003E237C">
        <w:t xml:space="preserve">and </w:t>
      </w:r>
      <w:r w:rsidRPr="003E237C">
        <w:rPr>
          <w:b/>
        </w:rPr>
        <w:t>Figure 2</w:t>
      </w:r>
      <w:r w:rsidRPr="003E237C">
        <w:t xml:space="preserve"> below:</w:t>
      </w:r>
    </w:p>
    <w:p w14:paraId="3F37B52F" w14:textId="77777777" w:rsidR="005636C7" w:rsidRPr="000F4EA8" w:rsidRDefault="005636C7" w:rsidP="005636C7">
      <w:pPr>
        <w:pStyle w:val="E3Figuretitles"/>
        <w:spacing w:before="240"/>
      </w:pPr>
      <w:bookmarkStart w:id="28" w:name="_Ref449944639"/>
      <w:bookmarkStart w:id="29" w:name="_Toc449709062"/>
      <w:bookmarkStart w:id="30" w:name="_Toc494142469"/>
      <w:bookmarkStart w:id="31" w:name="_Toc495045822"/>
      <w:r w:rsidRPr="00A929F6">
        <w:t xml:space="preserve">Figure </w:t>
      </w:r>
      <w:bookmarkEnd w:id="28"/>
      <w:r>
        <w:t>1</w:t>
      </w:r>
      <w:r w:rsidRPr="00A929F6">
        <w:t>: Examples of refrigerated display cabinets</w:t>
      </w:r>
      <w:r w:rsidRPr="000F4EA8">
        <w:t>.</w:t>
      </w:r>
      <w:bookmarkEnd w:id="29"/>
      <w:bookmarkEnd w:id="30"/>
      <w:bookmarkEnd w:id="31"/>
    </w:p>
    <w:tbl>
      <w:tblPr>
        <w:tblW w:w="0" w:type="auto"/>
        <w:tblLook w:val="04A0" w:firstRow="1" w:lastRow="0" w:firstColumn="1" w:lastColumn="0" w:noHBand="0" w:noVBand="1"/>
      </w:tblPr>
      <w:tblGrid>
        <w:gridCol w:w="5122"/>
        <w:gridCol w:w="4517"/>
      </w:tblGrid>
      <w:tr w:rsidR="005636C7" w14:paraId="381A2550" w14:textId="77777777" w:rsidTr="005636C7">
        <w:trPr>
          <w:trHeight w:val="3517"/>
        </w:trPr>
        <w:tc>
          <w:tcPr>
            <w:tcW w:w="5283" w:type="dxa"/>
            <w:hideMark/>
          </w:tcPr>
          <w:p w14:paraId="572E9EB8"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75214AFF" wp14:editId="194721D5">
                  <wp:extent cx="2649965" cy="1962150"/>
                  <wp:effectExtent l="0" t="0" r="0" b="0"/>
                  <wp:docPr id="229" name="Picture 229" descr="Horizont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rizontal cabin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9006" cy="1991057"/>
                          </a:xfrm>
                          <a:prstGeom prst="rect">
                            <a:avLst/>
                          </a:prstGeom>
                          <a:noFill/>
                          <a:ln>
                            <a:noFill/>
                          </a:ln>
                        </pic:spPr>
                      </pic:pic>
                    </a:graphicData>
                  </a:graphic>
                </wp:inline>
              </w:drawing>
            </w:r>
          </w:p>
          <w:p w14:paraId="328BE019" w14:textId="77777777" w:rsidR="005636C7" w:rsidRPr="001A279D" w:rsidRDefault="005636C7" w:rsidP="005636C7">
            <w:pPr>
              <w:pStyle w:val="E3BodyText"/>
              <w:rPr>
                <w:b/>
                <w:sz w:val="18"/>
                <w:szCs w:val="18"/>
                <w:lang w:val="en-NZ"/>
              </w:rPr>
            </w:pPr>
            <w:r w:rsidRPr="001A279D">
              <w:rPr>
                <w:b/>
                <w:sz w:val="18"/>
                <w:szCs w:val="18"/>
                <w:lang w:val="en-NZ"/>
              </w:rPr>
              <w:t>Horizontal, frozen, open-top, island cabinet</w:t>
            </w:r>
          </w:p>
        </w:tc>
        <w:tc>
          <w:tcPr>
            <w:tcW w:w="4572" w:type="dxa"/>
            <w:hideMark/>
          </w:tcPr>
          <w:p w14:paraId="3B20DE19"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58E9B255" wp14:editId="186B4B6F">
                  <wp:extent cx="2576649" cy="1941689"/>
                  <wp:effectExtent l="0" t="0" r="0" b="1905"/>
                  <wp:docPr id="232" name="Picture 232" descr="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tical cabin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9378" cy="1943746"/>
                          </a:xfrm>
                          <a:prstGeom prst="rect">
                            <a:avLst/>
                          </a:prstGeom>
                          <a:noFill/>
                          <a:ln>
                            <a:noFill/>
                          </a:ln>
                        </pic:spPr>
                      </pic:pic>
                    </a:graphicData>
                  </a:graphic>
                </wp:inline>
              </w:drawing>
            </w:r>
          </w:p>
          <w:p w14:paraId="76F535B4" w14:textId="77777777" w:rsidR="005636C7" w:rsidRPr="001A279D" w:rsidRDefault="005636C7" w:rsidP="005636C7">
            <w:pPr>
              <w:pStyle w:val="E3BodyText"/>
              <w:rPr>
                <w:b/>
                <w:sz w:val="18"/>
                <w:szCs w:val="18"/>
                <w:lang w:val="en-NZ"/>
              </w:rPr>
            </w:pPr>
            <w:r w:rsidRPr="001A279D">
              <w:rPr>
                <w:b/>
                <w:sz w:val="18"/>
                <w:szCs w:val="18"/>
                <w:lang w:val="en-NZ"/>
              </w:rPr>
              <w:t>Vertical, chilled, open, multi-deck cabinet</w:t>
            </w:r>
          </w:p>
        </w:tc>
      </w:tr>
      <w:tr w:rsidR="005636C7" w14:paraId="312A71AA" w14:textId="77777777" w:rsidTr="005636C7">
        <w:trPr>
          <w:trHeight w:val="3595"/>
        </w:trPr>
        <w:tc>
          <w:tcPr>
            <w:tcW w:w="5283" w:type="dxa"/>
            <w:hideMark/>
          </w:tcPr>
          <w:p w14:paraId="5E164FB1"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6739B205" wp14:editId="2B6F5BB6">
                  <wp:extent cx="2667000" cy="2009775"/>
                  <wp:effectExtent l="0" t="0" r="0" b="9525"/>
                  <wp:docPr id="233" name="Picture 233" descr="Semi-vertic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mi-vertical cabin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009775"/>
                          </a:xfrm>
                          <a:prstGeom prst="rect">
                            <a:avLst/>
                          </a:prstGeom>
                          <a:noFill/>
                          <a:ln>
                            <a:noFill/>
                          </a:ln>
                        </pic:spPr>
                      </pic:pic>
                    </a:graphicData>
                  </a:graphic>
                </wp:inline>
              </w:drawing>
            </w:r>
          </w:p>
          <w:p w14:paraId="18FC2D25" w14:textId="77777777" w:rsidR="005636C7" w:rsidRPr="0093208D" w:rsidRDefault="005636C7" w:rsidP="005636C7">
            <w:pPr>
              <w:pStyle w:val="E3BodyText"/>
              <w:rPr>
                <w:b/>
                <w:sz w:val="18"/>
                <w:szCs w:val="18"/>
                <w:lang w:val="en-NZ"/>
              </w:rPr>
            </w:pPr>
            <w:r w:rsidRPr="001A279D">
              <w:rPr>
                <w:b/>
                <w:sz w:val="18"/>
                <w:szCs w:val="18"/>
                <w:lang w:val="en-NZ"/>
              </w:rPr>
              <w:t>Semi-vertical, ch</w:t>
            </w:r>
            <w:r w:rsidRPr="0093208D">
              <w:rPr>
                <w:b/>
                <w:sz w:val="18"/>
                <w:szCs w:val="18"/>
                <w:lang w:val="en-NZ"/>
              </w:rPr>
              <w:t>illed, multi-deck cabinet</w:t>
            </w:r>
          </w:p>
        </w:tc>
        <w:tc>
          <w:tcPr>
            <w:tcW w:w="4572" w:type="dxa"/>
            <w:hideMark/>
          </w:tcPr>
          <w:p w14:paraId="1D5C90E0"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6A1E0C30" wp14:editId="1DC67AAF">
                  <wp:extent cx="2540291" cy="1809750"/>
                  <wp:effectExtent l="0" t="0" r="0" b="0"/>
                  <wp:docPr id="234" name="Picture 234" descr="Vertical, glass-doo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ical, glass-door cabin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7697" cy="1815026"/>
                          </a:xfrm>
                          <a:prstGeom prst="rect">
                            <a:avLst/>
                          </a:prstGeom>
                          <a:noFill/>
                          <a:ln>
                            <a:noFill/>
                          </a:ln>
                        </pic:spPr>
                      </pic:pic>
                    </a:graphicData>
                  </a:graphic>
                </wp:inline>
              </w:drawing>
            </w:r>
          </w:p>
          <w:p w14:paraId="032EB034" w14:textId="77777777" w:rsidR="005636C7" w:rsidRPr="001A279D" w:rsidRDefault="005636C7" w:rsidP="005636C7">
            <w:pPr>
              <w:pStyle w:val="E3BodyText"/>
              <w:rPr>
                <w:b/>
                <w:sz w:val="18"/>
                <w:szCs w:val="18"/>
                <w:lang w:val="en-NZ"/>
              </w:rPr>
            </w:pPr>
            <w:r w:rsidRPr="001A279D">
              <w:rPr>
                <w:b/>
                <w:sz w:val="18"/>
                <w:szCs w:val="18"/>
                <w:lang w:val="en-NZ"/>
              </w:rPr>
              <w:t>Vertical, refrigerated, glass-door cabinet</w:t>
            </w:r>
          </w:p>
        </w:tc>
      </w:tr>
      <w:tr w:rsidR="005636C7" w14:paraId="52ACD829" w14:textId="77777777" w:rsidTr="005636C7">
        <w:trPr>
          <w:trHeight w:val="2780"/>
        </w:trPr>
        <w:tc>
          <w:tcPr>
            <w:tcW w:w="5283" w:type="dxa"/>
            <w:hideMark/>
          </w:tcPr>
          <w:p w14:paraId="44575822"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625D5EF8" wp14:editId="3311304E">
                  <wp:extent cx="2667488" cy="1638300"/>
                  <wp:effectExtent l="0" t="0" r="0" b="0"/>
                  <wp:docPr id="235" name="Picture 235" descr="Horizontal serv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service coun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3515" cy="1642002"/>
                          </a:xfrm>
                          <a:prstGeom prst="rect">
                            <a:avLst/>
                          </a:prstGeom>
                          <a:noFill/>
                          <a:ln>
                            <a:noFill/>
                          </a:ln>
                        </pic:spPr>
                      </pic:pic>
                    </a:graphicData>
                  </a:graphic>
                </wp:inline>
              </w:drawing>
            </w:r>
          </w:p>
          <w:p w14:paraId="65DCE4DE" w14:textId="77777777" w:rsidR="005636C7" w:rsidRPr="001A279D" w:rsidRDefault="005636C7" w:rsidP="005636C7">
            <w:pPr>
              <w:pStyle w:val="E3BodyText"/>
              <w:rPr>
                <w:b/>
                <w:sz w:val="18"/>
                <w:szCs w:val="18"/>
                <w:lang w:val="en-NZ"/>
              </w:rPr>
            </w:pPr>
            <w:r w:rsidRPr="001A279D">
              <w:rPr>
                <w:b/>
                <w:sz w:val="18"/>
                <w:szCs w:val="18"/>
                <w:lang w:val="en-NZ"/>
              </w:rPr>
              <w:t>Horizontal, chilled service-counter</w:t>
            </w:r>
          </w:p>
        </w:tc>
        <w:tc>
          <w:tcPr>
            <w:tcW w:w="4572" w:type="dxa"/>
            <w:hideMark/>
          </w:tcPr>
          <w:p w14:paraId="664514A7"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3576DC81" wp14:editId="2BF6153C">
                  <wp:extent cx="2524125" cy="1659698"/>
                  <wp:effectExtent l="0" t="0" r="0" b="0"/>
                  <wp:docPr id="236" name="Picture 236" descr="Horizintal displa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intal display cabin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9210" cy="1676192"/>
                          </a:xfrm>
                          <a:prstGeom prst="rect">
                            <a:avLst/>
                          </a:prstGeom>
                          <a:noFill/>
                          <a:ln>
                            <a:noFill/>
                          </a:ln>
                        </pic:spPr>
                      </pic:pic>
                    </a:graphicData>
                  </a:graphic>
                </wp:inline>
              </w:drawing>
            </w:r>
          </w:p>
          <w:p w14:paraId="03363C1D" w14:textId="77777777" w:rsidR="005636C7" w:rsidRPr="001A279D" w:rsidRDefault="005636C7" w:rsidP="005636C7">
            <w:pPr>
              <w:pStyle w:val="E3BodyText"/>
              <w:rPr>
                <w:b/>
                <w:sz w:val="18"/>
                <w:szCs w:val="18"/>
                <w:lang w:val="en-NZ"/>
              </w:rPr>
            </w:pPr>
            <w:r w:rsidRPr="001A279D">
              <w:rPr>
                <w:b/>
                <w:sz w:val="18"/>
                <w:szCs w:val="18"/>
                <w:lang w:val="en-NZ"/>
              </w:rPr>
              <w:t>Horizontal, chilled, glass-door display cabinet</w:t>
            </w:r>
          </w:p>
        </w:tc>
      </w:tr>
    </w:tbl>
    <w:p w14:paraId="4BED7C81" w14:textId="77777777" w:rsidR="005636C7" w:rsidRDefault="005636C7" w:rsidP="005636C7">
      <w:pPr>
        <w:pStyle w:val="E3Figuretitles"/>
        <w:spacing w:before="240" w:after="0"/>
        <w:rPr>
          <w:szCs w:val="18"/>
        </w:rPr>
      </w:pPr>
      <w:bookmarkStart w:id="32" w:name="_Ref449959176"/>
      <w:bookmarkStart w:id="33" w:name="_Toc449709063"/>
      <w:bookmarkStart w:id="34" w:name="_Toc494142470"/>
    </w:p>
    <w:p w14:paraId="70CE4903" w14:textId="77777777" w:rsidR="005636C7" w:rsidRPr="00A929F6" w:rsidRDefault="005636C7" w:rsidP="005636C7">
      <w:pPr>
        <w:pStyle w:val="E3Figuretitles"/>
      </w:pPr>
      <w:bookmarkStart w:id="35" w:name="_Toc495045823"/>
      <w:r w:rsidRPr="00A929F6">
        <w:t xml:space="preserve">Figure </w:t>
      </w:r>
      <w:bookmarkEnd w:id="32"/>
      <w:r>
        <w:t>2</w:t>
      </w:r>
      <w:r w:rsidRPr="00A929F6">
        <w:t>: Storage cabinets</w:t>
      </w:r>
      <w:bookmarkEnd w:id="33"/>
      <w:bookmarkEnd w:id="34"/>
      <w:bookmarkEnd w:id="35"/>
    </w:p>
    <w:tbl>
      <w:tblPr>
        <w:tblW w:w="0" w:type="auto"/>
        <w:jc w:val="center"/>
        <w:tblLook w:val="04A0" w:firstRow="1" w:lastRow="0" w:firstColumn="1" w:lastColumn="0" w:noHBand="0" w:noVBand="1"/>
      </w:tblPr>
      <w:tblGrid>
        <w:gridCol w:w="4819"/>
        <w:gridCol w:w="4820"/>
      </w:tblGrid>
      <w:tr w:rsidR="005636C7" w14:paraId="6154B90D" w14:textId="77777777" w:rsidTr="005636C7">
        <w:trPr>
          <w:trHeight w:val="3009"/>
          <w:jc w:val="center"/>
        </w:trPr>
        <w:tc>
          <w:tcPr>
            <w:tcW w:w="4852" w:type="dxa"/>
            <w:hideMark/>
          </w:tcPr>
          <w:p w14:paraId="34D3E45D" w14:textId="77777777" w:rsidR="005636C7" w:rsidRPr="00F24376" w:rsidRDefault="005636C7" w:rsidP="005636C7">
            <w:pPr>
              <w:pStyle w:val="E3BodyText"/>
              <w:rPr>
                <w:b/>
                <w:sz w:val="19"/>
              </w:rPr>
            </w:pPr>
            <w:r w:rsidRPr="00B57A40">
              <w:rPr>
                <w:b/>
                <w:noProof/>
                <w:sz w:val="19"/>
                <w:lang w:val="en-AU" w:eastAsia="en-AU"/>
              </w:rPr>
              <w:drawing>
                <wp:inline distT="0" distB="0" distL="0" distR="0" wp14:anchorId="1A996682" wp14:editId="09FE3630">
                  <wp:extent cx="2200275" cy="1971080"/>
                  <wp:effectExtent l="0" t="0" r="0" b="0"/>
                  <wp:docPr id="237" name="Picture 237" descr="Refrigerated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igerated storage cabin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6554" cy="1976705"/>
                          </a:xfrm>
                          <a:prstGeom prst="rect">
                            <a:avLst/>
                          </a:prstGeom>
                          <a:noFill/>
                          <a:ln>
                            <a:noFill/>
                          </a:ln>
                        </pic:spPr>
                      </pic:pic>
                    </a:graphicData>
                  </a:graphic>
                </wp:inline>
              </w:drawing>
            </w:r>
          </w:p>
          <w:p w14:paraId="3FEC8965" w14:textId="77777777" w:rsidR="005636C7" w:rsidRPr="001A279D" w:rsidRDefault="005636C7" w:rsidP="005636C7">
            <w:pPr>
              <w:pStyle w:val="E3BodyText"/>
              <w:rPr>
                <w:b/>
                <w:sz w:val="18"/>
                <w:szCs w:val="18"/>
                <w:lang w:val="en-NZ"/>
              </w:rPr>
            </w:pPr>
            <w:r w:rsidRPr="001A279D">
              <w:rPr>
                <w:b/>
                <w:sz w:val="18"/>
                <w:szCs w:val="18"/>
                <w:lang w:val="en-NZ"/>
              </w:rPr>
              <w:t>Refrigerated storage cabinet</w:t>
            </w:r>
          </w:p>
        </w:tc>
        <w:tc>
          <w:tcPr>
            <w:tcW w:w="4853" w:type="dxa"/>
            <w:hideMark/>
          </w:tcPr>
          <w:p w14:paraId="705FB7B6" w14:textId="77777777" w:rsidR="005636C7" w:rsidRPr="00F24376" w:rsidRDefault="005636C7" w:rsidP="005636C7">
            <w:pPr>
              <w:pStyle w:val="E3BodyText"/>
              <w:rPr>
                <w:b/>
                <w:sz w:val="19"/>
                <w:lang w:val="en-NZ"/>
              </w:rPr>
            </w:pPr>
            <w:r w:rsidRPr="00B57A40">
              <w:rPr>
                <w:b/>
                <w:noProof/>
                <w:sz w:val="19"/>
                <w:lang w:val="en-AU" w:eastAsia="en-AU"/>
              </w:rPr>
              <w:drawing>
                <wp:inline distT="0" distB="0" distL="0" distR="0" wp14:anchorId="78718250" wp14:editId="35A11DB7">
                  <wp:extent cx="2203376" cy="1866900"/>
                  <wp:effectExtent l="0" t="0" r="6985" b="0"/>
                  <wp:docPr id="238" name="Picture 238" descr="Vertical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tical storage cabin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580" cy="1872156"/>
                          </a:xfrm>
                          <a:prstGeom prst="rect">
                            <a:avLst/>
                          </a:prstGeom>
                          <a:noFill/>
                          <a:ln>
                            <a:noFill/>
                          </a:ln>
                        </pic:spPr>
                      </pic:pic>
                    </a:graphicData>
                  </a:graphic>
                </wp:inline>
              </w:drawing>
            </w:r>
          </w:p>
          <w:p w14:paraId="2317C106" w14:textId="77777777" w:rsidR="005636C7" w:rsidRPr="0093208D" w:rsidRDefault="005636C7" w:rsidP="005636C7">
            <w:pPr>
              <w:pStyle w:val="E3BodyText"/>
              <w:rPr>
                <w:b/>
                <w:sz w:val="18"/>
                <w:szCs w:val="18"/>
                <w:lang w:val="en-NZ"/>
              </w:rPr>
            </w:pPr>
            <w:r w:rsidRPr="001A279D">
              <w:rPr>
                <w:b/>
                <w:sz w:val="18"/>
                <w:szCs w:val="18"/>
                <w:lang w:val="en-NZ"/>
              </w:rPr>
              <w:t>Vertical r</w:t>
            </w:r>
            <w:r w:rsidRPr="0093208D">
              <w:rPr>
                <w:b/>
                <w:sz w:val="18"/>
                <w:szCs w:val="18"/>
                <w:lang w:val="en-NZ"/>
              </w:rPr>
              <w:t>efrigerated storage cabinet</w:t>
            </w:r>
          </w:p>
        </w:tc>
      </w:tr>
    </w:tbl>
    <w:p w14:paraId="0A4C1891" w14:textId="77777777" w:rsidR="005636C7" w:rsidRDefault="005636C7" w:rsidP="005636C7">
      <w:pPr>
        <w:pStyle w:val="E3Heading1"/>
        <w:spacing w:line="360" w:lineRule="auto"/>
        <w:rPr>
          <w:rFonts w:eastAsia="Calibri" w:cs="Arial"/>
          <w:color w:val="000000" w:themeColor="text1"/>
          <w:sz w:val="32"/>
          <w:szCs w:val="26"/>
          <w:lang w:val="en-US"/>
        </w:rPr>
      </w:pPr>
    </w:p>
    <w:p w14:paraId="24573B49" w14:textId="77777777" w:rsidR="005636C7" w:rsidRDefault="005636C7" w:rsidP="005636C7">
      <w:pPr>
        <w:pStyle w:val="E3BodyText"/>
      </w:pPr>
    </w:p>
    <w:p w14:paraId="418A135F" w14:textId="77777777" w:rsidR="005636C7" w:rsidRPr="0034488E" w:rsidRDefault="005636C7" w:rsidP="005636C7">
      <w:pPr>
        <w:pStyle w:val="E3BodyText"/>
      </w:pPr>
    </w:p>
    <w:p w14:paraId="6915F1A9" w14:textId="77777777" w:rsidR="005636C7" w:rsidRPr="006D707F" w:rsidRDefault="005636C7" w:rsidP="005636C7">
      <w:pPr>
        <w:pStyle w:val="E3Heading1"/>
        <w:spacing w:line="360" w:lineRule="auto"/>
        <w:rPr>
          <w:rFonts w:eastAsia="Calibri" w:cs="Arial"/>
          <w:color w:val="000000" w:themeColor="text1"/>
          <w:sz w:val="32"/>
          <w:szCs w:val="26"/>
          <w:lang w:val="en-US"/>
        </w:rPr>
      </w:pPr>
      <w:bookmarkStart w:id="36" w:name="_Toc500151784"/>
      <w:r w:rsidRPr="006D707F">
        <w:rPr>
          <w:rFonts w:eastAsia="Calibri" w:cs="Arial"/>
          <w:color w:val="000000" w:themeColor="text1"/>
          <w:sz w:val="32"/>
          <w:szCs w:val="26"/>
          <w:lang w:val="en-US"/>
        </w:rPr>
        <w:t>The Market</w:t>
      </w:r>
      <w:bookmarkEnd w:id="36"/>
    </w:p>
    <w:p w14:paraId="09E4CB8C" w14:textId="77777777" w:rsidR="005636C7" w:rsidRDefault="005636C7" w:rsidP="005636C7">
      <w:pPr>
        <w:pStyle w:val="E3BodyText"/>
        <w:jc w:val="both"/>
      </w:pPr>
      <w:r w:rsidRPr="0046124E">
        <w:t xml:space="preserve">The supply chain for </w:t>
      </w:r>
      <w:r>
        <w:t>refrigerated display and storage cabinets is complex</w:t>
      </w:r>
      <w:r w:rsidRPr="0046124E">
        <w:t xml:space="preserve"> and ownership arrangements </w:t>
      </w:r>
      <w:r>
        <w:t>vary</w:t>
      </w:r>
      <w:r w:rsidRPr="0046124E">
        <w:t xml:space="preserve">. Suppliers can be manufacturers or importers. </w:t>
      </w:r>
      <w:r>
        <w:t xml:space="preserve"> Supermarkets and, to a lesser extent convenience stores are usually supplied by companies in long term relationships as preferred suppliers. </w:t>
      </w:r>
      <w:r w:rsidRPr="0046124E">
        <w:t>Larger companies may buy direct from factories without a “middleman” – or may become fleet owners (for example, beverage companies) who either hire out cabinets or install them for free. The buyer or hirer of the product may be motivated by factors other than energy efficiency such as up-front cost and may not be responsible for paying the electricity bill.</w:t>
      </w:r>
      <w:r w:rsidRPr="0046124E">
        <w:rPr>
          <w:rStyle w:val="FootnoteReference"/>
        </w:rPr>
        <w:footnoteReference w:id="8"/>
      </w:r>
    </w:p>
    <w:p w14:paraId="29616399" w14:textId="77777777" w:rsidR="005636C7" w:rsidRPr="0046124E" w:rsidRDefault="005636C7" w:rsidP="005636C7">
      <w:pPr>
        <w:pStyle w:val="E3BodyText"/>
        <w:jc w:val="both"/>
      </w:pPr>
      <w:r w:rsidRPr="0046124E">
        <w:t>Chilled drinks cabinets (IVC4) occupy the largest share (48%) of the Australian and New Zealand cabinet market, followed by supermarket display cabinets with piped refrigeration that is located remotely (away from the shop floor). Plug in horizontal and vertical glass door fridges and freezers occupy a significant portion of the integral display cabinet types.  Storage cabinets (for catering</w:t>
      </w:r>
      <w:r>
        <w:t xml:space="preserve"> and </w:t>
      </w:r>
      <w:r w:rsidRPr="0046124E">
        <w:t>hospitality) to</w:t>
      </w:r>
      <w:r>
        <w:t xml:space="preserve"> ac</w:t>
      </w:r>
      <w:r w:rsidRPr="0046124E">
        <w:t xml:space="preserve">count for approximately 20% of the </w:t>
      </w:r>
      <w:r>
        <w:t>refrigerated commercial</w:t>
      </w:r>
      <w:r w:rsidRPr="0046124E">
        <w:t xml:space="preserve"> cabinet market.</w:t>
      </w:r>
      <w:r>
        <w:rPr>
          <w:rStyle w:val="FootnoteReference"/>
        </w:rPr>
        <w:footnoteReference w:id="9"/>
      </w:r>
      <w:r w:rsidRPr="00D24F4A">
        <w:t xml:space="preserve"> </w:t>
      </w:r>
    </w:p>
    <w:p w14:paraId="18369EBB" w14:textId="77777777" w:rsidR="005636C7" w:rsidRDefault="005636C7" w:rsidP="005636C7">
      <w:pPr>
        <w:pStyle w:val="E3BodyText"/>
        <w:rPr>
          <w:b/>
        </w:rPr>
      </w:pPr>
      <w:r w:rsidRPr="0046124E">
        <w:t xml:space="preserve">The majority of wholesalers in Australia and New Zealand service both the hospitality and the retail industries, with refrigerated cabinets sourced from local and overseas manufacturers.  The length of the supply chain may mean that efficiency information, if available, would only get through to customers if </w:t>
      </w:r>
      <w:r>
        <w:t>it was mandatory to provide it.</w:t>
      </w:r>
    </w:p>
    <w:p w14:paraId="02741D9D" w14:textId="77777777" w:rsidR="005636C7" w:rsidRPr="00E57738" w:rsidRDefault="005636C7" w:rsidP="005636C7">
      <w:pPr>
        <w:pStyle w:val="E3BodyText"/>
        <w:rPr>
          <w:b/>
          <w:bCs/>
        </w:rPr>
      </w:pPr>
      <w:r>
        <w:rPr>
          <w:b/>
        </w:rPr>
        <w:t>Figure</w:t>
      </w:r>
      <w:r w:rsidRPr="00C60257">
        <w:rPr>
          <w:b/>
        </w:rPr>
        <w:t xml:space="preserve"> 3</w:t>
      </w:r>
      <w:r w:rsidRPr="00795A52">
        <w:t xml:space="preserve"> overleaf shows that in some instances the “importer” and the “manufacturer” are also distributors. Fleet owners (particularly large end users like beverage companies) usually offer free placement of logo-carrying display cabinets to other end users, while rental or lease companies offer “plain” refrigerated display cabinets.</w:t>
      </w:r>
      <w:bookmarkStart w:id="37" w:name="_Ref449959223"/>
      <w:bookmarkStart w:id="38" w:name="_Toc449709064"/>
      <w:bookmarkStart w:id="39" w:name="_Toc494142471"/>
      <w:r w:rsidRPr="00795A52">
        <w:t xml:space="preserve"> </w:t>
      </w:r>
      <w:bookmarkStart w:id="40" w:name="_Toc495045824"/>
    </w:p>
    <w:p w14:paraId="3BA0D3EC" w14:textId="77777777" w:rsidR="005636C7" w:rsidRDefault="005636C7" w:rsidP="005636C7">
      <w:pPr>
        <w:sectPr w:rsidR="005636C7" w:rsidSect="005636C7">
          <w:type w:val="continuous"/>
          <w:pgSz w:w="11907" w:h="16840" w:code="9"/>
          <w:pgMar w:top="1134" w:right="1134" w:bottom="1418" w:left="1134" w:header="709" w:footer="709" w:gutter="0"/>
          <w:pgNumType w:start="7"/>
          <w:cols w:space="720"/>
          <w:titlePg/>
          <w:docGrid w:linePitch="360"/>
        </w:sectPr>
      </w:pPr>
    </w:p>
    <w:p w14:paraId="23EECDF2" w14:textId="77777777" w:rsidR="005636C7" w:rsidRDefault="005636C7" w:rsidP="005636C7">
      <w:pPr>
        <w:rPr>
          <w:b/>
          <w:bCs/>
          <w:sz w:val="20"/>
          <w:szCs w:val="20"/>
          <w:lang w:val="en-US"/>
        </w:rPr>
      </w:pPr>
    </w:p>
    <w:p w14:paraId="1B5F72CA" w14:textId="77777777" w:rsidR="005636C7" w:rsidRDefault="005636C7" w:rsidP="005636C7">
      <w:pPr>
        <w:rPr>
          <w:b/>
          <w:bCs/>
          <w:sz w:val="20"/>
          <w:szCs w:val="20"/>
          <w:lang w:val="en-US"/>
        </w:rPr>
      </w:pPr>
      <w:r>
        <w:rPr>
          <w:b/>
          <w:bCs/>
          <w:sz w:val="20"/>
          <w:szCs w:val="20"/>
          <w:lang w:val="en-US"/>
        </w:rPr>
        <w:br w:type="page"/>
      </w:r>
    </w:p>
    <w:p w14:paraId="37C379DD" w14:textId="77777777" w:rsidR="005636C7" w:rsidRDefault="005636C7" w:rsidP="005636C7">
      <w:pPr>
        <w:rPr>
          <w:b/>
          <w:bCs/>
          <w:sz w:val="20"/>
          <w:szCs w:val="20"/>
          <w:lang w:val="en-US"/>
        </w:rPr>
      </w:pPr>
    </w:p>
    <w:p w14:paraId="6126DBE4" w14:textId="77777777" w:rsidR="005636C7" w:rsidRPr="00A929F6" w:rsidRDefault="005636C7" w:rsidP="005636C7">
      <w:pPr>
        <w:pStyle w:val="E3Figuretitles"/>
      </w:pPr>
      <w:r w:rsidRPr="00A929F6">
        <w:t xml:space="preserve">Figure </w:t>
      </w:r>
      <w:bookmarkEnd w:id="37"/>
      <w:r>
        <w:t>3</w:t>
      </w:r>
      <w:r w:rsidRPr="00A929F6">
        <w:t>: Refrigerated commercial cabinet supply chain.</w:t>
      </w:r>
      <w:bookmarkEnd w:id="38"/>
      <w:bookmarkEnd w:id="39"/>
      <w:bookmarkEnd w:id="40"/>
    </w:p>
    <w:p w14:paraId="2ACE940B" w14:textId="77777777" w:rsidR="005636C7" w:rsidRPr="00E106C8" w:rsidRDefault="005636C7" w:rsidP="005636C7">
      <w:pPr>
        <w:pStyle w:val="E3BodyText"/>
      </w:pPr>
      <w:r>
        <w:rPr>
          <w:noProof/>
          <w:lang w:val="en-AU" w:eastAsia="en-AU"/>
        </w:rPr>
        <w:drawing>
          <wp:inline distT="0" distB="0" distL="0" distR="0" wp14:anchorId="00FDC9A1" wp14:editId="232CD84B">
            <wp:extent cx="6469380" cy="3352800"/>
            <wp:effectExtent l="0" t="0" r="6350" b="0"/>
            <wp:docPr id="70" name="Picture 3" descr="Both importers and manufacturers supply cabinets and/or components to a wide range of refrigeration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h importers and manufacturers supply cabinets and/or components to a wide range of refrigeration user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9380" cy="3352800"/>
                    </a:xfrm>
                    <a:prstGeom prst="rect">
                      <a:avLst/>
                    </a:prstGeom>
                    <a:noFill/>
                    <a:ln>
                      <a:noFill/>
                    </a:ln>
                  </pic:spPr>
                </pic:pic>
              </a:graphicData>
            </a:graphic>
          </wp:inline>
        </w:drawing>
      </w:r>
    </w:p>
    <w:p w14:paraId="52123825" w14:textId="77777777" w:rsidR="005636C7" w:rsidRDefault="005636C7" w:rsidP="005636C7">
      <w:pPr>
        <w:pStyle w:val="E3BodyText"/>
      </w:pPr>
    </w:p>
    <w:p w14:paraId="2000CE97" w14:textId="77777777" w:rsidR="005636C7" w:rsidRPr="0046124E" w:rsidRDefault="005636C7" w:rsidP="005636C7">
      <w:pPr>
        <w:pStyle w:val="E3BodyText"/>
        <w:jc w:val="both"/>
      </w:pPr>
      <w:r>
        <w:t xml:space="preserve">Most </w:t>
      </w:r>
      <w:r w:rsidRPr="00652A71">
        <w:t xml:space="preserve">refrigerated display and storage cabinets </w:t>
      </w:r>
      <w:r>
        <w:t>are imported</w:t>
      </w:r>
      <w:r w:rsidRPr="0046124E">
        <w:t xml:space="preserve"> with more than 80% coming from Asia, notably China. The same factories </w:t>
      </w:r>
      <w:r>
        <w:t>also</w:t>
      </w:r>
      <w:r w:rsidRPr="0046124E">
        <w:t xml:space="preserve"> manufacture for Europe</w:t>
      </w:r>
      <w:r w:rsidRPr="0046124E">
        <w:rPr>
          <w:rStyle w:val="FootnoteReference"/>
        </w:rPr>
        <w:footnoteReference w:id="10"/>
      </w:r>
      <w:r w:rsidRPr="0046124E">
        <w:t>. Approximately 15%</w:t>
      </w:r>
      <w:r>
        <w:t xml:space="preserve"> of cabinets are</w:t>
      </w:r>
      <w:r w:rsidRPr="0046124E">
        <w:t xml:space="preserve"> imported from Europe, 2% from North America and 0.5% from South Africa. Factories can </w:t>
      </w:r>
      <w:r>
        <w:t>manufacture</w:t>
      </w:r>
      <w:r w:rsidRPr="0046124E">
        <w:t xml:space="preserve"> to Australasian specifications (</w:t>
      </w:r>
      <w:r>
        <w:t xml:space="preserve">including </w:t>
      </w:r>
      <w:r w:rsidRPr="0046124E">
        <w:t>regulatory requirements or supplier’s design</w:t>
      </w:r>
      <w:r>
        <w:t>).</w:t>
      </w:r>
      <w:r w:rsidRPr="0046124E">
        <w:t xml:space="preserve"> </w:t>
      </w:r>
    </w:p>
    <w:p w14:paraId="5A0246F4" w14:textId="77777777" w:rsidR="005636C7" w:rsidRDefault="005636C7" w:rsidP="005636C7">
      <w:pPr>
        <w:pStyle w:val="E3BodyText"/>
        <w:jc w:val="both"/>
      </w:pPr>
      <w:r w:rsidRPr="0046124E">
        <w:t xml:space="preserve">Feedback from the product profile consultation showed that </w:t>
      </w:r>
      <w:r>
        <w:t>many</w:t>
      </w:r>
      <w:r w:rsidRPr="0046124E">
        <w:t xml:space="preserve"> believe it </w:t>
      </w:r>
      <w:r>
        <w:t xml:space="preserve">is not </w:t>
      </w:r>
      <w:r w:rsidRPr="0046124E">
        <w:t xml:space="preserve">economic to manufacture to an Australian </w:t>
      </w:r>
      <w:r>
        <w:t>local</w:t>
      </w:r>
      <w:r w:rsidRPr="0046124E">
        <w:t xml:space="preserve"> standard and </w:t>
      </w:r>
      <w:r>
        <w:t>international</w:t>
      </w:r>
      <w:r w:rsidRPr="0046124E">
        <w:t xml:space="preserve"> harmonisation is realistic. They want assurance that an international efficiency standard is actually being met and do not want to incur </w:t>
      </w:r>
      <w:r>
        <w:t>additional</w:t>
      </w:r>
      <w:r w:rsidRPr="0046124E">
        <w:t xml:space="preserve"> costs for “small runs” manufactured specifically for the Australasian market.</w:t>
      </w:r>
    </w:p>
    <w:p w14:paraId="2468DF26" w14:textId="77777777" w:rsidR="005636C7" w:rsidRDefault="005636C7" w:rsidP="005636C7">
      <w:pPr>
        <w:pStyle w:val="E3BodyText"/>
        <w:jc w:val="both"/>
      </w:pPr>
      <w:r w:rsidRPr="0046124E">
        <w:t xml:space="preserve">Over the past 6 to 8 years (while the E3 program has been in operation for refrigerated cabinets), more than 500 different companies supplied the Australian market. </w:t>
      </w:r>
    </w:p>
    <w:p w14:paraId="66458CD8" w14:textId="77777777" w:rsidR="005636C7" w:rsidRDefault="005636C7" w:rsidP="005636C7">
      <w:pPr>
        <w:pStyle w:val="E3BodyText"/>
        <w:jc w:val="both"/>
      </w:pPr>
    </w:p>
    <w:p w14:paraId="153924B8" w14:textId="77777777" w:rsidR="005636C7" w:rsidRDefault="005636C7" w:rsidP="005636C7">
      <w:pPr>
        <w:pStyle w:val="E3BodyText"/>
        <w:jc w:val="both"/>
      </w:pPr>
    </w:p>
    <w:p w14:paraId="4C42700C" w14:textId="77777777" w:rsidR="005636C7" w:rsidRDefault="005636C7" w:rsidP="005636C7">
      <w:pPr>
        <w:pStyle w:val="E3BodyText"/>
        <w:jc w:val="both"/>
      </w:pPr>
    </w:p>
    <w:p w14:paraId="669CCCC8" w14:textId="77777777" w:rsidR="00AD5769" w:rsidRDefault="00AD5769">
      <w:pPr>
        <w:rPr>
          <w:rFonts w:ascii="Georgia" w:eastAsia="Calibri" w:hAnsi="Georgia" w:cs="Georgia"/>
          <w:color w:val="000000"/>
          <w:szCs w:val="19"/>
          <w:lang w:val="en-US" w:eastAsia="en-US"/>
        </w:rPr>
      </w:pPr>
      <w:r>
        <w:br w:type="page"/>
      </w:r>
    </w:p>
    <w:p w14:paraId="2BD167F5" w14:textId="03015EC1" w:rsidR="005636C7" w:rsidRPr="0046124E" w:rsidRDefault="005636C7" w:rsidP="005636C7">
      <w:pPr>
        <w:pStyle w:val="E3BodyText"/>
        <w:jc w:val="both"/>
      </w:pPr>
      <w:r>
        <w:t>Of these</w:t>
      </w:r>
      <w:r w:rsidRPr="0046124E">
        <w:t xml:space="preserve"> </w:t>
      </w:r>
      <w:r>
        <w:t>500</w:t>
      </w:r>
      <w:r w:rsidRPr="0046124E">
        <w:t xml:space="preserve"> companies:</w:t>
      </w:r>
    </w:p>
    <w:p w14:paraId="1B8DF58D" w14:textId="77777777" w:rsidR="005636C7" w:rsidRPr="00AF7205" w:rsidRDefault="005636C7" w:rsidP="00AF7205">
      <w:pPr>
        <w:pStyle w:val="ListBullet"/>
        <w:spacing w:line="276" w:lineRule="auto"/>
        <w:rPr>
          <w:rFonts w:ascii="Georgia" w:hAnsi="Georgia"/>
        </w:rPr>
      </w:pPr>
      <w:r w:rsidRPr="00AF7205">
        <w:rPr>
          <w:rFonts w:ascii="Georgia" w:hAnsi="Georgia"/>
        </w:rPr>
        <w:t>the top 10 importers accounted for around 60% of imports</w:t>
      </w:r>
    </w:p>
    <w:p w14:paraId="3011EA01" w14:textId="77777777" w:rsidR="005636C7" w:rsidRPr="00AF7205" w:rsidRDefault="005636C7" w:rsidP="00AF7205">
      <w:pPr>
        <w:pStyle w:val="ListBullet"/>
        <w:spacing w:line="276" w:lineRule="auto"/>
        <w:rPr>
          <w:rFonts w:ascii="Georgia" w:hAnsi="Georgia"/>
        </w:rPr>
      </w:pPr>
      <w:r w:rsidRPr="00AF7205">
        <w:rPr>
          <w:rFonts w:ascii="Georgia" w:hAnsi="Georgia"/>
        </w:rPr>
        <w:t>the top 20 importers accounted for more than 75% of imports</w:t>
      </w:r>
    </w:p>
    <w:p w14:paraId="3A4B02A7" w14:textId="77777777" w:rsidR="005636C7" w:rsidRPr="00AF7205" w:rsidRDefault="005636C7" w:rsidP="00AF7205">
      <w:pPr>
        <w:pStyle w:val="ListBullet"/>
        <w:spacing w:after="240" w:line="276" w:lineRule="auto"/>
        <w:rPr>
          <w:rFonts w:ascii="Georgia" w:hAnsi="Georgia"/>
        </w:rPr>
      </w:pPr>
      <w:r w:rsidRPr="00AF7205">
        <w:rPr>
          <w:rFonts w:ascii="Georgia" w:hAnsi="Georgia"/>
        </w:rPr>
        <w:t>250 companies (approximately half of those operating in the market) imported less than 20 units, of which 200 companies imported less than 10 units.</w:t>
      </w:r>
    </w:p>
    <w:p w14:paraId="6AB195C9" w14:textId="77777777" w:rsidR="005636C7" w:rsidRPr="0046124E" w:rsidRDefault="005636C7" w:rsidP="005636C7">
      <w:pPr>
        <w:pStyle w:val="E3BodyText"/>
        <w:jc w:val="both"/>
      </w:pPr>
      <w:r w:rsidRPr="0046124E">
        <w:t xml:space="preserve">The New Zealand market is similar but on a smaller scale with a core group of committed companies making up a significant portion of the market (plus a long tail of miscellaneous importers). See </w:t>
      </w:r>
      <w:r>
        <w:rPr>
          <w:b/>
        </w:rPr>
        <w:t>Attachment D</w:t>
      </w:r>
      <w:r w:rsidRPr="0046124E">
        <w:rPr>
          <w:b/>
        </w:rPr>
        <w:t xml:space="preserve"> </w:t>
      </w:r>
      <w:r w:rsidRPr="0046124E">
        <w:t>for a full list of Australian and New Zealand manufacturers and importers.</w:t>
      </w:r>
    </w:p>
    <w:p w14:paraId="39CC270C" w14:textId="77777777" w:rsidR="005636C7" w:rsidRPr="0046124E" w:rsidRDefault="005636C7" w:rsidP="005636C7">
      <w:pPr>
        <w:pStyle w:val="E3BodyText"/>
        <w:jc w:val="both"/>
      </w:pPr>
      <w:r w:rsidRPr="0046124E">
        <w:t xml:space="preserve">Over recent years, local manufacturers of display cabinets have </w:t>
      </w:r>
      <w:r>
        <w:t>experienced</w:t>
      </w:r>
      <w:r w:rsidRPr="0046124E">
        <w:t xml:space="preserve"> more challenging business conditions and increasing competition from imported products</w:t>
      </w:r>
      <w:r>
        <w:t xml:space="preserve">. </w:t>
      </w:r>
      <w:r w:rsidRPr="0046124E">
        <w:t>The local manufacturing base is small. All cabinets manufactured in Australia and New Zealand now use some imported components. Stainless steel sheeting for cases is usually imported and some cabinets have pre-made evaporator units fitted into locally-made cases.</w:t>
      </w:r>
    </w:p>
    <w:p w14:paraId="6802C7D5" w14:textId="77777777" w:rsidR="005636C7" w:rsidRPr="0046124E" w:rsidRDefault="005636C7" w:rsidP="005636C7">
      <w:pPr>
        <w:pStyle w:val="E3BodyText"/>
        <w:jc w:val="both"/>
      </w:pPr>
      <w:r w:rsidRPr="0046124E">
        <w:t>Most integral (self-contained storage and display) cabinets are imported intact</w:t>
      </w:r>
      <w:r>
        <w:t xml:space="preserve"> and are </w:t>
      </w:r>
      <w:r w:rsidRPr="0046124E">
        <w:t xml:space="preserve">ready to operate with no modifications required. Some remote cabinets (for example, supermarket multi-deck and horizontal types) are imported partially assembled and fitted on site. </w:t>
      </w:r>
    </w:p>
    <w:p w14:paraId="4DB9135D" w14:textId="77777777" w:rsidR="005636C7" w:rsidRPr="0046124E" w:rsidRDefault="005636C7" w:rsidP="005636C7">
      <w:pPr>
        <w:pStyle w:val="E3BodyText"/>
        <w:jc w:val="both"/>
      </w:pPr>
      <w:r>
        <w:t>Australia and New Zealand</w:t>
      </w:r>
      <w:r w:rsidRPr="0046124E">
        <w:t xml:space="preserve"> trade refrigerated </w:t>
      </w:r>
      <w:r>
        <w:t xml:space="preserve">commercial </w:t>
      </w:r>
      <w:r w:rsidRPr="0046124E">
        <w:t xml:space="preserve">cabinets with each other, with </w:t>
      </w:r>
      <w:r>
        <w:t>most</w:t>
      </w:r>
      <w:r w:rsidRPr="0046124E">
        <w:t xml:space="preserve"> being traded from New Zealand to Australia. This is important when considering where the costs of </w:t>
      </w:r>
      <w:r>
        <w:t>are</w:t>
      </w:r>
      <w:r w:rsidRPr="0046124E">
        <w:t xml:space="preserve"> borne. </w:t>
      </w:r>
    </w:p>
    <w:p w14:paraId="5028C095" w14:textId="77777777" w:rsidR="005636C7" w:rsidRPr="001A279D" w:rsidRDefault="005636C7" w:rsidP="005636C7">
      <w:pPr>
        <w:pStyle w:val="E3Heading4"/>
        <w:jc w:val="both"/>
      </w:pPr>
      <w:bookmarkStart w:id="41" w:name="_Toc449708763"/>
      <w:bookmarkStart w:id="42" w:name="_Toc494897956"/>
      <w:bookmarkStart w:id="43" w:name="_Toc494955752"/>
      <w:bookmarkStart w:id="44" w:name="_Toc494959560"/>
      <w:bookmarkStart w:id="45" w:name="_Toc494972686"/>
      <w:bookmarkStart w:id="46" w:name="_Toc494973873"/>
      <w:bookmarkStart w:id="47" w:name="_Toc494974562"/>
      <w:r w:rsidRPr="001A279D">
        <w:t>Stock and sales</w:t>
      </w:r>
      <w:bookmarkEnd w:id="41"/>
      <w:bookmarkEnd w:id="42"/>
      <w:bookmarkEnd w:id="43"/>
      <w:bookmarkEnd w:id="44"/>
      <w:bookmarkEnd w:id="45"/>
      <w:bookmarkEnd w:id="46"/>
      <w:bookmarkEnd w:id="47"/>
    </w:p>
    <w:p w14:paraId="46710040" w14:textId="77777777" w:rsidR="005636C7" w:rsidRPr="0046124E" w:rsidRDefault="005636C7" w:rsidP="005636C7">
      <w:pPr>
        <w:pStyle w:val="E3BodyText"/>
        <w:jc w:val="both"/>
      </w:pPr>
      <w:r>
        <w:t xml:space="preserve"> The Australasian s</w:t>
      </w:r>
      <w:r w:rsidRPr="0041262C">
        <w:t xml:space="preserve">tock of refrigerated display and storage cabinets is </w:t>
      </w:r>
      <w:r>
        <w:t>expected</w:t>
      </w:r>
      <w:r w:rsidRPr="0041262C">
        <w:t xml:space="preserve"> to grow from around </w:t>
      </w:r>
      <w:r>
        <w:t>972</w:t>
      </w:r>
      <w:r w:rsidRPr="0041262C">
        <w:t>,000 units in 201</w:t>
      </w:r>
      <w:r>
        <w:t>5</w:t>
      </w:r>
      <w:r w:rsidRPr="0041262C">
        <w:t xml:space="preserve"> to approximately 1.</w:t>
      </w:r>
      <w:r>
        <w:t>5</w:t>
      </w:r>
      <w:r w:rsidRPr="0041262C">
        <w:t xml:space="preserve"> million units in 203</w:t>
      </w:r>
      <w:r>
        <w:t>5</w:t>
      </w:r>
      <w:r w:rsidRPr="0041262C">
        <w:t xml:space="preserve">. </w:t>
      </w:r>
    </w:p>
    <w:p w14:paraId="78237535" w14:textId="77777777" w:rsidR="005636C7" w:rsidRPr="0046124E" w:rsidRDefault="005636C7" w:rsidP="005636C7">
      <w:pPr>
        <w:pStyle w:val="E3BodyText"/>
        <w:jc w:val="both"/>
      </w:pPr>
      <w:r>
        <w:t>(</w:t>
      </w:r>
      <w:r w:rsidRPr="0046124E">
        <w:t xml:space="preserve">See </w:t>
      </w:r>
      <w:r>
        <w:rPr>
          <w:b/>
        </w:rPr>
        <w:t>Attachments A, B</w:t>
      </w:r>
      <w:r w:rsidRPr="0046124E">
        <w:rPr>
          <w:b/>
        </w:rPr>
        <w:t xml:space="preserve"> </w:t>
      </w:r>
      <w:r w:rsidRPr="0046124E">
        <w:t xml:space="preserve">and </w:t>
      </w:r>
      <w:r>
        <w:rPr>
          <w:b/>
        </w:rPr>
        <w:t>C</w:t>
      </w:r>
      <w:r w:rsidRPr="0046124E">
        <w:rPr>
          <w:b/>
        </w:rPr>
        <w:t xml:space="preserve"> </w:t>
      </w:r>
      <w:r w:rsidRPr="0046124E">
        <w:t xml:space="preserve">for more detailed information about Australian and New </w:t>
      </w:r>
      <w:r>
        <w:t>Zealand stock (by major sectors</w:t>
      </w:r>
      <w:r w:rsidRPr="0046124E">
        <w:t xml:space="preserve"> and stock analysis.</w:t>
      </w:r>
      <w:r>
        <w:t>)</w:t>
      </w:r>
    </w:p>
    <w:p w14:paraId="035469EB" w14:textId="77777777" w:rsidR="005636C7" w:rsidRPr="0046124E" w:rsidRDefault="005636C7" w:rsidP="005636C7">
      <w:pPr>
        <w:pStyle w:val="E3BodyText"/>
        <w:jc w:val="both"/>
      </w:pPr>
      <w:r w:rsidRPr="0046124E">
        <w:t xml:space="preserve">Three methods were used to estimate and cross check the existing stock and sales estimates of equipment in Australia and New Zealand, making use of industry knowledge and previous reports. These methods were: </w:t>
      </w:r>
    </w:p>
    <w:p w14:paraId="587012FE" w14:textId="77777777" w:rsidR="005636C7" w:rsidRPr="00F20882" w:rsidRDefault="005636C7" w:rsidP="005636C7">
      <w:pPr>
        <w:pStyle w:val="E3Bullets"/>
        <w:jc w:val="both"/>
      </w:pPr>
      <w:r w:rsidRPr="00F20882">
        <w:t>Modelling aggregated sales data estimates by cabinet type, average lifespans and growth rates to predict stock from 2000 to 2030 (this is considered to be the most reliable estimate available.)</w:t>
      </w:r>
    </w:p>
    <w:p w14:paraId="5E958413" w14:textId="77777777" w:rsidR="005636C7" w:rsidRPr="00F20882" w:rsidRDefault="005636C7" w:rsidP="005636C7">
      <w:pPr>
        <w:pStyle w:val="E3Bullets"/>
        <w:jc w:val="both"/>
      </w:pPr>
      <w:r w:rsidRPr="00F20882">
        <w:t>Stock estimated using the number of outlets where these cabinets are used, multiplied by the number of each type (i.e. integral display cabinet; remote display cabinet and storage cabinet).</w:t>
      </w:r>
    </w:p>
    <w:p w14:paraId="28F8A9AA" w14:textId="77777777" w:rsidR="005636C7" w:rsidRPr="00F20882" w:rsidRDefault="005636C7" w:rsidP="005636C7">
      <w:pPr>
        <w:pStyle w:val="E3Bullets"/>
        <w:jc w:val="both"/>
      </w:pPr>
      <w:r w:rsidRPr="00F20882">
        <w:t>Estimating the Australian and New Zealand stock bas</w:t>
      </w:r>
      <w:r>
        <w:t>ed on scaling Ecodesign 2013 EU</w:t>
      </w:r>
      <w:r>
        <w:noBreakHyphen/>
      </w:r>
      <w:r w:rsidRPr="00F20882">
        <w:t>28 stock on a per capita basis.</w:t>
      </w:r>
    </w:p>
    <w:p w14:paraId="6691B3A6" w14:textId="77777777" w:rsidR="005636C7" w:rsidRDefault="005636C7" w:rsidP="005636C7">
      <w:pPr>
        <w:pStyle w:val="E3Heading4"/>
      </w:pPr>
    </w:p>
    <w:p w14:paraId="7EA5DFC9" w14:textId="77777777" w:rsidR="005636C7" w:rsidRDefault="005636C7" w:rsidP="005636C7">
      <w:pPr>
        <w:pStyle w:val="E3Heading4"/>
      </w:pPr>
      <w:r w:rsidRPr="001A279D">
        <w:t xml:space="preserve">How much energy do </w:t>
      </w:r>
      <w:r w:rsidRPr="0093208D">
        <w:t>refrigerated commercial cabinets use?</w:t>
      </w:r>
    </w:p>
    <w:p w14:paraId="3C872538" w14:textId="77777777" w:rsidR="005636C7" w:rsidRPr="0046124E" w:rsidRDefault="005636C7" w:rsidP="005636C7">
      <w:pPr>
        <w:pStyle w:val="E3BodyText"/>
        <w:jc w:val="both"/>
        <w:rPr>
          <w:color w:val="4F81BD" w:themeColor="accent1"/>
        </w:rPr>
      </w:pPr>
      <w:r w:rsidRPr="0046124E">
        <w:t xml:space="preserve">Display cabinets have been regulated since 2004 and their energy use and sales </w:t>
      </w:r>
      <w:r>
        <w:t xml:space="preserve">are able to be </w:t>
      </w:r>
      <w:r w:rsidRPr="0046124E">
        <w:t>tracked in New Zealand under sales collection legislation.</w:t>
      </w:r>
      <w:r>
        <w:rPr>
          <w:rStyle w:val="FootnoteReference"/>
        </w:rPr>
        <w:footnoteReference w:id="11"/>
      </w:r>
      <w:r w:rsidRPr="0046124E">
        <w:t xml:space="preserve"> This </w:t>
      </w:r>
      <w:r>
        <w:t xml:space="preserve">has </w:t>
      </w:r>
      <w:r w:rsidRPr="0046124E">
        <w:t>enabled cross-checking and standardising of baseline energy use modelling and graphs</w:t>
      </w:r>
      <w:r w:rsidRPr="0046124E">
        <w:rPr>
          <w:color w:val="4F81BD" w:themeColor="accent1"/>
        </w:rPr>
        <w:t xml:space="preserve">.  </w:t>
      </w:r>
    </w:p>
    <w:p w14:paraId="27ABB148" w14:textId="77777777" w:rsidR="005636C7" w:rsidRDefault="005636C7" w:rsidP="005636C7">
      <w:pPr>
        <w:pStyle w:val="E3BodyText"/>
        <w:jc w:val="both"/>
      </w:pPr>
      <w:r w:rsidRPr="0041262C">
        <w:t xml:space="preserve">At present the stock of refrigerated commercial cabinets in Australia and New Zealand is estimated to be using </w:t>
      </w:r>
      <w:r>
        <w:t>7426GW</w:t>
      </w:r>
      <w:r w:rsidRPr="0041262C">
        <w:t>h of energy per annum</w:t>
      </w:r>
      <w:r>
        <w:t>.</w:t>
      </w:r>
      <w:r w:rsidRPr="0041262C">
        <w:t xml:space="preserve"> </w:t>
      </w:r>
      <w:r>
        <w:t>B</w:t>
      </w:r>
      <w:r w:rsidRPr="0041262C">
        <w:t xml:space="preserve">y 2035 this is expected to increase to </w:t>
      </w:r>
      <w:r>
        <w:t>9077</w:t>
      </w:r>
      <w:r w:rsidRPr="0041262C">
        <w:t xml:space="preserve">GWh per annum. See </w:t>
      </w:r>
      <w:r w:rsidRPr="0041262C">
        <w:rPr>
          <w:b/>
        </w:rPr>
        <w:t>Figure 4</w:t>
      </w:r>
      <w:r w:rsidRPr="0041262C">
        <w:t xml:space="preserve"> below for the increase in annual energy consumption of refrigerated commercial cabinets out to 2035.</w:t>
      </w:r>
    </w:p>
    <w:p w14:paraId="00BCEC21" w14:textId="77777777" w:rsidR="005636C7" w:rsidRPr="00FC29FD" w:rsidRDefault="005636C7" w:rsidP="005636C7">
      <w:pPr>
        <w:pStyle w:val="E3Figuretitles"/>
      </w:pPr>
      <w:bookmarkStart w:id="48" w:name="_Toc495045825"/>
      <w:r w:rsidRPr="00A61D8F">
        <w:t xml:space="preserve">Figure </w:t>
      </w:r>
      <w:r>
        <w:t>4</w:t>
      </w:r>
      <w:r w:rsidRPr="00A61D8F">
        <w:t>: estimated annual BAU energy consumption of refrigerated display and storage cabinets (by category) in Australia and New Zealand to 2016 and projected to 2035</w:t>
      </w:r>
      <w:r>
        <w:t>.</w:t>
      </w:r>
      <w:bookmarkEnd w:id="48"/>
    </w:p>
    <w:p w14:paraId="6ABB60B6" w14:textId="77777777" w:rsidR="005636C7" w:rsidRDefault="005636C7" w:rsidP="005636C7">
      <w:pPr>
        <w:pStyle w:val="E3BodyText"/>
        <w:rPr>
          <w:b/>
          <w:bCs/>
          <w:sz w:val="18"/>
          <w:szCs w:val="20"/>
        </w:rPr>
      </w:pPr>
    </w:p>
    <w:p w14:paraId="317A2533" w14:textId="77777777" w:rsidR="005636C7" w:rsidRPr="00FC29FD" w:rsidRDefault="005636C7" w:rsidP="005636C7">
      <w:pPr>
        <w:pStyle w:val="E3BodyText"/>
        <w:rPr>
          <w:b/>
          <w:bCs/>
          <w:sz w:val="18"/>
          <w:szCs w:val="20"/>
        </w:rPr>
      </w:pPr>
      <w:r>
        <w:rPr>
          <w:noProof/>
          <w:lang w:val="en-AU" w:eastAsia="en-AU"/>
        </w:rPr>
        <w:drawing>
          <wp:inline distT="0" distB="0" distL="0" distR="0" wp14:anchorId="0A726E92" wp14:editId="6308944B">
            <wp:extent cx="5972400" cy="3790800"/>
            <wp:effectExtent l="0" t="0" r="0" b="635"/>
            <wp:docPr id="252" name="Picture 252" descr="This figure shows the estimated annual energy consumption of Australasian refrigerated display and storage cabinets from 2000 to 2016 and projected out to 2035 - based on a business as usual scenario (i.e. if nothing changes). It shows that energy consumption has steadily increased and is projected to continue to do so." title="Estimated annual energy consumption"/>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2400" cy="3790800"/>
                    </a:xfrm>
                    <a:prstGeom prst="rect">
                      <a:avLst/>
                    </a:prstGeom>
                    <a:noFill/>
                    <a:ln>
                      <a:noFill/>
                    </a:ln>
                  </pic:spPr>
                </pic:pic>
              </a:graphicData>
            </a:graphic>
          </wp:inline>
        </w:drawing>
      </w:r>
    </w:p>
    <w:p w14:paraId="35F1D6DE" w14:textId="77777777" w:rsidR="005636C7" w:rsidRDefault="005636C7" w:rsidP="005636C7">
      <w:pPr>
        <w:pStyle w:val="E3Heading4"/>
      </w:pPr>
      <w:bookmarkStart w:id="49" w:name="_Toc449708764"/>
      <w:bookmarkStart w:id="50" w:name="_Toc494897957"/>
      <w:bookmarkStart w:id="51" w:name="_Toc494955753"/>
      <w:bookmarkStart w:id="52" w:name="_Toc494959561"/>
      <w:bookmarkStart w:id="53" w:name="_Toc494972687"/>
      <w:bookmarkStart w:id="54" w:name="_Toc494973874"/>
      <w:bookmarkStart w:id="55" w:name="_Toc494974563"/>
    </w:p>
    <w:p w14:paraId="19CCC51D" w14:textId="77777777" w:rsidR="005636C7" w:rsidRDefault="005636C7" w:rsidP="005636C7">
      <w:pPr>
        <w:pStyle w:val="E3Heading4"/>
      </w:pPr>
    </w:p>
    <w:p w14:paraId="5FB2A16E" w14:textId="77777777" w:rsidR="005636C7" w:rsidRDefault="005636C7" w:rsidP="005636C7">
      <w:pPr>
        <w:pStyle w:val="E3Heading4"/>
      </w:pPr>
    </w:p>
    <w:p w14:paraId="62E7E621" w14:textId="77777777" w:rsidR="005636C7" w:rsidRDefault="005636C7" w:rsidP="005636C7">
      <w:pPr>
        <w:pStyle w:val="E3Heading4"/>
      </w:pPr>
    </w:p>
    <w:p w14:paraId="757472C7" w14:textId="77777777" w:rsidR="005636C7" w:rsidRDefault="005636C7" w:rsidP="005636C7">
      <w:pPr>
        <w:pStyle w:val="E3Heading4"/>
      </w:pPr>
    </w:p>
    <w:p w14:paraId="0F6420A0" w14:textId="77777777" w:rsidR="005636C7" w:rsidRDefault="005636C7" w:rsidP="005636C7">
      <w:pPr>
        <w:pStyle w:val="E3Heading4"/>
      </w:pPr>
    </w:p>
    <w:p w14:paraId="27CA6491" w14:textId="77777777" w:rsidR="00AD5769" w:rsidRDefault="00AD5769">
      <w:pPr>
        <w:rPr>
          <w:rFonts w:ascii="Georgia" w:eastAsia="Calibri" w:hAnsi="Georgia" w:cs="Georgia"/>
          <w:b/>
          <w:bCs/>
          <w:color w:val="000000"/>
          <w:szCs w:val="19"/>
          <w:lang w:val="en-US" w:eastAsia="en-US"/>
        </w:rPr>
      </w:pPr>
      <w:r>
        <w:br w:type="page"/>
      </w:r>
    </w:p>
    <w:p w14:paraId="0F4455FF" w14:textId="3C190B11" w:rsidR="005636C7" w:rsidRPr="0093208D" w:rsidRDefault="005636C7" w:rsidP="005636C7">
      <w:pPr>
        <w:pStyle w:val="E3Heading4"/>
      </w:pPr>
      <w:r w:rsidRPr="001A279D">
        <w:t>A</w:t>
      </w:r>
      <w:r w:rsidRPr="0093208D">
        <w:t>ustralian market sales, stock and applications</w:t>
      </w:r>
      <w:bookmarkEnd w:id="49"/>
      <w:bookmarkEnd w:id="50"/>
      <w:bookmarkEnd w:id="51"/>
      <w:bookmarkEnd w:id="52"/>
      <w:bookmarkEnd w:id="53"/>
      <w:bookmarkEnd w:id="54"/>
      <w:bookmarkEnd w:id="55"/>
    </w:p>
    <w:p w14:paraId="4BA3D022" w14:textId="77777777" w:rsidR="005636C7" w:rsidRPr="0046124E" w:rsidRDefault="005636C7" w:rsidP="005636C7">
      <w:pPr>
        <w:pStyle w:val="E3BodyText"/>
        <w:jc w:val="both"/>
      </w:pPr>
      <w:r w:rsidRPr="0046124E">
        <w:t>The estimates of Australian stock using aggregated sales data shows there were</w:t>
      </w:r>
      <w:r>
        <w:t xml:space="preserve"> approximately</w:t>
      </w:r>
      <w:r w:rsidRPr="0046124E">
        <w:t xml:space="preserve"> </w:t>
      </w:r>
      <w:r>
        <w:t>845</w:t>
      </w:r>
      <w:r w:rsidRPr="0046124E">
        <w:t>,000 display cabinets and storage cabinet</w:t>
      </w:r>
      <w:r>
        <w:t>s in 2015</w:t>
      </w:r>
      <w:r w:rsidRPr="0046124E">
        <w:t>.  Sales and stock data were derived from a large company’s knowledge of their display cabinets for beverages</w:t>
      </w:r>
      <w:r>
        <w:t xml:space="preserve">, and the total number of these, plus </w:t>
      </w:r>
      <w:r w:rsidRPr="0046124E">
        <w:t>the pre-charged imports of commercial refrigerated cabinets.</w:t>
      </w:r>
    </w:p>
    <w:p w14:paraId="6674808A" w14:textId="77777777" w:rsidR="005636C7" w:rsidRDefault="005636C7" w:rsidP="005636C7">
      <w:pPr>
        <w:pStyle w:val="E3BodyText"/>
        <w:jc w:val="both"/>
      </w:pPr>
      <w:r w:rsidRPr="0046124E">
        <w:t>The two other methods of estimating stock corroborated this estimate</w:t>
      </w:r>
      <w:r>
        <w:t xml:space="preserve">. </w:t>
      </w:r>
      <w:r w:rsidRPr="0046124E">
        <w:t xml:space="preserve">Further details of these methods are </w:t>
      </w:r>
      <w:r>
        <w:t xml:space="preserve">provided </w:t>
      </w:r>
      <w:r w:rsidRPr="0046124E">
        <w:t xml:space="preserve">in </w:t>
      </w:r>
      <w:r>
        <w:rPr>
          <w:b/>
        </w:rPr>
        <w:t>A</w:t>
      </w:r>
      <w:r w:rsidRPr="00AC7259">
        <w:rPr>
          <w:b/>
        </w:rPr>
        <w:t xml:space="preserve">ttachments A </w:t>
      </w:r>
      <w:r w:rsidRPr="001A279D">
        <w:t>and</w:t>
      </w:r>
      <w:r w:rsidRPr="00AC7259">
        <w:rPr>
          <w:b/>
        </w:rPr>
        <w:t xml:space="preserve"> C.</w:t>
      </w:r>
      <w:r w:rsidRPr="0046124E">
        <w:t xml:space="preserve">  </w:t>
      </w:r>
      <w:r w:rsidRPr="0046124E">
        <w:rPr>
          <w:b/>
        </w:rPr>
        <w:fldChar w:fldCharType="begin"/>
      </w:r>
      <w:r w:rsidRPr="0046124E">
        <w:rPr>
          <w:b/>
        </w:rPr>
        <w:instrText xml:space="preserve"> REF _Ref449959354 \h  \* MERGEFORMAT </w:instrText>
      </w:r>
      <w:r w:rsidRPr="0046124E">
        <w:rPr>
          <w:b/>
        </w:rPr>
      </w:r>
      <w:r w:rsidRPr="0046124E">
        <w:rPr>
          <w:b/>
        </w:rPr>
        <w:fldChar w:fldCharType="separate"/>
      </w:r>
      <w:r w:rsidR="00AC6998" w:rsidRPr="00AC6998">
        <w:rPr>
          <w:b/>
        </w:rPr>
        <w:t>Figure</w:t>
      </w:r>
      <w:r w:rsidR="00AC6998" w:rsidRPr="005B3C17">
        <w:t xml:space="preserve"> </w:t>
      </w:r>
      <w:r w:rsidRPr="0046124E">
        <w:rPr>
          <w:b/>
        </w:rPr>
        <w:fldChar w:fldCharType="end"/>
      </w:r>
      <w:r w:rsidRPr="0046124E">
        <w:rPr>
          <w:b/>
        </w:rPr>
        <w:t xml:space="preserve"> </w:t>
      </w:r>
      <w:r w:rsidRPr="00CA6541">
        <w:t>show</w:t>
      </w:r>
      <w:r>
        <w:t>s</w:t>
      </w:r>
      <w:r w:rsidRPr="00F24376">
        <w:t xml:space="preserve"> the</w:t>
      </w:r>
      <w:r>
        <w:t xml:space="preserve"> share of stock in 2015 and while </w:t>
      </w:r>
      <w:r w:rsidRPr="0034488E">
        <w:rPr>
          <w:b/>
        </w:rPr>
        <w:t>figure 6</w:t>
      </w:r>
      <w:r>
        <w:t xml:space="preserve"> shows the historical and projected stock to 2035.</w:t>
      </w:r>
    </w:p>
    <w:p w14:paraId="1E742652" w14:textId="77777777" w:rsidR="005636C7" w:rsidRPr="00172F94" w:rsidRDefault="005636C7" w:rsidP="005636C7">
      <w:pPr>
        <w:pStyle w:val="E3BodyText"/>
        <w:jc w:val="both"/>
        <w:rPr>
          <w:b/>
        </w:rPr>
      </w:pPr>
    </w:p>
    <w:p w14:paraId="68EED8C0" w14:textId="77777777" w:rsidR="005636C7" w:rsidRDefault="005636C7" w:rsidP="005636C7">
      <w:pPr>
        <w:pStyle w:val="E3Figuretitles"/>
        <w:jc w:val="both"/>
      </w:pPr>
      <w:bookmarkStart w:id="56" w:name="_Ref449959354"/>
      <w:bookmarkStart w:id="57" w:name="_Toc449709066"/>
      <w:bookmarkStart w:id="58" w:name="_Toc494142473"/>
      <w:bookmarkStart w:id="59" w:name="_Toc495045826"/>
      <w:r w:rsidRPr="005B3C17">
        <w:t xml:space="preserve">Figure </w:t>
      </w:r>
      <w:bookmarkEnd w:id="56"/>
      <w:r>
        <w:t>5</w:t>
      </w:r>
      <w:r w:rsidRPr="005B3C17">
        <w:t>: 201</w:t>
      </w:r>
      <w:r>
        <w:t>5</w:t>
      </w:r>
      <w:r w:rsidRPr="005B3C17">
        <w:t xml:space="preserve"> Commercial refrigerated cabinet stock in Australia (estimate).</w:t>
      </w:r>
      <w:bookmarkEnd w:id="57"/>
      <w:bookmarkEnd w:id="58"/>
      <w:bookmarkEnd w:id="59"/>
    </w:p>
    <w:p w14:paraId="2DFE2A19" w14:textId="77777777" w:rsidR="005636C7" w:rsidRDefault="005636C7" w:rsidP="005636C7">
      <w:pPr>
        <w:pStyle w:val="E3BodyText"/>
        <w:rPr>
          <w:b/>
          <w:bCs/>
          <w:sz w:val="18"/>
          <w:szCs w:val="20"/>
        </w:rPr>
      </w:pPr>
      <w:r>
        <w:rPr>
          <w:noProof/>
          <w:lang w:val="en-AU" w:eastAsia="en-AU"/>
        </w:rPr>
        <w:drawing>
          <wp:inline distT="0" distB="0" distL="0" distR="0" wp14:anchorId="5B2DDABF" wp14:editId="092DBD4A">
            <wp:extent cx="3409950" cy="3014072"/>
            <wp:effectExtent l="0" t="0" r="0" b="0"/>
            <wp:docPr id="17" name="Picture 17" descr="This figure shows the estimated mix of commercial refrigeration cabinets installed in Australia in 2015. Integral display cabinets (i.e. stand alone/plug in units) consist of 58%, integral storage cabinets consist of 22% and remote cabinets (i.e. supermarket units that are fed by a large/central refrigeration unit) consist of 20%" title="Estimated 2015 Australian Commercial Redfrigerated Cabinet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14134" cy="3017770"/>
                    </a:xfrm>
                    <a:prstGeom prst="rect">
                      <a:avLst/>
                    </a:prstGeom>
                    <a:noFill/>
                    <a:ln>
                      <a:noFill/>
                    </a:ln>
                  </pic:spPr>
                </pic:pic>
              </a:graphicData>
            </a:graphic>
          </wp:inline>
        </w:drawing>
      </w:r>
      <w:bookmarkStart w:id="60" w:name="_Ref449959407"/>
      <w:bookmarkStart w:id="61" w:name="_Ref452640601"/>
      <w:bookmarkStart w:id="62" w:name="_Toc449709067"/>
      <w:bookmarkStart w:id="63" w:name="_Toc494142474"/>
    </w:p>
    <w:p w14:paraId="0AA1CD96" w14:textId="77777777" w:rsidR="005636C7" w:rsidRDefault="005636C7" w:rsidP="005636C7">
      <w:pPr>
        <w:pStyle w:val="E3BodyText"/>
        <w:spacing w:before="240"/>
        <w:rPr>
          <w:b/>
          <w:bCs/>
          <w:sz w:val="18"/>
          <w:szCs w:val="20"/>
        </w:rPr>
      </w:pPr>
      <w:bookmarkStart w:id="64" w:name="_Toc495045827"/>
    </w:p>
    <w:p w14:paraId="72ED3058" w14:textId="77777777" w:rsidR="005636C7" w:rsidRDefault="005636C7" w:rsidP="005636C7">
      <w:pPr>
        <w:pStyle w:val="E3Figuretitles"/>
      </w:pPr>
    </w:p>
    <w:p w14:paraId="1064A39F" w14:textId="77777777" w:rsidR="005636C7" w:rsidRDefault="005636C7" w:rsidP="005636C7">
      <w:pPr>
        <w:pStyle w:val="E3Figuretitles"/>
      </w:pPr>
    </w:p>
    <w:p w14:paraId="32E31363" w14:textId="77777777" w:rsidR="00AD5769" w:rsidRDefault="00AD5769">
      <w:pPr>
        <w:rPr>
          <w:rFonts w:ascii="Georgia" w:eastAsia="Cambria" w:hAnsi="Georgia"/>
          <w:b/>
          <w:bCs/>
          <w:sz w:val="20"/>
          <w:szCs w:val="20"/>
          <w:lang w:val="en-US" w:eastAsia="en-US"/>
        </w:rPr>
      </w:pPr>
      <w:r>
        <w:br w:type="page"/>
      </w:r>
    </w:p>
    <w:p w14:paraId="7FE5C3C7" w14:textId="5D9EDF22" w:rsidR="005636C7" w:rsidRDefault="005636C7" w:rsidP="005636C7">
      <w:pPr>
        <w:pStyle w:val="E3Figuretitles"/>
      </w:pPr>
      <w:r w:rsidRPr="005B3C17">
        <w:t xml:space="preserve">Figure </w:t>
      </w:r>
      <w:bookmarkEnd w:id="60"/>
      <w:bookmarkEnd w:id="61"/>
      <w:r>
        <w:t>6</w:t>
      </w:r>
      <w:r w:rsidRPr="005B3C17">
        <w:t>: Projected stock in Australia from 2000 to 2035.</w:t>
      </w:r>
      <w:bookmarkEnd w:id="62"/>
      <w:bookmarkEnd w:id="63"/>
      <w:bookmarkEnd w:id="64"/>
    </w:p>
    <w:p w14:paraId="2C94B243" w14:textId="77777777" w:rsidR="005636C7" w:rsidRPr="002B447C" w:rsidRDefault="005636C7" w:rsidP="005636C7">
      <w:pPr>
        <w:pStyle w:val="E3BodyText"/>
        <w:rPr>
          <w:b/>
          <w:bCs/>
          <w:sz w:val="14"/>
          <w:szCs w:val="20"/>
        </w:rPr>
      </w:pPr>
      <w:r>
        <w:rPr>
          <w:noProof/>
          <w:lang w:val="en-AU" w:eastAsia="en-AU"/>
        </w:rPr>
        <w:drawing>
          <wp:inline distT="0" distB="0" distL="0" distR="0" wp14:anchorId="3AC36293" wp14:editId="74A97F0F">
            <wp:extent cx="5755005" cy="3738067"/>
            <wp:effectExtent l="0" t="0" r="0" b="0"/>
            <wp:docPr id="52" name="Picture 52" descr="This figure shows the actual unit stock in Australia to 2015 plus a projection out to 2035. The figure shows that the stock is projected to continue to grow out to 2035 due to changing customer preferences for convienience foods and that this growth is also in part linked to projected population growth" title="Projected refrigerated cabinet stock in Australia from 2000 to 2035"/>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718" cy="3741128"/>
                    </a:xfrm>
                    <a:prstGeom prst="rect">
                      <a:avLst/>
                    </a:prstGeom>
                    <a:noFill/>
                    <a:ln>
                      <a:noFill/>
                    </a:ln>
                  </pic:spPr>
                </pic:pic>
              </a:graphicData>
            </a:graphic>
          </wp:inline>
        </w:drawing>
      </w:r>
    </w:p>
    <w:p w14:paraId="5F878FAD" w14:textId="77777777" w:rsidR="005636C7" w:rsidRDefault="005636C7" w:rsidP="005636C7">
      <w:pPr>
        <w:pStyle w:val="E3Heading2"/>
        <w:spacing w:line="360" w:lineRule="auto"/>
        <w:rPr>
          <w:rFonts w:ascii="Georgia" w:hAnsi="Georgia"/>
          <w:sz w:val="24"/>
        </w:rPr>
      </w:pPr>
      <w:bookmarkStart w:id="65" w:name="_Toc449708765"/>
      <w:bookmarkStart w:id="66" w:name="_Toc494897958"/>
      <w:bookmarkStart w:id="67" w:name="_Toc494955754"/>
      <w:bookmarkStart w:id="68" w:name="_Toc494959562"/>
      <w:bookmarkStart w:id="69" w:name="_Toc494972688"/>
      <w:bookmarkStart w:id="70" w:name="_Toc494973875"/>
      <w:bookmarkStart w:id="71" w:name="_Toc494974564"/>
    </w:p>
    <w:p w14:paraId="6E9FC9CB" w14:textId="77777777" w:rsidR="005636C7" w:rsidRDefault="005636C7" w:rsidP="005636C7">
      <w:pPr>
        <w:pStyle w:val="E3BodyText"/>
        <w:jc w:val="both"/>
      </w:pPr>
      <w:r w:rsidRPr="0046124E">
        <w:t xml:space="preserve">Sales </w:t>
      </w:r>
      <w:r>
        <w:t>growth has</w:t>
      </w:r>
      <w:r w:rsidRPr="0046124E">
        <w:t xml:space="preserve"> slowed since the 1990s from around 7% per annum to 4% </w:t>
      </w:r>
      <w:r>
        <w:t xml:space="preserve">from 2000 to 2013. It is estimated </w:t>
      </w:r>
      <w:r w:rsidRPr="0046124E">
        <w:t xml:space="preserve">to </w:t>
      </w:r>
      <w:r>
        <w:t xml:space="preserve">be </w:t>
      </w:r>
      <w:r w:rsidRPr="0046124E">
        <w:t xml:space="preserve">around 2.5% per annum </w:t>
      </w:r>
      <w:r>
        <w:t xml:space="preserve">currently </w:t>
      </w:r>
      <w:r w:rsidRPr="0046124E">
        <w:t xml:space="preserve">and </w:t>
      </w:r>
      <w:r>
        <w:t>is expected to fall to 2.0</w:t>
      </w:r>
      <w:r w:rsidRPr="0046124E">
        <w:t>% per annum</w:t>
      </w:r>
      <w:r>
        <w:t xml:space="preserve"> from 2020 to 2035.</w:t>
      </w:r>
      <w:r w:rsidRPr="0046124E">
        <w:t xml:space="preserve"> The high growth in the 1990s was due to food retail stores adapting to changing consumer preferences (i.e. convenience meals, variety, etc.)</w:t>
      </w:r>
      <w:r>
        <w:t>,</w:t>
      </w:r>
      <w:r w:rsidRPr="0046124E">
        <w:t xml:space="preserve"> </w:t>
      </w:r>
      <w:r>
        <w:t>which</w:t>
      </w:r>
      <w:r w:rsidRPr="0046124E">
        <w:t xml:space="preserve"> required more refrigeration per trading floor. Current sales are driven by replacement </w:t>
      </w:r>
      <w:r>
        <w:t>of existing stock</w:t>
      </w:r>
      <w:r w:rsidRPr="0046124E">
        <w:t xml:space="preserve"> and growth </w:t>
      </w:r>
      <w:r>
        <w:t xml:space="preserve">is </w:t>
      </w:r>
      <w:r w:rsidRPr="0046124E">
        <w:t>linked to population growth.</w:t>
      </w:r>
    </w:p>
    <w:p w14:paraId="030D6ACF" w14:textId="77777777" w:rsidR="005636C7" w:rsidRDefault="005636C7" w:rsidP="005636C7">
      <w:pPr>
        <w:pStyle w:val="E3Heading2"/>
        <w:spacing w:line="360" w:lineRule="auto"/>
        <w:jc w:val="both"/>
        <w:rPr>
          <w:rFonts w:ascii="Georgia" w:hAnsi="Georgia"/>
          <w:sz w:val="24"/>
        </w:rPr>
      </w:pPr>
    </w:p>
    <w:p w14:paraId="34C736A1" w14:textId="77777777" w:rsidR="005636C7" w:rsidRPr="001A279D" w:rsidRDefault="005636C7" w:rsidP="005636C7">
      <w:pPr>
        <w:pStyle w:val="E3Heading2"/>
        <w:spacing w:line="360" w:lineRule="auto"/>
        <w:jc w:val="both"/>
        <w:rPr>
          <w:rFonts w:ascii="Georgia" w:hAnsi="Georgia"/>
          <w:sz w:val="24"/>
        </w:rPr>
      </w:pPr>
      <w:bookmarkStart w:id="72" w:name="_Toc500151785"/>
      <w:r w:rsidRPr="0041262C">
        <w:rPr>
          <w:rFonts w:ascii="Georgia" w:hAnsi="Georgia"/>
          <w:sz w:val="24"/>
        </w:rPr>
        <w:t>New Zealand market sales, stock and applications</w:t>
      </w:r>
      <w:bookmarkEnd w:id="65"/>
      <w:bookmarkEnd w:id="66"/>
      <w:bookmarkEnd w:id="67"/>
      <w:bookmarkEnd w:id="68"/>
      <w:bookmarkEnd w:id="69"/>
      <w:bookmarkEnd w:id="70"/>
      <w:bookmarkEnd w:id="71"/>
      <w:bookmarkEnd w:id="72"/>
    </w:p>
    <w:p w14:paraId="59879781" w14:textId="77777777" w:rsidR="005636C7" w:rsidRPr="0046124E" w:rsidRDefault="005636C7" w:rsidP="005636C7">
      <w:pPr>
        <w:pStyle w:val="E3BodyText"/>
        <w:jc w:val="both"/>
      </w:pPr>
      <w:r w:rsidRPr="0046124E">
        <w:t xml:space="preserve">New Zealand stock </w:t>
      </w:r>
      <w:r>
        <w:t>in 2015 was</w:t>
      </w:r>
      <w:r w:rsidRPr="0046124E">
        <w:t xml:space="preserve"> </w:t>
      </w:r>
      <w:r>
        <w:t>approximately</w:t>
      </w:r>
      <w:r w:rsidRPr="0046124E">
        <w:t xml:space="preserve"> </w:t>
      </w:r>
      <w:r>
        <w:t>157</w:t>
      </w:r>
      <w:r w:rsidRPr="0046124E">
        <w:t xml:space="preserve">,000 </w:t>
      </w:r>
      <w:r>
        <w:t>refrigerated commercial cabinets</w:t>
      </w:r>
      <w:r w:rsidRPr="0046124E">
        <w:t xml:space="preserve">. Sales and stock data </w:t>
      </w:r>
      <w:r>
        <w:t>is</w:t>
      </w:r>
      <w:r w:rsidRPr="0046124E">
        <w:t xml:space="preserve"> derived from the annual data collected by the Energy Efficiency and Conservation Authority (EECA)</w:t>
      </w:r>
      <w:r>
        <w:t xml:space="preserve"> in New Zealand</w:t>
      </w:r>
      <w:r w:rsidRPr="0046124E">
        <w:t>. Th</w:t>
      </w:r>
      <w:r>
        <w:t>is</w:t>
      </w:r>
      <w:r w:rsidRPr="0046124E">
        <w:t xml:space="preserve"> data ha</w:t>
      </w:r>
      <w:r>
        <w:t>s</w:t>
      </w:r>
      <w:r w:rsidRPr="0046124E">
        <w:t xml:space="preserve"> been collected for regulated cabinets only, since 2005 as part of the </w:t>
      </w:r>
      <w:r w:rsidRPr="00AC7259">
        <w:rPr>
          <w:i/>
        </w:rPr>
        <w:t>Energy Efficiency (Energy Using Products) Regulations 2002</w:t>
      </w:r>
      <w:r w:rsidRPr="0046124E">
        <w:t>. Importers or manufacturers of products covered by the MEPS regulations must provide sales information and</w:t>
      </w:r>
      <w:r>
        <w:t xml:space="preserve"> the</w:t>
      </w:r>
      <w:r w:rsidRPr="0046124E">
        <w:t xml:space="preserve"> energy performance characteristics of their stock.</w:t>
      </w:r>
    </w:p>
    <w:p w14:paraId="41CC189D" w14:textId="77777777" w:rsidR="005636C7" w:rsidRPr="0046124E" w:rsidRDefault="005636C7" w:rsidP="005636C7">
      <w:pPr>
        <w:pStyle w:val="E3BodyText"/>
        <w:jc w:val="both"/>
      </w:pPr>
      <w:r w:rsidRPr="0046124E">
        <w:t>There are five sub-types within th</w:t>
      </w:r>
      <w:r>
        <w:t>is</w:t>
      </w:r>
      <w:r w:rsidRPr="0046124E">
        <w:t xml:space="preserve"> data</w:t>
      </w:r>
      <w:r>
        <w:t>,</w:t>
      </w:r>
      <w:r w:rsidRPr="0046124E">
        <w:t xml:space="preserve"> of which three dominate sales in the New Zealand market. For example</w:t>
      </w:r>
      <w:r>
        <w:t>,</w:t>
      </w:r>
      <w:r w:rsidRPr="0046124E">
        <w:t xml:space="preserve"> integral VC4, display cabinets (self-contained, vertical glass door display fridges) comprise over 45% of the display types. </w:t>
      </w:r>
    </w:p>
    <w:p w14:paraId="4DD91653" w14:textId="77777777" w:rsidR="005636C7" w:rsidRPr="0046124E" w:rsidRDefault="005636C7" w:rsidP="005636C7">
      <w:pPr>
        <w:pStyle w:val="E3BodyText"/>
        <w:jc w:val="both"/>
      </w:pPr>
      <w:r w:rsidRPr="0046124E">
        <w:t>Discussions with suppliers about storage cabinet</w:t>
      </w:r>
      <w:r>
        <w:t>s</w:t>
      </w:r>
      <w:r w:rsidRPr="0046124E">
        <w:t xml:space="preserve"> enabled an estimate to be derived as a ratio from the sales of </w:t>
      </w:r>
      <w:r>
        <w:t xml:space="preserve">refrigerated </w:t>
      </w:r>
      <w:r w:rsidRPr="0046124E">
        <w:t>display cabinets.</w:t>
      </w:r>
    </w:p>
    <w:p w14:paraId="1C3A5F72" w14:textId="77777777" w:rsidR="005636C7" w:rsidRPr="0046124E" w:rsidRDefault="005636C7" w:rsidP="005636C7">
      <w:pPr>
        <w:pStyle w:val="E3BodyText"/>
        <w:jc w:val="both"/>
      </w:pPr>
      <w:r w:rsidRPr="0046124E">
        <w:t>In 201</w:t>
      </w:r>
      <w:r>
        <w:t>5</w:t>
      </w:r>
      <w:r w:rsidRPr="0046124E">
        <w:t xml:space="preserve">, the total sales of </w:t>
      </w:r>
      <w:r>
        <w:t>r</w:t>
      </w:r>
      <w:r w:rsidRPr="0046124E">
        <w:t>efrigerated display cabinets and storage cabinets were estimated to be 1</w:t>
      </w:r>
      <w:r>
        <w:t>5</w:t>
      </w:r>
      <w:r w:rsidRPr="0046124E">
        <w:t>,000 and the total stock was e</w:t>
      </w:r>
      <w:r>
        <w:t>stimated to be 157,000 cabinets.</w:t>
      </w:r>
      <w:r w:rsidRPr="0046124E">
        <w:t xml:space="preserve"> </w:t>
      </w:r>
      <w:r w:rsidRPr="00C946B3">
        <w:rPr>
          <w:b/>
        </w:rPr>
        <w:t>Figure 7</w:t>
      </w:r>
      <w:r>
        <w:t xml:space="preserve"> below shows the historical and projected stock to 2035.</w:t>
      </w:r>
    </w:p>
    <w:p w14:paraId="066C6478" w14:textId="77777777" w:rsidR="005636C7" w:rsidRDefault="005636C7" w:rsidP="005636C7">
      <w:pPr>
        <w:pStyle w:val="E3Figuretitles"/>
        <w:jc w:val="both"/>
      </w:pPr>
      <w:bookmarkStart w:id="73" w:name="_Ref449959453"/>
      <w:bookmarkStart w:id="74" w:name="_Toc449709068"/>
      <w:bookmarkStart w:id="75" w:name="_Toc494142475"/>
      <w:bookmarkStart w:id="76" w:name="_Toc495045828"/>
    </w:p>
    <w:p w14:paraId="07571116" w14:textId="77777777" w:rsidR="005636C7" w:rsidRPr="00A929F6" w:rsidRDefault="005636C7" w:rsidP="005636C7">
      <w:pPr>
        <w:pStyle w:val="E3Figuretitles"/>
        <w:jc w:val="both"/>
      </w:pPr>
      <w:r w:rsidRPr="00A929F6">
        <w:t xml:space="preserve">Figure </w:t>
      </w:r>
      <w:bookmarkEnd w:id="73"/>
      <w:r>
        <w:t>7</w:t>
      </w:r>
      <w:r w:rsidRPr="00A929F6">
        <w:t>: Projected stock in New Zealand from 2000 to 2035.</w:t>
      </w:r>
      <w:bookmarkEnd w:id="74"/>
      <w:bookmarkEnd w:id="75"/>
      <w:bookmarkEnd w:id="76"/>
    </w:p>
    <w:p w14:paraId="32372307" w14:textId="77777777" w:rsidR="005636C7" w:rsidRPr="00697076" w:rsidRDefault="005636C7" w:rsidP="005636C7">
      <w:pPr>
        <w:pStyle w:val="E3BodyText"/>
      </w:pPr>
      <w:r>
        <w:rPr>
          <w:noProof/>
          <w:lang w:val="en-AU" w:eastAsia="en-AU"/>
        </w:rPr>
        <w:drawing>
          <wp:inline distT="0" distB="0" distL="0" distR="0" wp14:anchorId="257C649A" wp14:editId="302C2F0E">
            <wp:extent cx="5838825" cy="3324225"/>
            <wp:effectExtent l="0" t="0" r="9525" b="9525"/>
            <wp:docPr id="55" name="chart" descr="This figure shows the actual unit stock in New Zealand to 2015 plus a projection out to 2035. The figure shows that the stock is projected to continue to grow out to 2035 due to changing customer preferences for convienience foods and that this growth is also in part linked to projected population growth." title="Projected refrigerated cabinet stock in New Zealand from 2000 to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52"/>
                    <a:stretch>
                      <a:fillRect/>
                    </a:stretch>
                  </pic:blipFill>
                  <pic:spPr>
                    <a:xfrm>
                      <a:off x="0" y="0"/>
                      <a:ext cx="5838825" cy="3324225"/>
                    </a:xfrm>
                    <a:prstGeom prst="rect">
                      <a:avLst/>
                    </a:prstGeom>
                  </pic:spPr>
                </pic:pic>
              </a:graphicData>
            </a:graphic>
          </wp:inline>
        </w:drawing>
      </w:r>
    </w:p>
    <w:p w14:paraId="08479990" w14:textId="77777777" w:rsidR="005636C7" w:rsidRDefault="005636C7" w:rsidP="005636C7">
      <w:pPr>
        <w:pStyle w:val="E3BodyText"/>
        <w:spacing w:line="360" w:lineRule="auto"/>
        <w:jc w:val="both"/>
        <w:rPr>
          <w:b/>
          <w:bCs/>
          <w:sz w:val="18"/>
          <w:szCs w:val="20"/>
        </w:rPr>
      </w:pPr>
    </w:p>
    <w:p w14:paraId="3DDAF0DF" w14:textId="77777777" w:rsidR="005636C7" w:rsidRPr="00172F94" w:rsidRDefault="005636C7" w:rsidP="005636C7">
      <w:pPr>
        <w:pStyle w:val="E3BodyText"/>
        <w:jc w:val="both"/>
        <w:rPr>
          <w:b/>
        </w:rPr>
      </w:pPr>
      <w:r w:rsidRPr="0046124E">
        <w:t>The other two methods for deriving stock and sales estimates differed</w:t>
      </w:r>
      <w:r>
        <w:t>.</w:t>
      </w:r>
      <w:r w:rsidRPr="0046124E">
        <w:t xml:space="preserve"> </w:t>
      </w:r>
      <w:r>
        <w:t>S</w:t>
      </w:r>
      <w:r w:rsidRPr="0046124E">
        <w:t>tock estimated from outlets were 20% higher than the more reliable estimate based on sales. However</w:t>
      </w:r>
      <w:r>
        <w:t>,</w:t>
      </w:r>
      <w:r w:rsidRPr="0046124E">
        <w:t xml:space="preserve"> the estimate from the EU information was similar</w:t>
      </w:r>
      <w:r>
        <w:t xml:space="preserve"> to the estimate based on sales</w:t>
      </w:r>
      <w:r w:rsidRPr="0046124E">
        <w:t>.</w:t>
      </w:r>
      <w:r w:rsidRPr="0046124E">
        <w:rPr>
          <w:i/>
        </w:rPr>
        <w:t xml:space="preserve"> </w:t>
      </w:r>
      <w:r w:rsidRPr="0046124E">
        <w:t>Further details o</w:t>
      </w:r>
      <w:r>
        <w:t>n</w:t>
      </w:r>
      <w:r w:rsidRPr="0046124E">
        <w:t xml:space="preserve"> these methods are </w:t>
      </w:r>
      <w:r>
        <w:t xml:space="preserve">provided </w:t>
      </w:r>
      <w:r w:rsidRPr="0046124E">
        <w:t xml:space="preserve">in </w:t>
      </w:r>
      <w:r>
        <w:rPr>
          <w:b/>
        </w:rPr>
        <w:t>A</w:t>
      </w:r>
      <w:r w:rsidRPr="00C33AB3">
        <w:rPr>
          <w:b/>
        </w:rPr>
        <w:t>t</w:t>
      </w:r>
      <w:r w:rsidRPr="00AC7259">
        <w:rPr>
          <w:b/>
        </w:rPr>
        <w:t xml:space="preserve">tachments </w:t>
      </w:r>
      <w:r>
        <w:rPr>
          <w:b/>
        </w:rPr>
        <w:t>B</w:t>
      </w:r>
      <w:r w:rsidRPr="004714EC">
        <w:t xml:space="preserve"> and </w:t>
      </w:r>
      <w:r w:rsidRPr="00AC7259">
        <w:rPr>
          <w:b/>
        </w:rPr>
        <w:t>C.</w:t>
      </w:r>
      <w:r w:rsidRPr="00A57241">
        <w:t xml:space="preserve"> </w:t>
      </w:r>
      <w:r>
        <w:rPr>
          <w:b/>
        </w:rPr>
        <w:t>Figure 8</w:t>
      </w:r>
      <w:r w:rsidRPr="004714EC">
        <w:t xml:space="preserve"> </w:t>
      </w:r>
      <w:r>
        <w:t>overleaf</w:t>
      </w:r>
      <w:r w:rsidRPr="005B3C17">
        <w:t xml:space="preserve"> </w:t>
      </w:r>
      <w:r w:rsidRPr="00CA6541">
        <w:t>show</w:t>
      </w:r>
      <w:r>
        <w:t>s</w:t>
      </w:r>
      <w:r w:rsidRPr="00F24376">
        <w:t xml:space="preserve"> the</w:t>
      </w:r>
      <w:r>
        <w:t xml:space="preserve"> share of refrigerated cabinet stock in 2015 by type of cabinet.</w:t>
      </w:r>
    </w:p>
    <w:p w14:paraId="13576066" w14:textId="77777777" w:rsidR="005636C7" w:rsidRDefault="005636C7" w:rsidP="005636C7">
      <w:pPr>
        <w:pStyle w:val="E3BodyText"/>
        <w:spacing w:line="360" w:lineRule="auto"/>
        <w:rPr>
          <w:b/>
          <w:bCs/>
          <w:sz w:val="18"/>
          <w:szCs w:val="20"/>
        </w:rPr>
      </w:pPr>
    </w:p>
    <w:p w14:paraId="01E7748A" w14:textId="77777777" w:rsidR="00AD5769" w:rsidRDefault="00AD5769">
      <w:pPr>
        <w:rPr>
          <w:rFonts w:ascii="Georgia" w:eastAsia="Cambria" w:hAnsi="Georgia"/>
          <w:b/>
          <w:bCs/>
          <w:sz w:val="20"/>
          <w:szCs w:val="20"/>
          <w:lang w:val="en-US" w:eastAsia="en-US"/>
        </w:rPr>
      </w:pPr>
      <w:r>
        <w:br w:type="page"/>
      </w:r>
    </w:p>
    <w:p w14:paraId="75B63632" w14:textId="0A29D545" w:rsidR="005636C7" w:rsidRDefault="005636C7" w:rsidP="005636C7">
      <w:pPr>
        <w:pStyle w:val="E3Figuretitles"/>
      </w:pPr>
      <w:r w:rsidRPr="005B3C17">
        <w:t xml:space="preserve">Figure </w:t>
      </w:r>
      <w:r>
        <w:t>8</w:t>
      </w:r>
      <w:r w:rsidRPr="005B3C17">
        <w:t xml:space="preserve">: </w:t>
      </w:r>
      <w:r>
        <w:t>2015</w:t>
      </w:r>
      <w:r w:rsidRPr="005B3C17">
        <w:t xml:space="preserve"> Commercial refrigerated cabinet stock in </w:t>
      </w:r>
      <w:r>
        <w:t>New Zealand</w:t>
      </w:r>
      <w:r w:rsidRPr="005B3C17">
        <w:t xml:space="preserve"> </w:t>
      </w:r>
      <w:r w:rsidRPr="00FF19CA">
        <w:t>(estimate).</w:t>
      </w:r>
    </w:p>
    <w:p w14:paraId="6A4A1685" w14:textId="77777777" w:rsidR="005636C7" w:rsidRDefault="005636C7" w:rsidP="005636C7">
      <w:pPr>
        <w:pStyle w:val="E3BodyText"/>
      </w:pPr>
      <w:r>
        <w:rPr>
          <w:noProof/>
          <w:lang w:val="en-AU" w:eastAsia="en-AU"/>
        </w:rPr>
        <w:drawing>
          <wp:inline distT="0" distB="0" distL="0" distR="0" wp14:anchorId="2A15EE06" wp14:editId="26593007">
            <wp:extent cx="3609975" cy="3190875"/>
            <wp:effectExtent l="0" t="0" r="9525" b="9525"/>
            <wp:docPr id="255" name="Picture 255" descr="This figure shows the estimated mix of commercial refrigeration cabinets installed in New Zealand in 2015. Integral display cabinets (i.e. stand alone/plug in units) consist of 58%, integral storage cabinets consist of 22% and remote cabinets (i.e. supermarket units that are fed by a large/central refrigeration unit) consist of 20%" title="Estimated 2015 New Zealand Commercial Redfrigerated Cabinet Stock"/>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9975" cy="3190875"/>
                    </a:xfrm>
                    <a:prstGeom prst="rect">
                      <a:avLst/>
                    </a:prstGeom>
                    <a:noFill/>
                    <a:ln>
                      <a:noFill/>
                    </a:ln>
                  </pic:spPr>
                </pic:pic>
              </a:graphicData>
            </a:graphic>
          </wp:inline>
        </w:drawing>
      </w:r>
    </w:p>
    <w:p w14:paraId="374EDDFC" w14:textId="77777777" w:rsidR="005636C7" w:rsidRDefault="005636C7" w:rsidP="005636C7">
      <w:pPr>
        <w:pStyle w:val="E3Heading1"/>
        <w:spacing w:after="240"/>
        <w:rPr>
          <w:rFonts w:ascii="Georgia" w:hAnsi="Georgia"/>
          <w:sz w:val="24"/>
          <w:szCs w:val="24"/>
        </w:rPr>
      </w:pPr>
    </w:p>
    <w:p w14:paraId="67A6D513" w14:textId="77777777" w:rsidR="005636C7" w:rsidRPr="00156EDA" w:rsidRDefault="005636C7" w:rsidP="005636C7">
      <w:pPr>
        <w:pStyle w:val="E3BodyText"/>
        <w:jc w:val="both"/>
        <w:rPr>
          <w:b/>
        </w:rPr>
      </w:pPr>
      <w:r w:rsidRPr="0046124E">
        <w:t>When</w:t>
      </w:r>
      <w:r w:rsidRPr="0046124E">
        <w:rPr>
          <w:i/>
        </w:rPr>
        <w:t xml:space="preserve"> </w:t>
      </w:r>
      <w:r w:rsidRPr="0046124E">
        <w:t>looking at the split be</w:t>
      </w:r>
      <w:r>
        <w:t>tween the main types of cabinets – I</w:t>
      </w:r>
      <w:r w:rsidRPr="0046124E">
        <w:t>nteg</w:t>
      </w:r>
      <w:r>
        <w:t>ral Display vs R</w:t>
      </w:r>
      <w:r w:rsidRPr="0046124E">
        <w:t xml:space="preserve">emote Display vs Storage types – all </w:t>
      </w:r>
      <w:r>
        <w:t xml:space="preserve">three </w:t>
      </w:r>
      <w:r w:rsidRPr="0046124E">
        <w:t>methods</w:t>
      </w:r>
      <w:r>
        <w:t xml:space="preserve"> resulted in</w:t>
      </w:r>
      <w:r w:rsidRPr="0046124E">
        <w:t xml:space="preserve"> </w:t>
      </w:r>
      <w:r>
        <w:t xml:space="preserve">a </w:t>
      </w:r>
      <w:r w:rsidRPr="0046124E">
        <w:t xml:space="preserve">similar proportional market share. Integral display types </w:t>
      </w:r>
      <w:r>
        <w:t>has</w:t>
      </w:r>
      <w:r w:rsidRPr="0046124E">
        <w:t xml:space="preserve"> about 60% of the market </w:t>
      </w:r>
      <w:r>
        <w:t xml:space="preserve">with </w:t>
      </w:r>
      <w:r w:rsidRPr="0046124E">
        <w:t>Storage types and Remote Display</w:t>
      </w:r>
      <w:r>
        <w:t xml:space="preserve"> </w:t>
      </w:r>
      <w:r w:rsidRPr="0046124E">
        <w:t xml:space="preserve">types </w:t>
      </w:r>
      <w:r>
        <w:t xml:space="preserve">taking up </w:t>
      </w:r>
      <w:r w:rsidRPr="0046124E">
        <w:t xml:space="preserve">about half </w:t>
      </w:r>
      <w:r>
        <w:t>each of the remainder.</w:t>
      </w:r>
    </w:p>
    <w:p w14:paraId="06493384" w14:textId="77777777" w:rsidR="005636C7" w:rsidRPr="00AF04B1" w:rsidRDefault="005636C7" w:rsidP="005636C7">
      <w:pPr>
        <w:pStyle w:val="E3BodyText"/>
        <w:rPr>
          <w:lang w:val="en-AU"/>
        </w:rPr>
      </w:pPr>
    </w:p>
    <w:p w14:paraId="4149FADD" w14:textId="77777777" w:rsidR="005636C7" w:rsidRDefault="005636C7" w:rsidP="005636C7">
      <w:pPr>
        <w:pStyle w:val="E3Heading2"/>
      </w:pPr>
      <w:bookmarkStart w:id="77" w:name="_Toc500151786"/>
      <w:r w:rsidRPr="0041262C">
        <w:t>Current regulations and requirements</w:t>
      </w:r>
      <w:bookmarkEnd w:id="77"/>
    </w:p>
    <w:p w14:paraId="4E29B4B2" w14:textId="77777777" w:rsidR="005636C7" w:rsidRPr="0046124E" w:rsidRDefault="005636C7" w:rsidP="005636C7">
      <w:pPr>
        <w:pStyle w:val="E3BodyText"/>
        <w:jc w:val="both"/>
      </w:pPr>
      <w:r>
        <w:t>R</w:t>
      </w:r>
      <w:r w:rsidRPr="0046124E">
        <w:t xml:space="preserve">efrigerated display cabinets are </w:t>
      </w:r>
      <w:r>
        <w:t xml:space="preserve">currently </w:t>
      </w:r>
      <w:r w:rsidRPr="0046124E">
        <w:t xml:space="preserve">regulated </w:t>
      </w:r>
      <w:r>
        <w:t xml:space="preserve">in Australia and New Zealand </w:t>
      </w:r>
      <w:r w:rsidRPr="0046124E">
        <w:t xml:space="preserve">for their energy efficiency using </w:t>
      </w:r>
      <w:r>
        <w:t xml:space="preserve">AS 1731, an Australian Standard. </w:t>
      </w:r>
      <w:r w:rsidRPr="0046124E">
        <w:t>AS 1731</w:t>
      </w:r>
      <w:r>
        <w:t xml:space="preserve"> </w:t>
      </w:r>
      <w:r w:rsidRPr="0046124E">
        <w:t xml:space="preserve">specifies the general mechanical, physical and test requirements to check the energy efficiency performance of </w:t>
      </w:r>
      <w:r>
        <w:t>refrigerated display cabinets</w:t>
      </w:r>
      <w:r w:rsidRPr="0046124E">
        <w:t xml:space="preserve"> that are used for the sale or display of food products, including beverages.</w:t>
      </w:r>
      <w:r w:rsidRPr="0046124E">
        <w:rPr>
          <w:rStyle w:val="FootnoteReference"/>
        </w:rPr>
        <w:footnoteReference w:id="12"/>
      </w:r>
      <w:r w:rsidRPr="0046124E">
        <w:t xml:space="preserve"> There are 14 parts to the standard</w:t>
      </w:r>
      <w:r>
        <w:t>,</w:t>
      </w:r>
      <w:r w:rsidRPr="0046124E">
        <w:t xml:space="preserve"> </w:t>
      </w:r>
      <w:r>
        <w:t xml:space="preserve">which are </w:t>
      </w:r>
      <w:r w:rsidRPr="0046124E">
        <w:t>all sold separately</w:t>
      </w:r>
      <w:r>
        <w:t>. The relevant legislation that requires compliance with AS 1731 is</w:t>
      </w:r>
      <w:r w:rsidRPr="0046124E">
        <w:t xml:space="preserve">: the </w:t>
      </w:r>
      <w:r w:rsidRPr="0046124E">
        <w:rPr>
          <w:i/>
        </w:rPr>
        <w:t>Energy Efficiency (Energy Using Products) Regulations 2002</w:t>
      </w:r>
      <w:r w:rsidRPr="0046124E">
        <w:t xml:space="preserve"> in New Zealand and the </w:t>
      </w:r>
      <w:r w:rsidRPr="0046124E">
        <w:rPr>
          <w:i/>
        </w:rPr>
        <w:t>Greenhouse and Energy Minimum Standards Act 2012</w:t>
      </w:r>
      <w:r w:rsidRPr="0046124E">
        <w:t xml:space="preserve"> in Australia.</w:t>
      </w:r>
    </w:p>
    <w:p w14:paraId="3105E449" w14:textId="77777777" w:rsidR="005636C7" w:rsidRPr="0046124E" w:rsidRDefault="005636C7" w:rsidP="005636C7">
      <w:pPr>
        <w:pStyle w:val="E3BodyText"/>
      </w:pPr>
    </w:p>
    <w:p w14:paraId="4A139345" w14:textId="77777777" w:rsidR="005636C7" w:rsidRPr="0046124E" w:rsidRDefault="005636C7" w:rsidP="005636C7">
      <w:pPr>
        <w:pStyle w:val="E3BodyText"/>
        <w:jc w:val="both"/>
      </w:pPr>
      <w:r w:rsidRPr="0046124E">
        <w:t>Part 14 of AS 1731 defines energy efficiency as a function of Total Energy Consumption divided by the Total Display Area, expressed in kilowatt hours per day per square metre of display area. (TEC/TDA, in kWh/day/m</w:t>
      </w:r>
      <w:r w:rsidRPr="0046124E">
        <w:rPr>
          <w:vertAlign w:val="superscript"/>
        </w:rPr>
        <w:t>2</w:t>
      </w:r>
      <w:r w:rsidRPr="0046124E">
        <w:t>).</w:t>
      </w:r>
    </w:p>
    <w:p w14:paraId="6C05943B" w14:textId="77777777" w:rsidR="005636C7" w:rsidRPr="0046124E" w:rsidRDefault="005636C7" w:rsidP="005636C7">
      <w:pPr>
        <w:pStyle w:val="E3BodyText"/>
        <w:jc w:val="both"/>
      </w:pPr>
      <w:r w:rsidRPr="0046124E">
        <w:t>Testing is generally performed at climate class 3 (25</w:t>
      </w:r>
      <w:r w:rsidRPr="0046124E">
        <w:rPr>
          <w:vertAlign w:val="superscript"/>
        </w:rPr>
        <w:t xml:space="preserve">0 </w:t>
      </w:r>
      <w:r w:rsidRPr="0046124E">
        <w:t>C with relative humidity of 60%). Cabinets are further classified into operating temperatures between minus 15</w:t>
      </w:r>
      <w:r w:rsidRPr="0046124E">
        <w:rPr>
          <w:vertAlign w:val="superscript"/>
        </w:rPr>
        <w:t>o</w:t>
      </w:r>
      <w:r w:rsidRPr="0046124E">
        <w:t xml:space="preserve"> C to positive 10</w:t>
      </w:r>
      <w:r w:rsidRPr="0046124E">
        <w:rPr>
          <w:vertAlign w:val="superscript"/>
        </w:rPr>
        <w:t xml:space="preserve">0 </w:t>
      </w:r>
      <w:r w:rsidRPr="0046124E">
        <w:t xml:space="preserve">C and a special operating temperature can be defined by the manufacturer. If the cabinet is made to operate over a range of temperatures, it should comply with the lowest operating temperature range (the lower operating temperature </w:t>
      </w:r>
      <w:r>
        <w:t xml:space="preserve">the more </w:t>
      </w:r>
      <w:r w:rsidRPr="0046124E">
        <w:t>electricity</w:t>
      </w:r>
      <w:r>
        <w:t xml:space="preserve"> used for a given cabinet</w:t>
      </w:r>
      <w:r w:rsidRPr="0046124E">
        <w:t xml:space="preserve">.) </w:t>
      </w:r>
    </w:p>
    <w:p w14:paraId="2D14974B" w14:textId="77777777" w:rsidR="005636C7" w:rsidRPr="0046124E" w:rsidRDefault="005636C7" w:rsidP="005636C7">
      <w:pPr>
        <w:pStyle w:val="E3BodyText"/>
        <w:jc w:val="both"/>
      </w:pPr>
      <w:r w:rsidRPr="0046124E">
        <w:t xml:space="preserve">Part 1 of AS 1731 specifies terms and definitions for refrigerated display cabinets for the sale and display of foodstuffs. It further defines the scope of the standard so that it applies to “commercial refrigerators and freezers used for the sale or display of food products including beverages”, but </w:t>
      </w:r>
      <w:r>
        <w:t xml:space="preserve">specifically excludes </w:t>
      </w:r>
      <w:r w:rsidRPr="0046124E">
        <w:t>“refrigerated vending machines, ice-makers, cabinets intended for use in catering and similar non-retail applications”.</w:t>
      </w:r>
    </w:p>
    <w:p w14:paraId="09FCD577" w14:textId="77777777" w:rsidR="005636C7" w:rsidRPr="0046124E" w:rsidRDefault="005636C7" w:rsidP="005636C7">
      <w:pPr>
        <w:pStyle w:val="E3BodyText"/>
        <w:jc w:val="both"/>
      </w:pPr>
      <w:r w:rsidRPr="0046124E">
        <w:t xml:space="preserve">AS 1731 therefore excludes cabinets </w:t>
      </w:r>
      <w:r w:rsidRPr="0046124E">
        <w:rPr>
          <w:i/>
        </w:rPr>
        <w:t>intended for use</w:t>
      </w:r>
      <w:r w:rsidRPr="0046124E">
        <w:t xml:space="preserve"> in catering and similar non-retail applications.</w:t>
      </w:r>
      <w:r w:rsidRPr="0046124E">
        <w:rPr>
          <w:rStyle w:val="FootnoteReference"/>
        </w:rPr>
        <w:footnoteReference w:id="13"/>
      </w:r>
      <w:r w:rsidRPr="0046124E">
        <w:t xml:space="preserve"> As will be discussed in this</w:t>
      </w:r>
      <w:r>
        <w:t xml:space="preserve"> RIS</w:t>
      </w:r>
      <w:r w:rsidRPr="0046124E">
        <w:t>, this “intended situation of use” exemption operates to exclude most storage cabinets, a s</w:t>
      </w:r>
      <w:r>
        <w:t>ub-category of r</w:t>
      </w:r>
      <w:r w:rsidRPr="0046124E">
        <w:t xml:space="preserve">efrigerated display cabinets. Storage cabinets are largely unregulated by MEPS despite using significant amounts of electricity and using the same refrigeration mechanisms as display cabinets.   </w:t>
      </w:r>
      <w:r>
        <w:rPr>
          <w:b/>
        </w:rPr>
        <w:t>Figure 9</w:t>
      </w:r>
      <w:r w:rsidRPr="0046124E">
        <w:t xml:space="preserve"> (</w:t>
      </w:r>
      <w:r>
        <w:t>in the Problem Section) provides a process map for identifying whether a given cabinet is covered by</w:t>
      </w:r>
      <w:r w:rsidRPr="0046124E" w:rsidDel="00AF04B1">
        <w:t xml:space="preserve"> </w:t>
      </w:r>
      <w:r w:rsidRPr="0046124E">
        <w:t>AS 1731</w:t>
      </w:r>
      <w:r>
        <w:t>.</w:t>
      </w:r>
    </w:p>
    <w:p w14:paraId="4395F911" w14:textId="77777777" w:rsidR="005636C7" w:rsidRPr="0046124E" w:rsidRDefault="005636C7" w:rsidP="005636C7">
      <w:pPr>
        <w:pStyle w:val="E3BodyText"/>
        <w:jc w:val="both"/>
      </w:pPr>
      <w:r>
        <w:t>R</w:t>
      </w:r>
      <w:r w:rsidRPr="0046124E">
        <w:t>efrigerated commercial cabinets are not labelled to show their energy efficiency. Unlike domestic fridges, they are not sold from retail outlets where different models can be compared side by side. Energy efficiency is therefore largely invisible to buyers and this was one of the reasons why MEPS were devised and implemented as part of AS 1731 in both countries.</w:t>
      </w:r>
    </w:p>
    <w:p w14:paraId="6B80DBE9" w14:textId="77777777" w:rsidR="005636C7" w:rsidRDefault="005636C7" w:rsidP="005636C7">
      <w:pPr>
        <w:pStyle w:val="E3BodyText"/>
        <w:jc w:val="both"/>
      </w:pPr>
      <w:r w:rsidRPr="0046124E">
        <w:t xml:space="preserve">However, as will be outlined in the Problem </w:t>
      </w:r>
      <w:r>
        <w:t xml:space="preserve">Section, </w:t>
      </w:r>
      <w:r w:rsidRPr="0046124E">
        <w:t>there are both regulatory issues and market barriers that constrain buyers from choosing a more energy efficient cabinet. Updating the regulations to reflect</w:t>
      </w:r>
      <w:r>
        <w:t xml:space="preserve"> the</w:t>
      </w:r>
      <w:r w:rsidRPr="0046124E">
        <w:t xml:space="preserve"> global trade in cabinets and to encompass a much broader range of models could yield significant electricity savings and greenhouse gas reductions for buyers and users.</w:t>
      </w:r>
    </w:p>
    <w:p w14:paraId="49817893" w14:textId="77777777" w:rsidR="005636C7" w:rsidRDefault="005636C7" w:rsidP="005636C7">
      <w:pPr>
        <w:pStyle w:val="E3BodyText"/>
        <w:jc w:val="both"/>
      </w:pPr>
    </w:p>
    <w:p w14:paraId="06FB6DDB" w14:textId="77777777" w:rsidR="005636C7" w:rsidRDefault="005636C7" w:rsidP="005636C7">
      <w:pPr>
        <w:pStyle w:val="E3BodyText"/>
        <w:jc w:val="both"/>
      </w:pPr>
    </w:p>
    <w:p w14:paraId="76B224DA" w14:textId="77777777" w:rsidR="005636C7" w:rsidRPr="0046124E" w:rsidRDefault="005636C7" w:rsidP="005636C7">
      <w:pPr>
        <w:pStyle w:val="E3BodyText"/>
        <w:jc w:val="both"/>
      </w:pPr>
    </w:p>
    <w:p w14:paraId="75C78FAB" w14:textId="77777777" w:rsidR="00EF6371" w:rsidRDefault="00EF6371">
      <w:pPr>
        <w:rPr>
          <w:rFonts w:ascii="Helvetica" w:eastAsia="Calibri" w:hAnsi="Helvetica" w:cs="Arial"/>
          <w:b/>
          <w:color w:val="000000" w:themeColor="text1"/>
          <w:sz w:val="32"/>
          <w:szCs w:val="26"/>
          <w:lang w:val="en-US" w:eastAsia="en-US"/>
        </w:rPr>
      </w:pPr>
      <w:bookmarkStart w:id="78" w:name="_Toc500151787"/>
      <w:r>
        <w:br w:type="page"/>
      </w:r>
    </w:p>
    <w:p w14:paraId="2B3CA52D" w14:textId="06368CE3" w:rsidR="005636C7" w:rsidRDefault="005636C7" w:rsidP="005636C7">
      <w:pPr>
        <w:pStyle w:val="E3Heading2"/>
        <w:jc w:val="both"/>
      </w:pPr>
      <w:r w:rsidRPr="006D707F">
        <w:t>Policy context</w:t>
      </w:r>
      <w:bookmarkEnd w:id="78"/>
    </w:p>
    <w:p w14:paraId="50996B11" w14:textId="77777777" w:rsidR="005636C7" w:rsidRPr="00066675" w:rsidDel="0013370B" w:rsidRDefault="005636C7" w:rsidP="005636C7">
      <w:pPr>
        <w:pStyle w:val="E3BodyText"/>
        <w:jc w:val="both"/>
      </w:pPr>
      <w:r w:rsidRPr="00066675">
        <w:t xml:space="preserve">Over the past decade </w:t>
      </w:r>
      <w:r w:rsidRPr="00066675" w:rsidDel="0013370B">
        <w:t xml:space="preserve">New Zealand </w:t>
      </w:r>
      <w:r w:rsidRPr="00066675">
        <w:t xml:space="preserve">and Australia have introduced and </w:t>
      </w:r>
      <w:r w:rsidRPr="00066675" w:rsidDel="0013370B">
        <w:t>maintain</w:t>
      </w:r>
      <w:r w:rsidRPr="00066675">
        <w:t>ed</w:t>
      </w:r>
      <w:r w:rsidRPr="00066675" w:rsidDel="0013370B">
        <w:t xml:space="preserve"> MEPS and labelling measures through the Equipment Energy Efficiency (E3) Progra</w:t>
      </w:r>
      <w:r w:rsidRPr="00066675">
        <w:t>m. Participation in this program has</w:t>
      </w:r>
      <w:r w:rsidRPr="00066675" w:rsidDel="0013370B">
        <w:t xml:space="preserve"> </w:t>
      </w:r>
      <w:r w:rsidRPr="00066675">
        <w:t>benefited both countries by:</w:t>
      </w:r>
    </w:p>
    <w:p w14:paraId="28AD3C1A" w14:textId="77777777" w:rsidR="005636C7" w:rsidRPr="00F20882" w:rsidDel="0013370B" w:rsidRDefault="005636C7" w:rsidP="005636C7">
      <w:pPr>
        <w:pStyle w:val="E3Bullets"/>
      </w:pPr>
      <w:r w:rsidRPr="00F20882" w:rsidDel="0013370B">
        <w:t>Helping</w:t>
      </w:r>
      <w:r w:rsidRPr="00F20882">
        <w:t xml:space="preserve"> </w:t>
      </w:r>
      <w:r w:rsidRPr="00F20882" w:rsidDel="0013370B">
        <w:t xml:space="preserve">to uphold the principles of the Trans-Tasman Mutual Recognition Arrangement (under which goods legal for sale in either country can legally be offered for sale in both) and maintain regulatory alignment </w:t>
      </w:r>
      <w:r w:rsidRPr="00F20882">
        <w:t xml:space="preserve">between </w:t>
      </w:r>
      <w:r w:rsidRPr="00F20882" w:rsidDel="0013370B">
        <w:t>Australia</w:t>
      </w:r>
      <w:r w:rsidRPr="00F20882">
        <w:t xml:space="preserve"> and </w:t>
      </w:r>
      <w:r w:rsidRPr="00F20882" w:rsidDel="0013370B">
        <w:t>New Zealand</w:t>
      </w:r>
      <w:r w:rsidRPr="00F20882">
        <w:t>.</w:t>
      </w:r>
      <w:r w:rsidRPr="00F20882" w:rsidDel="0013370B">
        <w:t xml:space="preserve"> </w:t>
      </w:r>
    </w:p>
    <w:p w14:paraId="18E76B84" w14:textId="77777777" w:rsidR="005636C7" w:rsidRPr="00F20882" w:rsidDel="0013370B" w:rsidRDefault="005636C7" w:rsidP="005636C7">
      <w:pPr>
        <w:pStyle w:val="E3Bullets"/>
      </w:pPr>
      <w:r w:rsidRPr="00F20882">
        <w:t>R</w:t>
      </w:r>
      <w:r w:rsidRPr="00F20882" w:rsidDel="0013370B">
        <w:t xml:space="preserve">educing costs to </w:t>
      </w:r>
      <w:r w:rsidRPr="00F20882">
        <w:t>consumers.</w:t>
      </w:r>
      <w:r w:rsidRPr="00F20882" w:rsidDel="0013370B">
        <w:t xml:space="preserve"> </w:t>
      </w:r>
    </w:p>
    <w:p w14:paraId="01147808" w14:textId="77777777" w:rsidR="005636C7" w:rsidRPr="00F20882" w:rsidRDefault="005636C7" w:rsidP="005636C7">
      <w:pPr>
        <w:pStyle w:val="E3Bullets"/>
      </w:pPr>
      <w:r w:rsidRPr="00F20882">
        <w:t>R</w:t>
      </w:r>
      <w:r w:rsidRPr="00F20882" w:rsidDel="0013370B">
        <w:t>educing costs to businesses (as they bear a single cost for meeting the standards and labelling requirements of both countries)</w:t>
      </w:r>
      <w:r w:rsidRPr="00F20882">
        <w:t>.</w:t>
      </w:r>
      <w:r w:rsidRPr="00F20882" w:rsidDel="0013370B">
        <w:t xml:space="preserve"> </w:t>
      </w:r>
    </w:p>
    <w:p w14:paraId="094D6C8D" w14:textId="77777777" w:rsidR="005636C7" w:rsidRDefault="005636C7" w:rsidP="005636C7">
      <w:pPr>
        <w:pStyle w:val="E3Heading4"/>
      </w:pPr>
      <w:bookmarkStart w:id="79" w:name="_Toc447533573"/>
    </w:p>
    <w:p w14:paraId="7A4A260D" w14:textId="77777777" w:rsidR="005636C7" w:rsidRPr="0041262C" w:rsidRDefault="005636C7" w:rsidP="005636C7">
      <w:pPr>
        <w:pStyle w:val="E3Heading4"/>
      </w:pPr>
      <w:r w:rsidRPr="0041262C">
        <w:t>New Zealand</w:t>
      </w:r>
      <w:bookmarkEnd w:id="79"/>
    </w:p>
    <w:p w14:paraId="09A2BB59" w14:textId="77777777" w:rsidR="005636C7" w:rsidRPr="00066675" w:rsidRDefault="005636C7" w:rsidP="005636C7">
      <w:pPr>
        <w:pStyle w:val="E3BodyText"/>
        <w:jc w:val="both"/>
      </w:pPr>
      <w:r w:rsidRPr="00066675">
        <w:t xml:space="preserve">The policy context for improving the energy use of products available for sale in New Zealand is set out in the </w:t>
      </w:r>
      <w:r>
        <w:rPr>
          <w:i/>
        </w:rPr>
        <w:t>New Zealand Energy Strategy 2017</w:t>
      </w:r>
      <w:r w:rsidRPr="00066675">
        <w:rPr>
          <w:i/>
        </w:rPr>
        <w:t xml:space="preserve">-2021. </w:t>
      </w:r>
      <w:r w:rsidRPr="00066675">
        <w:t>This</w:t>
      </w:r>
      <w:r>
        <w:t xml:space="preserve"> strategy</w:t>
      </w:r>
      <w:r w:rsidRPr="00066675">
        <w:rPr>
          <w:i/>
        </w:rPr>
        <w:t xml:space="preserve"> </w:t>
      </w:r>
      <w:r w:rsidRPr="00066675">
        <w:t xml:space="preserve">outlines key priorities and strategic direction across New Zealand’s energy sector, including the efficient use of energy. </w:t>
      </w:r>
    </w:p>
    <w:p w14:paraId="42F9EF84" w14:textId="77777777" w:rsidR="005636C7" w:rsidRDefault="005636C7" w:rsidP="005636C7">
      <w:pPr>
        <w:pStyle w:val="E3BodyText"/>
        <w:jc w:val="both"/>
      </w:pPr>
      <w:r w:rsidRPr="001B4F98">
        <w:t xml:space="preserve">Its companion document, </w:t>
      </w:r>
      <w:r w:rsidRPr="001B4F98">
        <w:rPr>
          <w:i/>
        </w:rPr>
        <w:t>The New Zealand Energy Efficienc</w:t>
      </w:r>
      <w:r>
        <w:rPr>
          <w:i/>
        </w:rPr>
        <w:t>y and Conservation Strategy 2017-2022</w:t>
      </w:r>
      <w:r w:rsidRPr="001B4F98">
        <w:t>,</w:t>
      </w:r>
      <w:r w:rsidRPr="001B4F98">
        <w:rPr>
          <w:i/>
        </w:rPr>
        <w:t xml:space="preserve"> </w:t>
      </w:r>
      <w:r w:rsidRPr="001B4F98">
        <w:t xml:space="preserve">sets </w:t>
      </w:r>
      <w:r>
        <w:t xml:space="preserve">actions and targets that will contribute to achieving the Government’s policies and objectives. One of the three priority areas identified by the Strategy is the innovative and efficient use of electricity. The target for this priority area is the 90% of electricity that will be generated from renewable sources by 2025 (in an average hydrological year) providing security of supply is maintained. Significant progress has been made towards this target over the last few years, due in part to increasing uptake of energy efficient technologies. MEPS and labelling “contribute to the Government’s policy priorities of innovative and efficient use of electricity by improving the energy performance of products, such as fridges, freezers and heat pumps.” </w:t>
      </w:r>
    </w:p>
    <w:p w14:paraId="09667EE9" w14:textId="77777777" w:rsidR="005636C7" w:rsidRPr="00066675" w:rsidRDefault="005636C7" w:rsidP="005636C7">
      <w:pPr>
        <w:pStyle w:val="E3BodyText"/>
        <w:jc w:val="both"/>
      </w:pPr>
      <w:r w:rsidRPr="00066675">
        <w:t>By 2030, New Zealand’s energy demand is forecast to increase by 16% (against reported demand in 2013), resulting in a total energy demand of 632.2 PJ p.a. and producing an estimated 32.6 million tonnes of CO</w:t>
      </w:r>
      <w:r w:rsidRPr="00066675">
        <w:rPr>
          <w:vertAlign w:val="subscript"/>
        </w:rPr>
        <w:t>2</w:t>
      </w:r>
      <w:r w:rsidRPr="00066675">
        <w:t xml:space="preserve"> emissions (MBIE 2012, 2014).</w:t>
      </w:r>
    </w:p>
    <w:p w14:paraId="3C1F6FF6" w14:textId="77777777" w:rsidR="005636C7" w:rsidRPr="00066675" w:rsidRDefault="005636C7" w:rsidP="005636C7">
      <w:pPr>
        <w:pStyle w:val="E3BodyText"/>
        <w:jc w:val="both"/>
      </w:pPr>
      <w:r w:rsidRPr="00066675">
        <w:t xml:space="preserve">Greater uptake of energy efficient products could result in significant energy savings for New Zealand </w:t>
      </w:r>
      <w:r>
        <w:t>compared with</w:t>
      </w:r>
      <w:r w:rsidRPr="00066675">
        <w:t xml:space="preserve"> forecast demand.  The Energy Efficiency Conservation Authority (EECA) has identified 109 PJ in potential energy savings and 5.17 million tonnes of CO</w:t>
      </w:r>
      <w:r w:rsidRPr="00066675">
        <w:rPr>
          <w:vertAlign w:val="subscript"/>
        </w:rPr>
        <w:t>2</w:t>
      </w:r>
      <w:r w:rsidRPr="00066675">
        <w:t xml:space="preserve"> savings across these sectors that could be realised by improving the energy efficiency of the products and equipment used in New Zealand (including adopting best available technology and adapting how products are used). </w:t>
      </w:r>
    </w:p>
    <w:p w14:paraId="1D16F681" w14:textId="77777777" w:rsidR="005636C7" w:rsidRPr="00066675" w:rsidRDefault="005636C7" w:rsidP="005636C7">
      <w:pPr>
        <w:pStyle w:val="E3BodyText"/>
        <w:jc w:val="both"/>
      </w:pPr>
      <w:r w:rsidRPr="00066675">
        <w:t xml:space="preserve">Achieving these savings </w:t>
      </w:r>
      <w:r>
        <w:t xml:space="preserve">would </w:t>
      </w:r>
      <w:r w:rsidRPr="00066675">
        <w:t xml:space="preserve">reduce running costs and improve business competiveness and profit.  It </w:t>
      </w:r>
      <w:r>
        <w:t>would</w:t>
      </w:r>
      <w:r w:rsidRPr="00066675">
        <w:t xml:space="preserve"> also help</w:t>
      </w:r>
      <w:r>
        <w:t xml:space="preserve"> to</w:t>
      </w:r>
      <w:r w:rsidRPr="00066675">
        <w:t xml:space="preserve"> curb growth in energy demand, thereby deferring the need to invest in new energy supply infrastructure. This helps New Zealand to continue to meet most of its stationary energy needs from renewable and low emissions energy sources.</w:t>
      </w:r>
    </w:p>
    <w:p w14:paraId="14FB66F1" w14:textId="77777777" w:rsidR="005636C7" w:rsidRPr="0041262C" w:rsidRDefault="005636C7" w:rsidP="005636C7">
      <w:pPr>
        <w:pStyle w:val="E3Heading4"/>
      </w:pPr>
      <w:bookmarkStart w:id="80" w:name="_Toc447533574"/>
      <w:r w:rsidRPr="0041262C">
        <w:t>Australia</w:t>
      </w:r>
      <w:bookmarkEnd w:id="80"/>
    </w:p>
    <w:p w14:paraId="0BA8E83F" w14:textId="77777777" w:rsidR="005636C7" w:rsidRPr="00066675" w:rsidRDefault="005636C7" w:rsidP="005636C7">
      <w:pPr>
        <w:pStyle w:val="E3BodyText"/>
        <w:jc w:val="both"/>
      </w:pPr>
      <w:r w:rsidRPr="00066675">
        <w:t>In April 2015, the Australian Government released the Energy White Paper (EWP) which recognises that energy productivity improvement could help reduce business and household costs, promote competition in energy markets and energy using products, encourage economic growth and contribute to emissions reduction targets.</w:t>
      </w:r>
    </w:p>
    <w:p w14:paraId="69E2714E" w14:textId="77777777" w:rsidR="005636C7" w:rsidRPr="00066675" w:rsidRDefault="005636C7" w:rsidP="005636C7">
      <w:pPr>
        <w:pStyle w:val="E3BodyText"/>
        <w:jc w:val="both"/>
      </w:pPr>
      <w:r w:rsidRPr="00066675">
        <w:t>At their meeting on 23 July 2015, the COAG Energy Council agreed to support the development of the National Energy Productivity Plan (NE</w:t>
      </w:r>
      <w:r>
        <w:t>P</w:t>
      </w:r>
      <w:r w:rsidRPr="00066675">
        <w:t>P) as a coordinated national plan.  The NEPP provides a framework and an initial economy-wide work plan designed to accelerate action to deliver a 40% improvement in Australia’s energy productivity by 2030. In better coordinating energy efficiency, energy market reform and climate policy, it brings together new and existing measures from across the Council’s work program, as well as from the Commonwealth and industry. The</w:t>
      </w:r>
      <w:r>
        <w:t xml:space="preserve"> Energy Efficiency Advisory Team</w:t>
      </w:r>
      <w:r w:rsidRPr="00066675">
        <w:t xml:space="preserve"> </w:t>
      </w:r>
      <w:r>
        <w:t>(</w:t>
      </w:r>
      <w:r w:rsidRPr="00066675">
        <w:t>EEAT</w:t>
      </w:r>
      <w:r>
        <w:t xml:space="preserve">) </w:t>
      </w:r>
      <w:r w:rsidRPr="00066675">
        <w:t>will play an important role in delivering the goals of the NEPP, and is expected to contribute to the improvement of energy efficiency.</w:t>
      </w:r>
    </w:p>
    <w:p w14:paraId="2F21B4EC" w14:textId="77777777" w:rsidR="005636C7" w:rsidRPr="00066675" w:rsidRDefault="005636C7" w:rsidP="005636C7">
      <w:pPr>
        <w:pStyle w:val="E3BodyText"/>
        <w:jc w:val="both"/>
      </w:pPr>
      <w:r w:rsidRPr="00066675">
        <w:t>As part of its Industry Innovation and Competiveness Agenda, the Australian Government is committed to removing inefficient regulation, simplifying compliance, improving regulator responsiveness and harmonising with international standards where appropriate to help small and large businesses thrive.  This includes removing regulation that duplicates trusted overseas processes, except in cases where unique Australian regulations can be justified i.e. international harmonisation.</w:t>
      </w:r>
    </w:p>
    <w:p w14:paraId="3B2697AE" w14:textId="77777777" w:rsidR="005636C7" w:rsidRPr="0041262C" w:rsidRDefault="005636C7" w:rsidP="005636C7">
      <w:pPr>
        <w:pStyle w:val="E3Heading4"/>
        <w:jc w:val="both"/>
      </w:pPr>
      <w:bookmarkStart w:id="81" w:name="_Toc447533575"/>
      <w:r w:rsidRPr="0041262C">
        <w:t>International</w:t>
      </w:r>
      <w:bookmarkEnd w:id="81"/>
    </w:p>
    <w:p w14:paraId="5295AECC" w14:textId="77777777" w:rsidR="005636C7" w:rsidRPr="00066675" w:rsidRDefault="005636C7" w:rsidP="005636C7">
      <w:pPr>
        <w:pStyle w:val="E3BodyText"/>
        <w:jc w:val="both"/>
      </w:pPr>
      <w:r w:rsidRPr="00066675">
        <w:t>Internationally, there has been a focus on how to achieve substantial efficiency improvements for individual products and how to translate this into national energy savings and reductions in CO2 emissions. This helps countries to meet</w:t>
      </w:r>
      <w:r>
        <w:t xml:space="preserve"> their</w:t>
      </w:r>
      <w:r w:rsidRPr="00066675">
        <w:t xml:space="preserve"> emissions targets. </w:t>
      </w:r>
    </w:p>
    <w:p w14:paraId="535FB7FA" w14:textId="77777777" w:rsidR="005636C7" w:rsidRPr="00066675" w:rsidRDefault="005636C7" w:rsidP="005636C7">
      <w:pPr>
        <w:pStyle w:val="E3BodyText"/>
        <w:jc w:val="both"/>
      </w:pPr>
      <w:r w:rsidRPr="00066675">
        <w:t xml:space="preserve">The combination of addressing standards and labelling has been shown to </w:t>
      </w:r>
      <w:r>
        <w:t xml:space="preserve">provide </w:t>
      </w:r>
      <w:r w:rsidRPr="00066675">
        <w:t>substantial energy efficiency gains. A global assessment of national Energy Efficiency Standards and Labelling (EESL) programs which operate in more than 80 countries established that:</w:t>
      </w:r>
      <w:r w:rsidRPr="00066675">
        <w:rPr>
          <w:rStyle w:val="FootnoteReference"/>
        </w:rPr>
        <w:footnoteReference w:id="14"/>
      </w:r>
    </w:p>
    <w:p w14:paraId="1A21D2EE" w14:textId="77777777" w:rsidR="005636C7" w:rsidRPr="0069006C" w:rsidRDefault="005636C7" w:rsidP="0069006C">
      <w:pPr>
        <w:pStyle w:val="ListBullet"/>
        <w:spacing w:line="276" w:lineRule="auto"/>
        <w:rPr>
          <w:rFonts w:ascii="Georgia" w:hAnsi="Georgia"/>
        </w:rPr>
      </w:pPr>
      <w:r w:rsidRPr="0069006C">
        <w:rPr>
          <w:rFonts w:ascii="Georgia" w:hAnsi="Georgia"/>
        </w:rPr>
        <w:t>One-off improvements of more than 30% in the energy efficiency of major appliances in a number of countries has been observed when new EESL programs have been first introduced to a market where few energy efficiency programs had existed previously and have translated to national energy savings and reductions in CO2 emissions. In all of the EESL programs reviewed, the national benefits outweighed the additional costs by a ratio of at least 3 to 1, i.e. EESL programs deliver energy and CO2 reductions while also reducing total costs. This compares favourably with the cost of other clean energy options and supports the conclusion from the International Energy Agency that end-use efficiency measures offer the least cost pathway to energy and CO2 emission reductions.</w:t>
      </w:r>
    </w:p>
    <w:p w14:paraId="1EA5B786" w14:textId="77777777" w:rsidR="005636C7" w:rsidRPr="0069006C" w:rsidRDefault="005636C7" w:rsidP="0069006C">
      <w:pPr>
        <w:pStyle w:val="E3Bullets"/>
        <w:spacing w:line="276" w:lineRule="auto"/>
        <w:ind w:left="227"/>
        <w:jc w:val="both"/>
      </w:pPr>
    </w:p>
    <w:p w14:paraId="567E58F5" w14:textId="77777777" w:rsidR="005636C7" w:rsidRPr="0069006C" w:rsidRDefault="005636C7" w:rsidP="0069006C">
      <w:pPr>
        <w:pStyle w:val="ListBullet"/>
        <w:spacing w:line="276" w:lineRule="auto"/>
        <w:rPr>
          <w:rFonts w:ascii="Georgia" w:hAnsi="Georgia"/>
        </w:rPr>
      </w:pPr>
      <w:r w:rsidRPr="0069006C">
        <w:rPr>
          <w:rFonts w:ascii="Georgia" w:hAnsi="Georgia"/>
        </w:rPr>
        <w:t>Appliances and equipment covered by EESL programs have not only dramatically improved in efficiency over the past 20 years, but are also cheaper to purchase. While EESL programs may have caused increases in prices on the introduction of new energy efficiency measures, they appear to have had little long-term effect on appliance price trends.</w:t>
      </w:r>
    </w:p>
    <w:p w14:paraId="4827A192" w14:textId="77777777" w:rsidR="005636C7" w:rsidRDefault="005636C7" w:rsidP="005636C7">
      <w:pPr>
        <w:pStyle w:val="E3Bullets"/>
        <w:autoSpaceDE/>
        <w:autoSpaceDN/>
        <w:adjustRightInd/>
        <w:spacing w:before="120" w:after="113" w:line="278" w:lineRule="auto"/>
        <w:ind w:left="227" w:hanging="227"/>
        <w:contextualSpacing w:val="0"/>
        <w:jc w:val="both"/>
      </w:pPr>
    </w:p>
    <w:p w14:paraId="336E2D77" w14:textId="77777777" w:rsidR="005636C7" w:rsidRDefault="005636C7" w:rsidP="005636C7">
      <w:pPr>
        <w:pStyle w:val="E3Bullets"/>
        <w:autoSpaceDE/>
        <w:autoSpaceDN/>
        <w:adjustRightInd/>
        <w:spacing w:before="120" w:after="113" w:line="278" w:lineRule="auto"/>
        <w:ind w:left="227" w:hanging="227"/>
        <w:contextualSpacing w:val="0"/>
        <w:jc w:val="both"/>
      </w:pPr>
    </w:p>
    <w:p w14:paraId="24D2F663" w14:textId="77777777" w:rsidR="005636C7" w:rsidRDefault="005636C7" w:rsidP="005636C7">
      <w:pPr>
        <w:pStyle w:val="E3Bullets"/>
        <w:autoSpaceDE/>
        <w:autoSpaceDN/>
        <w:adjustRightInd/>
        <w:spacing w:before="120" w:after="113" w:line="278" w:lineRule="auto"/>
        <w:ind w:left="227" w:hanging="227"/>
        <w:contextualSpacing w:val="0"/>
        <w:jc w:val="both"/>
      </w:pPr>
    </w:p>
    <w:p w14:paraId="4C430ABB" w14:textId="77777777" w:rsidR="005636C7" w:rsidRDefault="005636C7" w:rsidP="005636C7">
      <w:pPr>
        <w:pStyle w:val="E3Bullets"/>
        <w:autoSpaceDE/>
        <w:autoSpaceDN/>
        <w:adjustRightInd/>
        <w:spacing w:before="120" w:after="113" w:line="278" w:lineRule="auto"/>
        <w:ind w:left="227" w:hanging="227"/>
        <w:contextualSpacing w:val="0"/>
        <w:jc w:val="both"/>
      </w:pPr>
    </w:p>
    <w:p w14:paraId="42FF8ECF" w14:textId="77777777" w:rsidR="005636C7" w:rsidRDefault="005636C7" w:rsidP="005636C7">
      <w:pPr>
        <w:pStyle w:val="E3Bullets"/>
        <w:autoSpaceDE/>
        <w:autoSpaceDN/>
        <w:adjustRightInd/>
        <w:spacing w:before="120" w:after="113" w:line="278" w:lineRule="auto"/>
        <w:ind w:left="227" w:hanging="227"/>
        <w:contextualSpacing w:val="0"/>
        <w:jc w:val="both"/>
      </w:pPr>
    </w:p>
    <w:p w14:paraId="61168419" w14:textId="77777777" w:rsidR="005636C7" w:rsidRDefault="005636C7" w:rsidP="005636C7">
      <w:pPr>
        <w:pStyle w:val="E3Bullets"/>
        <w:autoSpaceDE/>
        <w:autoSpaceDN/>
        <w:adjustRightInd/>
        <w:spacing w:before="120" w:after="113" w:line="278" w:lineRule="auto"/>
        <w:ind w:left="227" w:hanging="227"/>
        <w:contextualSpacing w:val="0"/>
        <w:jc w:val="both"/>
      </w:pPr>
    </w:p>
    <w:p w14:paraId="37D69850" w14:textId="77777777" w:rsidR="005636C7" w:rsidRDefault="005636C7" w:rsidP="005636C7">
      <w:pPr>
        <w:pStyle w:val="E3Bullets"/>
        <w:autoSpaceDE/>
        <w:autoSpaceDN/>
        <w:adjustRightInd/>
        <w:spacing w:before="120" w:after="113" w:line="278" w:lineRule="auto"/>
        <w:ind w:left="227" w:hanging="227"/>
        <w:contextualSpacing w:val="0"/>
        <w:jc w:val="both"/>
      </w:pPr>
    </w:p>
    <w:p w14:paraId="3E9DF7C0" w14:textId="77777777" w:rsidR="005636C7" w:rsidRDefault="005636C7" w:rsidP="005636C7">
      <w:pPr>
        <w:pStyle w:val="E3Bullets"/>
        <w:autoSpaceDE/>
        <w:autoSpaceDN/>
        <w:adjustRightInd/>
        <w:spacing w:before="120" w:after="113" w:line="278" w:lineRule="auto"/>
        <w:ind w:left="227" w:hanging="227"/>
        <w:contextualSpacing w:val="0"/>
        <w:jc w:val="both"/>
      </w:pPr>
    </w:p>
    <w:p w14:paraId="4D364D8D" w14:textId="77777777" w:rsidR="005636C7" w:rsidRDefault="005636C7" w:rsidP="005636C7">
      <w:pPr>
        <w:pStyle w:val="E3Bullets"/>
        <w:autoSpaceDE/>
        <w:autoSpaceDN/>
        <w:adjustRightInd/>
        <w:spacing w:before="120" w:after="113" w:line="278" w:lineRule="auto"/>
        <w:ind w:left="227" w:hanging="227"/>
        <w:contextualSpacing w:val="0"/>
        <w:jc w:val="both"/>
      </w:pPr>
    </w:p>
    <w:p w14:paraId="3749FB08" w14:textId="77777777" w:rsidR="005636C7" w:rsidRDefault="005636C7" w:rsidP="005636C7">
      <w:pPr>
        <w:pStyle w:val="E3Bullets"/>
        <w:autoSpaceDE/>
        <w:autoSpaceDN/>
        <w:adjustRightInd/>
        <w:spacing w:before="120" w:after="113" w:line="278" w:lineRule="auto"/>
        <w:ind w:left="227" w:hanging="227"/>
        <w:contextualSpacing w:val="0"/>
        <w:jc w:val="both"/>
      </w:pPr>
    </w:p>
    <w:p w14:paraId="2C302F75" w14:textId="77777777" w:rsidR="005636C7" w:rsidRDefault="005636C7" w:rsidP="005636C7">
      <w:pPr>
        <w:pStyle w:val="E3Bullets"/>
        <w:autoSpaceDE/>
        <w:autoSpaceDN/>
        <w:adjustRightInd/>
        <w:spacing w:before="120" w:after="113" w:line="278" w:lineRule="auto"/>
        <w:ind w:left="227" w:hanging="227"/>
        <w:contextualSpacing w:val="0"/>
        <w:jc w:val="both"/>
      </w:pPr>
    </w:p>
    <w:p w14:paraId="4F997544" w14:textId="77777777" w:rsidR="005636C7" w:rsidRDefault="005636C7" w:rsidP="005636C7">
      <w:pPr>
        <w:pStyle w:val="E3Bullets"/>
        <w:autoSpaceDE/>
        <w:autoSpaceDN/>
        <w:adjustRightInd/>
        <w:spacing w:before="120" w:after="113" w:line="278" w:lineRule="auto"/>
        <w:ind w:left="227" w:hanging="227"/>
        <w:contextualSpacing w:val="0"/>
        <w:jc w:val="both"/>
      </w:pPr>
    </w:p>
    <w:p w14:paraId="4D34A2C5" w14:textId="77777777" w:rsidR="005636C7" w:rsidRDefault="005636C7" w:rsidP="005636C7">
      <w:pPr>
        <w:pStyle w:val="E3Bullets"/>
        <w:autoSpaceDE/>
        <w:autoSpaceDN/>
        <w:adjustRightInd/>
        <w:spacing w:before="120" w:after="113" w:line="278" w:lineRule="auto"/>
        <w:ind w:left="227" w:hanging="227"/>
        <w:contextualSpacing w:val="0"/>
        <w:jc w:val="both"/>
      </w:pPr>
    </w:p>
    <w:p w14:paraId="77553D13" w14:textId="77777777" w:rsidR="005636C7" w:rsidRDefault="005636C7" w:rsidP="005636C7">
      <w:pPr>
        <w:pStyle w:val="E3Bullets"/>
        <w:autoSpaceDE/>
        <w:autoSpaceDN/>
        <w:adjustRightInd/>
        <w:spacing w:before="120" w:after="113" w:line="278" w:lineRule="auto"/>
        <w:ind w:left="227" w:hanging="227"/>
        <w:contextualSpacing w:val="0"/>
        <w:jc w:val="both"/>
      </w:pPr>
    </w:p>
    <w:p w14:paraId="1C14F61E" w14:textId="77777777" w:rsidR="005636C7" w:rsidRDefault="005636C7" w:rsidP="005636C7">
      <w:pPr>
        <w:pStyle w:val="E3Bullets"/>
        <w:autoSpaceDE/>
        <w:autoSpaceDN/>
        <w:adjustRightInd/>
        <w:spacing w:before="120" w:after="113" w:line="278" w:lineRule="auto"/>
        <w:ind w:left="227" w:hanging="227"/>
        <w:contextualSpacing w:val="0"/>
        <w:jc w:val="both"/>
      </w:pPr>
    </w:p>
    <w:p w14:paraId="38FF58A5" w14:textId="77777777" w:rsidR="005636C7" w:rsidRDefault="005636C7" w:rsidP="005636C7">
      <w:pPr>
        <w:pStyle w:val="E3Bullets"/>
        <w:autoSpaceDE/>
        <w:autoSpaceDN/>
        <w:adjustRightInd/>
        <w:spacing w:before="120" w:after="113" w:line="278" w:lineRule="auto"/>
        <w:ind w:left="227" w:hanging="227"/>
        <w:contextualSpacing w:val="0"/>
        <w:jc w:val="both"/>
      </w:pPr>
    </w:p>
    <w:p w14:paraId="36F8961F" w14:textId="77777777" w:rsidR="005636C7" w:rsidRDefault="005636C7" w:rsidP="005636C7">
      <w:pPr>
        <w:pStyle w:val="E3Bullets"/>
        <w:autoSpaceDE/>
        <w:autoSpaceDN/>
        <w:adjustRightInd/>
        <w:spacing w:before="120" w:after="113" w:line="278" w:lineRule="auto"/>
        <w:ind w:left="227" w:hanging="227"/>
        <w:contextualSpacing w:val="0"/>
        <w:jc w:val="both"/>
      </w:pPr>
    </w:p>
    <w:p w14:paraId="79A3F77A" w14:textId="77777777" w:rsidR="005636C7" w:rsidRDefault="005636C7" w:rsidP="005636C7">
      <w:pPr>
        <w:pStyle w:val="E3Bullets"/>
        <w:autoSpaceDE/>
        <w:autoSpaceDN/>
        <w:adjustRightInd/>
        <w:spacing w:before="120" w:after="113" w:line="278" w:lineRule="auto"/>
        <w:ind w:left="227" w:hanging="227"/>
        <w:contextualSpacing w:val="0"/>
        <w:jc w:val="both"/>
      </w:pPr>
    </w:p>
    <w:p w14:paraId="225A09D2" w14:textId="77777777" w:rsidR="005636C7" w:rsidRDefault="005636C7" w:rsidP="005636C7">
      <w:pPr>
        <w:pStyle w:val="E3Bullets"/>
        <w:autoSpaceDE/>
        <w:autoSpaceDN/>
        <w:adjustRightInd/>
        <w:spacing w:before="120" w:after="113" w:line="278" w:lineRule="auto"/>
        <w:ind w:left="227" w:hanging="227"/>
        <w:contextualSpacing w:val="0"/>
        <w:jc w:val="both"/>
      </w:pPr>
    </w:p>
    <w:p w14:paraId="7337728F" w14:textId="77777777" w:rsidR="005636C7" w:rsidRPr="00066675" w:rsidRDefault="005636C7" w:rsidP="005636C7">
      <w:pPr>
        <w:pStyle w:val="E3Bullets"/>
        <w:autoSpaceDE/>
        <w:autoSpaceDN/>
        <w:adjustRightInd/>
        <w:spacing w:before="120" w:after="113" w:line="278" w:lineRule="auto"/>
        <w:ind w:left="227" w:hanging="227"/>
        <w:contextualSpacing w:val="0"/>
        <w:jc w:val="both"/>
      </w:pPr>
    </w:p>
    <w:p w14:paraId="0772B84B" w14:textId="2F2F269A" w:rsidR="005636C7" w:rsidRDefault="005636C7" w:rsidP="005636C7">
      <w:pPr>
        <w:pStyle w:val="E3ChapterTitle"/>
        <w:numPr>
          <w:ilvl w:val="0"/>
          <w:numId w:val="30"/>
        </w:numPr>
      </w:pPr>
      <w:bookmarkStart w:id="82" w:name="_Toc500151788"/>
      <w:r>
        <w:rPr>
          <w:noProof/>
          <w:lang w:eastAsia="en-AU"/>
        </w:rPr>
        <w:drawing>
          <wp:anchor distT="0" distB="0" distL="114300" distR="114300" simplePos="0" relativeHeight="251675648" behindDoc="1" locked="1" layoutInCell="1" allowOverlap="1" wp14:anchorId="469439D6" wp14:editId="5E5E29F7">
            <wp:simplePos x="0" y="0"/>
            <wp:positionH relativeFrom="margin">
              <wp:align>left</wp:align>
            </wp:positionH>
            <wp:positionV relativeFrom="page">
              <wp:posOffset>186055</wp:posOffset>
            </wp:positionV>
            <wp:extent cx="6124575" cy="1800225"/>
            <wp:effectExtent l="0" t="0" r="9525" b="9525"/>
            <wp:wrapNone/>
            <wp:docPr id="18"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The Proble</w:t>
      </w:r>
      <w:bookmarkEnd w:id="82"/>
      <w:r w:rsidR="00EF6371">
        <w:t>m</w:t>
      </w:r>
    </w:p>
    <w:p w14:paraId="5714D409" w14:textId="77777777" w:rsidR="005636C7" w:rsidRPr="0041262C" w:rsidRDefault="005636C7" w:rsidP="005636C7">
      <w:pPr>
        <w:pStyle w:val="E3Heading2"/>
      </w:pPr>
      <w:bookmarkStart w:id="83" w:name="_Toc500151789"/>
      <w:r w:rsidRPr="0041262C">
        <w:t>Introduction</w:t>
      </w:r>
      <w:bookmarkEnd w:id="83"/>
      <w:r w:rsidRPr="0041262C">
        <w:t xml:space="preserve"> </w:t>
      </w:r>
    </w:p>
    <w:p w14:paraId="55173F5A" w14:textId="77777777" w:rsidR="005636C7" w:rsidRPr="002B26ED" w:rsidRDefault="005636C7" w:rsidP="005636C7">
      <w:pPr>
        <w:pStyle w:val="E3BodyText"/>
        <w:jc w:val="both"/>
      </w:pPr>
      <w:r w:rsidRPr="002B26ED">
        <w:t xml:space="preserve">While the regulations in Australia and New Zealand have driven improvements in the energy efficiency of refrigerated display cabinets since 2003, they </w:t>
      </w:r>
      <w:r>
        <w:t xml:space="preserve">are not achieving the intended market transformation. </w:t>
      </w:r>
    </w:p>
    <w:p w14:paraId="77E6309D" w14:textId="77777777" w:rsidR="005636C7" w:rsidRDefault="005636C7" w:rsidP="005636C7">
      <w:pPr>
        <w:pStyle w:val="E3BodyText"/>
        <w:jc w:val="both"/>
      </w:pPr>
      <w:r>
        <w:t xml:space="preserve">Problems with the way regulatory standards are written have made compliance difficult and costly for industry and created grey areas under the regulation that need to be fixed  </w:t>
      </w:r>
    </w:p>
    <w:p w14:paraId="54E3FDD5" w14:textId="77777777" w:rsidR="005636C7" w:rsidRDefault="005636C7" w:rsidP="005636C7">
      <w:pPr>
        <w:pStyle w:val="E3BodyText"/>
        <w:jc w:val="both"/>
      </w:pPr>
      <w:r>
        <w:t>The exclusion of most refrigerated storage cabinets from regulatory requirements, even though these account for roughly 20% of sales and can be near-identical to regulated models, means that a large portion of potential energy savings are not being realised, and also compromises the fairness of the regulations.</w:t>
      </w:r>
    </w:p>
    <w:p w14:paraId="498DA587" w14:textId="77777777" w:rsidR="005636C7" w:rsidRDefault="005636C7" w:rsidP="005636C7">
      <w:pPr>
        <w:pStyle w:val="E3BodyText"/>
        <w:jc w:val="both"/>
        <w:rPr>
          <w:i/>
        </w:rPr>
      </w:pPr>
      <w:r>
        <w:t xml:space="preserve">The minimum levels for energy efficiency mandated in regulatory standards </w:t>
      </w:r>
      <w:r w:rsidRPr="002B26ED">
        <w:t>have not kept pace with changes in the market and the wider range of cabinets now available</w:t>
      </w:r>
      <w:r>
        <w:t xml:space="preserve">, so the MEPS no longer serve to exclude the least efficient products from the market.  In addition, the voluntary high efficiency levels in the standard no longer differentiate the most efficient models on the market. </w:t>
      </w:r>
    </w:p>
    <w:p w14:paraId="5A13FB04" w14:textId="77777777" w:rsidR="005636C7" w:rsidRDefault="005636C7" w:rsidP="005636C7">
      <w:pPr>
        <w:pStyle w:val="E3BodyText"/>
        <w:jc w:val="both"/>
      </w:pPr>
      <w:r>
        <w:t>Differences between local and international standards makes it harder and more expensive for manufacturers to assess compliance with regulation and for suppliers to source compliant models on the global market.</w:t>
      </w:r>
    </w:p>
    <w:p w14:paraId="4B91B386" w14:textId="77777777" w:rsidR="005636C7" w:rsidRDefault="005636C7" w:rsidP="005636C7">
      <w:pPr>
        <w:pStyle w:val="E3BodyText"/>
        <w:jc w:val="both"/>
      </w:pPr>
      <w:r>
        <w:t>The regulations also do not resolve information failures in the market that make it hard for buyers to compare the energy efficiency and running costs of different purchase options, or identify the most efficient models.  Manufacturers and suppliers have made little use of the existing voluntary high efficiency standard that was established for this purpose.</w:t>
      </w:r>
    </w:p>
    <w:p w14:paraId="2FA10B2D" w14:textId="77777777" w:rsidR="005636C7" w:rsidRPr="00EF6371" w:rsidRDefault="005636C7" w:rsidP="00EF6371">
      <w:pPr>
        <w:pStyle w:val="E3BodyText"/>
        <w:jc w:val="both"/>
      </w:pPr>
      <w:r w:rsidRPr="00EF6371">
        <w:t xml:space="preserve">There are also split incentives and negative externalities in the market. The regulations do not focus on these market failures but the effects of split incentives and negative externalities could be ameliorated by improving regulation and reducing information failures. </w:t>
      </w:r>
    </w:p>
    <w:p w14:paraId="50367B9D" w14:textId="77777777" w:rsidR="005636C7" w:rsidRPr="00EF6371" w:rsidRDefault="005636C7" w:rsidP="00EF6371">
      <w:pPr>
        <w:pStyle w:val="E3BodyText"/>
        <w:jc w:val="both"/>
        <w:rPr>
          <w:lang w:val="en-NZ"/>
        </w:rPr>
      </w:pPr>
      <w:r w:rsidRPr="00832A61">
        <w:t>The benefits that can be realised from strengthening</w:t>
      </w:r>
      <w:r>
        <w:t xml:space="preserve"> </w:t>
      </w:r>
      <w:r w:rsidRPr="00832A61">
        <w:t xml:space="preserve">the existing regulations are significant.  In the estimates modelled for this RIS, </w:t>
      </w:r>
      <w:r w:rsidRPr="00A25ABC">
        <w:t>97,000</w:t>
      </w:r>
      <w:r w:rsidRPr="00832A61">
        <w:t xml:space="preserve"> cabinets were sold in Australia and New Zealand in 2015. </w:t>
      </w:r>
      <w:r w:rsidRPr="00EF6371">
        <w:rPr>
          <w:lang w:val="en-NZ"/>
        </w:rPr>
        <w:t xml:space="preserve">These use 7426GWh of electricity every year. If the least efficient 10% of cabinets were required to be more efficient from 2019 the dollar savings in NZD could be in excess of $47 million (AUD $40 million) each and every year just from reduced electricity use. </w:t>
      </w:r>
    </w:p>
    <w:p w14:paraId="55310DB3" w14:textId="77777777" w:rsidR="005636C7" w:rsidRPr="00EF6371" w:rsidRDefault="005636C7" w:rsidP="00EF6371">
      <w:pPr>
        <w:pStyle w:val="E3BodyText"/>
        <w:jc w:val="both"/>
        <w:rPr>
          <w:lang w:val="en-NZ"/>
        </w:rPr>
      </w:pPr>
      <w:r w:rsidRPr="00EF6371">
        <w:rPr>
          <w:lang w:val="en-NZ"/>
        </w:rPr>
        <w:t>For each person who bought a cabinet in this improved 10% bracket, they would save on average more than AUD $140 in Australia and NZD $115 in New Zealand on electricity, every year</w:t>
      </w:r>
      <w:r w:rsidRPr="00EF6371">
        <w:rPr>
          <w:lang w:val="en-NZ"/>
        </w:rPr>
        <w:footnoteReference w:id="15"/>
      </w:r>
      <w:r w:rsidRPr="00EF6371">
        <w:rPr>
          <w:lang w:val="en-NZ"/>
        </w:rPr>
        <w:t>. This change would also reduce annual emissions of CO2-e by 109 kt.</w:t>
      </w:r>
    </w:p>
    <w:p w14:paraId="55E779CC" w14:textId="77777777" w:rsidR="005636C7" w:rsidRDefault="005636C7" w:rsidP="005636C7">
      <w:pPr>
        <w:pStyle w:val="E3Heading2"/>
        <w:jc w:val="both"/>
      </w:pPr>
      <w:bookmarkStart w:id="84" w:name="_Toc494897960"/>
      <w:bookmarkStart w:id="85" w:name="_Toc494955756"/>
      <w:bookmarkStart w:id="86" w:name="_Toc494959564"/>
      <w:bookmarkStart w:id="87" w:name="_Toc494972690"/>
      <w:bookmarkStart w:id="88" w:name="_Toc494973877"/>
      <w:bookmarkStart w:id="89" w:name="_Toc494974566"/>
    </w:p>
    <w:p w14:paraId="2C3864EC" w14:textId="77777777" w:rsidR="005636C7" w:rsidRPr="00197B9C" w:rsidRDefault="005636C7" w:rsidP="005636C7">
      <w:pPr>
        <w:pStyle w:val="E3Heading2"/>
        <w:jc w:val="both"/>
      </w:pPr>
      <w:bookmarkStart w:id="90" w:name="_Toc500151790"/>
      <w:r w:rsidRPr="00197B9C">
        <w:t>Problems with the existing regulation</w:t>
      </w:r>
      <w:bookmarkEnd w:id="84"/>
      <w:bookmarkEnd w:id="85"/>
      <w:bookmarkEnd w:id="86"/>
      <w:bookmarkEnd w:id="87"/>
      <w:bookmarkEnd w:id="88"/>
      <w:bookmarkEnd w:id="89"/>
      <w:bookmarkEnd w:id="90"/>
      <w:r w:rsidRPr="00197B9C">
        <w:t xml:space="preserve"> </w:t>
      </w:r>
    </w:p>
    <w:p w14:paraId="0A847519" w14:textId="77777777" w:rsidR="005636C7" w:rsidRDefault="005636C7" w:rsidP="005636C7">
      <w:pPr>
        <w:pStyle w:val="E3BodyText"/>
        <w:jc w:val="both"/>
      </w:pPr>
      <w:r w:rsidRPr="00A97C34">
        <w:rPr>
          <w:lang w:val="en-NZ"/>
        </w:rPr>
        <w:t>Refrigerated display cabinets have been subject to mandatory Minimum Energy Performance Standards (MEPS) in Australia and New Zealand since 2003.</w:t>
      </w:r>
      <w:r w:rsidRPr="00A97C34">
        <w:rPr>
          <w:rStyle w:val="FootnoteReference"/>
          <w:sz w:val="19"/>
        </w:rPr>
        <w:footnoteReference w:id="16"/>
      </w:r>
      <w:r w:rsidRPr="00A97C34">
        <w:rPr>
          <w:lang w:val="en-NZ"/>
        </w:rPr>
        <w:t xml:space="preserve"> MEPS set maximum allowable levels of energy consumption (by cabinet type) that cabinets must not exceed. The MEPS were introduced as a means to reduce energy consumption despite buyers not considering energy use as a primary factor in their purchase decision, and therefore buying models that cost more to run where more efficient models with lower whole-of-life costs were available.  Voluntary high efficiency performance standards (HEPS) were also introduced to provide ‘stretch’ targets, or help suppliers to upsell more efficient cabinets influence buyers’ choices.</w:t>
      </w:r>
    </w:p>
    <w:p w14:paraId="168CFEE0" w14:textId="77777777" w:rsidR="005636C7" w:rsidRPr="00B543A1" w:rsidRDefault="005636C7" w:rsidP="005636C7">
      <w:pPr>
        <w:pStyle w:val="E3Heading4"/>
        <w:jc w:val="both"/>
      </w:pPr>
      <w:r w:rsidRPr="00B543A1">
        <w:t>The Standard</w:t>
      </w:r>
    </w:p>
    <w:p w14:paraId="3A1A9318" w14:textId="77777777" w:rsidR="005636C7" w:rsidRPr="002B26ED" w:rsidRDefault="005636C7" w:rsidP="005636C7">
      <w:pPr>
        <w:pStyle w:val="E3BodyText"/>
        <w:jc w:val="both"/>
      </w:pPr>
      <w:r w:rsidRPr="002B26ED">
        <w:t xml:space="preserve">The current </w:t>
      </w:r>
      <w:r>
        <w:t>s</w:t>
      </w:r>
      <w:r w:rsidRPr="002B26ED">
        <w:t xml:space="preserve">tandard AS 1731 </w:t>
      </w:r>
      <w:r>
        <w:t>that</w:t>
      </w:r>
      <w:r w:rsidRPr="002B26ED">
        <w:t xml:space="preserve"> applies under Australian and New Zealand regulations</w:t>
      </w:r>
      <w:r>
        <w:t xml:space="preserve"> is specific to our markets and is not aligned to international standards.</w:t>
      </w:r>
      <w:r w:rsidRPr="002B26ED">
        <w:t xml:space="preserve"> </w:t>
      </w:r>
      <w:r>
        <w:t xml:space="preserve">As </w:t>
      </w:r>
      <w:r w:rsidRPr="002B26ED">
        <w:t>Australia and New Zealand are small</w:t>
      </w:r>
      <w:r>
        <w:t xml:space="preserve"> players on the</w:t>
      </w:r>
      <w:r w:rsidRPr="002B26ED">
        <w:t xml:space="preserve"> </w:t>
      </w:r>
      <w:r>
        <w:t>global</w:t>
      </w:r>
      <w:r w:rsidRPr="002B26ED">
        <w:t xml:space="preserve"> market</w:t>
      </w:r>
      <w:r>
        <w:t xml:space="preserve"> and</w:t>
      </w:r>
      <w:r w:rsidRPr="002B26ED">
        <w:t xml:space="preserve"> </w:t>
      </w:r>
      <w:r>
        <w:t>most of our refrigerated</w:t>
      </w:r>
      <w:r w:rsidRPr="002B26ED">
        <w:t xml:space="preserve"> cabinets are imported</w:t>
      </w:r>
      <w:r w:rsidRPr="002B26ED">
        <w:rPr>
          <w:rStyle w:val="FootnoteReference"/>
        </w:rPr>
        <w:footnoteReference w:id="17"/>
      </w:r>
      <w:r w:rsidRPr="002B26ED">
        <w:t xml:space="preserve">, </w:t>
      </w:r>
      <w:r>
        <w:t xml:space="preserve">this makes it difficult </w:t>
      </w:r>
      <w:r w:rsidRPr="002B26ED">
        <w:t>and cost</w:t>
      </w:r>
      <w:r>
        <w:t>ly to test products to the local Standard and</w:t>
      </w:r>
      <w:r w:rsidRPr="002B26ED">
        <w:t xml:space="preserve"> </w:t>
      </w:r>
      <w:r>
        <w:t>for</w:t>
      </w:r>
      <w:r w:rsidRPr="002B26ED">
        <w:t xml:space="preserve"> suppliers </w:t>
      </w:r>
      <w:r>
        <w:t>to source products that meet our</w:t>
      </w:r>
      <w:r w:rsidRPr="002B26ED">
        <w:t xml:space="preserve"> specific test methods and MEPS levels</w:t>
      </w:r>
      <w:r>
        <w:t>.</w:t>
      </w:r>
      <w:r w:rsidRPr="002B26ED">
        <w:t xml:space="preserve">  </w:t>
      </w:r>
      <w:r>
        <w:t>As well as placing a high compliance burden on the industry, this limits</w:t>
      </w:r>
      <w:r w:rsidRPr="002B26ED">
        <w:t xml:space="preserve"> the range of products available in </w:t>
      </w:r>
      <w:r>
        <w:t>our</w:t>
      </w:r>
      <w:r w:rsidRPr="002B26ED">
        <w:t xml:space="preserve"> market</w:t>
      </w:r>
      <w:r>
        <w:t>s and the levels of compliance achieved</w:t>
      </w:r>
      <w:r w:rsidRPr="002B26ED">
        <w:t>.</w:t>
      </w:r>
      <w:r>
        <w:t xml:space="preserve">  </w:t>
      </w:r>
    </w:p>
    <w:p w14:paraId="2889D0A5" w14:textId="77777777" w:rsidR="005636C7" w:rsidRDefault="005636C7" w:rsidP="005636C7">
      <w:pPr>
        <w:pStyle w:val="E3BodyText"/>
        <w:spacing w:after="0"/>
        <w:jc w:val="both"/>
        <w:rPr>
          <w:lang w:val="en-NZ"/>
        </w:rPr>
      </w:pPr>
      <w:r>
        <w:t>In addition to being specific to our markets, AS 1731 is also hard to interpret and apply.  It has</w:t>
      </w:r>
      <w:r w:rsidRPr="00A24816">
        <w:t xml:space="preserve"> 14 parts </w:t>
      </w:r>
      <w:r>
        <w:t xml:space="preserve">that must be purchased </w:t>
      </w:r>
      <w:r w:rsidRPr="00A24816">
        <w:t>at a cost of about AUD$120 per part</w:t>
      </w:r>
      <w:r>
        <w:t>.</w:t>
      </w:r>
      <w:r w:rsidRPr="00A24816">
        <w:t xml:space="preserve"> </w:t>
      </w:r>
      <w:r>
        <w:t xml:space="preserve">Products are divided across more </w:t>
      </w:r>
      <w:r w:rsidRPr="00A24816">
        <w:t xml:space="preserve">50 </w:t>
      </w:r>
      <w:r>
        <w:t>product classes</w:t>
      </w:r>
      <w:r w:rsidRPr="00A24816">
        <w:t xml:space="preserve"> </w:t>
      </w:r>
      <w:r>
        <w:t xml:space="preserve">falling </w:t>
      </w:r>
      <w:r w:rsidRPr="00A24816">
        <w:t xml:space="preserve">across a </w:t>
      </w:r>
      <w:r>
        <w:t>range</w:t>
      </w:r>
      <w:r w:rsidRPr="00A24816">
        <w:t xml:space="preserve"> of sizes, temperatures and configurations</w:t>
      </w:r>
      <w:r>
        <w:t>,</w:t>
      </w:r>
      <w:r w:rsidRPr="00A24816">
        <w:t xml:space="preserve"> with different MEPS levels and test procedures applying</w:t>
      </w:r>
      <w:r>
        <w:t>.</w:t>
      </w:r>
      <w:r w:rsidRPr="00A24816">
        <w:t xml:space="preserve"> </w:t>
      </w:r>
      <w:r>
        <w:t>Some categories are open to interpretation</w:t>
      </w:r>
      <w:r>
        <w:rPr>
          <w:rStyle w:val="FootnoteReference"/>
        </w:rPr>
        <w:footnoteReference w:id="18"/>
      </w:r>
      <w:r>
        <w:t xml:space="preserve"> while some are in fact </w:t>
      </w:r>
      <w:r w:rsidRPr="00A24816">
        <w:t>fictive, as they were devised to cater for types of cabinets that might be invented one day, in an attempt to ‘future-proof’ the Standard.</w:t>
      </w:r>
      <w:r>
        <w:t xml:space="preserve"> MEPS levels have only been allocated to 34 of the product classes but</w:t>
      </w:r>
      <w:r w:rsidRPr="00A24816">
        <w:t xml:space="preserve"> only way to establish whether</w:t>
      </w:r>
      <w:r>
        <w:t xml:space="preserve"> or not they apply to a given </w:t>
      </w:r>
      <w:r w:rsidRPr="00A24816">
        <w:t>cabinet is to buy the entire 14 part Standard</w:t>
      </w:r>
      <w:r w:rsidRPr="002B26ED">
        <w:rPr>
          <w:rStyle w:val="FootnoteReference"/>
        </w:rPr>
        <w:footnoteReference w:id="19"/>
      </w:r>
      <w:r w:rsidRPr="00A24816">
        <w:t>.</w:t>
      </w:r>
      <w:r>
        <w:t xml:space="preserve"> </w:t>
      </w:r>
      <w:r>
        <w:rPr>
          <w:lang w:val="en-NZ"/>
        </w:rPr>
        <w:t>All in all, is hard to</w:t>
      </w:r>
      <w:r w:rsidRPr="00A24816">
        <w:rPr>
          <w:lang w:val="en-NZ"/>
        </w:rPr>
        <w:t xml:space="preserve"> establish</w:t>
      </w:r>
      <w:r>
        <w:rPr>
          <w:lang w:val="en-NZ"/>
        </w:rPr>
        <w:t xml:space="preserve"> </w:t>
      </w:r>
      <w:r w:rsidRPr="00A24816">
        <w:rPr>
          <w:lang w:val="en-NZ"/>
        </w:rPr>
        <w:t xml:space="preserve">what class </w:t>
      </w:r>
      <w:r>
        <w:rPr>
          <w:lang w:val="en-NZ"/>
        </w:rPr>
        <w:t>a product falls under, what requirements apply to it, and whether any exemptions apply</w:t>
      </w:r>
      <w:r w:rsidRPr="00A24816">
        <w:rPr>
          <w:lang w:val="en-NZ"/>
        </w:rPr>
        <w:t>.</w:t>
      </w:r>
    </w:p>
    <w:p w14:paraId="4A160403" w14:textId="77777777" w:rsidR="005636C7" w:rsidRDefault="005636C7" w:rsidP="005636C7">
      <w:pPr>
        <w:pStyle w:val="E3BodyText"/>
        <w:spacing w:after="0"/>
        <w:jc w:val="both"/>
        <w:rPr>
          <w:lang w:val="en-NZ"/>
        </w:rPr>
      </w:pPr>
    </w:p>
    <w:p w14:paraId="49A4B829" w14:textId="77777777" w:rsidR="005636C7" w:rsidRPr="00346283" w:rsidRDefault="005636C7" w:rsidP="005636C7">
      <w:pPr>
        <w:pStyle w:val="E3BodyText"/>
        <w:spacing w:after="0"/>
        <w:jc w:val="both"/>
        <w:rPr>
          <w:lang w:val="en-NZ"/>
        </w:rPr>
      </w:pPr>
      <w:r>
        <w:rPr>
          <w:lang w:val="en-NZ"/>
        </w:rPr>
        <w:t>Feedback from industry stakeholders has also highlighted a need for the standard to provide a better</w:t>
      </w:r>
      <w:r w:rsidRPr="00DF52A9">
        <w:t xml:space="preserve"> ‘family of models’</w:t>
      </w:r>
      <w:r>
        <w:t xml:space="preserve"> definition that gives</w:t>
      </w:r>
      <w:r w:rsidRPr="00DF52A9">
        <w:t xml:space="preserve"> due consideration to compliance costs</w:t>
      </w:r>
      <w:r>
        <w:t>, and</w:t>
      </w:r>
      <w:r w:rsidRPr="00174C5E">
        <w:t xml:space="preserve"> </w:t>
      </w:r>
      <w:r>
        <w:t>to make clearer distinctions</w:t>
      </w:r>
      <w:r w:rsidRPr="00DF52A9">
        <w:t xml:space="preserve"> between commercial and domestic fridges</w:t>
      </w:r>
      <w:r>
        <w:t xml:space="preserve"> (which are subject to separate MEPS and labelling requirements) –</w:t>
      </w:r>
      <w:r w:rsidRPr="00DF52A9">
        <w:t xml:space="preserve"> </w:t>
      </w:r>
      <w:r>
        <w:t>for example</w:t>
      </w:r>
      <w:r w:rsidRPr="00DF52A9">
        <w:t xml:space="preserve"> </w:t>
      </w:r>
      <w:r>
        <w:t xml:space="preserve">in cases </w:t>
      </w:r>
      <w:r w:rsidRPr="00DF52A9">
        <w:t xml:space="preserve">where </w:t>
      </w:r>
      <w:r>
        <w:t xml:space="preserve">a </w:t>
      </w:r>
      <w:r w:rsidRPr="00DF52A9">
        <w:t>commercial w</w:t>
      </w:r>
      <w:r>
        <w:t>ine cabinet</w:t>
      </w:r>
      <w:r w:rsidRPr="00DF52A9">
        <w:t xml:space="preserve"> </w:t>
      </w:r>
      <w:r>
        <w:t>or bar fridge is</w:t>
      </w:r>
      <w:r w:rsidRPr="00DF52A9">
        <w:t xml:space="preserve"> installed in a domestic setting </w:t>
      </w:r>
      <w:r>
        <w:t>and is</w:t>
      </w:r>
      <w:r w:rsidRPr="00DF52A9">
        <w:t xml:space="preserve"> not </w:t>
      </w:r>
      <w:r>
        <w:t>held subject to</w:t>
      </w:r>
      <w:r w:rsidRPr="00DF52A9">
        <w:t xml:space="preserve"> either set of requirements.</w:t>
      </w:r>
      <w:r>
        <w:t xml:space="preserve"> </w:t>
      </w:r>
      <w:r w:rsidRPr="00DF52A9">
        <w:t xml:space="preserve">The issues with the </w:t>
      </w:r>
      <w:r>
        <w:t>s</w:t>
      </w:r>
      <w:r w:rsidRPr="00DF52A9">
        <w:t>tandard not only increase costs to businesses but also undermine compliance with the MEPS regime</w:t>
      </w:r>
      <w:r>
        <w:t>, as s</w:t>
      </w:r>
      <w:r w:rsidRPr="00DF52A9">
        <w:t>ome companies, finding the whole process too hard, opt not to register their products.</w:t>
      </w:r>
      <w:r w:rsidRPr="002B26ED">
        <w:t xml:space="preserve"> </w:t>
      </w:r>
    </w:p>
    <w:p w14:paraId="4F39EB43" w14:textId="77777777" w:rsidR="005636C7" w:rsidRDefault="005636C7" w:rsidP="005636C7">
      <w:pPr>
        <w:pStyle w:val="E3BodyText"/>
        <w:jc w:val="both"/>
      </w:pPr>
    </w:p>
    <w:p w14:paraId="7C035888" w14:textId="77777777" w:rsidR="005636C7" w:rsidRPr="002B26ED" w:rsidRDefault="005636C7" w:rsidP="005636C7">
      <w:pPr>
        <w:pStyle w:val="E3BodyText"/>
        <w:jc w:val="both"/>
      </w:pPr>
      <w:r>
        <w:t>Feedback on</w:t>
      </w:r>
      <w:r w:rsidRPr="002B26ED">
        <w:t xml:space="preserve"> the Consultation RIS</w:t>
      </w:r>
      <w:r>
        <w:t xml:space="preserve"> was in favour of</w:t>
      </w:r>
      <w:r w:rsidRPr="002B26ED">
        <w:t xml:space="preserve"> </w:t>
      </w:r>
      <w:r>
        <w:t xml:space="preserve">adopting </w:t>
      </w:r>
      <w:r w:rsidRPr="002B26ED">
        <w:t>international standards</w:t>
      </w:r>
      <w:r>
        <w:t xml:space="preserve"> in light of these issues. </w:t>
      </w:r>
      <w:r w:rsidRPr="002B26ED" w:rsidDel="008E79FD">
        <w:t xml:space="preserve"> </w:t>
      </w:r>
      <w:r w:rsidRPr="002B26ED">
        <w:t>One submitter stated “Quite simply it is inappropriate that there remain a significant number and proportion of the market that avoids meeting regulatory requirements and are free riders.”</w:t>
      </w:r>
    </w:p>
    <w:p w14:paraId="27684887" w14:textId="77777777" w:rsidR="005636C7" w:rsidRPr="002B26ED" w:rsidRDefault="005636C7" w:rsidP="005636C7">
      <w:pPr>
        <w:pStyle w:val="E3BodyText"/>
        <w:jc w:val="both"/>
      </w:pPr>
      <w:r>
        <w:t>Another</w:t>
      </w:r>
      <w:r w:rsidRPr="002B26ED">
        <w:t xml:space="preserve"> submitter said that “in view of the fact that the majority of refrigerated display cabinets that are used in significant quantities in Australia [and New Zealand] are imported, the proposed Option 4 [alignment</w:t>
      </w:r>
      <w:r>
        <w:t xml:space="preserve"> with international standards</w:t>
      </w:r>
      <w:r w:rsidRPr="002B26ED">
        <w:t>] is clearly the way to go”. This majority was estimated by one supplier to be over 97%. Compliance costs would be “minimal as many of these units are sourced from high volume manufacturers already selling into the Euro market</w:t>
      </w:r>
      <w:r>
        <w:t xml:space="preserve"> [</w:t>
      </w:r>
      <w:r w:rsidRPr="002B26ED">
        <w:t>and therefore already complying with the proposed changes</w:t>
      </w:r>
      <w:r>
        <w:t>]”</w:t>
      </w:r>
      <w:r w:rsidRPr="002B26ED">
        <w:t xml:space="preserve">. </w:t>
      </w:r>
    </w:p>
    <w:p w14:paraId="66B324E7" w14:textId="77777777" w:rsidR="005636C7" w:rsidRDefault="005636C7" w:rsidP="005636C7">
      <w:pPr>
        <w:pStyle w:val="E3BodyText"/>
        <w:jc w:val="both"/>
      </w:pPr>
      <w:r>
        <w:t>There was also consensus from industry that the same measures should be extended to storage cabinets, which are unregulated in Australia and New Zealand. (See the discussion under “product scope” in this section).</w:t>
      </w:r>
    </w:p>
    <w:p w14:paraId="019BA529" w14:textId="77777777" w:rsidR="005636C7" w:rsidRDefault="005636C7" w:rsidP="005636C7">
      <w:pPr>
        <w:pStyle w:val="E3BodyText"/>
        <w:jc w:val="both"/>
      </w:pPr>
      <w:r>
        <w:t>However, local manufacturers that supply products in low volumes</w:t>
      </w:r>
      <w:r>
        <w:rPr>
          <w:rStyle w:val="FootnoteReference"/>
        </w:rPr>
        <w:footnoteReference w:id="20"/>
      </w:r>
      <w:r>
        <w:t xml:space="preserve"> were concerned that migration to international standards would affect their ability to compete in the market.  Such manufacturers would continue to incur very high costs (in proportion to the volume of units they produce) to comply with regulation, whereas it would become easier for their competitors to source and import compliant product.</w:t>
      </w:r>
    </w:p>
    <w:p w14:paraId="4B1BD74E" w14:textId="77777777" w:rsidR="005636C7" w:rsidRDefault="005636C7" w:rsidP="005636C7">
      <w:pPr>
        <w:pStyle w:val="E3BodyText"/>
        <w:jc w:val="both"/>
      </w:pPr>
      <w:r>
        <w:t>Any changes to regulation involving the adoption of international standards need to give consideration to this issue and avoid harming on low-volume manufacturers.</w:t>
      </w:r>
    </w:p>
    <w:p w14:paraId="061FBB22" w14:textId="77777777" w:rsidR="005636C7" w:rsidRPr="002B26ED" w:rsidRDefault="005636C7" w:rsidP="005636C7">
      <w:pPr>
        <w:pStyle w:val="E3BodyText"/>
        <w:jc w:val="both"/>
      </w:pPr>
      <w:r w:rsidRPr="002B26ED">
        <w:t xml:space="preserve">All </w:t>
      </w:r>
      <w:r>
        <w:t>the r</w:t>
      </w:r>
      <w:r w:rsidRPr="002B26ED">
        <w:t>egulatory options</w:t>
      </w:r>
      <w:r>
        <w:t xml:space="preserve"> presented</w:t>
      </w:r>
      <w:r w:rsidRPr="002B26ED">
        <w:t xml:space="preserve"> in this RIS </w:t>
      </w:r>
      <w:r>
        <w:t>involve</w:t>
      </w:r>
      <w:r w:rsidRPr="002B26ED">
        <w:t xml:space="preserve"> align</w:t>
      </w:r>
      <w:r>
        <w:t>ing</w:t>
      </w:r>
      <w:r w:rsidRPr="002B26ED">
        <w:t xml:space="preserve"> local MEP</w:t>
      </w:r>
      <w:r>
        <w:t>S</w:t>
      </w:r>
      <w:r w:rsidRPr="002B26ED">
        <w:t xml:space="preserve"> levels with international standards, </w:t>
      </w:r>
      <w:r>
        <w:t>as a means to resolve the</w:t>
      </w:r>
      <w:r w:rsidRPr="002B26ED">
        <w:t xml:space="preserve"> issues with the current standard AS 1731</w:t>
      </w:r>
      <w:r>
        <w:t>, reducing compliance costs for the majority of businesses, and increasing the range of products available on the local market</w:t>
      </w:r>
      <w:r w:rsidRPr="002B26ED">
        <w:t>.</w:t>
      </w:r>
    </w:p>
    <w:p w14:paraId="0A5AC698" w14:textId="77777777" w:rsidR="005636C7" w:rsidRPr="00B543A1" w:rsidRDefault="005636C7" w:rsidP="005636C7">
      <w:pPr>
        <w:pStyle w:val="E3Heading4"/>
        <w:jc w:val="both"/>
      </w:pPr>
      <w:r w:rsidRPr="00B543A1">
        <w:t>Product scope</w:t>
      </w:r>
    </w:p>
    <w:p w14:paraId="57817462" w14:textId="77777777" w:rsidR="005636C7" w:rsidRPr="002B26ED" w:rsidRDefault="005636C7" w:rsidP="005636C7">
      <w:pPr>
        <w:pStyle w:val="E3BodyText"/>
        <w:jc w:val="both"/>
      </w:pPr>
      <w:r w:rsidRPr="002B26ED">
        <w:t xml:space="preserve">The </w:t>
      </w:r>
      <w:r>
        <w:t>s</w:t>
      </w:r>
      <w:r w:rsidRPr="002B26ED">
        <w:t>tandard applies to display cabinets but may not apply to storage cabinets which can be identical in appearance and have similar uses to display cabinets.  If a manufacturer intends a refrigerated commercial cabinet to be used to display and sell food, the cabinet must comply with MEPS. However, a storage cabinet intended to be used for food storage purposes may be exempt</w:t>
      </w:r>
      <w:r w:rsidRPr="002B26ED">
        <w:rPr>
          <w:rStyle w:val="FootnoteReference"/>
        </w:rPr>
        <w:footnoteReference w:id="21"/>
      </w:r>
      <w:r w:rsidRPr="002B26ED">
        <w:t xml:space="preserve">. This creates a significant grey area in the interpretation and application of AS 1731. </w:t>
      </w:r>
    </w:p>
    <w:p w14:paraId="1C5AB22A" w14:textId="77777777" w:rsidR="005636C7" w:rsidRPr="002B26ED" w:rsidRDefault="005636C7" w:rsidP="005636C7">
      <w:pPr>
        <w:pStyle w:val="E3BodyText"/>
        <w:jc w:val="both"/>
      </w:pPr>
      <w:r w:rsidRPr="002B26ED">
        <w:rPr>
          <w:b/>
        </w:rPr>
        <w:t>Figure 9</w:t>
      </w:r>
      <w:r w:rsidRPr="002B26ED">
        <w:t xml:space="preserve"> shows how AS 17</w:t>
      </w:r>
      <w:r>
        <w:t>3</w:t>
      </w:r>
      <w:r w:rsidRPr="002B26ED">
        <w:t>1 may be applied in practice and the grey areas in interpretation that could result.</w:t>
      </w:r>
    </w:p>
    <w:p w14:paraId="5E71B193" w14:textId="77777777" w:rsidR="005636C7" w:rsidRDefault="005636C7" w:rsidP="005636C7">
      <w:pPr>
        <w:pStyle w:val="E3Figuretitles"/>
      </w:pPr>
      <w:bookmarkStart w:id="91" w:name="_Toc494142477"/>
    </w:p>
    <w:p w14:paraId="4AB636B5" w14:textId="77777777" w:rsidR="005636C7" w:rsidRDefault="005636C7" w:rsidP="005636C7">
      <w:pPr>
        <w:pStyle w:val="E3Figuretitles"/>
      </w:pPr>
    </w:p>
    <w:p w14:paraId="4B5DA395" w14:textId="77777777" w:rsidR="005636C7" w:rsidRDefault="005636C7" w:rsidP="005636C7">
      <w:pPr>
        <w:pStyle w:val="E3Figuretitles"/>
      </w:pPr>
    </w:p>
    <w:p w14:paraId="62595F32" w14:textId="77777777" w:rsidR="005636C7" w:rsidRDefault="005636C7" w:rsidP="005636C7">
      <w:pPr>
        <w:pStyle w:val="E3Figuretitles"/>
      </w:pPr>
    </w:p>
    <w:p w14:paraId="19A5F9BA" w14:textId="77777777" w:rsidR="005636C7" w:rsidRDefault="005636C7" w:rsidP="005636C7">
      <w:pPr>
        <w:pStyle w:val="E3Figuretitles"/>
      </w:pPr>
    </w:p>
    <w:p w14:paraId="0F6A1204" w14:textId="77777777" w:rsidR="005636C7" w:rsidRDefault="005636C7" w:rsidP="005636C7">
      <w:pPr>
        <w:pStyle w:val="E3Figuretitles"/>
      </w:pPr>
    </w:p>
    <w:p w14:paraId="7341D4D4" w14:textId="77777777" w:rsidR="005636C7" w:rsidRDefault="005636C7" w:rsidP="005636C7">
      <w:pPr>
        <w:pStyle w:val="E3Figuretitles"/>
      </w:pPr>
    </w:p>
    <w:p w14:paraId="3F8EBDC1" w14:textId="77777777" w:rsidR="005636C7" w:rsidRDefault="005636C7" w:rsidP="005636C7">
      <w:pPr>
        <w:pStyle w:val="E3Figuretitles"/>
      </w:pPr>
    </w:p>
    <w:p w14:paraId="62126EF3" w14:textId="77777777" w:rsidR="005636C7" w:rsidRDefault="005636C7" w:rsidP="005636C7">
      <w:pPr>
        <w:pStyle w:val="E3Figuretitles"/>
      </w:pPr>
    </w:p>
    <w:p w14:paraId="7837584F" w14:textId="77777777" w:rsidR="005636C7" w:rsidRDefault="005636C7" w:rsidP="005636C7">
      <w:pPr>
        <w:pStyle w:val="E3Figuretitles"/>
      </w:pPr>
    </w:p>
    <w:p w14:paraId="7E43CE73" w14:textId="77777777" w:rsidR="005636C7" w:rsidRDefault="005636C7" w:rsidP="005636C7">
      <w:pPr>
        <w:pStyle w:val="E3Figuretitles"/>
      </w:pPr>
    </w:p>
    <w:p w14:paraId="0A540672" w14:textId="77777777" w:rsidR="005636C7" w:rsidRDefault="005636C7" w:rsidP="005636C7">
      <w:pPr>
        <w:pStyle w:val="E3Figuretitles"/>
      </w:pPr>
    </w:p>
    <w:p w14:paraId="5487EFD8" w14:textId="77777777" w:rsidR="005636C7" w:rsidRDefault="005636C7" w:rsidP="005636C7">
      <w:pPr>
        <w:pStyle w:val="E3Figuretitles"/>
      </w:pPr>
    </w:p>
    <w:p w14:paraId="7E0926A7" w14:textId="77777777" w:rsidR="005636C7" w:rsidRDefault="005636C7" w:rsidP="005636C7">
      <w:pPr>
        <w:pStyle w:val="E3Figuretitles"/>
      </w:pPr>
    </w:p>
    <w:p w14:paraId="401CD82B" w14:textId="77777777" w:rsidR="005636C7" w:rsidRDefault="005636C7" w:rsidP="005636C7">
      <w:pPr>
        <w:pStyle w:val="E3Figuretitles"/>
      </w:pPr>
    </w:p>
    <w:p w14:paraId="2D9DBB12" w14:textId="77777777" w:rsidR="005636C7" w:rsidRDefault="005636C7" w:rsidP="005636C7">
      <w:pPr>
        <w:pStyle w:val="E3Figuretitles"/>
      </w:pPr>
    </w:p>
    <w:p w14:paraId="171E6607" w14:textId="77777777" w:rsidR="005636C7" w:rsidRDefault="005636C7" w:rsidP="005636C7">
      <w:pPr>
        <w:pStyle w:val="E3Figuretitles"/>
      </w:pPr>
    </w:p>
    <w:p w14:paraId="7FBE339B" w14:textId="77777777" w:rsidR="00EF6371" w:rsidRDefault="00EF6371">
      <w:pPr>
        <w:rPr>
          <w:rFonts w:ascii="Georgia" w:eastAsia="Cambria" w:hAnsi="Georgia"/>
          <w:b/>
          <w:bCs/>
          <w:sz w:val="20"/>
          <w:szCs w:val="20"/>
          <w:lang w:val="en-US" w:eastAsia="en-US"/>
        </w:rPr>
      </w:pPr>
      <w:r>
        <w:br w:type="page"/>
      </w:r>
    </w:p>
    <w:p w14:paraId="043CCEC6" w14:textId="3EE8B03F" w:rsidR="005636C7" w:rsidRPr="00A929F6" w:rsidRDefault="005636C7" w:rsidP="005636C7">
      <w:pPr>
        <w:pStyle w:val="E3Figuretitles"/>
      </w:pPr>
      <w:r w:rsidRPr="00A929F6">
        <w:t>Figure 9:  Process map for the interpretation of AS 1731</w:t>
      </w:r>
      <w:bookmarkEnd w:id="91"/>
    </w:p>
    <w:p w14:paraId="2BD52632" w14:textId="77777777" w:rsidR="005636C7" w:rsidRDefault="005636C7" w:rsidP="005636C7">
      <w:pPr>
        <w:spacing w:after="200" w:line="276" w:lineRule="auto"/>
        <w:ind w:left="284"/>
      </w:pPr>
      <w:r w:rsidRPr="008E73B5">
        <w:rPr>
          <w:noProof/>
        </w:rPr>
        <mc:AlternateContent>
          <mc:Choice Requires="wps">
            <w:drawing>
              <wp:anchor distT="0" distB="0" distL="114300" distR="114300" simplePos="0" relativeHeight="251661312" behindDoc="0" locked="0" layoutInCell="1" allowOverlap="1" wp14:anchorId="0265217B" wp14:editId="7CC21E42">
                <wp:simplePos x="0" y="0"/>
                <wp:positionH relativeFrom="column">
                  <wp:posOffset>-1574</wp:posOffset>
                </wp:positionH>
                <wp:positionV relativeFrom="paragraph">
                  <wp:posOffset>4937125</wp:posOffset>
                </wp:positionV>
                <wp:extent cx="6101080" cy="540688"/>
                <wp:effectExtent l="0" t="0" r="0" b="0"/>
                <wp:wrapNone/>
                <wp:docPr id="38" name="TextBox 130"/>
                <wp:cNvGraphicFramePr/>
                <a:graphic xmlns:a="http://schemas.openxmlformats.org/drawingml/2006/main">
                  <a:graphicData uri="http://schemas.microsoft.com/office/word/2010/wordprocessingShape">
                    <wps:wsp>
                      <wps:cNvSpPr txBox="1"/>
                      <wps:spPr>
                        <a:xfrm>
                          <a:off x="0" y="0"/>
                          <a:ext cx="6101080" cy="540688"/>
                        </a:xfrm>
                        <a:prstGeom prst="rect">
                          <a:avLst/>
                        </a:prstGeom>
                        <a:noFill/>
                      </wps:spPr>
                      <wps:txbx>
                        <w:txbxContent>
                          <w:p w14:paraId="2E9B1510" w14:textId="77777777" w:rsidR="0047107E" w:rsidRPr="0041262C" w:rsidRDefault="0047107E" w:rsidP="005636C7">
                            <w:pPr>
                              <w:pStyle w:val="NormalWeb"/>
                              <w:rPr>
                                <w:rFonts w:ascii="Helvetica" w:hAnsi="Helvetica" w:cs="Helvetica"/>
                                <w:color w:val="000000" w:themeColor="text1"/>
                                <w:kern w:val="24"/>
                                <w:sz w:val="15"/>
                                <w:szCs w:val="15"/>
                              </w:rPr>
                            </w:pPr>
                            <w:r w:rsidRPr="0041262C">
                              <w:rPr>
                                <w:rFonts w:ascii="Helvetica" w:hAnsi="Helvetica" w:cs="Helvetica"/>
                                <w:color w:val="000000" w:themeColor="text1"/>
                                <w:kern w:val="24"/>
                                <w:sz w:val="15"/>
                                <w:szCs w:val="15"/>
                              </w:rPr>
                              <w:t xml:space="preserve">Key:  </w:t>
                            </w:r>
                          </w:p>
                          <w:p w14:paraId="0E83DDA9" w14:textId="77777777" w:rsidR="0047107E" w:rsidRPr="0041262C" w:rsidRDefault="0047107E" w:rsidP="005636C7">
                            <w:pPr>
                              <w:pStyle w:val="NormalWeb"/>
                              <w:rPr>
                                <w:rFonts w:ascii="Helvetica" w:hAnsi="Helvetica" w:cs="Helvetica"/>
                                <w:color w:val="000000" w:themeColor="text1"/>
                                <w:kern w:val="24"/>
                                <w:sz w:val="15"/>
                                <w:szCs w:val="15"/>
                              </w:rPr>
                            </w:pPr>
                            <w:r w:rsidRPr="0041262C">
                              <w:rPr>
                                <w:rFonts w:ascii="Helvetica" w:hAnsi="Helvetica" w:cs="Helvetica"/>
                                <w:color w:val="F79646"/>
                                <w:kern w:val="24"/>
                                <w:sz w:val="15"/>
                                <w:szCs w:val="15"/>
                              </w:rPr>
                              <w:sym w:font="Wingdings" w:char="F06E"/>
                            </w:r>
                            <w:r w:rsidRPr="0041262C">
                              <w:rPr>
                                <w:rFonts w:ascii="Helvetica" w:hAnsi="Helvetica" w:cs="Helvetica"/>
                                <w:kern w:val="24"/>
                                <w:sz w:val="15"/>
                                <w:szCs w:val="15"/>
                              </w:rPr>
                              <w:t>=Mandatory clauses</w:t>
                            </w:r>
                          </w:p>
                          <w:p w14:paraId="73DB5483" w14:textId="77777777" w:rsidR="0047107E" w:rsidRPr="0041262C" w:rsidRDefault="0047107E" w:rsidP="005636C7">
                            <w:pPr>
                              <w:pStyle w:val="NormalWeb"/>
                              <w:rPr>
                                <w:rFonts w:ascii="Helvetica" w:hAnsi="Helvetica" w:cs="Helvetica"/>
                                <w:color w:val="000000" w:themeColor="text1"/>
                                <w:kern w:val="24"/>
                                <w:sz w:val="15"/>
                                <w:szCs w:val="15"/>
                              </w:rPr>
                            </w:pPr>
                            <w:r w:rsidRPr="0041262C">
                              <w:rPr>
                                <w:rFonts w:ascii="Helvetica" w:hAnsi="Helvetica" w:cs="Helvetica"/>
                                <w:color w:val="9BBB59" w:themeColor="accent3"/>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Suggested interpretation</w:t>
                            </w:r>
                          </w:p>
                          <w:p w14:paraId="404627AA" w14:textId="77777777" w:rsidR="0047107E" w:rsidRPr="0041262C" w:rsidRDefault="0047107E" w:rsidP="005636C7">
                            <w:pPr>
                              <w:pStyle w:val="NormalWeb"/>
                              <w:rPr>
                                <w:rFonts w:ascii="Helvetica" w:hAnsi="Helvetica" w:cs="Helvetica"/>
                                <w:sz w:val="15"/>
                                <w:szCs w:val="15"/>
                              </w:rPr>
                            </w:pPr>
                            <w:r w:rsidRPr="0041262C">
                              <w:rPr>
                                <w:rFonts w:ascii="Helvetica" w:hAnsi="Helvetica" w:cs="Helvetica"/>
                                <w:color w:val="A6A6A6" w:themeColor="background1" w:themeShade="A6"/>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 xml:space="preserve">Grey area in interpretation, where cabinet could be included or absent from the standard.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65217B" id="TextBox 130" o:spid="_x0000_s1029" type="#_x0000_t202" style="position:absolute;left:0;text-align:left;margin-left:-.1pt;margin-top:388.75pt;width:480.4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" filled="f" stroked="f">
                <v:textbox>
                  <w:txbxContent>
                    <w:p w14:paraId="2E9B1510" w14:textId="77777777" w:rsidR="0047107E" w:rsidRPr="0041262C" w:rsidRDefault="0047107E" w:rsidP="005636C7">
                      <w:pPr>
                        <w:pStyle w:val="NormalWeb"/>
                        <w:rPr>
                          <w:rFonts w:ascii="Helvetica" w:hAnsi="Helvetica" w:cs="Helvetica"/>
                          <w:color w:val="000000" w:themeColor="text1"/>
                          <w:kern w:val="24"/>
                          <w:sz w:val="15"/>
                          <w:szCs w:val="15"/>
                        </w:rPr>
                      </w:pPr>
                      <w:r w:rsidRPr="0041262C">
                        <w:rPr>
                          <w:rFonts w:ascii="Helvetica" w:hAnsi="Helvetica" w:cs="Helvetica"/>
                          <w:color w:val="000000" w:themeColor="text1"/>
                          <w:kern w:val="24"/>
                          <w:sz w:val="15"/>
                          <w:szCs w:val="15"/>
                        </w:rPr>
                        <w:t xml:space="preserve">Key:  </w:t>
                      </w:r>
                    </w:p>
                    <w:p w14:paraId="0E83DDA9" w14:textId="77777777" w:rsidR="0047107E" w:rsidRPr="0041262C" w:rsidRDefault="0047107E" w:rsidP="005636C7">
                      <w:pPr>
                        <w:pStyle w:val="NormalWeb"/>
                        <w:rPr>
                          <w:rFonts w:ascii="Helvetica" w:hAnsi="Helvetica" w:cs="Helvetica"/>
                          <w:color w:val="000000" w:themeColor="text1"/>
                          <w:kern w:val="24"/>
                          <w:sz w:val="15"/>
                          <w:szCs w:val="15"/>
                        </w:rPr>
                      </w:pPr>
                      <w:r w:rsidRPr="0041262C">
                        <w:rPr>
                          <w:rFonts w:ascii="Helvetica" w:hAnsi="Helvetica" w:cs="Helvetica"/>
                          <w:color w:val="F79646"/>
                          <w:kern w:val="24"/>
                          <w:sz w:val="15"/>
                          <w:szCs w:val="15"/>
                        </w:rPr>
                        <w:sym w:font="Wingdings" w:char="F06E"/>
                      </w:r>
                      <w:r w:rsidRPr="0041262C">
                        <w:rPr>
                          <w:rFonts w:ascii="Helvetica" w:hAnsi="Helvetica" w:cs="Helvetica"/>
                          <w:kern w:val="24"/>
                          <w:sz w:val="15"/>
                          <w:szCs w:val="15"/>
                        </w:rPr>
                        <w:t>=Mandatory clauses</w:t>
                      </w:r>
                    </w:p>
                    <w:p w14:paraId="73DB5483" w14:textId="77777777" w:rsidR="0047107E" w:rsidRPr="0041262C" w:rsidRDefault="0047107E" w:rsidP="005636C7">
                      <w:pPr>
                        <w:pStyle w:val="NormalWeb"/>
                        <w:rPr>
                          <w:rFonts w:ascii="Helvetica" w:hAnsi="Helvetica" w:cs="Helvetica"/>
                          <w:color w:val="000000" w:themeColor="text1"/>
                          <w:kern w:val="24"/>
                          <w:sz w:val="15"/>
                          <w:szCs w:val="15"/>
                        </w:rPr>
                      </w:pPr>
                      <w:r w:rsidRPr="0041262C">
                        <w:rPr>
                          <w:rFonts w:ascii="Helvetica" w:hAnsi="Helvetica" w:cs="Helvetica"/>
                          <w:color w:val="9BBB59" w:themeColor="accent3"/>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Suggested interpretation</w:t>
                      </w:r>
                    </w:p>
                    <w:p w14:paraId="404627AA" w14:textId="77777777" w:rsidR="0047107E" w:rsidRPr="0041262C" w:rsidRDefault="0047107E" w:rsidP="005636C7">
                      <w:pPr>
                        <w:pStyle w:val="NormalWeb"/>
                        <w:rPr>
                          <w:rFonts w:ascii="Helvetica" w:hAnsi="Helvetica" w:cs="Helvetica"/>
                          <w:sz w:val="15"/>
                          <w:szCs w:val="15"/>
                        </w:rPr>
                      </w:pPr>
                      <w:r w:rsidRPr="0041262C">
                        <w:rPr>
                          <w:rFonts w:ascii="Helvetica" w:hAnsi="Helvetica" w:cs="Helvetica"/>
                          <w:color w:val="A6A6A6" w:themeColor="background1" w:themeShade="A6"/>
                          <w:kern w:val="24"/>
                          <w:sz w:val="15"/>
                          <w:szCs w:val="15"/>
                        </w:rPr>
                        <w:sym w:font="Wingdings" w:char="F06E"/>
                      </w:r>
                      <w:r w:rsidRPr="0041262C">
                        <w:rPr>
                          <w:rFonts w:ascii="Helvetica" w:hAnsi="Helvetica" w:cs="Helvetica"/>
                          <w:kern w:val="24"/>
                          <w:sz w:val="15"/>
                          <w:szCs w:val="15"/>
                        </w:rPr>
                        <w:t>=</w:t>
                      </w:r>
                      <w:r w:rsidRPr="0041262C">
                        <w:rPr>
                          <w:rFonts w:ascii="Helvetica" w:hAnsi="Helvetica" w:cs="Helvetica"/>
                          <w:color w:val="000000" w:themeColor="text1"/>
                          <w:kern w:val="24"/>
                          <w:sz w:val="15"/>
                          <w:szCs w:val="15"/>
                        </w:rPr>
                        <w:t xml:space="preserve">Grey area in interpretation, where cabinet could be included or absent from the standard. </w:t>
                      </w:r>
                    </w:p>
                  </w:txbxContent>
                </v:textbox>
              </v:shape>
            </w:pict>
          </mc:Fallback>
        </mc:AlternateContent>
      </w:r>
      <w:r>
        <w:object w:dxaOrig="12582" w:dyaOrig="10345" w14:anchorId="26206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onfusion in the test method (the Standard AS 173) arises because of conflicting instructions on how to define storage cabinets." style="width:482.7pt;height:396.3pt" o:ole="">
            <v:imagedata r:id="rId54" o:title=""/>
          </v:shape>
          <o:OLEObject Type="Embed" ProgID="Visio.Drawing.11" ShapeID="_x0000_i1029" DrawAspect="Content" ObjectID="_1658575692" r:id="rId55"/>
        </w:object>
      </w:r>
    </w:p>
    <w:p w14:paraId="2B2722B5" w14:textId="77777777" w:rsidR="005636C7" w:rsidRDefault="005636C7" w:rsidP="005636C7">
      <w:pPr>
        <w:pStyle w:val="E3BodyText"/>
      </w:pPr>
    </w:p>
    <w:p w14:paraId="176B4BBA" w14:textId="77777777" w:rsidR="005636C7" w:rsidRDefault="005636C7" w:rsidP="005636C7">
      <w:pPr>
        <w:pStyle w:val="E3BodyText"/>
      </w:pPr>
    </w:p>
    <w:p w14:paraId="0A44ED79" w14:textId="77777777" w:rsidR="005636C7" w:rsidRPr="002B26ED" w:rsidRDefault="005636C7" w:rsidP="005636C7">
      <w:pPr>
        <w:pStyle w:val="E3BodyText"/>
        <w:jc w:val="both"/>
      </w:pPr>
      <w:r w:rsidRPr="002B26ED">
        <w:t xml:space="preserve">The “intended situation of use” exemption was written into AS 1731 because storage cabinets made up only a small part of the market for refrigerated </w:t>
      </w:r>
      <w:r>
        <w:t xml:space="preserve">commercial </w:t>
      </w:r>
      <w:r w:rsidRPr="002B26ED">
        <w:t>cabinets at the time the standard was created. However, this is no longer the position – they now make up 20% of the market for refrigerated commercial cabinets.</w:t>
      </w:r>
      <w:r w:rsidRPr="002B26ED">
        <w:rPr>
          <w:rStyle w:val="FootnoteReference"/>
        </w:rPr>
        <w:footnoteReference w:id="22"/>
      </w:r>
      <w:r w:rsidRPr="002B26ED">
        <w:t xml:space="preserve"> This means that a sizeable share of the refrigerated commercial cabinet market </w:t>
      </w:r>
      <w:r>
        <w:t>is</w:t>
      </w:r>
      <w:r w:rsidRPr="002B26ED">
        <w:t xml:space="preserve"> unregulated and not subject to any energy efficiency requirements.  </w:t>
      </w:r>
    </w:p>
    <w:p w14:paraId="1156F8B3" w14:textId="77777777" w:rsidR="005636C7" w:rsidRPr="002B26ED" w:rsidRDefault="005636C7" w:rsidP="005636C7">
      <w:pPr>
        <w:pStyle w:val="E3BodyText"/>
        <w:jc w:val="both"/>
      </w:pPr>
      <w:r w:rsidRPr="0041262C">
        <w:t>Modelling estimates provided for this RIS indicate that in 2020, approximately 2</w:t>
      </w:r>
      <w:r>
        <w:t>2</w:t>
      </w:r>
      <w:r w:rsidRPr="0041262C">
        <w:t>,000 ‘storage’ cabinets will be sold in Australia and New Zealand. Because of the ‘intended</w:t>
      </w:r>
      <w:r w:rsidRPr="002B26ED">
        <w:t xml:space="preserve"> situation of use’ exclusion, the majority of those storage cabinets may be exempt from, and therefore not comply with, the current MEPS.</w:t>
      </w:r>
      <w:r w:rsidRPr="002B26ED">
        <w:rPr>
          <w:color w:val="808080" w:themeColor="background1" w:themeShade="80"/>
        </w:rPr>
        <w:t xml:space="preserve">  </w:t>
      </w:r>
      <w:r w:rsidRPr="002B26ED">
        <w:t>Of the 16 Consultation RIS submissions that specifically mentioned storage cabinets, all but one supported an expansion of measures to cover storage cabinets.</w:t>
      </w:r>
      <w:r w:rsidRPr="002B26ED">
        <w:rPr>
          <w:rStyle w:val="FootnoteReference"/>
        </w:rPr>
        <w:footnoteReference w:id="23"/>
      </w:r>
      <w:r w:rsidRPr="002B26ED">
        <w:t xml:space="preserve"> </w:t>
      </w:r>
    </w:p>
    <w:p w14:paraId="508FB847" w14:textId="77777777" w:rsidR="005636C7" w:rsidRPr="002B26ED" w:rsidRDefault="005636C7" w:rsidP="005636C7">
      <w:pPr>
        <w:pStyle w:val="E3BodyText"/>
        <w:jc w:val="both"/>
      </w:pPr>
      <w:r w:rsidRPr="002B26ED">
        <w:t>Refrigerated storage cabinets have been regulated for efficiency in North America since 2010 and in Europe since 2015.  Refrigerated storage cabinets were the subject of an extensive European Eco-design study in 2011 which found that they comprised around 20% of the market by quantity and had an average estimated 32% energy saving potential per year.</w:t>
      </w:r>
      <w:r w:rsidRPr="002B26ED">
        <w:rPr>
          <w:rStyle w:val="FootnoteReference"/>
        </w:rPr>
        <w:footnoteReference w:id="24"/>
      </w:r>
      <w:r w:rsidRPr="002B26ED">
        <w:t xml:space="preserve">  Significant energy savings could therefore be achieved by regulating storage cabinets. </w:t>
      </w:r>
    </w:p>
    <w:p w14:paraId="349D600C" w14:textId="77777777" w:rsidR="005636C7" w:rsidRPr="00B543A1" w:rsidRDefault="005636C7" w:rsidP="005636C7">
      <w:pPr>
        <w:pStyle w:val="E3Heading4"/>
        <w:jc w:val="both"/>
      </w:pPr>
      <w:r w:rsidRPr="00B543A1">
        <w:t>Minimum Energy Performance Standards</w:t>
      </w:r>
    </w:p>
    <w:p w14:paraId="147A878D" w14:textId="77777777" w:rsidR="005636C7" w:rsidRPr="002B26ED" w:rsidRDefault="005636C7" w:rsidP="005636C7">
      <w:pPr>
        <w:pStyle w:val="E3BodyText"/>
        <w:jc w:val="both"/>
      </w:pPr>
      <w:r w:rsidRPr="002B26ED">
        <w:t xml:space="preserve">MEPS no longer </w:t>
      </w:r>
      <w:r>
        <w:t>serve</w:t>
      </w:r>
      <w:r w:rsidRPr="002B26ED">
        <w:t xml:space="preserve"> the market as well as </w:t>
      </w:r>
      <w:r>
        <w:t>they</w:t>
      </w:r>
      <w:r w:rsidRPr="002B26ED">
        <w:t xml:space="preserve"> once did</w:t>
      </w:r>
      <w:r>
        <w:t xml:space="preserve"> because the</w:t>
      </w:r>
      <w:r w:rsidRPr="007F5DD3">
        <w:t xml:space="preserve"> MEPS levels </w:t>
      </w:r>
      <w:r>
        <w:t>have not been updated since 2003</w:t>
      </w:r>
      <w:r w:rsidRPr="002B26ED">
        <w:t xml:space="preserve">.  </w:t>
      </w:r>
      <w:r>
        <w:t xml:space="preserve"> The average efficiency of commercial refrigeration remains clustered around the existing levels and there is no longer any market transformation occurring under the status quo.</w:t>
      </w:r>
    </w:p>
    <w:p w14:paraId="3BAEE1DF" w14:textId="77777777" w:rsidR="005636C7" w:rsidRPr="002B26ED" w:rsidRDefault="005636C7" w:rsidP="005636C7">
      <w:pPr>
        <w:pStyle w:val="E3BodyText"/>
        <w:jc w:val="both"/>
      </w:pPr>
      <w:r w:rsidRPr="002B26ED">
        <w:t>Sales data from New Zealand</w:t>
      </w:r>
      <w:r>
        <w:t xml:space="preserve"> (</w:t>
      </w:r>
      <w:r w:rsidRPr="0041262C">
        <w:rPr>
          <w:b/>
        </w:rPr>
        <w:t>Figure 10</w:t>
      </w:r>
      <w:r>
        <w:rPr>
          <w:b/>
        </w:rPr>
        <w:t xml:space="preserve">) </w:t>
      </w:r>
      <w:r>
        <w:t>below</w:t>
      </w:r>
      <w:r w:rsidRPr="002B26ED">
        <w:t xml:space="preserve"> </w:t>
      </w:r>
      <w:r>
        <w:t xml:space="preserve">shows </w:t>
      </w:r>
      <w:r w:rsidRPr="002B26ED">
        <w:t xml:space="preserve">sales weighted average efficiency for </w:t>
      </w:r>
      <w:r>
        <w:t xml:space="preserve">three of the four </w:t>
      </w:r>
      <w:r w:rsidRPr="002B26ED">
        <w:t>most common</w:t>
      </w:r>
      <w:r>
        <w:t xml:space="preserve"> product</w:t>
      </w:r>
      <w:r w:rsidRPr="002B26ED">
        <w:t xml:space="preserve"> classes is approaching or surpassing the current HEPS levels</w:t>
      </w:r>
      <w:r>
        <w:t>, which indicates a</w:t>
      </w:r>
      <w:r w:rsidRPr="002B26ED">
        <w:t xml:space="preserve"> need for more stringent MEPS </w:t>
      </w:r>
      <w:r>
        <w:t>that</w:t>
      </w:r>
      <w:r w:rsidRPr="002B26ED">
        <w:t xml:space="preserve"> reflect the actual efficiency of cabinets in the market.</w:t>
      </w:r>
      <w:r>
        <w:t xml:space="preserve"> </w:t>
      </w:r>
    </w:p>
    <w:p w14:paraId="3F1C03F3" w14:textId="77777777" w:rsidR="005636C7" w:rsidRDefault="005636C7" w:rsidP="005636C7">
      <w:pPr>
        <w:pStyle w:val="E3Figuretitles"/>
        <w:spacing w:before="360" w:after="360"/>
      </w:pPr>
      <w:bookmarkStart w:id="92" w:name="_Toc494142478"/>
    </w:p>
    <w:p w14:paraId="30D0563F" w14:textId="77777777" w:rsidR="005636C7" w:rsidRDefault="005636C7" w:rsidP="005636C7">
      <w:pPr>
        <w:pStyle w:val="E3Figuretitles"/>
        <w:spacing w:before="360" w:after="360"/>
      </w:pPr>
    </w:p>
    <w:p w14:paraId="438987FA" w14:textId="77777777" w:rsidR="005636C7" w:rsidRDefault="005636C7" w:rsidP="005636C7">
      <w:pPr>
        <w:pStyle w:val="E3Figuretitles"/>
        <w:spacing w:before="360" w:after="360"/>
      </w:pPr>
    </w:p>
    <w:p w14:paraId="0E325A8A" w14:textId="77777777" w:rsidR="005636C7" w:rsidRDefault="005636C7" w:rsidP="005636C7">
      <w:pPr>
        <w:pStyle w:val="E3Figuretitles"/>
        <w:spacing w:before="360" w:after="360"/>
      </w:pPr>
    </w:p>
    <w:p w14:paraId="3CC81602" w14:textId="77777777" w:rsidR="005636C7" w:rsidRDefault="005636C7" w:rsidP="005636C7">
      <w:pPr>
        <w:pStyle w:val="E3Figuretitles"/>
        <w:spacing w:before="360" w:after="360"/>
      </w:pPr>
    </w:p>
    <w:p w14:paraId="63011534" w14:textId="77777777" w:rsidR="005636C7" w:rsidRDefault="005636C7" w:rsidP="005636C7">
      <w:pPr>
        <w:pStyle w:val="E3Figuretitles"/>
      </w:pPr>
    </w:p>
    <w:p w14:paraId="3B975ADC" w14:textId="77777777" w:rsidR="005636C7" w:rsidRDefault="005636C7" w:rsidP="005636C7">
      <w:pPr>
        <w:pStyle w:val="E3Figuretitles"/>
      </w:pPr>
    </w:p>
    <w:p w14:paraId="38858423" w14:textId="77777777" w:rsidR="005636C7" w:rsidRPr="00A929F6" w:rsidRDefault="005636C7" w:rsidP="005636C7">
      <w:pPr>
        <w:pStyle w:val="E3Figuretitles"/>
      </w:pPr>
      <w:r w:rsidRPr="00A929F6">
        <w:t xml:space="preserve">Figure 10: Sales weighted average efficiency (NZ data) for the most popular cabinet </w:t>
      </w:r>
      <w:r w:rsidRPr="009F0EE0">
        <w:t>classes.</w:t>
      </w:r>
      <w:bookmarkEnd w:id="92"/>
    </w:p>
    <w:p w14:paraId="752B00DD" w14:textId="77777777" w:rsidR="005636C7" w:rsidRDefault="005636C7" w:rsidP="005636C7">
      <w:pPr>
        <w:pStyle w:val="E3BodyText"/>
      </w:pPr>
      <w:r>
        <w:rPr>
          <w:noProof/>
          <w:lang w:val="en-AU" w:eastAsia="en-AU"/>
        </w:rPr>
        <w:drawing>
          <wp:inline distT="0" distB="0" distL="0" distR="0" wp14:anchorId="3E0FBB1F" wp14:editId="7C8A6974">
            <wp:extent cx="5537606" cy="2923574"/>
            <wp:effectExtent l="0" t="0" r="6350" b="0"/>
            <wp:docPr id="39" name="Picture 39" descr="Although efficiency of cabinets has improved over time, the efficiency level specified in the standard was not a very stong stretch target. Most cabinets now out perform levels shown. " title="Sales weighted efficiency of New Zealand beverag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4526" cy="2927227"/>
                    </a:xfrm>
                    <a:prstGeom prst="rect">
                      <a:avLst/>
                    </a:prstGeom>
                    <a:noFill/>
                  </pic:spPr>
                </pic:pic>
              </a:graphicData>
            </a:graphic>
          </wp:inline>
        </w:drawing>
      </w:r>
    </w:p>
    <w:p w14:paraId="0DCD0970" w14:textId="77777777" w:rsidR="005636C7" w:rsidRDefault="005636C7" w:rsidP="005636C7">
      <w:pPr>
        <w:pStyle w:val="E3BodyText"/>
      </w:pPr>
      <w:r>
        <w:rPr>
          <w:noProof/>
          <w:lang w:val="en-AU" w:eastAsia="en-AU"/>
        </w:rPr>
        <w:drawing>
          <wp:inline distT="0" distB="0" distL="0" distR="0" wp14:anchorId="64FC7522" wp14:editId="44268C11">
            <wp:extent cx="5493385" cy="2865059"/>
            <wp:effectExtent l="0" t="0" r="0" b="0"/>
            <wp:docPr id="40" name="Picture 40" descr="The efficiency of these cabinets has always been far above the high efficiency levels stated in the Standard - the high efficiency level is therfore no longer a useful number and needs to be revised. " title="Sales weighted efficiency of New Zealand open low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97621" cy="2867268"/>
                    </a:xfrm>
                    <a:prstGeom prst="rect">
                      <a:avLst/>
                    </a:prstGeom>
                    <a:noFill/>
                  </pic:spPr>
                </pic:pic>
              </a:graphicData>
            </a:graphic>
          </wp:inline>
        </w:drawing>
      </w:r>
    </w:p>
    <w:p w14:paraId="0DEFB793" w14:textId="77777777" w:rsidR="005636C7" w:rsidRDefault="005636C7" w:rsidP="005636C7">
      <w:pPr>
        <w:pStyle w:val="E3BodyText"/>
      </w:pPr>
      <w:r>
        <w:rPr>
          <w:noProof/>
          <w:lang w:val="en-AU" w:eastAsia="en-AU"/>
        </w:rPr>
        <w:drawing>
          <wp:inline distT="0" distB="0" distL="0" distR="0" wp14:anchorId="15D8458A" wp14:editId="24F07F0C">
            <wp:extent cx="5494351" cy="2885728"/>
            <wp:effectExtent l="0" t="0" r="0" b="0"/>
            <wp:docPr id="41" name="Picture 41" descr="The efficiency of this type of cabinet have decreased then increased to return to similar levels as when MEPS were first introduced. Overall - little change in efficiency. " title="Sales weighted efficiency of New Zealand unlit open remote ch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02569" cy="2890044"/>
                    </a:xfrm>
                    <a:prstGeom prst="rect">
                      <a:avLst/>
                    </a:prstGeom>
                    <a:noFill/>
                  </pic:spPr>
                </pic:pic>
              </a:graphicData>
            </a:graphic>
          </wp:inline>
        </w:drawing>
      </w:r>
    </w:p>
    <w:p w14:paraId="40624A7C" w14:textId="77777777" w:rsidR="005636C7" w:rsidRDefault="005636C7" w:rsidP="005636C7">
      <w:pPr>
        <w:pStyle w:val="E3BodyText"/>
      </w:pPr>
      <w:r>
        <w:rPr>
          <w:noProof/>
          <w:lang w:val="en-AU" w:eastAsia="en-AU"/>
        </w:rPr>
        <w:drawing>
          <wp:inline distT="0" distB="0" distL="0" distR="0" wp14:anchorId="3946C6E0" wp14:editId="6B485F35">
            <wp:extent cx="5499961" cy="2968831"/>
            <wp:effectExtent l="0" t="0" r="5715" b="3175"/>
            <wp:docPr id="42" name="Picture 42" descr="The efficiency of these models has steadily improved since the year 2009 so that these units are now above their high efficiency level." title="Sales weighted efficiency of New Zealand remote, lit, open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1182" cy="2974888"/>
                    </a:xfrm>
                    <a:prstGeom prst="rect">
                      <a:avLst/>
                    </a:prstGeom>
                    <a:noFill/>
                  </pic:spPr>
                </pic:pic>
              </a:graphicData>
            </a:graphic>
          </wp:inline>
        </w:drawing>
      </w:r>
    </w:p>
    <w:p w14:paraId="15D046D9" w14:textId="77777777" w:rsidR="005636C7" w:rsidRDefault="005636C7" w:rsidP="005636C7">
      <w:pPr>
        <w:pStyle w:val="E3BodyText"/>
      </w:pPr>
    </w:p>
    <w:p w14:paraId="723AB777" w14:textId="77777777" w:rsidR="005636C7" w:rsidRPr="00E434B5" w:rsidRDefault="005636C7" w:rsidP="005636C7">
      <w:pPr>
        <w:pStyle w:val="E3BodyText"/>
        <w:jc w:val="both"/>
        <w:rPr>
          <w:highlight w:val="yellow"/>
        </w:rPr>
      </w:pPr>
      <w:r w:rsidRPr="002B26ED">
        <w:t xml:space="preserve">New Zealand </w:t>
      </w:r>
      <w:r>
        <w:t>sales data</w:t>
      </w:r>
      <w:r w:rsidRPr="002B26ED">
        <w:t xml:space="preserve"> </w:t>
      </w:r>
      <w:r>
        <w:t xml:space="preserve">also shows new models entering the market at a slower rate than you would expect to see in a market where there was already sufficient </w:t>
      </w:r>
      <w:r w:rsidRPr="002B26ED">
        <w:t xml:space="preserve">incentive to </w:t>
      </w:r>
      <w:r>
        <w:t xml:space="preserve">raise product efficiency.  </w:t>
      </w:r>
      <w:r w:rsidRPr="002B26ED">
        <w:t>Of the units sold in 2015</w:t>
      </w:r>
      <w:r>
        <w:t>,</w:t>
      </w:r>
      <w:r w:rsidRPr="002B26ED">
        <w:t xml:space="preserve"> 28% were models registered before 2007 and only 12% were models registered in the last three years. By comparison, 40% of domestic fridge freezers sold </w:t>
      </w:r>
      <w:r>
        <w:t xml:space="preserve">in the same year </w:t>
      </w:r>
      <w:r w:rsidRPr="002B26ED">
        <w:t xml:space="preserve">were </w:t>
      </w:r>
      <w:r>
        <w:t xml:space="preserve">from </w:t>
      </w:r>
      <w:r w:rsidRPr="002B26ED">
        <w:t>models registered in the last three year</w:t>
      </w:r>
      <w:r>
        <w:t xml:space="preserve">s. </w:t>
      </w:r>
      <w:r w:rsidRPr="002B26ED">
        <w:t>If</w:t>
      </w:r>
      <w:r w:rsidRPr="000362D1">
        <w:t xml:space="preserve"> </w:t>
      </w:r>
      <w:r>
        <w:t>there was sufficient motivation to raise</w:t>
      </w:r>
      <w:r w:rsidRPr="002B26ED">
        <w:t xml:space="preserve"> </w:t>
      </w:r>
      <w:r>
        <w:t>efficiencies beyond the current minimum</w:t>
      </w:r>
      <w:r w:rsidRPr="002B26ED">
        <w:t xml:space="preserve">, sales of </w:t>
      </w:r>
      <w:r>
        <w:t>commercial refrigeration units could be expected to</w:t>
      </w:r>
      <w:r w:rsidRPr="002B26ED">
        <w:t xml:space="preserve"> </w:t>
      </w:r>
      <w:r>
        <w:t>fall along similar lines</w:t>
      </w:r>
      <w:r w:rsidRPr="002B26ED">
        <w:t xml:space="preserve">. </w:t>
      </w:r>
      <w:r>
        <w:t>Notably, the efficiency levels for domestic fridges have been updated since they were first introduced, whereas the levels for commercial refrigeration have not.</w:t>
      </w:r>
      <w:r w:rsidRPr="00E434B5">
        <w:rPr>
          <w:highlight w:val="yellow"/>
        </w:rPr>
        <w:t xml:space="preserve"> </w:t>
      </w:r>
    </w:p>
    <w:p w14:paraId="519D38C1" w14:textId="77777777" w:rsidR="005636C7" w:rsidRPr="002B26ED" w:rsidRDefault="005636C7" w:rsidP="005636C7">
      <w:pPr>
        <w:pStyle w:val="E3BodyText"/>
        <w:jc w:val="both"/>
      </w:pPr>
      <w:r>
        <w:t xml:space="preserve">Sales </w:t>
      </w:r>
      <w:r w:rsidRPr="002B26ED">
        <w:t xml:space="preserve">analysis </w:t>
      </w:r>
      <w:r>
        <w:t>of the top-</w:t>
      </w:r>
      <w:r w:rsidRPr="002B26ED">
        <w:t xml:space="preserve">selling cabinet type in </w:t>
      </w:r>
      <w:r>
        <w:t xml:space="preserve">New Zealand in </w:t>
      </w:r>
      <w:r w:rsidRPr="002B26ED">
        <w:t>2015</w:t>
      </w:r>
      <w:r>
        <w:t xml:space="preserve"> is shown in </w:t>
      </w:r>
      <w:r w:rsidRPr="008921DA">
        <w:rPr>
          <w:b/>
          <w:sz w:val="22"/>
          <w:szCs w:val="22"/>
        </w:rPr>
        <w:t>Figure 11</w:t>
      </w:r>
      <w:r>
        <w:t xml:space="preserve"> </w:t>
      </w:r>
      <w:r w:rsidRPr="002B26ED">
        <w:t>below</w:t>
      </w:r>
      <w:r>
        <w:t>.</w:t>
      </w:r>
      <w:r w:rsidRPr="002B26ED">
        <w:t xml:space="preserve"> </w:t>
      </w:r>
      <w:r>
        <w:t>The lack of any correlation between</w:t>
      </w:r>
      <w:r w:rsidRPr="002B26ED">
        <w:t xml:space="preserve"> price </w:t>
      </w:r>
      <w:r>
        <w:t xml:space="preserve">and efficiency suggests that efficiency is not valued in the market.  There are also no trends linking sales volumes with energy efficiency, which suggests that the efficiency of products (and hence their total cost of ownership) is not driving demand under the status quo.  </w:t>
      </w:r>
      <w:r w:rsidRPr="002B26ED">
        <w:t xml:space="preserve"> </w:t>
      </w:r>
    </w:p>
    <w:p w14:paraId="17972CF1" w14:textId="77777777" w:rsidR="005636C7" w:rsidRPr="00A929F6" w:rsidRDefault="005636C7" w:rsidP="005636C7">
      <w:pPr>
        <w:pStyle w:val="E3Figuretitles"/>
      </w:pPr>
      <w:bookmarkStart w:id="93" w:name="_Toc494142479"/>
      <w:r w:rsidRPr="00A929F6">
        <w:t>Figure 11: Analysis of sales, price &amp; efficiency of the most purchased cabinet type in New Zealand, 2015</w:t>
      </w:r>
      <w:bookmarkEnd w:id="93"/>
      <w:r w:rsidRPr="00A929F6">
        <w:t xml:space="preserve">  </w:t>
      </w:r>
      <w:r w:rsidRPr="00A929F6">
        <w:br/>
      </w:r>
    </w:p>
    <w:p w14:paraId="1DA3D173" w14:textId="77777777" w:rsidR="005636C7" w:rsidRDefault="005636C7" w:rsidP="005636C7">
      <w:pPr>
        <w:pStyle w:val="E3BodyText"/>
      </w:pPr>
      <w:r w:rsidRPr="001A389D">
        <w:rPr>
          <w:noProof/>
          <w:lang w:val="en-AU" w:eastAsia="en-AU"/>
        </w:rPr>
        <w:drawing>
          <wp:inline distT="0" distB="0" distL="0" distR="0" wp14:anchorId="52795A4E" wp14:editId="148A4B77">
            <wp:extent cx="6120765" cy="3138170"/>
            <wp:effectExtent l="0" t="0" r="0" b="5080"/>
            <wp:docPr id="254" name="Picture 254" descr="This grapic shows the multiple numbers of cabinets of this type and where they sit relative to MEPS and the high efficiency peformance levels. The graphic shows that all models are easily passing MEPS and most are also outperforming HEPS. This suggests that the MEPS levels is too low when compared to available technology." title="Analysis of the most purchased integral cabinet type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138170"/>
                    </a:xfrm>
                    <a:prstGeom prst="rect">
                      <a:avLst/>
                    </a:prstGeom>
                    <a:noFill/>
                    <a:ln>
                      <a:noFill/>
                    </a:ln>
                  </pic:spPr>
                </pic:pic>
              </a:graphicData>
            </a:graphic>
          </wp:inline>
        </w:drawing>
      </w:r>
    </w:p>
    <w:p w14:paraId="30A6EF96" w14:textId="77777777" w:rsidR="005636C7" w:rsidRDefault="005636C7" w:rsidP="005636C7">
      <w:pPr>
        <w:pStyle w:val="E3BodyText"/>
        <w:jc w:val="both"/>
      </w:pPr>
      <w:r w:rsidRPr="00812F70">
        <w:rPr>
          <w:b/>
        </w:rPr>
        <w:t xml:space="preserve">Notes on Figure </w:t>
      </w:r>
      <w:r>
        <w:rPr>
          <w:b/>
        </w:rPr>
        <w:t>11</w:t>
      </w:r>
      <w:r>
        <w:t xml:space="preserve">: </w:t>
      </w:r>
      <w:r w:rsidRPr="006F62F2">
        <w:t xml:space="preserve">These are self-contained beverage cabinets (product class IVC4 M1 – Integral Vertical Chiller type 4, with a temperature range of +5 to -1oC). </w:t>
      </w:r>
      <w:r>
        <w:t xml:space="preserve"> As there are</w:t>
      </w:r>
      <w:r w:rsidRPr="006F62F2">
        <w:t xml:space="preserve"> many sub-types </w:t>
      </w:r>
      <w:r>
        <w:t xml:space="preserve">under this category, </w:t>
      </w:r>
      <w:r w:rsidRPr="006F62F2">
        <w:t>the sample size is limited.</w:t>
      </w:r>
      <w:r w:rsidRPr="009352A6">
        <w:t xml:space="preserve"> </w:t>
      </w:r>
      <w:r>
        <w:t xml:space="preserve">There is some variation in storage capacity and door configuration between the models shown but this does not affect the analysis. </w:t>
      </w:r>
      <w:r w:rsidRPr="006F62F2">
        <w:t>The HEPS level</w:t>
      </w:r>
      <w:r>
        <w:t xml:space="preserve"> is shown by the</w:t>
      </w:r>
      <w:r w:rsidRPr="006F62F2">
        <w:t xml:space="preserve"> green d</w:t>
      </w:r>
      <w:r>
        <w:t>ashed</w:t>
      </w:r>
      <w:r w:rsidRPr="006F62F2">
        <w:t xml:space="preserve"> line </w:t>
      </w:r>
      <w:r>
        <w:t xml:space="preserve">near the center and the level </w:t>
      </w:r>
      <w:r w:rsidRPr="006F62F2">
        <w:t>MEPS is shown in red at</w:t>
      </w:r>
      <w:r>
        <w:t xml:space="preserve"> the</w:t>
      </w:r>
      <w:r w:rsidRPr="006F62F2">
        <w:t xml:space="preserve"> far right</w:t>
      </w:r>
      <w:r>
        <w:t xml:space="preserve">.  </w:t>
      </w:r>
      <w:r w:rsidRPr="006F62F2">
        <w:t>Prices are shown for the models plotted in red. Relative positions are shown here because the scales of the axis have been removed to protect confidentiality.</w:t>
      </w:r>
    </w:p>
    <w:p w14:paraId="0F4219EC" w14:textId="77777777" w:rsidR="005636C7" w:rsidRDefault="005636C7" w:rsidP="005636C7">
      <w:pPr>
        <w:pStyle w:val="E3BodyText"/>
        <w:jc w:val="both"/>
      </w:pPr>
      <w:r>
        <w:t>In summary m</w:t>
      </w:r>
      <w:r w:rsidRPr="002B26ED">
        <w:t xml:space="preserve">ore stringent MEPS are required to keep </w:t>
      </w:r>
      <w:r>
        <w:t>raising</w:t>
      </w:r>
      <w:r w:rsidRPr="002B26ED">
        <w:t xml:space="preserve"> the </w:t>
      </w:r>
      <w:r>
        <w:t xml:space="preserve">energy performance of the </w:t>
      </w:r>
      <w:r w:rsidRPr="002B26ED">
        <w:t xml:space="preserve">least efficient cabinets </w:t>
      </w:r>
      <w:r>
        <w:t>and to</w:t>
      </w:r>
      <w:r w:rsidRPr="002B26ED">
        <w:t xml:space="preserve"> achieve </w:t>
      </w:r>
      <w:r>
        <w:t>greater</w:t>
      </w:r>
      <w:r w:rsidRPr="002B26ED">
        <w:t xml:space="preserve"> </w:t>
      </w:r>
      <w:r>
        <w:t xml:space="preserve">energy </w:t>
      </w:r>
      <w:r w:rsidRPr="002B26ED">
        <w:t>savings. All proposed regulatory options</w:t>
      </w:r>
      <w:r>
        <w:t xml:space="preserve"> outlined in this RIS</w:t>
      </w:r>
      <w:r w:rsidRPr="002B26ED">
        <w:t xml:space="preserve"> therefore incorporate </w:t>
      </w:r>
      <w:r>
        <w:t>increases to the</w:t>
      </w:r>
      <w:r w:rsidRPr="002B26ED">
        <w:t xml:space="preserve"> current MEPS levels.</w:t>
      </w:r>
      <w:r>
        <w:t xml:space="preserve"> </w:t>
      </w:r>
    </w:p>
    <w:p w14:paraId="75E930B2" w14:textId="77777777" w:rsidR="005636C7" w:rsidRPr="00B543A1" w:rsidRDefault="005636C7" w:rsidP="005636C7">
      <w:pPr>
        <w:pStyle w:val="E3Heading4"/>
        <w:jc w:val="both"/>
      </w:pPr>
      <w:r w:rsidRPr="00B543A1">
        <w:t>Summary</w:t>
      </w:r>
    </w:p>
    <w:p w14:paraId="0DFE2530" w14:textId="77777777" w:rsidR="005636C7" w:rsidRDefault="005636C7" w:rsidP="005636C7">
      <w:pPr>
        <w:pStyle w:val="E3BodyText"/>
        <w:jc w:val="both"/>
      </w:pPr>
      <w:r w:rsidRPr="002B26ED">
        <w:t xml:space="preserve">All </w:t>
      </w:r>
      <w:r>
        <w:t>the r</w:t>
      </w:r>
      <w:r w:rsidRPr="002B26ED">
        <w:t>egulatory options</w:t>
      </w:r>
      <w:r>
        <w:t xml:space="preserve"> presented</w:t>
      </w:r>
      <w:r w:rsidRPr="002B26ED">
        <w:t xml:space="preserve"> in this RIS </w:t>
      </w:r>
      <w:r>
        <w:t>seek to resolve the issues identified with the current regulation in order to reduce business compliance costs, increase compliance, raise the efficiency of products in line with what is now achievable, and increase the range of products available on the local market</w:t>
      </w:r>
      <w:r w:rsidRPr="002B26ED">
        <w:t>.</w:t>
      </w:r>
      <w:r>
        <w:t xml:space="preserve"> </w:t>
      </w:r>
    </w:p>
    <w:p w14:paraId="69E5541D" w14:textId="77777777" w:rsidR="005636C7" w:rsidRDefault="005636C7" w:rsidP="005636C7">
      <w:pPr>
        <w:pStyle w:val="E3Heading2"/>
      </w:pPr>
      <w:bookmarkStart w:id="94" w:name="_Toc494897961"/>
      <w:bookmarkStart w:id="95" w:name="_Toc494955757"/>
      <w:bookmarkStart w:id="96" w:name="_Toc494959565"/>
      <w:bookmarkStart w:id="97" w:name="_Toc494972691"/>
      <w:bookmarkStart w:id="98" w:name="_Toc494973878"/>
      <w:bookmarkStart w:id="99" w:name="_Toc494974567"/>
    </w:p>
    <w:p w14:paraId="1DD8C6C9" w14:textId="77777777" w:rsidR="005636C7" w:rsidRDefault="005636C7" w:rsidP="005636C7">
      <w:pPr>
        <w:pStyle w:val="E3Heading2"/>
      </w:pPr>
    </w:p>
    <w:p w14:paraId="204ED63A" w14:textId="77777777" w:rsidR="005636C7" w:rsidRDefault="005636C7" w:rsidP="005636C7">
      <w:pPr>
        <w:pStyle w:val="E3Heading2"/>
        <w:spacing w:after="360"/>
        <w:contextualSpacing w:val="0"/>
      </w:pPr>
      <w:bookmarkStart w:id="100" w:name="_Toc500151791"/>
      <w:r w:rsidRPr="00197B9C">
        <w:t>Information failures</w:t>
      </w:r>
      <w:bookmarkEnd w:id="94"/>
      <w:bookmarkEnd w:id="95"/>
      <w:bookmarkEnd w:id="96"/>
      <w:bookmarkEnd w:id="97"/>
      <w:bookmarkEnd w:id="98"/>
      <w:bookmarkEnd w:id="99"/>
      <w:bookmarkEnd w:id="100"/>
    </w:p>
    <w:p w14:paraId="0B7D344F" w14:textId="77777777" w:rsidR="005636C7" w:rsidRPr="002B26ED" w:rsidRDefault="005636C7" w:rsidP="005636C7">
      <w:pPr>
        <w:pStyle w:val="E3BodyText"/>
        <w:jc w:val="both"/>
      </w:pPr>
      <w:r>
        <w:t>I</w:t>
      </w:r>
      <w:r w:rsidRPr="00113916">
        <w:t>nformation failures</w:t>
      </w:r>
      <w:r w:rsidRPr="002B26ED">
        <w:t xml:space="preserve"> may prevent buyers from making informed decisions about energy efficiency when making their cabinet selections. Information about energy efficiency may be unavailable, difficult to access, or difficult to verify, reducing its value to buyers.</w:t>
      </w:r>
    </w:p>
    <w:p w14:paraId="5D4C67E1" w14:textId="77777777" w:rsidR="005636C7" w:rsidRPr="002B26ED" w:rsidRDefault="005636C7" w:rsidP="005636C7">
      <w:pPr>
        <w:pStyle w:val="E3BodyText"/>
        <w:jc w:val="both"/>
      </w:pPr>
      <w:r w:rsidRPr="002B26ED">
        <w:t xml:space="preserve">In any market, buyers should be able to research all relevant factors that help them to buy the product that is best suited to their needs. In the case of refrigerated commercial cabinets, this </w:t>
      </w:r>
      <w:r>
        <w:t>should include</w:t>
      </w:r>
      <w:r w:rsidRPr="002B26ED">
        <w:t xml:space="preserve"> energy use</w:t>
      </w:r>
      <w:r>
        <w:t xml:space="preserve"> and the</w:t>
      </w:r>
      <w:r w:rsidRPr="002B26ED">
        <w:t xml:space="preserve"> whole-of-life cost </w:t>
      </w:r>
      <w:r>
        <w:t>alongside other</w:t>
      </w:r>
      <w:r w:rsidRPr="002B26ED">
        <w:t xml:space="preserve"> factors such as</w:t>
      </w:r>
      <w:r>
        <w:t xml:space="preserve"> price,</w:t>
      </w:r>
      <w:r w:rsidRPr="002B26ED">
        <w:t xml:space="preserve"> cabinet size, appearance, and quality. </w:t>
      </w:r>
    </w:p>
    <w:p w14:paraId="573A10E2" w14:textId="77777777" w:rsidR="005636C7" w:rsidRPr="002B26ED" w:rsidRDefault="005636C7" w:rsidP="005636C7">
      <w:pPr>
        <w:pStyle w:val="E3BodyText"/>
        <w:jc w:val="both"/>
      </w:pPr>
      <w:r w:rsidRPr="002B26ED">
        <w:t>However, there are costs associated with obtaining</w:t>
      </w:r>
      <w:r>
        <w:t xml:space="preserve"> this</w:t>
      </w:r>
      <w:r w:rsidRPr="002B26ED">
        <w:t xml:space="preserve"> information, and most buyers will make a decision when they feel they have sufficient information on which to choose between different models on offer. Where information on any particular aspect, such as whole-of-life cost, is missing</w:t>
      </w:r>
      <w:r>
        <w:t xml:space="preserve"> or difficult to obtain or comprehend</w:t>
      </w:r>
      <w:r w:rsidRPr="002B26ED">
        <w:t xml:space="preserve">, buyers will use rules of thumb, such as knowledge of past purchases, to help them decide. </w:t>
      </w:r>
    </w:p>
    <w:p w14:paraId="69A68863" w14:textId="77777777" w:rsidR="005636C7" w:rsidRDefault="005636C7" w:rsidP="005636C7">
      <w:pPr>
        <w:pStyle w:val="E3BodyText"/>
        <w:jc w:val="both"/>
      </w:pPr>
      <w:r>
        <w:t>Buyers in the commercial refrigeration market</w:t>
      </w:r>
      <w:r w:rsidRPr="002B26ED">
        <w:t xml:space="preserve"> may </w:t>
      </w:r>
      <w:r>
        <w:t>not be aware</w:t>
      </w:r>
      <w:r w:rsidRPr="002B26ED">
        <w:t xml:space="preserve"> </w:t>
      </w:r>
      <w:r>
        <w:t>of the</w:t>
      </w:r>
      <w:r w:rsidRPr="002B26ED">
        <w:t xml:space="preserve"> significant </w:t>
      </w:r>
      <w:r>
        <w:t xml:space="preserve">savings they can make </w:t>
      </w:r>
      <w:r w:rsidRPr="002B26ED">
        <w:t>by choosing a more efficient cabinet. For example, the capital cost of a typical supermarket display cabinet is only 24% of its lifetime cost, so 76% of the expense of owning a refrigerated cabinet goes on running it</w:t>
      </w:r>
      <w:r>
        <w:t>.</w:t>
      </w:r>
      <w:r w:rsidRPr="002B26ED">
        <w:rPr>
          <w:rStyle w:val="FootnoteReference"/>
        </w:rPr>
        <w:footnoteReference w:id="25"/>
      </w:r>
      <w:r>
        <w:t xml:space="preserve"> B</w:t>
      </w:r>
      <w:r w:rsidRPr="002B26ED">
        <w:t xml:space="preserve">uyers </w:t>
      </w:r>
      <w:r>
        <w:t xml:space="preserve">may therefore be </w:t>
      </w:r>
      <w:r w:rsidRPr="002B26ED">
        <w:t>paying more than they need to over the lifetime of the product.</w:t>
      </w:r>
    </w:p>
    <w:p w14:paraId="34CB3973" w14:textId="77777777" w:rsidR="005636C7" w:rsidRPr="002B26ED" w:rsidRDefault="005636C7" w:rsidP="005636C7">
      <w:pPr>
        <w:pStyle w:val="E3BodyText"/>
        <w:jc w:val="both"/>
      </w:pPr>
      <w:r w:rsidRPr="002B26ED">
        <w:t xml:space="preserve">Feedback </w:t>
      </w:r>
      <w:r>
        <w:t xml:space="preserve">during consultation on the product profile and the Consultation RIS </w:t>
      </w:r>
      <w:r w:rsidRPr="002B26ED">
        <w:t>confirm</w:t>
      </w:r>
      <w:r>
        <w:t xml:space="preserve">s </w:t>
      </w:r>
      <w:r w:rsidRPr="002B26ED">
        <w:t xml:space="preserve">that </w:t>
      </w:r>
      <w:r>
        <w:t>commercial refrigeration products are not promoted and sold</w:t>
      </w:r>
      <w:r w:rsidRPr="002E1F2D">
        <w:t xml:space="preserve"> </w:t>
      </w:r>
      <w:r>
        <w:t xml:space="preserve">on the basis of their </w:t>
      </w:r>
      <w:r w:rsidRPr="002B26ED">
        <w:t xml:space="preserve">energy </w:t>
      </w:r>
      <w:r>
        <w:t>use and operating costs</w:t>
      </w:r>
      <w:r w:rsidRPr="002B26ED">
        <w:t>. Both suppliers and manufacturers</w:t>
      </w:r>
      <w:r>
        <w:t xml:space="preserve"> have</w:t>
      </w:r>
      <w:r w:rsidRPr="002B26ED">
        <w:t xml:space="preserve"> indicated that they sell certain types of cabinets into ‘type-price’ brackets which do not differentiate between their respective efficienc</w:t>
      </w:r>
      <w:r>
        <w:t>ies</w:t>
      </w:r>
      <w:r w:rsidRPr="002B26ED">
        <w:t xml:space="preserve">. </w:t>
      </w:r>
    </w:p>
    <w:p w14:paraId="7367B170" w14:textId="77777777" w:rsidR="005636C7" w:rsidRDefault="005636C7" w:rsidP="005636C7">
      <w:pPr>
        <w:pStyle w:val="E3BodyText"/>
        <w:jc w:val="both"/>
      </w:pPr>
      <w:r>
        <w:t>It was nonetheless</w:t>
      </w:r>
      <w:r w:rsidRPr="002B26ED">
        <w:t xml:space="preserve"> suggested that </w:t>
      </w:r>
      <w:r>
        <w:t>information on annual</w:t>
      </w:r>
      <w:r w:rsidRPr="002B26ED">
        <w:t xml:space="preserve"> running costs </w:t>
      </w:r>
      <w:r>
        <w:t>is accessible to</w:t>
      </w:r>
      <w:r w:rsidRPr="002B26ED">
        <w:t xml:space="preserve"> buyers.</w:t>
      </w:r>
      <w:r>
        <w:t xml:space="preserve">  However,</w:t>
      </w:r>
      <w:r w:rsidRPr="002B26ED">
        <w:t xml:space="preserve"> </w:t>
      </w:r>
      <w:r>
        <w:t>i</w:t>
      </w:r>
      <w:r w:rsidRPr="002B26ED">
        <w:t>n a website search of 56 Australian supplier websites, only 17 made any mention of energy efficiency. These ranged from statements about efficient LED-lighting for fridges; types of glazing; additions to refrigerants and adjectives such as high, outstanding or quality refrigerating efficiency or low energy consumption. Only seven companies promoted the energy efficiency of their cabinets, or identified ways to meet their emissions targets or improve their refrigeration systems.</w:t>
      </w:r>
      <w:r w:rsidRPr="007A5346">
        <w:rPr>
          <w:rStyle w:val="FootnoteReference"/>
        </w:rPr>
        <w:footnoteReference w:id="26"/>
      </w:r>
      <w:r w:rsidRPr="002B26ED">
        <w:t xml:space="preserve"> </w:t>
      </w:r>
    </w:p>
    <w:p w14:paraId="6C0F0C85" w14:textId="77777777" w:rsidR="005636C7" w:rsidRPr="002B26ED" w:rsidRDefault="005636C7" w:rsidP="005636C7">
      <w:pPr>
        <w:pStyle w:val="E3BodyText"/>
        <w:jc w:val="both"/>
      </w:pPr>
      <w:r>
        <w:t>While the Energy Rating database</w:t>
      </w:r>
      <w:r>
        <w:rPr>
          <w:rStyle w:val="FootnoteReference"/>
        </w:rPr>
        <w:footnoteReference w:id="27"/>
      </w:r>
      <w:r>
        <w:t xml:space="preserve"> is a potential source of information to consumers on whole-of-life costs</w:t>
      </w:r>
      <w:r w:rsidRPr="002B26ED">
        <w:t xml:space="preserve">, </w:t>
      </w:r>
      <w:r>
        <w:t>it does not currently provide an easy way to identify or compare the energy efficiency of different purchase options or calculate their running costs. Moreover, s</w:t>
      </w:r>
      <w:r w:rsidRPr="002B26ED">
        <w:t xml:space="preserve">earching the database for a specific cabinet type can be </w:t>
      </w:r>
      <w:r>
        <w:t xml:space="preserve">a </w:t>
      </w:r>
      <w:r w:rsidRPr="002B26ED">
        <w:t>time consuming process for b</w:t>
      </w:r>
      <w:r>
        <w:t>uyers and requires them</w:t>
      </w:r>
      <w:r w:rsidRPr="002B26ED">
        <w:t xml:space="preserve"> to have an understanding of the </w:t>
      </w:r>
      <w:r>
        <w:t>s</w:t>
      </w:r>
      <w:r w:rsidRPr="002B26ED">
        <w:t xml:space="preserve">tandard to know what type of cabinet they are searching for. </w:t>
      </w:r>
      <w:r>
        <w:t xml:space="preserve"> Plus, due to the limited scope of the current MEPS, a number of</w:t>
      </w:r>
      <w:r w:rsidRPr="002B26ED">
        <w:t xml:space="preserve"> cabinet </w:t>
      </w:r>
      <w:r>
        <w:t>types</w:t>
      </w:r>
      <w:r w:rsidRPr="002B26ED">
        <w:t xml:space="preserve"> on the market are </w:t>
      </w:r>
      <w:r>
        <w:t xml:space="preserve">not </w:t>
      </w:r>
      <w:r w:rsidRPr="002B26ED">
        <w:t>required to be registered</w:t>
      </w:r>
      <w:r>
        <w:t xml:space="preserve"> and thus do not appear on the database.</w:t>
      </w:r>
    </w:p>
    <w:p w14:paraId="18604DD1" w14:textId="77777777" w:rsidR="005636C7" w:rsidRDefault="005636C7" w:rsidP="005636C7">
      <w:pPr>
        <w:pStyle w:val="E3Heading4"/>
        <w:jc w:val="both"/>
      </w:pPr>
    </w:p>
    <w:p w14:paraId="41961C60" w14:textId="77777777" w:rsidR="005636C7" w:rsidRPr="0041262C" w:rsidRDefault="005636C7" w:rsidP="005636C7">
      <w:pPr>
        <w:pStyle w:val="E3Heading4"/>
        <w:jc w:val="both"/>
      </w:pPr>
      <w:r w:rsidRPr="0041262C">
        <w:t>Low uptake of high efficiency standards</w:t>
      </w:r>
    </w:p>
    <w:p w14:paraId="36CB535C" w14:textId="77777777" w:rsidR="005636C7" w:rsidRDefault="005636C7" w:rsidP="005636C7">
      <w:pPr>
        <w:pStyle w:val="E3BodyText"/>
        <w:jc w:val="both"/>
      </w:pPr>
      <w:r>
        <w:t>Although a voluntary high efficiency performance standard (HEPS) has been in place since MEPS were first introduced in 2004, few suppliers have taken up option to certify and promote their products as meeting HEPS.</w:t>
      </w:r>
    </w:p>
    <w:p w14:paraId="3149CB03" w14:textId="77777777" w:rsidR="005636C7" w:rsidRPr="002B26ED" w:rsidRDefault="005636C7" w:rsidP="005636C7">
      <w:pPr>
        <w:pStyle w:val="E3BodyText"/>
        <w:jc w:val="both"/>
      </w:pPr>
      <w:r>
        <w:t xml:space="preserve">In </w:t>
      </w:r>
      <w:r w:rsidRPr="002B26ED">
        <w:t>2015 the class IVC1 M2 (semi-vertical, self-contained display cabinets at M2 temperature class) had approximately 40 models registered in the Energy rating database. Eighty-four percent of these registrations actually met HEPS levels but only half were identified as such by suppliers. This may indicate that only half of the suppliers were aware that a HEPS declaration applied to their cabinets or that suppliers saw little advantage in seeking to identify and register their models as meeting HEPS levels.</w:t>
      </w:r>
      <w:r>
        <w:t xml:space="preserve"> It may also be a consequence of the problems applying the relevant standard, as discussed earlier in this section.</w:t>
      </w:r>
    </w:p>
    <w:p w14:paraId="76FDFCB7" w14:textId="77777777" w:rsidR="005636C7" w:rsidRDefault="005636C7" w:rsidP="005636C7">
      <w:pPr>
        <w:pStyle w:val="E3BodyText"/>
        <w:jc w:val="both"/>
      </w:pPr>
      <w:r>
        <w:t xml:space="preserve">If </w:t>
      </w:r>
      <w:r w:rsidRPr="002B26ED">
        <w:t xml:space="preserve">HEPS </w:t>
      </w:r>
      <w:r>
        <w:t>was functioning effectively as a way to</w:t>
      </w:r>
      <w:r w:rsidRPr="002B26ED">
        <w:t xml:space="preserve"> promot</w:t>
      </w:r>
      <w:r>
        <w:t>e</w:t>
      </w:r>
      <w:r w:rsidRPr="002B26ED">
        <w:t xml:space="preserve"> </w:t>
      </w:r>
      <w:r>
        <w:t xml:space="preserve">high </w:t>
      </w:r>
      <w:r w:rsidRPr="002B26ED">
        <w:t xml:space="preserve">efficiency </w:t>
      </w:r>
      <w:r>
        <w:t>products and</w:t>
      </w:r>
      <w:r w:rsidRPr="002B26ED">
        <w:t xml:space="preserve"> influence buyer </w:t>
      </w:r>
      <w:r w:rsidRPr="002B26ED">
        <w:rPr>
          <w:lang w:val="en-NZ"/>
        </w:rPr>
        <w:t>behaviour</w:t>
      </w:r>
      <w:r>
        <w:rPr>
          <w:lang w:val="en-NZ"/>
        </w:rPr>
        <w:t>, it could</w:t>
      </w:r>
      <w:r w:rsidRPr="002B26ED">
        <w:t xml:space="preserve"> result in </w:t>
      </w:r>
      <w:r>
        <w:t xml:space="preserve">significant </w:t>
      </w:r>
      <w:r w:rsidRPr="002B26ED">
        <w:t>reduc</w:t>
      </w:r>
      <w:r>
        <w:t>tions in</w:t>
      </w:r>
      <w:r w:rsidRPr="002B26ED">
        <w:t xml:space="preserve"> energy use over time. Looking at NZ sales data, every buyer of an IVC1 M2 class cabinet that selects a HEPS-compliant model could save approximately NZD $820 every year ($9,100 over the cabinet’s lifetime) compared with one that merely passes MEPS. There are likely to be similar benefits for Australian buyers based on market share and cabinet type.</w:t>
      </w:r>
    </w:p>
    <w:p w14:paraId="08D4F564" w14:textId="77777777" w:rsidR="005636C7" w:rsidRDefault="005636C7" w:rsidP="005636C7">
      <w:pPr>
        <w:pStyle w:val="E3BodyText"/>
        <w:jc w:val="both"/>
      </w:pPr>
      <w:r>
        <w:t>However, the current difficulties with the standard, outdated levels, and low uptake mean that the HEPS is not performing as intended.</w:t>
      </w:r>
    </w:p>
    <w:p w14:paraId="6CD6A902" w14:textId="77777777" w:rsidR="005636C7" w:rsidRPr="00105013" w:rsidRDefault="005636C7" w:rsidP="005636C7">
      <w:pPr>
        <w:pStyle w:val="E3BodyText"/>
        <w:jc w:val="both"/>
        <w:rPr>
          <w:b/>
        </w:rPr>
      </w:pPr>
    </w:p>
    <w:p w14:paraId="021EADF6" w14:textId="77777777" w:rsidR="005636C7" w:rsidRPr="0041262C" w:rsidRDefault="005636C7" w:rsidP="005636C7">
      <w:pPr>
        <w:pStyle w:val="E3Heading2"/>
      </w:pPr>
      <w:bookmarkStart w:id="101" w:name="_Toc500151792"/>
      <w:r w:rsidRPr="0041262C">
        <w:t>Market failures</w:t>
      </w:r>
      <w:bookmarkEnd w:id="101"/>
    </w:p>
    <w:p w14:paraId="6E047022" w14:textId="77777777" w:rsidR="005636C7" w:rsidRPr="00105013" w:rsidRDefault="005636C7" w:rsidP="005636C7">
      <w:pPr>
        <w:pStyle w:val="E3Heading4"/>
        <w:rPr>
          <w:sz w:val="20"/>
        </w:rPr>
      </w:pPr>
      <w:r w:rsidRPr="00325BAE">
        <w:rPr>
          <w:rFonts w:eastAsia="Times New Roman"/>
        </w:rPr>
        <w:t>Split i</w:t>
      </w:r>
      <w:r w:rsidRPr="0038423B">
        <w:t>ncentives</w:t>
      </w:r>
    </w:p>
    <w:p w14:paraId="3B4ECA48" w14:textId="77777777" w:rsidR="005636C7" w:rsidRPr="002B26ED" w:rsidRDefault="005636C7" w:rsidP="005636C7">
      <w:pPr>
        <w:pStyle w:val="E3BodyText"/>
        <w:jc w:val="both"/>
      </w:pPr>
      <w:r>
        <w:t xml:space="preserve">Split </w:t>
      </w:r>
      <w:r w:rsidRPr="002B26ED">
        <w:t xml:space="preserve">incentives </w:t>
      </w:r>
      <w:r>
        <w:t>occur</w:t>
      </w:r>
      <w:r w:rsidRPr="002B26ED">
        <w:t xml:space="preserve"> when the person who pays for the running of an appliance is not involved in the decision to buy </w:t>
      </w:r>
      <w:r>
        <w:t>that appliance</w:t>
      </w:r>
      <w:r w:rsidRPr="002B26ED">
        <w:t xml:space="preserve">. A typical example occurs where companies hire out or courtesy-supply branded product-specific fridges but do not pay for the electricity. In this situation there is little incentive for companies to </w:t>
      </w:r>
      <w:r w:rsidRPr="002B26ED">
        <w:rPr>
          <w:lang w:val="en-NZ"/>
        </w:rPr>
        <w:t>maximise</w:t>
      </w:r>
      <w:r w:rsidRPr="002B26ED">
        <w:t xml:space="preserve"> the energy efficiency of their fridges for hire.</w:t>
      </w:r>
    </w:p>
    <w:p w14:paraId="58B2F55C" w14:textId="77777777" w:rsidR="005636C7" w:rsidRPr="002B26ED" w:rsidRDefault="005636C7" w:rsidP="005636C7">
      <w:pPr>
        <w:pStyle w:val="E3BodyText"/>
        <w:jc w:val="both"/>
      </w:pPr>
      <w:r w:rsidRPr="002B26ED">
        <w:t xml:space="preserve">All remote </w:t>
      </w:r>
      <w:r>
        <w:t xml:space="preserve">refrigerated </w:t>
      </w:r>
      <w:r w:rsidRPr="002B26ED">
        <w:t xml:space="preserve">display cabinets and many integral (self-contained) </w:t>
      </w:r>
      <w:r>
        <w:t xml:space="preserve">refrigerated </w:t>
      </w:r>
      <w:r w:rsidRPr="002B26ED">
        <w:t xml:space="preserve">display cabinets must be installed by a licensed refrigerant handler. The use of specialist suppliers </w:t>
      </w:r>
      <w:r>
        <w:t>places further limitations on</w:t>
      </w:r>
      <w:r w:rsidRPr="002B26ED">
        <w:t xml:space="preserve"> the equipment purchase decision. </w:t>
      </w:r>
    </w:p>
    <w:p w14:paraId="647BB604" w14:textId="77777777" w:rsidR="005636C7" w:rsidRDefault="005636C7" w:rsidP="005636C7">
      <w:pPr>
        <w:pStyle w:val="E3BodyText"/>
        <w:jc w:val="both"/>
      </w:pPr>
      <w:r w:rsidRPr="002B26ED">
        <w:t xml:space="preserve">In response to questions in the Consultation RIS about whether buyers or users actively considered energy use, one industry body stated that “significant sectors of the buying community are focused on initial capital cost outlay as the single major selection criteria.” One submission suggested that “some of the biggest end users have professional buyers who receive their incentives based on capital cost reduction. Therefore, even though their employer would make substantial savings by adopting the high efficiency range, they may ignore it and go for the normal efficiency models to reduce the initial purchase price. By comparison, individual bar owners </w:t>
      </w:r>
      <w:r>
        <w:t xml:space="preserve">[who </w:t>
      </w:r>
      <w:r w:rsidRPr="002B26ED">
        <w:t>pay the electricity bill</w:t>
      </w:r>
      <w:r>
        <w:t>]</w:t>
      </w:r>
      <w:r w:rsidRPr="002B26ED">
        <w:t xml:space="preserve"> often buy the superficially more expensive, high efficiency version and they find it an easy and obvious choice to make.</w:t>
      </w:r>
      <w:r>
        <w:t>”</w:t>
      </w:r>
    </w:p>
    <w:p w14:paraId="7902B15C" w14:textId="77777777" w:rsidR="005636C7" w:rsidRPr="002B26ED" w:rsidRDefault="005636C7" w:rsidP="005636C7">
      <w:pPr>
        <w:pStyle w:val="E3BodyText"/>
        <w:jc w:val="both"/>
      </w:pPr>
      <w:r w:rsidRPr="002B26ED">
        <w:t xml:space="preserve"> </w:t>
      </w:r>
      <w:r>
        <w:t xml:space="preserve">The industry body </w:t>
      </w:r>
      <w:r w:rsidRPr="002B26ED">
        <w:t>went on to explain that there are “global procurement systems where the vendor is not allowed to meet or speak to the buyer which are not conducive to making detailed arguments about lifetime and efficiency. E- Auctions being the worst example. We did gain one major contract, never having met the buyer nor even spoken to them on the phone.”</w:t>
      </w:r>
    </w:p>
    <w:p w14:paraId="775B0490" w14:textId="77777777" w:rsidR="005636C7" w:rsidRDefault="005636C7" w:rsidP="005636C7">
      <w:pPr>
        <w:pStyle w:val="E3BodyText"/>
        <w:jc w:val="both"/>
        <w:rPr>
          <w:b/>
          <w:sz w:val="22"/>
          <w:szCs w:val="22"/>
        </w:rPr>
      </w:pPr>
      <w:r>
        <w:t xml:space="preserve">Resolving some of the issues with the current regulation </w:t>
      </w:r>
      <w:r w:rsidRPr="002B26ED">
        <w:t xml:space="preserve">would </w:t>
      </w:r>
      <w:r>
        <w:t xml:space="preserve">help to </w:t>
      </w:r>
      <w:r w:rsidRPr="002B26ED">
        <w:t>reduce the effect of split-incentives in the market.</w:t>
      </w:r>
    </w:p>
    <w:p w14:paraId="79CB091C" w14:textId="77777777" w:rsidR="005636C7" w:rsidRPr="0041262C" w:rsidRDefault="005636C7" w:rsidP="005636C7">
      <w:pPr>
        <w:pStyle w:val="E3Heading4"/>
        <w:jc w:val="both"/>
      </w:pPr>
      <w:r w:rsidRPr="00325BAE">
        <w:rPr>
          <w:rFonts w:eastAsia="Times New Roman"/>
        </w:rPr>
        <w:t>Negative externalities</w:t>
      </w:r>
      <w:r w:rsidRPr="0041262C">
        <w:t xml:space="preserve"> </w:t>
      </w:r>
      <w:r w:rsidRPr="0038423B">
        <w:t>associated with the electricity price</w:t>
      </w:r>
    </w:p>
    <w:p w14:paraId="7D2980A9" w14:textId="77777777" w:rsidR="005636C7" w:rsidRPr="002B26ED" w:rsidRDefault="005636C7" w:rsidP="005636C7">
      <w:pPr>
        <w:pStyle w:val="E3BodyText"/>
        <w:jc w:val="both"/>
      </w:pPr>
      <w:r w:rsidRPr="002B26ED" w:rsidDel="00636FB8">
        <w:t>B</w:t>
      </w:r>
      <w:r w:rsidRPr="002B26ED">
        <w:t>uyer behaviour</w:t>
      </w:r>
      <w:r w:rsidRPr="002B26ED" w:rsidDel="00636FB8">
        <w:t xml:space="preserve"> ha</w:t>
      </w:r>
      <w:r w:rsidRPr="002B26ED">
        <w:t>s</w:t>
      </w:r>
      <w:r w:rsidRPr="002B26ED" w:rsidDel="00636FB8">
        <w:t xml:space="preserve"> a consequence o</w:t>
      </w:r>
      <w:r w:rsidRPr="002B26ED">
        <w:t>n others.  There are s</w:t>
      </w:r>
      <w:r w:rsidRPr="002B26ED" w:rsidDel="00636FB8">
        <w:t xml:space="preserve">ignificant greenhouse gas and </w:t>
      </w:r>
      <w:r w:rsidRPr="002B26ED">
        <w:t xml:space="preserve">other atmospheric </w:t>
      </w:r>
      <w:r w:rsidRPr="002B26ED" w:rsidDel="00636FB8">
        <w:t>emissions (</w:t>
      </w:r>
      <w:r w:rsidRPr="002B26ED">
        <w:t>including n</w:t>
      </w:r>
      <w:r w:rsidRPr="002B26ED" w:rsidDel="00636FB8">
        <w:t>itrogen oxide</w:t>
      </w:r>
      <w:r w:rsidRPr="002B26ED">
        <w:t xml:space="preserve"> and s</w:t>
      </w:r>
      <w:r w:rsidRPr="002B26ED" w:rsidDel="00636FB8">
        <w:t xml:space="preserve">ulphur oxide) </w:t>
      </w:r>
      <w:r>
        <w:t>that</w:t>
      </w:r>
      <w:r w:rsidRPr="002B26ED">
        <w:t xml:space="preserve"> are </w:t>
      </w:r>
      <w:r w:rsidRPr="002B26ED" w:rsidDel="00636FB8">
        <w:t>produced from generating and using electricity (</w:t>
      </w:r>
      <w:r w:rsidRPr="002B26ED">
        <w:t xml:space="preserve">particularly </w:t>
      </w:r>
      <w:r w:rsidRPr="002B26ED" w:rsidDel="00636FB8">
        <w:t xml:space="preserve">in Australia, less so in New Zealand </w:t>
      </w:r>
      <w:r w:rsidRPr="002B26ED">
        <w:t xml:space="preserve">due to </w:t>
      </w:r>
      <w:r w:rsidRPr="002B26ED" w:rsidDel="00636FB8">
        <w:t>the significant hydro/renewable component)</w:t>
      </w:r>
      <w:r w:rsidRPr="002B26ED">
        <w:t>.</w:t>
      </w:r>
      <w:r w:rsidRPr="002B26ED">
        <w:rPr>
          <w:rStyle w:val="FootnoteReference"/>
        </w:rPr>
        <w:footnoteReference w:id="28"/>
      </w:r>
      <w:r w:rsidRPr="002B26ED" w:rsidDel="00636FB8">
        <w:t xml:space="preserve"> </w:t>
      </w:r>
      <w:r>
        <w:t xml:space="preserve"> However, buyers do not tend to take this into account when purchasing a refrigerated display cabinet. </w:t>
      </w:r>
    </w:p>
    <w:p w14:paraId="3C39DF96" w14:textId="77777777" w:rsidR="005636C7" w:rsidRDefault="005636C7" w:rsidP="005636C7">
      <w:pPr>
        <w:pStyle w:val="E3BodyText"/>
        <w:jc w:val="both"/>
        <w:rPr>
          <w:b/>
          <w:sz w:val="28"/>
          <w:szCs w:val="28"/>
        </w:rPr>
      </w:pPr>
      <w:r w:rsidRPr="002B26ED" w:rsidDel="00636FB8">
        <w:t xml:space="preserve">In the absence of </w:t>
      </w:r>
      <w:r w:rsidRPr="002B26ED">
        <w:t xml:space="preserve">regulatory measures </w:t>
      </w:r>
      <w:r>
        <w:t>to incorporate</w:t>
      </w:r>
      <w:r w:rsidRPr="002B26ED">
        <w:t xml:space="preserve"> the total environmental cost of electricity use</w:t>
      </w:r>
      <w:r>
        <w:t xml:space="preserve"> in the price for electricity</w:t>
      </w:r>
      <w:r w:rsidRPr="002B26ED" w:rsidDel="00636FB8">
        <w:t xml:space="preserve">, </w:t>
      </w:r>
      <w:r>
        <w:t>measures to promote the sales of more efficient commercial refrigeration products would act to reduce the electricity consumption and associated emissions attributed to commercial refrigeration.</w:t>
      </w:r>
      <w:r w:rsidRPr="002B26ED">
        <w:t xml:space="preserve"> </w:t>
      </w:r>
    </w:p>
    <w:p w14:paraId="11199463" w14:textId="77777777" w:rsidR="00EF6371" w:rsidRDefault="00EF6371">
      <w:pPr>
        <w:rPr>
          <w:rFonts w:ascii="Georgia" w:eastAsia="Calibri" w:hAnsi="Georgia" w:cs="Arial"/>
          <w:b/>
          <w:color w:val="000000" w:themeColor="text1"/>
          <w:szCs w:val="26"/>
          <w:lang w:val="en-US" w:eastAsia="en-US"/>
        </w:rPr>
      </w:pPr>
      <w:bookmarkStart w:id="102" w:name="_Toc494897962"/>
      <w:bookmarkStart w:id="103" w:name="_Toc494955758"/>
      <w:bookmarkStart w:id="104" w:name="_Toc494959566"/>
      <w:bookmarkStart w:id="105" w:name="_Toc494972692"/>
      <w:bookmarkStart w:id="106" w:name="_Toc494973879"/>
      <w:bookmarkStart w:id="107" w:name="_Toc494974568"/>
      <w:bookmarkStart w:id="108" w:name="_Toc500151793"/>
      <w:r>
        <w:rPr>
          <w:rFonts w:ascii="Georgia" w:hAnsi="Georgia"/>
        </w:rPr>
        <w:br w:type="page"/>
      </w:r>
    </w:p>
    <w:p w14:paraId="134351A4" w14:textId="58C4CDD7" w:rsidR="005636C7" w:rsidRPr="0041262C" w:rsidRDefault="005636C7" w:rsidP="005636C7">
      <w:pPr>
        <w:pStyle w:val="E3Heading2"/>
        <w:spacing w:line="360" w:lineRule="auto"/>
        <w:jc w:val="both"/>
        <w:rPr>
          <w:rFonts w:ascii="Georgia" w:hAnsi="Georgia"/>
          <w:sz w:val="24"/>
        </w:rPr>
      </w:pPr>
      <w:r w:rsidRPr="0041262C">
        <w:rPr>
          <w:rFonts w:ascii="Georgia" w:hAnsi="Georgia"/>
          <w:sz w:val="24"/>
        </w:rPr>
        <w:t>Conclusion</w:t>
      </w:r>
      <w:bookmarkEnd w:id="102"/>
      <w:bookmarkEnd w:id="103"/>
      <w:bookmarkEnd w:id="104"/>
      <w:bookmarkEnd w:id="105"/>
      <w:bookmarkEnd w:id="106"/>
      <w:bookmarkEnd w:id="107"/>
      <w:bookmarkEnd w:id="108"/>
    </w:p>
    <w:p w14:paraId="189FB362" w14:textId="77777777" w:rsidR="005636C7" w:rsidRPr="002B26ED" w:rsidRDefault="005636C7" w:rsidP="005636C7">
      <w:pPr>
        <w:pStyle w:val="E3BodyText"/>
        <w:jc w:val="both"/>
      </w:pPr>
      <w:r w:rsidRPr="002B26ED">
        <w:t>There are fundamental problems with the regulation of refrigerated commercial cabinets:</w:t>
      </w:r>
    </w:p>
    <w:p w14:paraId="41B16FEC" w14:textId="77777777" w:rsidR="005636C7" w:rsidRPr="00670E72" w:rsidRDefault="005636C7" w:rsidP="00670E72">
      <w:pPr>
        <w:pStyle w:val="ListBullet"/>
        <w:spacing w:line="276" w:lineRule="auto"/>
        <w:rPr>
          <w:rFonts w:ascii="Georgia" w:hAnsi="Georgia"/>
        </w:rPr>
      </w:pPr>
      <w:r w:rsidRPr="00670E72">
        <w:rPr>
          <w:rFonts w:ascii="Georgia" w:hAnsi="Georgia"/>
        </w:rPr>
        <w:t>Regulatory failures arising from the current standard AS 1731, which does not align with international standards although Australia and New Zealand import most of their refrigerated commercial cabinets; is complex and difficult to apply; excludes storage cabinets although these make up around one fifth of sales; and sets MEPS at levels that are too low to achieve their intended purpose.</w:t>
      </w:r>
    </w:p>
    <w:p w14:paraId="4F1F88D9" w14:textId="77777777" w:rsidR="005636C7" w:rsidRPr="00670E72" w:rsidRDefault="005636C7" w:rsidP="00670E72">
      <w:pPr>
        <w:pStyle w:val="E3Bullets"/>
        <w:spacing w:line="276" w:lineRule="auto"/>
        <w:ind w:left="227"/>
        <w:jc w:val="both"/>
      </w:pPr>
    </w:p>
    <w:p w14:paraId="07D1DE0D" w14:textId="77777777" w:rsidR="005636C7" w:rsidRPr="00670E72" w:rsidRDefault="005636C7" w:rsidP="00670E72">
      <w:pPr>
        <w:pStyle w:val="ListBullet"/>
        <w:spacing w:line="276" w:lineRule="auto"/>
        <w:rPr>
          <w:rFonts w:ascii="Georgia" w:hAnsi="Georgia"/>
        </w:rPr>
      </w:pPr>
      <w:r w:rsidRPr="00670E72">
        <w:rPr>
          <w:rFonts w:ascii="Georgia" w:hAnsi="Georgia"/>
        </w:rPr>
        <w:t>Information failures caused by a lack of available information about the relative energy consumption of commercial refrigeration products available on the market, which prevents buyers from knowing the total ownership and environmental costs of refrigerated display and storage cabinets</w:t>
      </w:r>
    </w:p>
    <w:p w14:paraId="19405DCF" w14:textId="77777777" w:rsidR="005636C7" w:rsidRPr="00670E72" w:rsidRDefault="005636C7" w:rsidP="00670E72">
      <w:pPr>
        <w:pStyle w:val="ListParagraph"/>
        <w:spacing w:line="276" w:lineRule="auto"/>
        <w:jc w:val="both"/>
        <w:rPr>
          <w:rFonts w:ascii="Georgia" w:hAnsi="Georgia"/>
        </w:rPr>
      </w:pPr>
    </w:p>
    <w:p w14:paraId="555B93CE" w14:textId="77777777" w:rsidR="005636C7" w:rsidRPr="00670E72" w:rsidRDefault="005636C7" w:rsidP="00670E72">
      <w:pPr>
        <w:pStyle w:val="ListBullet"/>
        <w:spacing w:line="276" w:lineRule="auto"/>
        <w:rPr>
          <w:rFonts w:ascii="Georgia" w:hAnsi="Georgia"/>
        </w:rPr>
      </w:pPr>
      <w:r w:rsidRPr="00670E72">
        <w:rPr>
          <w:rFonts w:ascii="Georgia" w:hAnsi="Georgia"/>
        </w:rPr>
        <w:t>Market failures stemming from split-incentives in the commercial cabinet supply chain which mean that the buyer may not be the end-user and may not prioritise whole-of-life costs, and an electricity price that does not reflect the total environment costs of using electricity.</w:t>
      </w:r>
    </w:p>
    <w:p w14:paraId="35423C39" w14:textId="77777777" w:rsidR="005636C7" w:rsidRDefault="005636C7" w:rsidP="005636C7">
      <w:pPr>
        <w:jc w:val="both"/>
      </w:pPr>
    </w:p>
    <w:p w14:paraId="490D303F" w14:textId="77777777" w:rsidR="005636C7" w:rsidRDefault="005636C7" w:rsidP="005636C7">
      <w:pPr>
        <w:jc w:val="both"/>
      </w:pPr>
    </w:p>
    <w:p w14:paraId="1A00BD0D" w14:textId="77777777" w:rsidR="005636C7" w:rsidRDefault="005636C7" w:rsidP="005636C7">
      <w:pPr>
        <w:jc w:val="both"/>
      </w:pPr>
    </w:p>
    <w:p w14:paraId="29615F3C" w14:textId="77777777" w:rsidR="005636C7" w:rsidRDefault="005636C7" w:rsidP="005636C7">
      <w:pPr>
        <w:jc w:val="both"/>
      </w:pPr>
    </w:p>
    <w:p w14:paraId="178F4D87" w14:textId="77777777" w:rsidR="005636C7" w:rsidRDefault="005636C7" w:rsidP="005636C7">
      <w:pPr>
        <w:jc w:val="both"/>
      </w:pPr>
    </w:p>
    <w:p w14:paraId="6F9DE784" w14:textId="77777777" w:rsidR="005636C7" w:rsidRDefault="005636C7" w:rsidP="005636C7">
      <w:pPr>
        <w:jc w:val="both"/>
      </w:pPr>
    </w:p>
    <w:p w14:paraId="17C7AAFE" w14:textId="77777777" w:rsidR="005636C7" w:rsidRDefault="005636C7" w:rsidP="005636C7">
      <w:pPr>
        <w:jc w:val="both"/>
      </w:pPr>
    </w:p>
    <w:p w14:paraId="61F78573" w14:textId="77777777" w:rsidR="005636C7" w:rsidRDefault="005636C7" w:rsidP="005636C7">
      <w:pPr>
        <w:jc w:val="both"/>
      </w:pPr>
    </w:p>
    <w:p w14:paraId="6FC768F0" w14:textId="77777777" w:rsidR="005636C7" w:rsidRDefault="005636C7" w:rsidP="005636C7">
      <w:pPr>
        <w:jc w:val="both"/>
      </w:pPr>
    </w:p>
    <w:p w14:paraId="5011A90F" w14:textId="77777777" w:rsidR="005636C7" w:rsidRDefault="005636C7" w:rsidP="005636C7">
      <w:pPr>
        <w:jc w:val="both"/>
      </w:pPr>
    </w:p>
    <w:p w14:paraId="508F979D" w14:textId="77777777" w:rsidR="005636C7" w:rsidRDefault="005636C7" w:rsidP="005636C7">
      <w:pPr>
        <w:jc w:val="both"/>
      </w:pPr>
    </w:p>
    <w:p w14:paraId="2FB842D8" w14:textId="77777777" w:rsidR="005636C7" w:rsidRDefault="005636C7" w:rsidP="005636C7">
      <w:pPr>
        <w:jc w:val="both"/>
      </w:pPr>
    </w:p>
    <w:p w14:paraId="4AE92605" w14:textId="77777777" w:rsidR="005636C7" w:rsidRDefault="005636C7" w:rsidP="005636C7">
      <w:pPr>
        <w:jc w:val="both"/>
      </w:pPr>
    </w:p>
    <w:p w14:paraId="6D646794" w14:textId="77777777" w:rsidR="005636C7" w:rsidRDefault="005636C7" w:rsidP="005636C7">
      <w:pPr>
        <w:jc w:val="both"/>
      </w:pPr>
    </w:p>
    <w:p w14:paraId="3FE689D5" w14:textId="77777777" w:rsidR="005636C7" w:rsidRDefault="005636C7" w:rsidP="005636C7"/>
    <w:p w14:paraId="0A428DF8" w14:textId="77777777" w:rsidR="005636C7" w:rsidRDefault="005636C7" w:rsidP="005636C7"/>
    <w:p w14:paraId="364D118D" w14:textId="77777777" w:rsidR="005636C7" w:rsidRDefault="005636C7" w:rsidP="005636C7"/>
    <w:p w14:paraId="45A71960" w14:textId="77777777" w:rsidR="005636C7" w:rsidRDefault="005636C7" w:rsidP="005636C7"/>
    <w:p w14:paraId="1F4B16EB" w14:textId="77777777" w:rsidR="0084482F" w:rsidRDefault="0084482F" w:rsidP="0084482F">
      <w:pPr>
        <w:pStyle w:val="E3ChapterTitle"/>
        <w:spacing w:after="0"/>
        <w:ind w:left="0"/>
      </w:pPr>
      <w:bookmarkStart w:id="109" w:name="_Toc500151794"/>
    </w:p>
    <w:p w14:paraId="3F3EE357" w14:textId="1EBAEE18" w:rsidR="004C0BBD" w:rsidRDefault="004C0BBD" w:rsidP="0084482F">
      <w:pPr>
        <w:pStyle w:val="E3ChapterTitle"/>
        <w:numPr>
          <w:ilvl w:val="0"/>
          <w:numId w:val="30"/>
        </w:numPr>
        <w:spacing w:after="840"/>
      </w:pPr>
      <w:r>
        <w:t>Objective</w:t>
      </w:r>
    </w:p>
    <w:p w14:paraId="4E33DBFF" w14:textId="3ACBCBA5" w:rsidR="00D40327" w:rsidRDefault="005636C7" w:rsidP="004C0BBD">
      <w:pPr>
        <w:pStyle w:val="E3ChapterTitle"/>
        <w:spacing w:after="120"/>
        <w:ind w:left="0"/>
      </w:pPr>
      <w:r>
        <w:rPr>
          <w:noProof/>
          <w:lang w:eastAsia="en-AU"/>
        </w:rPr>
        <w:drawing>
          <wp:anchor distT="0" distB="0" distL="114300" distR="114300" simplePos="0" relativeHeight="251662336" behindDoc="1" locked="1" layoutInCell="1" allowOverlap="1" wp14:anchorId="11CA79D9" wp14:editId="37505148">
            <wp:simplePos x="0" y="0"/>
            <wp:positionH relativeFrom="margin">
              <wp:posOffset>-285750</wp:posOffset>
            </wp:positionH>
            <wp:positionV relativeFrom="margin">
              <wp:align>top</wp:align>
            </wp:positionV>
            <wp:extent cx="6124575" cy="1800225"/>
            <wp:effectExtent l="0" t="0" r="9525" b="9525"/>
            <wp:wrapNone/>
            <wp:docPr id="20"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bookmarkStart w:id="110" w:name="_Toc500151795"/>
      <w:bookmarkEnd w:id="109"/>
    </w:p>
    <w:p w14:paraId="460301DD" w14:textId="30991CEA" w:rsidR="005636C7" w:rsidRDefault="005636C7" w:rsidP="005636C7">
      <w:pPr>
        <w:pStyle w:val="E3Heading2"/>
        <w:spacing w:after="240"/>
        <w:contextualSpacing w:val="0"/>
        <w:jc w:val="both"/>
      </w:pPr>
      <w:r w:rsidRPr="005875E7">
        <w:t>Why is government action needed?</w:t>
      </w:r>
      <w:bookmarkEnd w:id="110"/>
    </w:p>
    <w:p w14:paraId="7C6B65FB" w14:textId="77777777" w:rsidR="005636C7" w:rsidRPr="00066675" w:rsidRDefault="005636C7" w:rsidP="005636C7">
      <w:pPr>
        <w:pStyle w:val="E3BodyText"/>
        <w:jc w:val="both"/>
      </w:pPr>
      <w:r>
        <w:t xml:space="preserve">The current regulations impede the supply and purchase of energy efficient commercial refrigeration cabinets and prevent significant electricity savings and reduced emissions: </w:t>
      </w:r>
      <w:r w:rsidRPr="00066675">
        <w:t xml:space="preserve"> </w:t>
      </w:r>
    </w:p>
    <w:p w14:paraId="3F344133" w14:textId="77777777" w:rsidR="005636C7" w:rsidRPr="0084482F" w:rsidRDefault="005636C7" w:rsidP="0084482F">
      <w:pPr>
        <w:pStyle w:val="ListBullet"/>
        <w:spacing w:line="276" w:lineRule="auto"/>
        <w:rPr>
          <w:rFonts w:ascii="Georgia" w:hAnsi="Georgia"/>
        </w:rPr>
      </w:pPr>
      <w:r w:rsidRPr="0084482F">
        <w:rPr>
          <w:rFonts w:ascii="Georgia" w:hAnsi="Georgia"/>
        </w:rPr>
        <w:t>The current Standard AS 1731 is complex, making it confusing for industry and difficult to interpret.</w:t>
      </w:r>
    </w:p>
    <w:p w14:paraId="52B61479" w14:textId="77777777" w:rsidR="005636C7" w:rsidRPr="0084482F" w:rsidRDefault="005636C7" w:rsidP="0084482F">
      <w:pPr>
        <w:pStyle w:val="ListBullet"/>
        <w:spacing w:line="276" w:lineRule="auto"/>
        <w:rPr>
          <w:rFonts w:ascii="Georgia" w:hAnsi="Georgia"/>
        </w:rPr>
      </w:pPr>
      <w:r w:rsidRPr="0084482F">
        <w:rPr>
          <w:rFonts w:ascii="Georgia" w:hAnsi="Georgia"/>
        </w:rPr>
        <w:t>The AS 1731 standard is limited in scope and does not apply to the majority of storage cabinets (used for food storage and catering purposes) which are about 20% of the commercial cabinet market.</w:t>
      </w:r>
    </w:p>
    <w:p w14:paraId="2E3C42B8" w14:textId="77777777" w:rsidR="005636C7" w:rsidRPr="0084482F" w:rsidRDefault="005636C7" w:rsidP="0084482F">
      <w:pPr>
        <w:pStyle w:val="ListBullet"/>
        <w:spacing w:line="276" w:lineRule="auto"/>
        <w:rPr>
          <w:rFonts w:ascii="Georgia" w:hAnsi="Georgia"/>
        </w:rPr>
      </w:pPr>
      <w:r w:rsidRPr="0084482F">
        <w:rPr>
          <w:rFonts w:ascii="Georgia" w:hAnsi="Georgia"/>
        </w:rPr>
        <w:t>MEPS which do not align with the internationally accepted standards,</w:t>
      </w:r>
    </w:p>
    <w:p w14:paraId="58D861BC" w14:textId="77777777" w:rsidR="005636C7" w:rsidRPr="0084482F" w:rsidRDefault="005636C7" w:rsidP="0084482F">
      <w:pPr>
        <w:pStyle w:val="ListBullet"/>
        <w:spacing w:line="276" w:lineRule="auto"/>
        <w:rPr>
          <w:rFonts w:ascii="Georgia" w:hAnsi="Georgia"/>
        </w:rPr>
      </w:pPr>
      <w:r w:rsidRPr="0084482F">
        <w:rPr>
          <w:rFonts w:ascii="Georgia" w:hAnsi="Georgia"/>
        </w:rPr>
        <w:t xml:space="preserve">The current system does not provide meaningful information about which cabinets are the most efficient. </w:t>
      </w:r>
    </w:p>
    <w:p w14:paraId="002A61C9" w14:textId="77777777" w:rsidR="005636C7" w:rsidRPr="0084482F" w:rsidRDefault="005636C7" w:rsidP="0084482F">
      <w:pPr>
        <w:pStyle w:val="ListBullet"/>
        <w:spacing w:line="276" w:lineRule="auto"/>
        <w:rPr>
          <w:rFonts w:ascii="Georgia" w:hAnsi="Georgia"/>
        </w:rPr>
      </w:pPr>
      <w:r w:rsidRPr="0084482F">
        <w:rPr>
          <w:rFonts w:ascii="Georgia" w:hAnsi="Georgia"/>
        </w:rPr>
        <w:t xml:space="preserve">A lack of awareness about energy efficiency - information about relative energy efficiency is either not available at all, or is not readily accessible by buyers – resulting in a lack of awareness of the comparative energy efficiency of different cabinet options and the potential consequences (higher running costs, impact on energy use). </w:t>
      </w:r>
    </w:p>
    <w:p w14:paraId="74F6127D" w14:textId="77777777" w:rsidR="005636C7" w:rsidRDefault="005636C7" w:rsidP="005636C7">
      <w:pPr>
        <w:pStyle w:val="E3Heading2"/>
        <w:jc w:val="both"/>
      </w:pPr>
      <w:bookmarkStart w:id="111" w:name="_Toc494897964"/>
      <w:bookmarkStart w:id="112" w:name="_Toc494955760"/>
      <w:bookmarkStart w:id="113" w:name="_Toc494959568"/>
      <w:bookmarkStart w:id="114" w:name="_Toc494972694"/>
      <w:bookmarkStart w:id="115" w:name="_Toc494973881"/>
      <w:bookmarkStart w:id="116" w:name="_Toc494974570"/>
    </w:p>
    <w:p w14:paraId="1F3047A4" w14:textId="77777777" w:rsidR="005636C7" w:rsidRPr="005875E7" w:rsidRDefault="005636C7" w:rsidP="005636C7">
      <w:pPr>
        <w:pStyle w:val="E3Heading2"/>
        <w:contextualSpacing w:val="0"/>
        <w:jc w:val="both"/>
      </w:pPr>
      <w:bookmarkStart w:id="117" w:name="_Toc500151796"/>
      <w:r w:rsidRPr="005875E7">
        <w:t>The role of Government</w:t>
      </w:r>
      <w:bookmarkEnd w:id="111"/>
      <w:bookmarkEnd w:id="112"/>
      <w:bookmarkEnd w:id="113"/>
      <w:bookmarkEnd w:id="114"/>
      <w:bookmarkEnd w:id="115"/>
      <w:bookmarkEnd w:id="116"/>
      <w:bookmarkEnd w:id="117"/>
    </w:p>
    <w:p w14:paraId="1A39149B" w14:textId="77777777" w:rsidR="005636C7" w:rsidRPr="00EF0924" w:rsidRDefault="005636C7" w:rsidP="005636C7">
      <w:pPr>
        <w:spacing w:before="240"/>
        <w:jc w:val="both"/>
        <w:rPr>
          <w:rFonts w:cs="Arial"/>
        </w:rPr>
      </w:pPr>
      <w:r w:rsidRPr="00EF0924">
        <w:rPr>
          <w:rFonts w:cs="Arial"/>
        </w:rPr>
        <w:t>Despite proven, cost-effective opportunities to reduce energy use, a large portion of potential savings are not realised for various reasons, including:</w:t>
      </w:r>
    </w:p>
    <w:p w14:paraId="1AD8305D" w14:textId="77777777" w:rsidR="005636C7" w:rsidRPr="0084482F" w:rsidRDefault="005636C7" w:rsidP="0084482F">
      <w:pPr>
        <w:pStyle w:val="ListBullet"/>
        <w:spacing w:line="276" w:lineRule="auto"/>
        <w:rPr>
          <w:rFonts w:ascii="Georgia" w:hAnsi="Georgia"/>
        </w:rPr>
      </w:pPr>
      <w:r w:rsidRPr="0084482F">
        <w:rPr>
          <w:rFonts w:ascii="Georgia" w:hAnsi="Georgia"/>
        </w:rPr>
        <w:t>A lack of information (delivered at the right time and in the right way).</w:t>
      </w:r>
    </w:p>
    <w:p w14:paraId="72C42025" w14:textId="77777777" w:rsidR="005636C7" w:rsidRPr="0084482F" w:rsidRDefault="005636C7" w:rsidP="0084482F">
      <w:pPr>
        <w:pStyle w:val="ListBullet"/>
        <w:spacing w:line="276" w:lineRule="auto"/>
        <w:rPr>
          <w:rFonts w:ascii="Georgia" w:hAnsi="Georgia"/>
        </w:rPr>
      </w:pPr>
      <w:r w:rsidRPr="0084482F">
        <w:rPr>
          <w:rFonts w:ascii="Georgia" w:hAnsi="Georgia"/>
        </w:rPr>
        <w:t>A lack of awareness by energy users and decision-makers about why they should act (the size and nature of the opportunity, including true lifetime costs and benefits), and what action is best for them, and how they can access the information they need to make informed decisions.</w:t>
      </w:r>
    </w:p>
    <w:p w14:paraId="69122CC4" w14:textId="77777777" w:rsidR="005636C7" w:rsidRPr="0084482F" w:rsidRDefault="005636C7" w:rsidP="0084482F">
      <w:pPr>
        <w:pStyle w:val="ListBullet"/>
        <w:spacing w:line="276" w:lineRule="auto"/>
        <w:rPr>
          <w:rFonts w:ascii="Georgia" w:hAnsi="Georgia"/>
        </w:rPr>
      </w:pPr>
      <w:r w:rsidRPr="0084482F">
        <w:rPr>
          <w:rFonts w:ascii="Georgia" w:hAnsi="Georgia"/>
        </w:rPr>
        <w:t>A lack of capability – people, skills, and processes – to take effective action.</w:t>
      </w:r>
    </w:p>
    <w:p w14:paraId="794C48D2" w14:textId="77777777" w:rsidR="005636C7" w:rsidRPr="0084482F" w:rsidRDefault="005636C7" w:rsidP="0084482F">
      <w:pPr>
        <w:pStyle w:val="ListBullet"/>
        <w:spacing w:line="276" w:lineRule="auto"/>
        <w:rPr>
          <w:rFonts w:ascii="Georgia" w:hAnsi="Georgia"/>
        </w:rPr>
      </w:pPr>
      <w:r w:rsidRPr="0084482F">
        <w:rPr>
          <w:rFonts w:ascii="Georgia" w:hAnsi="Georgia"/>
        </w:rPr>
        <w:t>Low prioritisation of energy efficiency above other, more pressing issues – such as production deadlines, health and safety issues, or day-to-day business pressures.</w:t>
      </w:r>
    </w:p>
    <w:p w14:paraId="7E929686" w14:textId="77777777" w:rsidR="005636C7" w:rsidRPr="0084482F" w:rsidRDefault="005636C7" w:rsidP="0084482F">
      <w:pPr>
        <w:pStyle w:val="ListBullet"/>
        <w:spacing w:line="276" w:lineRule="auto"/>
        <w:rPr>
          <w:rFonts w:ascii="Georgia" w:hAnsi="Georgia"/>
        </w:rPr>
      </w:pPr>
      <w:r w:rsidRPr="0084482F">
        <w:rPr>
          <w:rFonts w:ascii="Georgia" w:hAnsi="Georgia"/>
        </w:rPr>
        <w:t>Capital constraints – which mean that a business perceives that it cannot afford to take on the up-front costs of an energy efficiency measure, even one with a short pay-back period.</w:t>
      </w:r>
    </w:p>
    <w:p w14:paraId="58A584CB" w14:textId="77777777" w:rsidR="005636C7" w:rsidRPr="00F20882" w:rsidRDefault="005636C7" w:rsidP="005636C7">
      <w:pPr>
        <w:pStyle w:val="E3Bullets"/>
        <w:ind w:left="227"/>
        <w:jc w:val="both"/>
      </w:pPr>
    </w:p>
    <w:p w14:paraId="60E45229" w14:textId="77777777" w:rsidR="005636C7" w:rsidRPr="00D6184A" w:rsidRDefault="005636C7" w:rsidP="005636C7">
      <w:pPr>
        <w:pStyle w:val="E3Heading2"/>
        <w:spacing w:before="240"/>
        <w:contextualSpacing w:val="0"/>
        <w:jc w:val="both"/>
      </w:pPr>
      <w:bookmarkStart w:id="118" w:name="_Toc500151797"/>
      <w:bookmarkStart w:id="119" w:name="_Toc494897965"/>
      <w:bookmarkStart w:id="120" w:name="_Toc494955761"/>
      <w:bookmarkStart w:id="121" w:name="_Toc494959569"/>
      <w:bookmarkStart w:id="122" w:name="_Toc494972695"/>
      <w:bookmarkStart w:id="123" w:name="_Toc494973882"/>
      <w:bookmarkStart w:id="124" w:name="_Toc494974571"/>
      <w:r w:rsidRPr="005875E7">
        <w:t>Policy options</w:t>
      </w:r>
      <w:bookmarkEnd w:id="118"/>
      <w:r w:rsidRPr="005875E7">
        <w:t xml:space="preserve"> </w:t>
      </w:r>
      <w:bookmarkEnd w:id="119"/>
      <w:bookmarkEnd w:id="120"/>
      <w:bookmarkEnd w:id="121"/>
      <w:bookmarkEnd w:id="122"/>
      <w:bookmarkEnd w:id="123"/>
      <w:bookmarkEnd w:id="124"/>
    </w:p>
    <w:p w14:paraId="3230D6BF" w14:textId="77777777" w:rsidR="005636C7" w:rsidRPr="00066675" w:rsidRDefault="005636C7" w:rsidP="005636C7">
      <w:pPr>
        <w:pStyle w:val="E3BodyText"/>
        <w:jc w:val="both"/>
      </w:pPr>
      <w:r w:rsidRPr="00066675">
        <w:t>The policy options presented in this RIS are directed at improving the average energy efficiency of refrigerated commercial cabinets sold into the Australian and New Zealand and keeping businesses competitive with overseas markets</w:t>
      </w:r>
      <w:r>
        <w:t>. They are intended to</w:t>
      </w:r>
      <w:r w:rsidRPr="00066675">
        <w:t>:</w:t>
      </w:r>
    </w:p>
    <w:p w14:paraId="16AB2DCA"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Encourage more efficient refrigerated cabinets to enter the stock, with efficient new technologies becoming main stream within the industry. </w:t>
      </w:r>
    </w:p>
    <w:p w14:paraId="40084E0A"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Enable buyers and users to identify efficient units and have confidence in their cabinet selections. </w:t>
      </w:r>
    </w:p>
    <w:p w14:paraId="19A69D31"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Reduce the cost of compliance for suppliers.  </w:t>
      </w:r>
    </w:p>
    <w:p w14:paraId="27E92630"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Keep the local market competitive with worldwide trends. </w:t>
      </w:r>
    </w:p>
    <w:p w14:paraId="366ABA8F" w14:textId="77777777" w:rsidR="005636C7" w:rsidRPr="009F4EBA" w:rsidRDefault="005636C7" w:rsidP="009F4EBA">
      <w:pPr>
        <w:pStyle w:val="ListBullet"/>
        <w:spacing w:line="276" w:lineRule="auto"/>
        <w:rPr>
          <w:rFonts w:ascii="Georgia" w:hAnsi="Georgia"/>
        </w:rPr>
      </w:pPr>
      <w:r w:rsidRPr="009F4EBA">
        <w:rPr>
          <w:rFonts w:ascii="Georgia" w:hAnsi="Georgia"/>
        </w:rPr>
        <w:t>Improve energy efficiency and thereby reduce greenhouse gas emissions, which will help both countries meet climate related commitments.</w:t>
      </w:r>
    </w:p>
    <w:p w14:paraId="3783BF7D" w14:textId="77777777" w:rsidR="005636C7" w:rsidRDefault="005636C7" w:rsidP="000F6ACF">
      <w:pPr>
        <w:pStyle w:val="E3Bullets"/>
        <w:numPr>
          <w:ilvl w:val="1"/>
          <w:numId w:val="9"/>
        </w:numPr>
        <w:autoSpaceDE/>
        <w:autoSpaceDN/>
        <w:adjustRightInd/>
        <w:spacing w:before="240" w:after="240" w:line="278" w:lineRule="auto"/>
        <w:jc w:val="both"/>
      </w:pPr>
      <w:r w:rsidRPr="00AC7259">
        <w:t xml:space="preserve">For New Zealand, the policy proposals seek to promote and improve the efficient use of energy, which is a priority under the </w:t>
      </w:r>
      <w:r w:rsidRPr="00AC7259">
        <w:rPr>
          <w:i/>
        </w:rPr>
        <w:t xml:space="preserve">New Zealand Energy Strategy 2011-2021 </w:t>
      </w:r>
      <w:r w:rsidRPr="00AC7259">
        <w:t xml:space="preserve">and the </w:t>
      </w:r>
      <w:r w:rsidRPr="00AC7259">
        <w:rPr>
          <w:i/>
        </w:rPr>
        <w:t>New Zealand Energy Efficienc</w:t>
      </w:r>
      <w:r>
        <w:rPr>
          <w:i/>
        </w:rPr>
        <w:t>y and Conservation Strategy 2017-2022.</w:t>
      </w:r>
      <w:r w:rsidRPr="00AC7259">
        <w:rPr>
          <w:i/>
        </w:rPr>
        <w:t xml:space="preserve"> </w:t>
      </w:r>
      <w:r w:rsidRPr="00AC7259">
        <w:t xml:space="preserve">The proposals also contribute to the New Zealand Government’s post-2020 climate change target to reduce greenhouse gas emissions to 30 per cent below 2005 levels by 2030. In addition, they contribute to the </w:t>
      </w:r>
      <w:r w:rsidRPr="00AC7259">
        <w:rPr>
          <w:i/>
        </w:rPr>
        <w:t xml:space="preserve">Business Growth Agenda’s </w:t>
      </w:r>
      <w:r w:rsidRPr="00AC7259">
        <w:t>objective of promoting energy efficiency and the use of renewable energy to build a more competitive and productive economy.</w:t>
      </w:r>
    </w:p>
    <w:p w14:paraId="5455F972" w14:textId="77777777" w:rsidR="005636C7" w:rsidRDefault="005636C7" w:rsidP="005636C7">
      <w:pPr>
        <w:pStyle w:val="E3Bullets"/>
        <w:spacing w:before="240" w:after="240"/>
        <w:ind w:left="1080"/>
        <w:jc w:val="both"/>
      </w:pPr>
    </w:p>
    <w:p w14:paraId="014F7EDB" w14:textId="77777777" w:rsidR="005636C7" w:rsidRDefault="005636C7" w:rsidP="000F6ACF">
      <w:pPr>
        <w:pStyle w:val="E3Bullets"/>
        <w:numPr>
          <w:ilvl w:val="1"/>
          <w:numId w:val="9"/>
        </w:numPr>
        <w:autoSpaceDE/>
        <w:autoSpaceDN/>
        <w:adjustRightInd/>
        <w:spacing w:before="240" w:after="240" w:line="278" w:lineRule="auto"/>
        <w:jc w:val="both"/>
      </w:pPr>
      <w:r>
        <w:t>The policy objectives also contribute to the COAG Energy Council’s National Energy Productivity Plan.  This plan aims to improve Australia’s productivity by 40 per cent by 2030, to increase the economic benefit from each unit of energy consumed.  Improving the regulations will also contribute to the Australian Government’s target to reduce greenhouse gas emissions to 26 to 28 percent below 2005 levels by 2030.</w:t>
      </w:r>
    </w:p>
    <w:p w14:paraId="77521818"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The options proposed in the next section would help to curb growth in energy demand thereby deferring the need to invest in new energy supply infrastructure. In addition these options would help New Zealand to meet most of its stationary energy needs from renewable or low emissions energy sources. </w:t>
      </w:r>
    </w:p>
    <w:p w14:paraId="23733C51" w14:textId="77777777" w:rsidR="005636C7" w:rsidRPr="009F4EBA" w:rsidRDefault="005636C7" w:rsidP="009F4EBA">
      <w:pPr>
        <w:pStyle w:val="ListBullet"/>
        <w:spacing w:line="276" w:lineRule="auto"/>
        <w:rPr>
          <w:rFonts w:ascii="Georgia" w:hAnsi="Georgia"/>
        </w:rPr>
      </w:pPr>
      <w:r w:rsidRPr="009F4EBA">
        <w:rPr>
          <w:rFonts w:ascii="Georgia" w:hAnsi="Georgia"/>
        </w:rPr>
        <w:t xml:space="preserve"> The proposed options would also help ensure that regulation remains relevant and effective over time.</w:t>
      </w:r>
    </w:p>
    <w:p w14:paraId="16DDC2F9" w14:textId="77777777" w:rsidR="005636C7" w:rsidRDefault="005636C7" w:rsidP="005636C7">
      <w:pPr>
        <w:tabs>
          <w:tab w:val="left" w:pos="1185"/>
        </w:tabs>
        <w:jc w:val="both"/>
        <w:rPr>
          <w:szCs w:val="19"/>
        </w:rPr>
      </w:pPr>
      <w:r>
        <w:rPr>
          <w:szCs w:val="19"/>
        </w:rPr>
        <w:br w:type="page"/>
      </w:r>
    </w:p>
    <w:p w14:paraId="548D923D" w14:textId="77777777" w:rsidR="005636C7" w:rsidRDefault="005636C7" w:rsidP="005636C7">
      <w:pPr>
        <w:tabs>
          <w:tab w:val="left" w:pos="1185"/>
        </w:tabs>
        <w:rPr>
          <w:szCs w:val="19"/>
        </w:rPr>
      </w:pPr>
    </w:p>
    <w:p w14:paraId="56300873" w14:textId="77777777" w:rsidR="005636C7" w:rsidRDefault="005636C7" w:rsidP="005636C7">
      <w:pPr>
        <w:tabs>
          <w:tab w:val="left" w:pos="1185"/>
        </w:tabs>
        <w:rPr>
          <w:szCs w:val="19"/>
        </w:rPr>
      </w:pPr>
    </w:p>
    <w:p w14:paraId="0BC0F8E6" w14:textId="77777777" w:rsidR="005636C7" w:rsidRDefault="005636C7" w:rsidP="000F6ACF">
      <w:pPr>
        <w:pStyle w:val="E3ChapterTitle"/>
        <w:numPr>
          <w:ilvl w:val="0"/>
          <w:numId w:val="30"/>
        </w:numPr>
      </w:pPr>
      <w:bookmarkStart w:id="125" w:name="_Toc500151798"/>
      <w:r>
        <w:t>Options</w:t>
      </w:r>
      <w:r>
        <w:rPr>
          <w:noProof/>
          <w:lang w:eastAsia="en-AU"/>
        </w:rPr>
        <w:drawing>
          <wp:anchor distT="0" distB="0" distL="114300" distR="114300" simplePos="0" relativeHeight="251663360" behindDoc="1" locked="1" layoutInCell="1" allowOverlap="1" wp14:anchorId="6A9A0794" wp14:editId="32219827">
            <wp:simplePos x="0" y="0"/>
            <wp:positionH relativeFrom="margin">
              <wp:align>left</wp:align>
            </wp:positionH>
            <wp:positionV relativeFrom="margin">
              <wp:posOffset>-304800</wp:posOffset>
            </wp:positionV>
            <wp:extent cx="6124575" cy="1800225"/>
            <wp:effectExtent l="0" t="0" r="9525" b="9525"/>
            <wp:wrapNone/>
            <wp:docPr id="21"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bookmarkEnd w:id="125"/>
      <w:r>
        <w:tab/>
      </w:r>
    </w:p>
    <w:p w14:paraId="05195039" w14:textId="77777777" w:rsidR="005636C7" w:rsidRPr="00066675" w:rsidRDefault="005636C7" w:rsidP="005636C7">
      <w:pPr>
        <w:pStyle w:val="E3BodyText"/>
        <w:jc w:val="both"/>
      </w:pPr>
      <w:r>
        <w:t xml:space="preserve">This RIS considers policy options to achieve the objectives and resolve the problems identified with the current regulations. </w:t>
      </w:r>
      <w:r w:rsidRPr="00066675">
        <w:t xml:space="preserve">The policy proposals incorporate </w:t>
      </w:r>
      <w:r>
        <w:t>b</w:t>
      </w:r>
      <w:r w:rsidRPr="00066675">
        <w:t xml:space="preserve">usiness as </w:t>
      </w:r>
      <w:r>
        <w:t>u</w:t>
      </w:r>
      <w:r w:rsidRPr="00066675">
        <w:t xml:space="preserve">sual (BAU), regulatory and non-regulatory options. The </w:t>
      </w:r>
      <w:r>
        <w:t xml:space="preserve">addition </w:t>
      </w:r>
      <w:r w:rsidRPr="00066675">
        <w:t xml:space="preserve">of </w:t>
      </w:r>
      <w:r>
        <w:t>voluntary online labelling to all regulatory options is also considered.</w:t>
      </w:r>
    </w:p>
    <w:p w14:paraId="372744D1" w14:textId="77777777" w:rsidR="005636C7" w:rsidRPr="00066675" w:rsidRDefault="005636C7" w:rsidP="005636C7">
      <w:pPr>
        <w:pStyle w:val="E3BodyText"/>
        <w:jc w:val="both"/>
      </w:pPr>
      <w:r w:rsidRPr="00066675">
        <w:t>In many countries, policy interventions such as MEPS and energy labelling have been effective at tackling market failures and yielding significant benefits</w:t>
      </w:r>
      <w:r>
        <w:t xml:space="preserve"> for</w:t>
      </w:r>
      <w:r w:rsidRPr="00066675">
        <w:t xml:space="preserve"> consumers and businesses compared </w:t>
      </w:r>
      <w:r>
        <w:t>with the</w:t>
      </w:r>
      <w:r w:rsidRPr="00066675">
        <w:t xml:space="preserve"> costs</w:t>
      </w:r>
      <w:r>
        <w:t xml:space="preserve"> of these measures  the</w:t>
      </w:r>
      <w:r w:rsidRPr="00066675">
        <w:t xml:space="preserve"> and burden</w:t>
      </w:r>
      <w:r>
        <w:t xml:space="preserve"> they place</w:t>
      </w:r>
      <w:r w:rsidRPr="00066675">
        <w:t xml:space="preserve"> on industry.  </w:t>
      </w:r>
    </w:p>
    <w:p w14:paraId="7887E2E9" w14:textId="77777777" w:rsidR="005636C7" w:rsidRPr="00066675" w:rsidRDefault="005636C7" w:rsidP="005636C7">
      <w:pPr>
        <w:pStyle w:val="E3BodyText"/>
        <w:jc w:val="both"/>
      </w:pPr>
      <w:r w:rsidRPr="00066675">
        <w:t>MEPS are typically mandatory because regulation, with good compliance, delivers certainty and consistent outcomes for businesses and consumers.  Voluntary agreements and other alternatives to MEPS appear successful only in specific circumstances, such as when markets are dominated by a limited number of domestic manufacturers, with similar (high) technical competen</w:t>
      </w:r>
      <w:r>
        <w:t>ce</w:t>
      </w:r>
      <w:r w:rsidRPr="00066675">
        <w:t xml:space="preserve"> and incentives to develop energy efficient products.</w:t>
      </w:r>
    </w:p>
    <w:p w14:paraId="1018EE72" w14:textId="77777777" w:rsidR="005636C7" w:rsidRDefault="005636C7" w:rsidP="005636C7">
      <w:pPr>
        <w:pStyle w:val="E3BodyText"/>
        <w:jc w:val="both"/>
      </w:pPr>
      <w:r w:rsidRPr="00066675">
        <w:t xml:space="preserve">All </w:t>
      </w:r>
      <w:r>
        <w:t xml:space="preserve">proposed </w:t>
      </w:r>
      <w:r w:rsidRPr="00066675">
        <w:t xml:space="preserve">regulatory options include adopting </w:t>
      </w:r>
      <w:r>
        <w:t xml:space="preserve">the </w:t>
      </w:r>
      <w:r w:rsidRPr="00066675">
        <w:t xml:space="preserve">ISO </w:t>
      </w:r>
      <w:r>
        <w:t xml:space="preserve">23953 Standard </w:t>
      </w:r>
      <w:r w:rsidRPr="00066675">
        <w:t xml:space="preserve">for </w:t>
      </w:r>
      <w:r>
        <w:t>r</w:t>
      </w:r>
      <w:r w:rsidRPr="00066675">
        <w:t xml:space="preserve">efrigerated display cabinets </w:t>
      </w:r>
      <w:r>
        <w:t>and beverage cabinets</w:t>
      </w:r>
      <w:r w:rsidRPr="00066675">
        <w:t>, and European test methods for storage cabinets and other cabinet</w:t>
      </w:r>
      <w:r>
        <w:t xml:space="preserve"> types (ice-cream and</w:t>
      </w:r>
      <w:r w:rsidRPr="00066675">
        <w:t xml:space="preserve"> gelato</w:t>
      </w:r>
      <w:r>
        <w:t>), from 1 December 2019.</w:t>
      </w:r>
      <w:r w:rsidRPr="00066675">
        <w:t xml:space="preserve"> </w:t>
      </w:r>
    </w:p>
    <w:p w14:paraId="2780512D" w14:textId="77777777" w:rsidR="005636C7" w:rsidRDefault="005636C7" w:rsidP="005636C7">
      <w:pPr>
        <w:pStyle w:val="E3BodyText"/>
        <w:jc w:val="both"/>
      </w:pPr>
      <w:r w:rsidRPr="00066675">
        <w:t>If adopted</w:t>
      </w:r>
      <w:r>
        <w:t xml:space="preserve"> these S</w:t>
      </w:r>
      <w:r w:rsidRPr="00066675">
        <w:t>tandards would cover a much wider range of refrigeration equipment that perform</w:t>
      </w:r>
      <w:r>
        <w:t>s</w:t>
      </w:r>
      <w:r w:rsidRPr="00066675">
        <w:t xml:space="preserve"> similar functions and </w:t>
      </w:r>
      <w:r>
        <w:t xml:space="preserve">has </w:t>
      </w:r>
      <w:r w:rsidRPr="00066675">
        <w:t xml:space="preserve">similar characteristics to those already regulated in Australia and New Zealand. Regulatory options also include developing </w:t>
      </w:r>
      <w:r>
        <w:t xml:space="preserve">Australian and New Zealand </w:t>
      </w:r>
      <w:r w:rsidRPr="00066675">
        <w:t xml:space="preserve">MEPS levels for this </w:t>
      </w:r>
      <w:r>
        <w:t xml:space="preserve">broader </w:t>
      </w:r>
      <w:r w:rsidRPr="00066675">
        <w:t xml:space="preserve">range of cabinets </w:t>
      </w:r>
      <w:r>
        <w:t xml:space="preserve">which </w:t>
      </w:r>
      <w:r w:rsidRPr="00066675">
        <w:t>align with the European Commission MEPS levels (EC MEPS)</w:t>
      </w:r>
      <w:r>
        <w:t>.</w:t>
      </w:r>
      <w:r w:rsidRPr="00066675">
        <w:rPr>
          <w:rStyle w:val="FootnoteReference"/>
        </w:rPr>
        <w:footnoteReference w:id="29"/>
      </w:r>
    </w:p>
    <w:p w14:paraId="00B6E2F3" w14:textId="77777777" w:rsidR="005636C7" w:rsidRDefault="005636C7" w:rsidP="005636C7">
      <w:pPr>
        <w:pStyle w:val="E3BodyText"/>
        <w:jc w:val="both"/>
      </w:pPr>
      <w:r>
        <w:t xml:space="preserve"> </w:t>
      </w:r>
    </w:p>
    <w:p w14:paraId="032D2F37" w14:textId="77777777" w:rsidR="005636C7" w:rsidRDefault="005636C7" w:rsidP="005636C7">
      <w:pPr>
        <w:pStyle w:val="E3Heading2"/>
        <w:jc w:val="both"/>
      </w:pPr>
      <w:bookmarkStart w:id="126" w:name="_Toc500151799"/>
      <w:r w:rsidRPr="0041262C">
        <w:t>Policy options under consideration</w:t>
      </w:r>
      <w:bookmarkEnd w:id="126"/>
    </w:p>
    <w:p w14:paraId="77790787" w14:textId="77777777" w:rsidR="005636C7" w:rsidRPr="00066675" w:rsidRDefault="005636C7" w:rsidP="005636C7">
      <w:pPr>
        <w:pStyle w:val="E3Bullets"/>
        <w:jc w:val="both"/>
      </w:pPr>
      <w:r w:rsidRPr="00066675">
        <w:rPr>
          <w:b/>
        </w:rPr>
        <w:t xml:space="preserve">Option 1 </w:t>
      </w:r>
      <w:r w:rsidRPr="00066675">
        <w:t>is</w:t>
      </w:r>
      <w:r w:rsidRPr="00105013">
        <w:t xml:space="preserve"> </w:t>
      </w:r>
      <w:r>
        <w:t>Business as u</w:t>
      </w:r>
      <w:r w:rsidRPr="0009059E">
        <w:t>sual (BAU):</w:t>
      </w:r>
      <w:r w:rsidRPr="00066675">
        <w:rPr>
          <w:b/>
        </w:rPr>
        <w:t xml:space="preserve"> </w:t>
      </w:r>
      <w:r w:rsidRPr="00066675">
        <w:t>no changes to the existing requirements.</w:t>
      </w:r>
    </w:p>
    <w:p w14:paraId="7922B45F" w14:textId="77777777" w:rsidR="005636C7" w:rsidRPr="00066675" w:rsidRDefault="005636C7" w:rsidP="005636C7">
      <w:pPr>
        <w:pStyle w:val="E3Bullets"/>
        <w:ind w:left="227" w:hanging="227"/>
        <w:jc w:val="both"/>
      </w:pPr>
    </w:p>
    <w:p w14:paraId="39B69318" w14:textId="77777777" w:rsidR="00EF6371" w:rsidRDefault="00EF6371">
      <w:pPr>
        <w:rPr>
          <w:rFonts w:ascii="Georgia" w:eastAsia="Calibri" w:hAnsi="Georgia" w:cs="Georgia"/>
          <w:b/>
          <w:color w:val="000000"/>
          <w:szCs w:val="19"/>
          <w:lang w:val="en-US" w:eastAsia="en-US"/>
        </w:rPr>
      </w:pPr>
      <w:r>
        <w:rPr>
          <w:b/>
        </w:rPr>
        <w:br w:type="page"/>
      </w:r>
    </w:p>
    <w:p w14:paraId="436E8870" w14:textId="7A877593" w:rsidR="005636C7" w:rsidRDefault="005636C7" w:rsidP="005636C7">
      <w:pPr>
        <w:pStyle w:val="E3Bullets"/>
        <w:jc w:val="both"/>
      </w:pPr>
      <w:r w:rsidRPr="00066675">
        <w:rPr>
          <w:b/>
        </w:rPr>
        <w:t xml:space="preserve">Option 2 </w:t>
      </w:r>
      <w:r>
        <w:t xml:space="preserve">involves </w:t>
      </w:r>
      <w:r w:rsidRPr="00066675">
        <w:t xml:space="preserve">adopting the ISO and EN test methods but setting local MEPS levels for Australia and New Zealand to improve the least efficient </w:t>
      </w:r>
      <w:r w:rsidRPr="00066675">
        <w:rPr>
          <w:b/>
        </w:rPr>
        <w:t>10%</w:t>
      </w:r>
      <w:r w:rsidRPr="00066675">
        <w:t xml:space="preserve"> of cabinets, in groups similar to those proposed by the E</w:t>
      </w:r>
      <w:r>
        <w:t>C MEPS process. Online energy rating information is added</w:t>
      </w:r>
      <w:r w:rsidRPr="00066675">
        <w:t xml:space="preserve">. </w:t>
      </w:r>
      <w:r>
        <w:t xml:space="preserve">A “deemed to comply” method of compliance is also included for low volume products. </w:t>
      </w:r>
    </w:p>
    <w:p w14:paraId="02750822" w14:textId="77777777" w:rsidR="005636C7" w:rsidRPr="00066675" w:rsidRDefault="005636C7" w:rsidP="005636C7">
      <w:pPr>
        <w:pStyle w:val="E3Bullets"/>
        <w:jc w:val="both"/>
      </w:pPr>
    </w:p>
    <w:p w14:paraId="5EC5B2DA" w14:textId="77777777" w:rsidR="005636C7" w:rsidRDefault="005636C7" w:rsidP="005636C7">
      <w:pPr>
        <w:pStyle w:val="E3Bullets"/>
        <w:jc w:val="both"/>
      </w:pPr>
      <w:r w:rsidRPr="00066675">
        <w:rPr>
          <w:b/>
        </w:rPr>
        <w:t xml:space="preserve">Option 3 </w:t>
      </w:r>
      <w:r>
        <w:t xml:space="preserve">looks at </w:t>
      </w:r>
      <w:r w:rsidRPr="00066675">
        <w:t xml:space="preserve">adopting the ISO and EN test methods but setting local MEPS levels for Australia and New Zealand to improve the least efficient </w:t>
      </w:r>
      <w:r w:rsidRPr="00066675">
        <w:rPr>
          <w:b/>
        </w:rPr>
        <w:t>30%</w:t>
      </w:r>
      <w:r w:rsidRPr="00066675">
        <w:t xml:space="preserve"> of cabinets, in groups similar to those proposed by the EC MEPS proc</w:t>
      </w:r>
      <w:r>
        <w:t>ess. Online energy rating information</w:t>
      </w:r>
      <w:r w:rsidRPr="00066675">
        <w:t xml:space="preserve"> is</w:t>
      </w:r>
      <w:r>
        <w:t xml:space="preserve"> added</w:t>
      </w:r>
      <w:r w:rsidRPr="00066675">
        <w:t>.</w:t>
      </w:r>
      <w:r w:rsidRPr="00CE6C5A">
        <w:t xml:space="preserve"> </w:t>
      </w:r>
      <w:r>
        <w:t xml:space="preserve">A “deemed to comply” method of compliance is also included for low volume products. </w:t>
      </w:r>
    </w:p>
    <w:p w14:paraId="616B3F5F" w14:textId="77777777" w:rsidR="005636C7" w:rsidRPr="00066675" w:rsidRDefault="005636C7" w:rsidP="005636C7">
      <w:pPr>
        <w:pStyle w:val="E3Bullets"/>
        <w:jc w:val="both"/>
      </w:pPr>
    </w:p>
    <w:p w14:paraId="6A6AF8C0" w14:textId="77777777" w:rsidR="005636C7" w:rsidRDefault="005636C7" w:rsidP="005636C7">
      <w:pPr>
        <w:pStyle w:val="E3Bullets"/>
        <w:jc w:val="both"/>
      </w:pPr>
      <w:r w:rsidRPr="00066675">
        <w:rPr>
          <w:b/>
        </w:rPr>
        <w:t>Option 4</w:t>
      </w:r>
      <w:r>
        <w:t xml:space="preserve">involves </w:t>
      </w:r>
      <w:r w:rsidRPr="00066675">
        <w:t xml:space="preserve">adopting the ISO and EN test methods and </w:t>
      </w:r>
      <w:r>
        <w:t xml:space="preserve">developing AU/NZ MEPS which align with or are similar to published or draft </w:t>
      </w:r>
      <w:r w:rsidRPr="00066675">
        <w:t>EC MEPS levels (posed per group)</w:t>
      </w:r>
      <w:r>
        <w:t>, modelled from 2019</w:t>
      </w:r>
      <w:r w:rsidRPr="00066675">
        <w:t>.</w:t>
      </w:r>
      <w:r>
        <w:rPr>
          <w:rStyle w:val="FootnoteReference"/>
        </w:rPr>
        <w:footnoteReference w:id="30"/>
      </w:r>
      <w:r w:rsidRPr="00066675">
        <w:t xml:space="preserve"> Overall this approach affects approximately </w:t>
      </w:r>
      <w:r>
        <w:t>25</w:t>
      </w:r>
      <w:r w:rsidRPr="00066675">
        <w:t xml:space="preserve">% of </w:t>
      </w:r>
      <w:r>
        <w:t>registrations</w:t>
      </w:r>
      <w:r w:rsidRPr="00066675">
        <w:t xml:space="preserve"> but some types are more affected than others</w:t>
      </w:r>
      <w:r>
        <w:t>. Online energy rating</w:t>
      </w:r>
      <w:r w:rsidRPr="00066675">
        <w:t xml:space="preserve"> </w:t>
      </w:r>
      <w:r>
        <w:t xml:space="preserve">information </w:t>
      </w:r>
      <w:r w:rsidRPr="00066675">
        <w:t xml:space="preserve">is </w:t>
      </w:r>
      <w:r>
        <w:t xml:space="preserve">added. A “deemed to comply” method of compliance is also included for low volume products. </w:t>
      </w:r>
    </w:p>
    <w:p w14:paraId="24D5C467" w14:textId="77777777" w:rsidR="005636C7" w:rsidRDefault="005636C7" w:rsidP="005636C7">
      <w:pPr>
        <w:pStyle w:val="E3Bullets"/>
        <w:jc w:val="both"/>
      </w:pPr>
    </w:p>
    <w:p w14:paraId="37DC776A" w14:textId="77777777" w:rsidR="005636C7" w:rsidRPr="00066675" w:rsidRDefault="005636C7" w:rsidP="005636C7">
      <w:pPr>
        <w:pStyle w:val="E3Bullets"/>
        <w:jc w:val="both"/>
      </w:pPr>
      <w:r w:rsidRPr="00066675">
        <w:rPr>
          <w:b/>
        </w:rPr>
        <w:t xml:space="preserve">Option 5 </w:t>
      </w:r>
      <w:r w:rsidRPr="00066675">
        <w:t>considers the alternative of non-regulatory intervention</w:t>
      </w:r>
      <w:r>
        <w:t xml:space="preserve"> in addition to BAU.</w:t>
      </w:r>
      <w:r w:rsidRPr="00604A58">
        <w:rPr>
          <w:rStyle w:val="FootnoteReference"/>
          <w:rFonts w:eastAsia="Times New Roman" w:cs="Arial"/>
          <w:bCs/>
          <w:lang w:val="en-NZ" w:eastAsia="en-NZ"/>
        </w:rPr>
        <w:footnoteReference w:id="31"/>
      </w:r>
    </w:p>
    <w:p w14:paraId="1FDDE8BD" w14:textId="77777777" w:rsidR="005636C7" w:rsidRPr="008B1E8F" w:rsidRDefault="005636C7" w:rsidP="005636C7">
      <w:pPr>
        <w:pStyle w:val="E3Bullets"/>
        <w:contextualSpacing w:val="0"/>
        <w:jc w:val="both"/>
        <w:rPr>
          <w:b/>
          <w:noProof/>
        </w:rPr>
      </w:pPr>
      <w:r w:rsidRPr="00066675">
        <w:t xml:space="preserve">The options are summarised in </w:t>
      </w:r>
      <w:r w:rsidRPr="00A9678F">
        <w:rPr>
          <w:b/>
        </w:rPr>
        <w:fldChar w:fldCharType="begin"/>
      </w:r>
      <w:r w:rsidRPr="0009059E">
        <w:rPr>
          <w:b/>
        </w:rPr>
        <w:instrText xml:space="preserve"> REF _Ref449960435 \h  \* MERGEFORMAT </w:instrText>
      </w:r>
      <w:r w:rsidRPr="00A9678F">
        <w:rPr>
          <w:b/>
        </w:rPr>
      </w:r>
      <w:r w:rsidRPr="00A9678F">
        <w:rPr>
          <w:b/>
        </w:rPr>
        <w:fldChar w:fldCharType="separate"/>
      </w:r>
      <w:r w:rsidR="00AC6998" w:rsidRPr="00AC6998">
        <w:rPr>
          <w:b/>
          <w:noProof/>
        </w:rPr>
        <w:t>Table</w:t>
      </w:r>
      <w:r w:rsidR="00AC6998" w:rsidRPr="00AC6998">
        <w:rPr>
          <w:b/>
          <w:sz w:val="22"/>
          <w:szCs w:val="22"/>
        </w:rPr>
        <w:t xml:space="preserve"> 3</w:t>
      </w:r>
      <w:r w:rsidRPr="00A9678F">
        <w:rPr>
          <w:b/>
        </w:rPr>
        <w:fldChar w:fldCharType="end"/>
      </w:r>
      <w:r w:rsidRPr="008B1E8F">
        <w:rPr>
          <w:b/>
        </w:rPr>
        <w:t xml:space="preserve"> </w:t>
      </w:r>
      <w:r w:rsidRPr="008B1E8F">
        <w:t>below.</w:t>
      </w:r>
    </w:p>
    <w:p w14:paraId="1F365C3A" w14:textId="77777777" w:rsidR="005636C7" w:rsidRPr="004C3E41" w:rsidRDefault="005636C7" w:rsidP="005636C7">
      <w:pPr>
        <w:pStyle w:val="E3TableTitles"/>
        <w:spacing w:before="120"/>
        <w:jc w:val="both"/>
      </w:pPr>
      <w:bookmarkStart w:id="127" w:name="_Ref449960435"/>
      <w:bookmarkStart w:id="128" w:name="_Toc449708959"/>
      <w:bookmarkStart w:id="129" w:name="_Ref449960375"/>
      <w:bookmarkStart w:id="130" w:name="_Ref449960379"/>
      <w:bookmarkStart w:id="131" w:name="_Toc449968523"/>
      <w:bookmarkStart w:id="132" w:name="_Toc494142453"/>
      <w:bookmarkStart w:id="133" w:name="_Toc500159653"/>
      <w:r w:rsidRPr="004C3E41">
        <w:t xml:space="preserve">Table </w:t>
      </w:r>
      <w:r w:rsidRPr="004C3E41">
        <w:fldChar w:fldCharType="begin"/>
      </w:r>
      <w:r w:rsidRPr="004C3E41">
        <w:instrText xml:space="preserve"> SEQ Table \* ARABIC </w:instrText>
      </w:r>
      <w:r w:rsidRPr="004C3E41">
        <w:fldChar w:fldCharType="separate"/>
      </w:r>
      <w:r w:rsidR="00AC6998">
        <w:rPr>
          <w:noProof/>
        </w:rPr>
        <w:t>3</w:t>
      </w:r>
      <w:r w:rsidRPr="004C3E41">
        <w:fldChar w:fldCharType="end"/>
      </w:r>
      <w:bookmarkEnd w:id="127"/>
      <w:r w:rsidRPr="004C3E41">
        <w:t>: Summary</w:t>
      </w:r>
      <w:bookmarkEnd w:id="128"/>
      <w:bookmarkEnd w:id="129"/>
      <w:bookmarkEnd w:id="130"/>
      <w:bookmarkEnd w:id="131"/>
      <w:r w:rsidRPr="004C3E41">
        <w:t xml:space="preserve"> of policy options</w:t>
      </w:r>
      <w:bookmarkEnd w:id="132"/>
      <w:bookmarkEnd w:id="133"/>
    </w:p>
    <w:tbl>
      <w:tblPr>
        <w:tblpPr w:leftFromText="180" w:rightFromText="180" w:vertAnchor="text" w:horzAnchor="margin" w:tblpY="158"/>
        <w:tblOverlap w:val="neve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1369"/>
        <w:gridCol w:w="1417"/>
        <w:gridCol w:w="1276"/>
        <w:gridCol w:w="1276"/>
        <w:gridCol w:w="1276"/>
      </w:tblGrid>
      <w:tr w:rsidR="005636C7" w:rsidRPr="00C30B82" w14:paraId="46CB0DA0" w14:textId="77777777" w:rsidTr="005636C7">
        <w:trPr>
          <w:trHeight w:val="397"/>
        </w:trPr>
        <w:tc>
          <w:tcPr>
            <w:tcW w:w="3200" w:type="dxa"/>
            <w:shd w:val="clear" w:color="000000" w:fill="000000"/>
            <w:vAlign w:val="center"/>
            <w:hideMark/>
          </w:tcPr>
          <w:p w14:paraId="037CCE14"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Option</w:t>
            </w:r>
          </w:p>
        </w:tc>
        <w:tc>
          <w:tcPr>
            <w:tcW w:w="1369" w:type="dxa"/>
            <w:shd w:val="clear" w:color="auto" w:fill="auto"/>
            <w:vAlign w:val="center"/>
            <w:hideMark/>
          </w:tcPr>
          <w:p w14:paraId="65FA80CC"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1 – BAU</w:t>
            </w:r>
          </w:p>
        </w:tc>
        <w:tc>
          <w:tcPr>
            <w:tcW w:w="1417" w:type="dxa"/>
            <w:shd w:val="clear" w:color="000000" w:fill="EEECE1"/>
            <w:vAlign w:val="center"/>
            <w:hideMark/>
          </w:tcPr>
          <w:p w14:paraId="562C0067"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2 –EN and ISO test methods,    AU/NZ MEPS 10%,</w:t>
            </w:r>
          </w:p>
          <w:p w14:paraId="711857A4"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 xml:space="preserve">Vol labelling  </w:t>
            </w:r>
          </w:p>
        </w:tc>
        <w:tc>
          <w:tcPr>
            <w:tcW w:w="1276" w:type="dxa"/>
            <w:shd w:val="clear" w:color="000000" w:fill="EEECE1"/>
            <w:vAlign w:val="center"/>
          </w:tcPr>
          <w:p w14:paraId="4DE721D1"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rPr>
              <w:t xml:space="preserve">Option 3 </w:t>
            </w:r>
            <w:r w:rsidRPr="004C3DDD">
              <w:rPr>
                <w:rFonts w:ascii="Helvetica" w:hAnsi="Helvetica" w:cs="Helvetica"/>
                <w:b/>
                <w:color w:val="000000"/>
                <w:sz w:val="15"/>
                <w:szCs w:val="15"/>
                <w:lang w:val="en-NZ" w:eastAsia="en-NZ"/>
              </w:rPr>
              <w:t>– EN and ISO test methods,    AU/NZ MEPS 30%,</w:t>
            </w:r>
          </w:p>
          <w:p w14:paraId="370936DA"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 xml:space="preserve">Vol labelling  </w:t>
            </w:r>
          </w:p>
        </w:tc>
        <w:tc>
          <w:tcPr>
            <w:tcW w:w="1276" w:type="dxa"/>
            <w:shd w:val="clear" w:color="000000" w:fill="EEECE1"/>
            <w:vAlign w:val="center"/>
            <w:hideMark/>
          </w:tcPr>
          <w:p w14:paraId="778A208F"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4 (Modified) –  EN and ISO test methods,  EC  MEPS,  Vol labelling</w:t>
            </w:r>
          </w:p>
        </w:tc>
        <w:tc>
          <w:tcPr>
            <w:tcW w:w="1276" w:type="dxa"/>
            <w:shd w:val="clear" w:color="000000" w:fill="EEECE1"/>
          </w:tcPr>
          <w:p w14:paraId="09100636" w14:textId="77777777" w:rsidR="005636C7" w:rsidRPr="004C3DDD" w:rsidRDefault="005636C7" w:rsidP="005636C7">
            <w:pP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Option 5 – non-regulatory options</w:t>
            </w:r>
          </w:p>
        </w:tc>
      </w:tr>
      <w:tr w:rsidR="005636C7" w:rsidRPr="00C30B82" w14:paraId="0CDCF0AD" w14:textId="77777777" w:rsidTr="005636C7">
        <w:trPr>
          <w:trHeight w:val="397"/>
        </w:trPr>
        <w:tc>
          <w:tcPr>
            <w:tcW w:w="3200" w:type="dxa"/>
            <w:shd w:val="clear" w:color="000000" w:fill="000000"/>
            <w:vAlign w:val="center"/>
            <w:hideMark/>
          </w:tcPr>
          <w:p w14:paraId="76D67BF4"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Move to International ISO and EN test methods</w:t>
            </w:r>
          </w:p>
        </w:tc>
        <w:tc>
          <w:tcPr>
            <w:tcW w:w="1369" w:type="dxa"/>
            <w:shd w:val="clear" w:color="auto" w:fill="auto"/>
            <w:vAlign w:val="center"/>
            <w:hideMark/>
          </w:tcPr>
          <w:p w14:paraId="1D5E2EC3"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4134B0B4"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1D6BB645" w14:textId="77777777" w:rsidR="005636C7" w:rsidRPr="00C30B82" w:rsidRDefault="005636C7" w:rsidP="005636C7">
            <w:pPr>
              <w:jc w:val="center"/>
              <w:rPr>
                <w:rFonts w:ascii="Wingdings"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483C367B"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4902D61D"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527C38F9" w14:textId="77777777" w:rsidTr="005636C7">
        <w:trPr>
          <w:trHeight w:val="397"/>
        </w:trPr>
        <w:tc>
          <w:tcPr>
            <w:tcW w:w="3200" w:type="dxa"/>
            <w:shd w:val="clear" w:color="000000" w:fill="000000"/>
            <w:vAlign w:val="center"/>
            <w:hideMark/>
          </w:tcPr>
          <w:p w14:paraId="1309E408"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New AU/NZ MEPS levels</w:t>
            </w:r>
          </w:p>
        </w:tc>
        <w:tc>
          <w:tcPr>
            <w:tcW w:w="1369" w:type="dxa"/>
            <w:shd w:val="clear" w:color="auto" w:fill="auto"/>
            <w:vAlign w:val="center"/>
            <w:hideMark/>
          </w:tcPr>
          <w:p w14:paraId="7D7DCFCF"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5E9A2E49"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5BEE8A8C" w14:textId="77777777" w:rsidR="005636C7" w:rsidRPr="00C30B82" w:rsidRDefault="005636C7" w:rsidP="005636C7">
            <w:pPr>
              <w:jc w:val="center"/>
              <w:rPr>
                <w:rFonts w:ascii="Wingdings"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69460981"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3EE7823D"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37B8BBA8" w14:textId="77777777" w:rsidTr="005636C7">
        <w:trPr>
          <w:trHeight w:val="397"/>
        </w:trPr>
        <w:tc>
          <w:tcPr>
            <w:tcW w:w="3200" w:type="dxa"/>
            <w:shd w:val="clear" w:color="000000" w:fill="000000"/>
            <w:vAlign w:val="center"/>
            <w:hideMark/>
          </w:tcPr>
          <w:p w14:paraId="02A287FF"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EC MEPS levels</w:t>
            </w:r>
          </w:p>
        </w:tc>
        <w:tc>
          <w:tcPr>
            <w:tcW w:w="1369" w:type="dxa"/>
            <w:shd w:val="clear" w:color="auto" w:fill="auto"/>
            <w:vAlign w:val="center"/>
            <w:hideMark/>
          </w:tcPr>
          <w:p w14:paraId="3047E574"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513A663D"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48710D7F" w14:textId="77777777" w:rsidR="005636C7" w:rsidRPr="00C30B82" w:rsidRDefault="005636C7" w:rsidP="005636C7">
            <w:pPr>
              <w:jc w:val="center"/>
              <w:rPr>
                <w:rFonts w:ascii="Wingdings" w:hAnsi="Wingdings" w:cs="Calibri"/>
                <w:b/>
                <w:bCs/>
                <w:color w:val="000000"/>
                <w:sz w:val="15"/>
                <w:szCs w:val="15"/>
                <w:lang w:val="en-NZ" w:eastAsia="en-NZ"/>
              </w:rPr>
            </w:pPr>
            <w:r>
              <w:rPr>
                <w:rFonts w:ascii="Wingdings" w:hAnsi="Wingdings" w:cs="Calibri"/>
                <w:b/>
                <w:bCs/>
                <w:color w:val="000000"/>
                <w:sz w:val="15"/>
                <w:szCs w:val="15"/>
              </w:rPr>
              <w:t></w:t>
            </w:r>
          </w:p>
        </w:tc>
        <w:tc>
          <w:tcPr>
            <w:tcW w:w="1276" w:type="dxa"/>
            <w:shd w:val="clear" w:color="auto" w:fill="auto"/>
            <w:vAlign w:val="center"/>
            <w:hideMark/>
          </w:tcPr>
          <w:p w14:paraId="341FAB16"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3DF33EB0"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11682B1D" w14:textId="77777777" w:rsidTr="005636C7">
        <w:trPr>
          <w:trHeight w:val="397"/>
        </w:trPr>
        <w:tc>
          <w:tcPr>
            <w:tcW w:w="3200" w:type="dxa"/>
            <w:shd w:val="clear" w:color="000000" w:fill="000000"/>
            <w:vAlign w:val="center"/>
          </w:tcPr>
          <w:p w14:paraId="4503EE14"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Deemed to comply method for low volume products</w:t>
            </w:r>
          </w:p>
        </w:tc>
        <w:tc>
          <w:tcPr>
            <w:tcW w:w="1369" w:type="dxa"/>
            <w:shd w:val="clear" w:color="auto" w:fill="auto"/>
            <w:vAlign w:val="center"/>
          </w:tcPr>
          <w:p w14:paraId="42D14B22"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tcPr>
          <w:p w14:paraId="723C3755"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0B23ABDF" w14:textId="77777777" w:rsidR="005636C7" w:rsidRDefault="005636C7" w:rsidP="005636C7">
            <w:pPr>
              <w:jc w:val="center"/>
              <w:rPr>
                <w:rFonts w:ascii="Wingdings" w:hAnsi="Wingdings" w:cs="Calibri"/>
                <w:b/>
                <w:bCs/>
                <w:color w:val="000000"/>
                <w:sz w:val="15"/>
                <w:szCs w:val="15"/>
              </w:rPr>
            </w:pPr>
            <w:r w:rsidRPr="00C30B82">
              <w:rPr>
                <w:rFonts w:ascii="Wingdings" w:hAnsi="Wingdings" w:cs="Calibri"/>
                <w:b/>
                <w:bCs/>
                <w:color w:val="000000"/>
                <w:sz w:val="15"/>
                <w:szCs w:val="15"/>
                <w:lang w:val="en-NZ" w:eastAsia="en-NZ"/>
              </w:rPr>
              <w:t></w:t>
            </w:r>
          </w:p>
        </w:tc>
        <w:tc>
          <w:tcPr>
            <w:tcW w:w="1276" w:type="dxa"/>
            <w:shd w:val="clear" w:color="auto" w:fill="auto"/>
            <w:vAlign w:val="center"/>
          </w:tcPr>
          <w:p w14:paraId="72854461"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7D9D2A2E"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41030852" w14:textId="77777777" w:rsidTr="005636C7">
        <w:trPr>
          <w:trHeight w:val="397"/>
        </w:trPr>
        <w:tc>
          <w:tcPr>
            <w:tcW w:w="3200" w:type="dxa"/>
            <w:shd w:val="clear" w:color="000000" w:fill="000000"/>
            <w:vAlign w:val="center"/>
            <w:hideMark/>
          </w:tcPr>
          <w:p w14:paraId="644AA983"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Online energy rating information</w:t>
            </w:r>
          </w:p>
        </w:tc>
        <w:tc>
          <w:tcPr>
            <w:tcW w:w="1369" w:type="dxa"/>
            <w:shd w:val="clear" w:color="auto" w:fill="auto"/>
            <w:vAlign w:val="center"/>
            <w:hideMark/>
          </w:tcPr>
          <w:p w14:paraId="1F55E65A"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417" w:type="dxa"/>
            <w:shd w:val="clear" w:color="auto" w:fill="auto"/>
            <w:vAlign w:val="center"/>
            <w:hideMark/>
          </w:tcPr>
          <w:p w14:paraId="3D72C36B"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76BFA69A"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shd w:val="clear" w:color="auto" w:fill="auto"/>
            <w:vAlign w:val="center"/>
            <w:hideMark/>
          </w:tcPr>
          <w:p w14:paraId="31674DC5"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c>
          <w:tcPr>
            <w:tcW w:w="1276" w:type="dxa"/>
            <w:vAlign w:val="center"/>
          </w:tcPr>
          <w:p w14:paraId="631F40BA" w14:textId="77777777" w:rsidR="005636C7" w:rsidRPr="00C30B82" w:rsidRDefault="005636C7" w:rsidP="005636C7">
            <w:pPr>
              <w:jc w:val="center"/>
              <w:rPr>
                <w:rFonts w:ascii="Wingdings" w:hAnsi="Wingdings" w:cs="Calibri"/>
                <w:b/>
                <w:bCs/>
                <w:color w:val="000000"/>
                <w:sz w:val="15"/>
                <w:szCs w:val="15"/>
                <w:lang w:val="en-NZ" w:eastAsia="en-NZ"/>
              </w:rPr>
            </w:pPr>
            <w:r w:rsidRPr="00C30B82">
              <w:rPr>
                <w:rFonts w:ascii="Wingdings" w:hAnsi="Wingdings" w:cs="Calibri"/>
                <w:b/>
                <w:bCs/>
                <w:color w:val="000000"/>
                <w:sz w:val="15"/>
                <w:szCs w:val="15"/>
                <w:lang w:val="en-NZ" w:eastAsia="en-NZ"/>
              </w:rPr>
              <w:t></w:t>
            </w:r>
          </w:p>
        </w:tc>
      </w:tr>
      <w:tr w:rsidR="005636C7" w:rsidRPr="00C30B82" w14:paraId="6A682FCF" w14:textId="77777777" w:rsidTr="005636C7">
        <w:trPr>
          <w:trHeight w:val="397"/>
        </w:trPr>
        <w:tc>
          <w:tcPr>
            <w:tcW w:w="3200" w:type="dxa"/>
            <w:shd w:val="clear" w:color="000000" w:fill="000000"/>
            <w:vAlign w:val="center"/>
            <w:hideMark/>
          </w:tcPr>
          <w:p w14:paraId="2C630915" w14:textId="77777777" w:rsidR="005636C7" w:rsidRPr="004C3DDD" w:rsidRDefault="005636C7" w:rsidP="005636C7">
            <w:pPr>
              <w:rPr>
                <w:rFonts w:ascii="Helvetica" w:hAnsi="Helvetica" w:cs="Helvetica"/>
                <w:b/>
                <w:color w:val="FFFFFF"/>
                <w:sz w:val="15"/>
                <w:szCs w:val="15"/>
                <w:lang w:val="en-NZ" w:eastAsia="en-NZ"/>
              </w:rPr>
            </w:pPr>
            <w:r w:rsidRPr="004C3DDD">
              <w:rPr>
                <w:rFonts w:ascii="Helvetica" w:hAnsi="Helvetica" w:cs="Helvetica"/>
                <w:b/>
                <w:color w:val="FFFFFF"/>
                <w:sz w:val="15"/>
                <w:szCs w:val="15"/>
                <w:lang w:val="en-NZ" w:eastAsia="en-NZ"/>
              </w:rPr>
              <w:t>Modelled date of implementation</w:t>
            </w:r>
          </w:p>
        </w:tc>
        <w:tc>
          <w:tcPr>
            <w:tcW w:w="1369" w:type="dxa"/>
            <w:shd w:val="clear" w:color="auto" w:fill="auto"/>
            <w:vAlign w:val="center"/>
            <w:hideMark/>
          </w:tcPr>
          <w:p w14:paraId="6E60358E"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N/A</w:t>
            </w:r>
          </w:p>
        </w:tc>
        <w:tc>
          <w:tcPr>
            <w:tcW w:w="1417" w:type="dxa"/>
            <w:shd w:val="clear" w:color="auto" w:fill="auto"/>
            <w:vAlign w:val="center"/>
            <w:hideMark/>
          </w:tcPr>
          <w:p w14:paraId="7BF37B00"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2019</w:t>
            </w:r>
          </w:p>
        </w:tc>
        <w:tc>
          <w:tcPr>
            <w:tcW w:w="1276" w:type="dxa"/>
            <w:vAlign w:val="center"/>
          </w:tcPr>
          <w:p w14:paraId="46C296ED"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rPr>
              <w:t>2019</w:t>
            </w:r>
          </w:p>
        </w:tc>
        <w:tc>
          <w:tcPr>
            <w:tcW w:w="1276" w:type="dxa"/>
            <w:shd w:val="clear" w:color="auto" w:fill="auto"/>
            <w:vAlign w:val="center"/>
            <w:hideMark/>
          </w:tcPr>
          <w:p w14:paraId="3224D98A"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2019</w:t>
            </w:r>
          </w:p>
        </w:tc>
        <w:tc>
          <w:tcPr>
            <w:tcW w:w="1276" w:type="dxa"/>
            <w:vAlign w:val="center"/>
          </w:tcPr>
          <w:p w14:paraId="4ABA5BFF" w14:textId="77777777" w:rsidR="005636C7" w:rsidRPr="004C3DDD" w:rsidRDefault="005636C7" w:rsidP="005636C7">
            <w:pPr>
              <w:jc w:val="center"/>
              <w:rPr>
                <w:rFonts w:ascii="Helvetica" w:hAnsi="Helvetica" w:cs="Helvetica"/>
                <w:b/>
                <w:color w:val="000000"/>
                <w:sz w:val="15"/>
                <w:szCs w:val="15"/>
                <w:lang w:val="en-NZ" w:eastAsia="en-NZ"/>
              </w:rPr>
            </w:pPr>
            <w:r w:rsidRPr="004C3DDD">
              <w:rPr>
                <w:rFonts w:ascii="Helvetica" w:hAnsi="Helvetica" w:cs="Helvetica"/>
                <w:b/>
                <w:color w:val="000000"/>
                <w:sz w:val="15"/>
                <w:szCs w:val="15"/>
                <w:lang w:val="en-NZ" w:eastAsia="en-NZ"/>
              </w:rPr>
              <w:t>2019</w:t>
            </w:r>
          </w:p>
        </w:tc>
      </w:tr>
    </w:tbl>
    <w:p w14:paraId="39FF00CD" w14:textId="77777777" w:rsidR="005636C7" w:rsidRDefault="005636C7" w:rsidP="005636C7">
      <w:pPr>
        <w:pStyle w:val="E3Heading4"/>
      </w:pPr>
      <w:bookmarkStart w:id="134" w:name="_Toc449708769"/>
    </w:p>
    <w:p w14:paraId="06CE81D5" w14:textId="77777777" w:rsidR="005636C7" w:rsidRDefault="005636C7" w:rsidP="005636C7">
      <w:pPr>
        <w:pStyle w:val="E3Heading4"/>
        <w:jc w:val="both"/>
      </w:pPr>
    </w:p>
    <w:p w14:paraId="3B577530" w14:textId="77777777" w:rsidR="005636C7" w:rsidRDefault="005636C7" w:rsidP="005636C7">
      <w:pPr>
        <w:pStyle w:val="E3Heading4"/>
        <w:jc w:val="both"/>
      </w:pPr>
    </w:p>
    <w:p w14:paraId="3B724A1B" w14:textId="77777777" w:rsidR="00EF6371" w:rsidRDefault="00EF6371">
      <w:pPr>
        <w:rPr>
          <w:rFonts w:ascii="Georgia" w:eastAsia="Calibri" w:hAnsi="Georgia" w:cs="Georgia"/>
          <w:b/>
          <w:bCs/>
          <w:color w:val="000000"/>
          <w:szCs w:val="19"/>
          <w:lang w:val="en-US" w:eastAsia="en-US"/>
        </w:rPr>
      </w:pPr>
      <w:r>
        <w:br w:type="page"/>
      </w:r>
    </w:p>
    <w:p w14:paraId="25377DBE" w14:textId="293A44E8" w:rsidR="005636C7" w:rsidRPr="0041262C" w:rsidRDefault="005636C7" w:rsidP="005636C7">
      <w:pPr>
        <w:pStyle w:val="E3Heading4"/>
        <w:jc w:val="both"/>
      </w:pPr>
      <w:r w:rsidRPr="0041262C">
        <w:t>European Standards and cabinet groups</w:t>
      </w:r>
    </w:p>
    <w:p w14:paraId="5CDFAA8D" w14:textId="77777777" w:rsidR="005636C7" w:rsidRPr="00870AF9" w:rsidRDefault="005636C7" w:rsidP="005636C7">
      <w:pPr>
        <w:pStyle w:val="E3BodyText"/>
        <w:jc w:val="both"/>
      </w:pPr>
      <w:r>
        <w:t xml:space="preserve">The relevant cabinet types and standards are set out in </w:t>
      </w:r>
      <w:r>
        <w:rPr>
          <w:b/>
        </w:rPr>
        <w:t xml:space="preserve">Table 4 </w:t>
      </w:r>
      <w:r>
        <w:t xml:space="preserve">(below).  The table </w:t>
      </w:r>
      <w:r w:rsidRPr="00066675">
        <w:t xml:space="preserve">also </w:t>
      </w:r>
      <w:r>
        <w:t>outlines those aspects of the s</w:t>
      </w:r>
      <w:r w:rsidRPr="00066675">
        <w:t xml:space="preserve">tandards that </w:t>
      </w:r>
      <w:r>
        <w:t xml:space="preserve">are </w:t>
      </w:r>
      <w:r w:rsidRPr="00066675">
        <w:t xml:space="preserve">not </w:t>
      </w:r>
      <w:r>
        <w:t xml:space="preserve">being considered by </w:t>
      </w:r>
      <w:r w:rsidRPr="00066675">
        <w:t>this RIS.</w:t>
      </w:r>
    </w:p>
    <w:p w14:paraId="0B9EDCD6" w14:textId="77777777" w:rsidR="005636C7" w:rsidRPr="004C3E41" w:rsidRDefault="005636C7" w:rsidP="005636C7">
      <w:pPr>
        <w:pStyle w:val="E3TableTitles"/>
        <w:jc w:val="both"/>
      </w:pPr>
      <w:bookmarkStart w:id="135" w:name="_Ref452714521"/>
      <w:bookmarkStart w:id="136" w:name="_Toc494142454"/>
      <w:bookmarkStart w:id="137" w:name="_Toc500159654"/>
      <w:r w:rsidRPr="004C3E41">
        <w:t xml:space="preserve">Table </w:t>
      </w:r>
      <w:r w:rsidRPr="004C3E41">
        <w:fldChar w:fldCharType="begin"/>
      </w:r>
      <w:r w:rsidRPr="004C3E41">
        <w:instrText xml:space="preserve"> SEQ Table \* ARABIC </w:instrText>
      </w:r>
      <w:r w:rsidRPr="004C3E41">
        <w:fldChar w:fldCharType="separate"/>
      </w:r>
      <w:r w:rsidR="00AC6998">
        <w:rPr>
          <w:noProof/>
        </w:rPr>
        <w:t>4</w:t>
      </w:r>
      <w:r w:rsidRPr="004C3E41">
        <w:fldChar w:fldCharType="end"/>
      </w:r>
      <w:bookmarkEnd w:id="135"/>
      <w:r w:rsidRPr="004C3E41">
        <w:t>: Published EN Standards and EC MEPS levels (and the parts which are not currently being considered for adoption in Australia and New Zealand).</w:t>
      </w:r>
      <w:bookmarkEnd w:id="136"/>
      <w:bookmarkEnd w:id="137"/>
    </w:p>
    <w:tbl>
      <w:tblPr>
        <w:tblpPr w:leftFromText="180" w:rightFromText="180" w:vertAnchor="text" w:horzAnchor="margin" w:tblpX="216" w:tblpY="158"/>
        <w:tblOverlap w:val="neve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4"/>
        <w:gridCol w:w="1369"/>
        <w:gridCol w:w="1417"/>
        <w:gridCol w:w="3478"/>
      </w:tblGrid>
      <w:tr w:rsidR="005636C7" w:rsidRPr="00C30B82" w14:paraId="3444071D" w14:textId="77777777" w:rsidTr="005636C7">
        <w:trPr>
          <w:trHeight w:val="397"/>
        </w:trPr>
        <w:tc>
          <w:tcPr>
            <w:tcW w:w="2984" w:type="dxa"/>
            <w:shd w:val="clear" w:color="auto" w:fill="000000" w:themeFill="text1"/>
            <w:vAlign w:val="center"/>
            <w:hideMark/>
          </w:tcPr>
          <w:p w14:paraId="688AA9A6" w14:textId="77777777" w:rsidR="005636C7" w:rsidRPr="0041262C" w:rsidRDefault="005636C7" w:rsidP="005636C7">
            <w:pPr>
              <w:jc w:val="both"/>
              <w:rPr>
                <w:rFonts w:ascii="Helvetica" w:hAnsi="Helvetica" w:cs="Helvetica"/>
                <w:b/>
                <w:color w:val="FFFFFF" w:themeColor="background1"/>
                <w:sz w:val="15"/>
                <w:szCs w:val="15"/>
                <w:lang w:val="en-NZ" w:eastAsia="en-NZ"/>
              </w:rPr>
            </w:pPr>
          </w:p>
        </w:tc>
        <w:tc>
          <w:tcPr>
            <w:tcW w:w="1369" w:type="dxa"/>
            <w:shd w:val="clear" w:color="auto" w:fill="000000" w:themeFill="text1"/>
            <w:vAlign w:val="center"/>
            <w:hideMark/>
          </w:tcPr>
          <w:p w14:paraId="2A9B3014"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Standards</w:t>
            </w:r>
          </w:p>
          <w:p w14:paraId="1E9042E3"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 xml:space="preserve">Published </w:t>
            </w:r>
          </w:p>
        </w:tc>
        <w:tc>
          <w:tcPr>
            <w:tcW w:w="1417" w:type="dxa"/>
            <w:shd w:val="clear" w:color="auto" w:fill="000000" w:themeFill="text1"/>
            <w:vAlign w:val="center"/>
          </w:tcPr>
          <w:p w14:paraId="1F62CD37"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EC MEPS levels</w:t>
            </w:r>
          </w:p>
          <w:p w14:paraId="2C678D26"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Published</w:t>
            </w:r>
          </w:p>
        </w:tc>
        <w:tc>
          <w:tcPr>
            <w:tcW w:w="3478" w:type="dxa"/>
            <w:shd w:val="clear" w:color="auto" w:fill="000000" w:themeFill="text1"/>
            <w:vAlign w:val="center"/>
          </w:tcPr>
          <w:p w14:paraId="1B9EC04D" w14:textId="77777777" w:rsidR="005636C7" w:rsidRPr="0041262C" w:rsidRDefault="005636C7" w:rsidP="005636C7">
            <w:pPr>
              <w:jc w:val="both"/>
              <w:rPr>
                <w:rFonts w:ascii="Helvetica" w:hAnsi="Helvetica" w:cs="Helvetica"/>
                <w:b/>
                <w:color w:val="FFFFFF" w:themeColor="background1"/>
                <w:sz w:val="15"/>
                <w:szCs w:val="15"/>
                <w:lang w:val="en-NZ" w:eastAsia="en-NZ"/>
              </w:rPr>
            </w:pPr>
            <w:r w:rsidRPr="0041262C">
              <w:rPr>
                <w:rFonts w:ascii="Helvetica" w:hAnsi="Helvetica" w:cs="Helvetica"/>
                <w:b/>
                <w:color w:val="FFFFFF" w:themeColor="background1"/>
                <w:sz w:val="15"/>
                <w:szCs w:val="15"/>
                <w:lang w:val="en-NZ" w:eastAsia="en-NZ"/>
              </w:rPr>
              <w:t>Parts of Standards or regulations that are not being considered by current proposals</w:t>
            </w:r>
          </w:p>
        </w:tc>
      </w:tr>
      <w:tr w:rsidR="005636C7" w:rsidRPr="00C30B82" w14:paraId="2122A359" w14:textId="77777777" w:rsidTr="005636C7">
        <w:trPr>
          <w:trHeight w:val="397"/>
        </w:trPr>
        <w:tc>
          <w:tcPr>
            <w:tcW w:w="2984" w:type="dxa"/>
            <w:shd w:val="clear" w:color="auto" w:fill="auto"/>
            <w:vAlign w:val="center"/>
            <w:hideMark/>
          </w:tcPr>
          <w:p w14:paraId="30D1C5C4"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ISO 23953 Refrigerated Display Cabinets</w:t>
            </w:r>
          </w:p>
        </w:tc>
        <w:tc>
          <w:tcPr>
            <w:tcW w:w="1369" w:type="dxa"/>
            <w:shd w:val="clear" w:color="auto" w:fill="auto"/>
            <w:vAlign w:val="center"/>
            <w:hideMark/>
          </w:tcPr>
          <w:p w14:paraId="7A9CCF0F" w14:textId="77777777" w:rsidR="005636C7" w:rsidRPr="0041262C" w:rsidRDefault="005636C7" w:rsidP="005636C7">
            <w:pPr>
              <w:pStyle w:val="E3tabletext1"/>
              <w:jc w:val="both"/>
              <w:rPr>
                <w:rFonts w:ascii="Helvetica" w:hAnsi="Helvetica" w:cs="Helvetica"/>
                <w:sz w:val="15"/>
                <w:szCs w:val="15"/>
                <w:lang w:val="en-NZ"/>
              </w:rPr>
            </w:pPr>
            <w:r w:rsidRPr="0041262C">
              <w:rPr>
                <w:rFonts w:ascii="Helvetica" w:hAnsi="Helvetica" w:cs="Helvetica"/>
                <w:sz w:val="15"/>
                <w:szCs w:val="15"/>
                <w:lang w:val="en-NZ"/>
              </w:rPr>
              <w:t>Published</w:t>
            </w:r>
          </w:p>
        </w:tc>
        <w:tc>
          <w:tcPr>
            <w:tcW w:w="1417" w:type="dxa"/>
            <w:shd w:val="clear" w:color="auto" w:fill="auto"/>
            <w:vAlign w:val="center"/>
          </w:tcPr>
          <w:p w14:paraId="6CC07100" w14:textId="77777777" w:rsidR="005636C7" w:rsidRPr="0041262C" w:rsidRDefault="005636C7" w:rsidP="005636C7">
            <w:pPr>
              <w:pStyle w:val="E3tabletext1"/>
              <w:ind w:left="0"/>
              <w:jc w:val="both"/>
              <w:rPr>
                <w:rFonts w:ascii="Helvetica" w:hAnsi="Helvetica" w:cs="Helvetica"/>
                <w:b/>
                <w:color w:val="000000"/>
                <w:sz w:val="15"/>
                <w:szCs w:val="15"/>
                <w:lang w:val="en-NZ" w:eastAsia="en-NZ"/>
              </w:rPr>
            </w:pPr>
            <w:r w:rsidRPr="0041262C">
              <w:rPr>
                <w:rFonts w:ascii="Helvetica" w:hAnsi="Helvetica" w:cs="Helvetica"/>
                <w:sz w:val="15"/>
                <w:szCs w:val="15"/>
                <w:lang w:val="en-NZ"/>
              </w:rPr>
              <w:t xml:space="preserve"> Draft</w:t>
            </w:r>
          </w:p>
        </w:tc>
        <w:tc>
          <w:tcPr>
            <w:tcW w:w="3478" w:type="dxa"/>
            <w:shd w:val="clear" w:color="auto" w:fill="auto"/>
            <w:vAlign w:val="center"/>
          </w:tcPr>
          <w:p w14:paraId="2DBC0543" w14:textId="77777777" w:rsidR="005636C7" w:rsidRPr="0041262C" w:rsidRDefault="005636C7" w:rsidP="005636C7">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rPr>
              <w:t>Beverage Vending machines</w:t>
            </w:r>
          </w:p>
        </w:tc>
      </w:tr>
      <w:tr w:rsidR="005636C7" w:rsidRPr="00C30B82" w14:paraId="0BBD44DC" w14:textId="77777777" w:rsidTr="005636C7">
        <w:trPr>
          <w:trHeight w:val="397"/>
        </w:trPr>
        <w:tc>
          <w:tcPr>
            <w:tcW w:w="2984" w:type="dxa"/>
            <w:shd w:val="clear" w:color="auto" w:fill="auto"/>
            <w:vAlign w:val="center"/>
            <w:hideMark/>
          </w:tcPr>
          <w:p w14:paraId="48E1562A"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 xml:space="preserve">EN 16825 </w:t>
            </w:r>
            <w:r w:rsidRPr="0041262C">
              <w:rPr>
                <w:rFonts w:ascii="Helvetica" w:hAnsi="Helvetica" w:cs="Helvetica"/>
                <w:b/>
                <w:sz w:val="15"/>
                <w:szCs w:val="15"/>
              </w:rPr>
              <w:t>Refrigerated storage cabinets and counters for professional use</w:t>
            </w:r>
          </w:p>
        </w:tc>
        <w:tc>
          <w:tcPr>
            <w:tcW w:w="1369" w:type="dxa"/>
            <w:shd w:val="clear" w:color="auto" w:fill="auto"/>
            <w:vAlign w:val="center"/>
          </w:tcPr>
          <w:p w14:paraId="07B3520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1417" w:type="dxa"/>
            <w:shd w:val="clear" w:color="auto" w:fill="auto"/>
            <w:vAlign w:val="center"/>
          </w:tcPr>
          <w:p w14:paraId="055E253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3478" w:type="dxa"/>
            <w:shd w:val="clear" w:color="auto" w:fill="auto"/>
          </w:tcPr>
          <w:p w14:paraId="07C7816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Blast cabinets, condensing units and process chillers</w:t>
            </w:r>
          </w:p>
        </w:tc>
      </w:tr>
      <w:tr w:rsidR="005636C7" w:rsidRPr="00C30B82" w14:paraId="45FD38F8" w14:textId="77777777" w:rsidTr="005636C7">
        <w:trPr>
          <w:trHeight w:val="397"/>
        </w:trPr>
        <w:tc>
          <w:tcPr>
            <w:tcW w:w="2984" w:type="dxa"/>
            <w:shd w:val="clear" w:color="auto" w:fill="auto"/>
            <w:vAlign w:val="center"/>
          </w:tcPr>
          <w:p w14:paraId="770774F9"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EN 16901 Small ice-cream freezers</w:t>
            </w:r>
          </w:p>
        </w:tc>
        <w:tc>
          <w:tcPr>
            <w:tcW w:w="1369" w:type="dxa"/>
            <w:shd w:val="clear" w:color="auto" w:fill="auto"/>
            <w:vAlign w:val="center"/>
          </w:tcPr>
          <w:p w14:paraId="741F787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Published</w:t>
            </w:r>
          </w:p>
        </w:tc>
        <w:tc>
          <w:tcPr>
            <w:tcW w:w="1417" w:type="dxa"/>
            <w:shd w:val="clear" w:color="auto" w:fill="auto"/>
            <w:vAlign w:val="center"/>
          </w:tcPr>
          <w:p w14:paraId="765DE29E" w14:textId="77777777" w:rsidR="005636C7" w:rsidRPr="0041262C" w:rsidRDefault="005636C7" w:rsidP="005636C7">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lang w:val="en-NZ"/>
              </w:rPr>
              <w:t>Draft</w:t>
            </w:r>
          </w:p>
        </w:tc>
        <w:tc>
          <w:tcPr>
            <w:tcW w:w="3478" w:type="dxa"/>
            <w:shd w:val="clear" w:color="auto" w:fill="auto"/>
          </w:tcPr>
          <w:p w14:paraId="0ACBC2CF" w14:textId="77777777" w:rsidR="005636C7" w:rsidRPr="0041262C" w:rsidRDefault="005636C7" w:rsidP="005636C7">
            <w:pPr>
              <w:pStyle w:val="E3tabletext1"/>
              <w:jc w:val="both"/>
              <w:rPr>
                <w:rFonts w:ascii="Helvetica" w:hAnsi="Helvetica" w:cs="Helvetica"/>
                <w:sz w:val="15"/>
                <w:szCs w:val="15"/>
              </w:rPr>
            </w:pPr>
          </w:p>
        </w:tc>
      </w:tr>
      <w:tr w:rsidR="005636C7" w:rsidRPr="00C30B82" w14:paraId="3A1EDF62" w14:textId="77777777" w:rsidTr="005636C7">
        <w:trPr>
          <w:trHeight w:val="397"/>
        </w:trPr>
        <w:tc>
          <w:tcPr>
            <w:tcW w:w="2984" w:type="dxa"/>
            <w:shd w:val="clear" w:color="auto" w:fill="auto"/>
            <w:vAlign w:val="center"/>
          </w:tcPr>
          <w:p w14:paraId="1E7F5DA9" w14:textId="77777777" w:rsidR="005636C7" w:rsidRPr="0041262C" w:rsidRDefault="005636C7" w:rsidP="005636C7">
            <w:pPr>
              <w:jc w:val="both"/>
              <w:rPr>
                <w:rFonts w:ascii="Helvetica" w:hAnsi="Helvetica" w:cs="Helvetica"/>
                <w:b/>
                <w:sz w:val="15"/>
                <w:szCs w:val="15"/>
                <w:lang w:val="en-NZ" w:eastAsia="en-NZ"/>
              </w:rPr>
            </w:pPr>
            <w:r w:rsidRPr="0041262C">
              <w:rPr>
                <w:rFonts w:ascii="Helvetica" w:hAnsi="Helvetica" w:cs="Helvetica"/>
                <w:b/>
                <w:sz w:val="15"/>
                <w:szCs w:val="15"/>
                <w:lang w:val="en-NZ" w:eastAsia="en-NZ"/>
              </w:rPr>
              <w:t xml:space="preserve">EN 16838 Refrigerated display scooping cabinets for gelato (soft scoop) </w:t>
            </w:r>
          </w:p>
        </w:tc>
        <w:tc>
          <w:tcPr>
            <w:tcW w:w="1369" w:type="dxa"/>
            <w:shd w:val="clear" w:color="auto" w:fill="auto"/>
            <w:vAlign w:val="center"/>
          </w:tcPr>
          <w:p w14:paraId="1738CE86"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lang w:val="en-NZ"/>
              </w:rPr>
              <w:t>Published</w:t>
            </w:r>
          </w:p>
        </w:tc>
        <w:tc>
          <w:tcPr>
            <w:tcW w:w="1417" w:type="dxa"/>
            <w:shd w:val="clear" w:color="auto" w:fill="auto"/>
            <w:vAlign w:val="center"/>
          </w:tcPr>
          <w:p w14:paraId="7957B202" w14:textId="77777777" w:rsidR="005636C7" w:rsidRPr="0041262C" w:rsidRDefault="005636C7" w:rsidP="005636C7">
            <w:pPr>
              <w:pStyle w:val="E3tabletext1"/>
              <w:jc w:val="both"/>
              <w:rPr>
                <w:rFonts w:ascii="Helvetica" w:hAnsi="Helvetica" w:cs="Helvetica"/>
                <w:b/>
                <w:color w:val="000000"/>
                <w:sz w:val="15"/>
                <w:szCs w:val="15"/>
                <w:lang w:val="en-NZ" w:eastAsia="en-NZ"/>
              </w:rPr>
            </w:pPr>
            <w:r w:rsidRPr="0041262C">
              <w:rPr>
                <w:rFonts w:ascii="Helvetica" w:hAnsi="Helvetica" w:cs="Helvetica"/>
                <w:sz w:val="15"/>
                <w:szCs w:val="15"/>
              </w:rPr>
              <w:t xml:space="preserve">Published </w:t>
            </w:r>
          </w:p>
        </w:tc>
        <w:tc>
          <w:tcPr>
            <w:tcW w:w="3478" w:type="dxa"/>
            <w:shd w:val="clear" w:color="auto" w:fill="auto"/>
            <w:vAlign w:val="center"/>
          </w:tcPr>
          <w:p w14:paraId="3454F3EF" w14:textId="77777777" w:rsidR="005636C7" w:rsidRPr="0041262C" w:rsidRDefault="005636C7" w:rsidP="005636C7">
            <w:pPr>
              <w:jc w:val="both"/>
              <w:rPr>
                <w:rFonts w:ascii="Helvetica" w:hAnsi="Helvetica" w:cs="Helvetica"/>
                <w:b/>
                <w:color w:val="000000"/>
                <w:sz w:val="15"/>
                <w:szCs w:val="15"/>
                <w:lang w:val="en-NZ" w:eastAsia="en-NZ"/>
              </w:rPr>
            </w:pPr>
          </w:p>
        </w:tc>
      </w:tr>
    </w:tbl>
    <w:p w14:paraId="4D6C77FC" w14:textId="77777777" w:rsidR="005636C7" w:rsidRDefault="005636C7" w:rsidP="005636C7">
      <w:pPr>
        <w:pStyle w:val="E3Heading2"/>
        <w:jc w:val="both"/>
        <w:rPr>
          <w:rFonts w:ascii="Georgia" w:hAnsi="Georgia"/>
          <w:sz w:val="24"/>
        </w:rPr>
      </w:pPr>
      <w:bookmarkStart w:id="138" w:name="_Toc494897967"/>
      <w:bookmarkStart w:id="139" w:name="_Toc494955763"/>
      <w:bookmarkStart w:id="140" w:name="_Toc494959571"/>
      <w:bookmarkStart w:id="141" w:name="_Toc494972697"/>
      <w:bookmarkStart w:id="142" w:name="_Toc494973884"/>
      <w:bookmarkStart w:id="143" w:name="_Toc494974573"/>
    </w:p>
    <w:p w14:paraId="5543E007" w14:textId="77777777" w:rsidR="005636C7" w:rsidRDefault="005636C7" w:rsidP="005636C7">
      <w:pPr>
        <w:pStyle w:val="E3BodyText"/>
        <w:jc w:val="both"/>
      </w:pPr>
      <w:r>
        <w:t xml:space="preserve">As shown in </w:t>
      </w:r>
      <w:r>
        <w:rPr>
          <w:b/>
        </w:rPr>
        <w:t xml:space="preserve">Table 4 </w:t>
      </w:r>
      <w:r>
        <w:t>all relevant s</w:t>
      </w:r>
      <w:r w:rsidRPr="00066675">
        <w:t>tandards</w:t>
      </w:r>
      <w:r>
        <w:t xml:space="preserve"> have now been published in Europe.</w:t>
      </w:r>
      <w:r w:rsidRPr="00066675">
        <w:t xml:space="preserve"> </w:t>
      </w:r>
      <w:r>
        <w:t>The only EC MEPS levels, which have been published, however, relate to storage cabinets and gelato cabinets. The EC MEPS levels relating to refrigerated display cabinets and small ice-cream freezers are yet to be published and remain in draft.</w:t>
      </w:r>
    </w:p>
    <w:p w14:paraId="27F65272" w14:textId="77777777" w:rsidR="005636C7" w:rsidRPr="0053786F" w:rsidRDefault="005636C7" w:rsidP="005636C7">
      <w:pPr>
        <w:pStyle w:val="E3BodyText"/>
        <w:jc w:val="both"/>
      </w:pPr>
    </w:p>
    <w:p w14:paraId="2FC5BA74" w14:textId="77777777" w:rsidR="005636C7" w:rsidRPr="0041262C" w:rsidRDefault="005636C7" w:rsidP="005636C7">
      <w:pPr>
        <w:pStyle w:val="E3Heading4"/>
        <w:spacing w:after="240"/>
        <w:jc w:val="both"/>
      </w:pPr>
      <w:r w:rsidRPr="0041262C">
        <w:t>Option 1: Business as Usual</w:t>
      </w:r>
      <w:bookmarkEnd w:id="134"/>
      <w:bookmarkEnd w:id="138"/>
      <w:bookmarkEnd w:id="139"/>
      <w:bookmarkEnd w:id="140"/>
      <w:bookmarkEnd w:id="141"/>
      <w:bookmarkEnd w:id="142"/>
      <w:bookmarkEnd w:id="143"/>
    </w:p>
    <w:p w14:paraId="4F8EC237" w14:textId="77777777" w:rsidR="005636C7" w:rsidRPr="005F483B" w:rsidRDefault="005636C7" w:rsidP="005F483B">
      <w:pPr>
        <w:pStyle w:val="ListBullet"/>
        <w:spacing w:line="276" w:lineRule="auto"/>
        <w:rPr>
          <w:rFonts w:ascii="Georgia" w:hAnsi="Georgia"/>
        </w:rPr>
      </w:pPr>
      <w:r w:rsidRPr="005F483B">
        <w:rPr>
          <w:rFonts w:ascii="Georgia" w:hAnsi="Georgia"/>
        </w:rPr>
        <w:t>Option 1 is business as usual (BAU): the “no intervention” approach with no changes to standards, scope or test methods. It involves the continued use of AS 1731 as the applicable standard in Australia and New Zealand. AS 1731 is the standard that defines the energy efficiency test procedure for refrigerated display cabinets in Australia and New Zealand. It is made up of 14 separate parts, all sold separately, which specify requirements for classification, installation and maintenance and MEPS and HEPS levels.</w:t>
      </w:r>
      <w:r w:rsidRPr="005F483B">
        <w:rPr>
          <w:rStyle w:val="FootnoteReference"/>
          <w:rFonts w:ascii="Georgia" w:hAnsi="Georgia"/>
        </w:rPr>
        <w:footnoteReference w:id="32"/>
      </w:r>
    </w:p>
    <w:p w14:paraId="32BD9C29" w14:textId="77777777" w:rsidR="005636C7" w:rsidRPr="005F483B" w:rsidRDefault="005636C7" w:rsidP="005F483B">
      <w:pPr>
        <w:pStyle w:val="E3Bullets"/>
        <w:spacing w:line="276" w:lineRule="auto"/>
        <w:jc w:val="both"/>
      </w:pPr>
    </w:p>
    <w:p w14:paraId="2F1CA51E"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Some efficiency improvement in any new products can be assumed due to projected natural improvement in the market and international policy developments. </w:t>
      </w:r>
    </w:p>
    <w:p w14:paraId="78F729AA" w14:textId="77777777" w:rsidR="005636C7" w:rsidRPr="00066675" w:rsidRDefault="005636C7" w:rsidP="005636C7">
      <w:pPr>
        <w:pStyle w:val="E3Bullets"/>
        <w:ind w:left="227" w:hanging="227"/>
        <w:jc w:val="both"/>
      </w:pPr>
    </w:p>
    <w:p w14:paraId="3D0660AF" w14:textId="77777777" w:rsidR="005636C7" w:rsidRDefault="005636C7" w:rsidP="005636C7">
      <w:pPr>
        <w:pStyle w:val="E3Bullets"/>
        <w:jc w:val="both"/>
      </w:pPr>
      <w:r w:rsidRPr="00066675">
        <w:t xml:space="preserve">This option assumes no changes to the existing </w:t>
      </w:r>
      <w:r>
        <w:t xml:space="preserve">regulations </w:t>
      </w:r>
      <w:r w:rsidRPr="00066675">
        <w:t xml:space="preserve">in Australia and New Zealand for </w:t>
      </w:r>
      <w:r>
        <w:t>r</w:t>
      </w:r>
      <w:r w:rsidRPr="00066675">
        <w:t>efrigerated commercial cabinets</w:t>
      </w:r>
      <w:r>
        <w:t>.  Without any regulatory intervention, the problems identified in this RIS will continue:</w:t>
      </w:r>
    </w:p>
    <w:p w14:paraId="38B7F237" w14:textId="77777777" w:rsidR="005636C7" w:rsidRPr="00066675" w:rsidRDefault="005636C7" w:rsidP="005636C7">
      <w:pPr>
        <w:pStyle w:val="E3Bullets"/>
        <w:jc w:val="both"/>
      </w:pPr>
    </w:p>
    <w:p w14:paraId="03D3FD41" w14:textId="77777777" w:rsidR="005636C7" w:rsidRPr="005F483B" w:rsidRDefault="005636C7" w:rsidP="005F483B">
      <w:pPr>
        <w:pStyle w:val="ListBullet"/>
        <w:spacing w:line="276" w:lineRule="auto"/>
        <w:rPr>
          <w:rFonts w:ascii="Georgia" w:hAnsi="Georgia"/>
        </w:rPr>
      </w:pPr>
      <w:r w:rsidRPr="005F483B">
        <w:rPr>
          <w:rFonts w:ascii="Georgia" w:hAnsi="Georgia"/>
        </w:rPr>
        <w:t>AS 1731 will continue to exclude most storage cabinets that are intended for use in catering and similar non-retail applications (food storage purposes), and form approximately 20% of the market.</w:t>
      </w:r>
    </w:p>
    <w:p w14:paraId="76A74ED9" w14:textId="77777777" w:rsidR="005636C7" w:rsidRPr="005F483B" w:rsidRDefault="005636C7" w:rsidP="005F483B">
      <w:pPr>
        <w:pStyle w:val="ListBullet"/>
        <w:numPr>
          <w:ilvl w:val="0"/>
          <w:numId w:val="0"/>
        </w:numPr>
        <w:spacing w:line="276" w:lineRule="auto"/>
        <w:ind w:left="360"/>
        <w:rPr>
          <w:rFonts w:ascii="Georgia" w:hAnsi="Georgia"/>
        </w:rPr>
      </w:pPr>
    </w:p>
    <w:p w14:paraId="0B88C96E" w14:textId="77777777" w:rsidR="005636C7" w:rsidRPr="005F483B" w:rsidRDefault="005636C7" w:rsidP="005F483B">
      <w:pPr>
        <w:pStyle w:val="ListBullet"/>
        <w:spacing w:line="276" w:lineRule="auto"/>
        <w:rPr>
          <w:rFonts w:ascii="Georgia" w:hAnsi="Georgia"/>
        </w:rPr>
      </w:pPr>
      <w:r w:rsidRPr="005F483B">
        <w:rPr>
          <w:rFonts w:ascii="Georgia" w:hAnsi="Georgia"/>
        </w:rPr>
        <w:t>The MEPS and HEPS levels will remain unchanged. They will not provide meaningful parameters for relative energy efficiency of different cabinet models and will not align with internationally accepted standards.</w:t>
      </w:r>
    </w:p>
    <w:p w14:paraId="19A43856" w14:textId="77777777" w:rsidR="005636C7" w:rsidRPr="005F483B" w:rsidRDefault="005636C7" w:rsidP="005F483B">
      <w:pPr>
        <w:pStyle w:val="ListBullet"/>
        <w:numPr>
          <w:ilvl w:val="0"/>
          <w:numId w:val="0"/>
        </w:numPr>
        <w:spacing w:line="276" w:lineRule="auto"/>
        <w:ind w:left="360"/>
        <w:rPr>
          <w:rFonts w:ascii="Georgia" w:hAnsi="Georgia"/>
        </w:rPr>
      </w:pPr>
    </w:p>
    <w:p w14:paraId="4C11F7A2" w14:textId="77777777" w:rsidR="005636C7" w:rsidRPr="005F483B" w:rsidRDefault="005636C7" w:rsidP="005F483B">
      <w:pPr>
        <w:pStyle w:val="ListBullet"/>
        <w:spacing w:line="276" w:lineRule="auto"/>
        <w:rPr>
          <w:rFonts w:ascii="Georgia" w:hAnsi="Georgia"/>
        </w:rPr>
      </w:pPr>
      <w:r w:rsidRPr="005F483B">
        <w:rPr>
          <w:rFonts w:ascii="Georgia" w:hAnsi="Georgia"/>
        </w:rPr>
        <w:t>Refrigerated cabinets will not be subject to labelling requirements. Consumers will be unable to use labels to compare the relative efficiency of different models.</w:t>
      </w:r>
    </w:p>
    <w:p w14:paraId="6855EB20" w14:textId="77777777" w:rsidR="005636C7" w:rsidRPr="00AF7405" w:rsidRDefault="005636C7" w:rsidP="005636C7">
      <w:pPr>
        <w:pStyle w:val="E3Heading2"/>
        <w:spacing w:before="240"/>
        <w:contextualSpacing w:val="0"/>
        <w:jc w:val="both"/>
      </w:pPr>
      <w:bookmarkStart w:id="144" w:name="_Toc449708770"/>
      <w:bookmarkStart w:id="145" w:name="_Toc494897968"/>
      <w:bookmarkStart w:id="146" w:name="_Toc494955764"/>
      <w:bookmarkStart w:id="147" w:name="_Toc494959572"/>
      <w:bookmarkStart w:id="148" w:name="_Toc494972698"/>
      <w:bookmarkStart w:id="149" w:name="_Toc494973885"/>
      <w:bookmarkStart w:id="150" w:name="_Toc494974574"/>
      <w:bookmarkStart w:id="151" w:name="_Toc500151800"/>
      <w:r w:rsidRPr="00AF7405">
        <w:t>Regulatory Options</w:t>
      </w:r>
      <w:bookmarkEnd w:id="144"/>
      <w:bookmarkEnd w:id="145"/>
      <w:bookmarkEnd w:id="146"/>
      <w:bookmarkEnd w:id="147"/>
      <w:bookmarkEnd w:id="148"/>
      <w:bookmarkEnd w:id="149"/>
      <w:bookmarkEnd w:id="150"/>
      <w:bookmarkEnd w:id="151"/>
    </w:p>
    <w:p w14:paraId="432A0C55" w14:textId="77777777" w:rsidR="005636C7" w:rsidRPr="00C620B0" w:rsidRDefault="005636C7" w:rsidP="005636C7">
      <w:pPr>
        <w:pStyle w:val="E3BodyText"/>
        <w:jc w:val="both"/>
      </w:pPr>
      <w:bookmarkStart w:id="152" w:name="_Toc447533586"/>
      <w:r w:rsidRPr="00C620B0">
        <w:t xml:space="preserve">All </w:t>
      </w:r>
      <w:r>
        <w:t>these</w:t>
      </w:r>
      <w:r w:rsidRPr="00C620B0">
        <w:t xml:space="preserve"> options involve</w:t>
      </w:r>
      <w:r>
        <w:t>:</w:t>
      </w:r>
    </w:p>
    <w:p w14:paraId="3F27ED53" w14:textId="77777777" w:rsidR="005636C7" w:rsidRPr="005F483B" w:rsidRDefault="005636C7" w:rsidP="005F483B">
      <w:pPr>
        <w:pStyle w:val="ListBullet"/>
        <w:spacing w:line="276" w:lineRule="auto"/>
        <w:rPr>
          <w:rFonts w:ascii="Georgia" w:hAnsi="Georgia"/>
        </w:rPr>
      </w:pPr>
      <w:r w:rsidRPr="005F483B">
        <w:rPr>
          <w:rFonts w:ascii="Georgia" w:hAnsi="Georgia"/>
        </w:rPr>
        <w:t>Adoption of the ISO and EN test methods for display, storage and related cabinets.</w:t>
      </w:r>
    </w:p>
    <w:p w14:paraId="79C857D3" w14:textId="77777777" w:rsidR="005636C7" w:rsidRPr="005F483B" w:rsidRDefault="005636C7" w:rsidP="005F483B">
      <w:pPr>
        <w:pStyle w:val="ListBullet"/>
        <w:numPr>
          <w:ilvl w:val="0"/>
          <w:numId w:val="0"/>
        </w:numPr>
        <w:spacing w:line="276" w:lineRule="auto"/>
        <w:ind w:left="360"/>
        <w:rPr>
          <w:rFonts w:ascii="Georgia" w:hAnsi="Georgia"/>
        </w:rPr>
      </w:pPr>
    </w:p>
    <w:p w14:paraId="15DE2F38" w14:textId="77777777" w:rsidR="005636C7" w:rsidRPr="005F483B" w:rsidRDefault="005636C7" w:rsidP="005F483B">
      <w:pPr>
        <w:pStyle w:val="ListBullet"/>
        <w:spacing w:line="276" w:lineRule="auto"/>
        <w:rPr>
          <w:rFonts w:ascii="Georgia" w:hAnsi="Georgia"/>
        </w:rPr>
      </w:pPr>
      <w:r w:rsidRPr="005F483B">
        <w:rPr>
          <w:rFonts w:ascii="Georgia" w:hAnsi="Georgia"/>
        </w:rPr>
        <w:t>A change to EC MEPs levels or changes to local MEPs levels to reflect European methods.</w:t>
      </w:r>
    </w:p>
    <w:p w14:paraId="07C62AAC" w14:textId="77777777" w:rsidR="005636C7" w:rsidRPr="005F483B" w:rsidRDefault="005636C7" w:rsidP="005F483B">
      <w:pPr>
        <w:pStyle w:val="ListBullet"/>
        <w:numPr>
          <w:ilvl w:val="0"/>
          <w:numId w:val="0"/>
        </w:numPr>
        <w:spacing w:line="276" w:lineRule="auto"/>
        <w:ind w:left="360"/>
        <w:rPr>
          <w:rFonts w:ascii="Georgia" w:hAnsi="Georgia"/>
        </w:rPr>
      </w:pPr>
    </w:p>
    <w:p w14:paraId="585FCC38"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Adoption of the European approach to energy efficiency: the Energy Efficiency Index (EEI) and European efficiency grades. </w:t>
      </w:r>
    </w:p>
    <w:p w14:paraId="6E2A61F9" w14:textId="77777777" w:rsidR="005636C7" w:rsidRPr="005F483B" w:rsidRDefault="005636C7" w:rsidP="005F483B">
      <w:pPr>
        <w:pStyle w:val="ListBullet"/>
        <w:numPr>
          <w:ilvl w:val="0"/>
          <w:numId w:val="0"/>
        </w:numPr>
        <w:spacing w:line="276" w:lineRule="auto"/>
        <w:ind w:left="360"/>
        <w:rPr>
          <w:rFonts w:ascii="Georgia" w:hAnsi="Georgia"/>
        </w:rPr>
      </w:pPr>
    </w:p>
    <w:p w14:paraId="6AFD814B"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The addition of voluntary online labelling using European energy efficiency grades converted to the current star rating system.  </w:t>
      </w:r>
    </w:p>
    <w:p w14:paraId="1A56138F" w14:textId="77777777" w:rsidR="005636C7" w:rsidRPr="005F483B" w:rsidRDefault="005636C7" w:rsidP="005F483B">
      <w:pPr>
        <w:pStyle w:val="ListBullet"/>
        <w:numPr>
          <w:ilvl w:val="0"/>
          <w:numId w:val="0"/>
        </w:numPr>
        <w:spacing w:line="276" w:lineRule="auto"/>
        <w:ind w:left="360"/>
        <w:rPr>
          <w:rFonts w:ascii="Georgia" w:hAnsi="Georgia"/>
        </w:rPr>
      </w:pPr>
    </w:p>
    <w:p w14:paraId="73390B6B" w14:textId="77777777" w:rsidR="005636C7" w:rsidRPr="005F483B" w:rsidRDefault="005636C7" w:rsidP="005F483B">
      <w:pPr>
        <w:pStyle w:val="ListBullet"/>
        <w:spacing w:line="276" w:lineRule="auto"/>
        <w:rPr>
          <w:rFonts w:ascii="Georgia" w:hAnsi="Georgia"/>
        </w:rPr>
      </w:pPr>
      <w:r w:rsidRPr="005F483B">
        <w:rPr>
          <w:rFonts w:ascii="Georgia" w:hAnsi="Georgia"/>
        </w:rPr>
        <w:t>A “Deemed to Comply” method of compliance for low volume products</w:t>
      </w:r>
    </w:p>
    <w:p w14:paraId="4201A19B" w14:textId="77777777" w:rsidR="005F483B" w:rsidRDefault="005F483B" w:rsidP="005636C7">
      <w:pPr>
        <w:pStyle w:val="E3BodyText"/>
        <w:jc w:val="both"/>
      </w:pPr>
    </w:p>
    <w:p w14:paraId="6E780A18" w14:textId="77777777" w:rsidR="005636C7" w:rsidRPr="007E79D2" w:rsidRDefault="005636C7" w:rsidP="005636C7">
      <w:pPr>
        <w:pStyle w:val="E3BodyText"/>
        <w:jc w:val="both"/>
      </w:pPr>
      <w:r>
        <w:t xml:space="preserve">All regulatory options have been modified following industry feedback to incorporate voluntary online labelling rather than the mandatory labelling previously proposed. </w:t>
      </w:r>
      <w:r w:rsidRPr="007E79D2">
        <w:t xml:space="preserve">Option 4 has also been modified so it proposes </w:t>
      </w:r>
      <w:r>
        <w:t>revising</w:t>
      </w:r>
      <w:r w:rsidRPr="00281221">
        <w:t xml:space="preserve"> existing local MEPS levels to align with EC MEPS levels</w:t>
      </w:r>
      <w:r>
        <w:t>. All proposals now have an implementation date of 1 December 2019</w:t>
      </w:r>
      <w:r w:rsidRPr="007E79D2">
        <w:t>.</w:t>
      </w:r>
    </w:p>
    <w:p w14:paraId="0E282F3C" w14:textId="77777777" w:rsidR="005636C7" w:rsidRPr="00AF7405" w:rsidRDefault="005636C7" w:rsidP="005636C7">
      <w:pPr>
        <w:jc w:val="both"/>
        <w:rPr>
          <w:lang w:val="en-US"/>
        </w:rPr>
      </w:pPr>
    </w:p>
    <w:p w14:paraId="36A8D5A8" w14:textId="77777777" w:rsidR="005636C7" w:rsidRPr="0041262C" w:rsidRDefault="005636C7" w:rsidP="005636C7">
      <w:pPr>
        <w:pStyle w:val="E3Heading4"/>
        <w:jc w:val="both"/>
      </w:pPr>
      <w:r w:rsidRPr="0041262C">
        <w:t>Test Methods</w:t>
      </w:r>
      <w:bookmarkEnd w:id="152"/>
    </w:p>
    <w:p w14:paraId="0619651A" w14:textId="77777777" w:rsidR="005636C7" w:rsidRPr="00066675" w:rsidRDefault="005636C7" w:rsidP="005636C7">
      <w:pPr>
        <w:pStyle w:val="E3BodyText"/>
        <w:jc w:val="both"/>
      </w:pPr>
      <w:r w:rsidRPr="00066675">
        <w:t xml:space="preserve">All regulatory </w:t>
      </w:r>
      <w:r>
        <w:t>options look at adopting from 2019</w:t>
      </w:r>
      <w:r w:rsidRPr="00066675">
        <w:t>:</w:t>
      </w:r>
    </w:p>
    <w:p w14:paraId="17484C79" w14:textId="77777777" w:rsidR="005636C7" w:rsidRPr="005F483B" w:rsidRDefault="005636C7" w:rsidP="005F483B">
      <w:pPr>
        <w:pStyle w:val="ListBullet"/>
        <w:spacing w:line="276" w:lineRule="auto"/>
        <w:rPr>
          <w:rFonts w:ascii="Georgia" w:hAnsi="Georgia"/>
        </w:rPr>
      </w:pPr>
      <w:r w:rsidRPr="005F483B">
        <w:rPr>
          <w:rFonts w:ascii="Georgia" w:hAnsi="Georgia"/>
        </w:rPr>
        <w:t>The ISO standard 23953 for Refrigerated Display Cabinets (in relation to display cabinets and beverage coolers).</w:t>
      </w:r>
    </w:p>
    <w:p w14:paraId="4BAA7002" w14:textId="77777777" w:rsidR="005636C7" w:rsidRPr="005F483B" w:rsidRDefault="005636C7" w:rsidP="005F483B">
      <w:pPr>
        <w:pStyle w:val="ListBullet"/>
        <w:numPr>
          <w:ilvl w:val="0"/>
          <w:numId w:val="0"/>
        </w:numPr>
        <w:spacing w:line="276" w:lineRule="auto"/>
        <w:ind w:left="360"/>
        <w:rPr>
          <w:rFonts w:ascii="Georgia" w:hAnsi="Georgia"/>
        </w:rPr>
      </w:pPr>
    </w:p>
    <w:p w14:paraId="6497E374"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EN 16825 for Refrigerated Storage Cabinets and Counters for Professional Use. </w:t>
      </w:r>
    </w:p>
    <w:p w14:paraId="31FDB41B" w14:textId="77777777" w:rsidR="005636C7" w:rsidRPr="005F483B" w:rsidRDefault="005636C7" w:rsidP="005F483B">
      <w:pPr>
        <w:pStyle w:val="ListBullet"/>
        <w:numPr>
          <w:ilvl w:val="0"/>
          <w:numId w:val="0"/>
        </w:numPr>
        <w:spacing w:line="276" w:lineRule="auto"/>
        <w:ind w:left="360"/>
        <w:rPr>
          <w:rFonts w:ascii="Georgia" w:hAnsi="Georgia"/>
        </w:rPr>
      </w:pPr>
    </w:p>
    <w:p w14:paraId="6CF336EA" w14:textId="77777777" w:rsidR="005636C7" w:rsidRPr="005F483B" w:rsidRDefault="005636C7" w:rsidP="005F483B">
      <w:pPr>
        <w:pStyle w:val="ListBullet"/>
        <w:spacing w:line="276" w:lineRule="auto"/>
        <w:rPr>
          <w:rFonts w:ascii="Georgia" w:hAnsi="Georgia"/>
        </w:rPr>
      </w:pPr>
      <w:r w:rsidRPr="005F483B">
        <w:rPr>
          <w:rFonts w:ascii="Georgia" w:hAnsi="Georgia"/>
        </w:rPr>
        <w:t>EN 16901 for small ice-cream freezers.</w:t>
      </w:r>
    </w:p>
    <w:p w14:paraId="498E974F" w14:textId="77777777" w:rsidR="005636C7" w:rsidRPr="005F483B" w:rsidRDefault="005636C7" w:rsidP="005F483B">
      <w:pPr>
        <w:pStyle w:val="ListBullet"/>
        <w:numPr>
          <w:ilvl w:val="0"/>
          <w:numId w:val="0"/>
        </w:numPr>
        <w:spacing w:line="276" w:lineRule="auto"/>
        <w:ind w:left="360"/>
        <w:rPr>
          <w:rFonts w:ascii="Georgia" w:hAnsi="Georgia"/>
        </w:rPr>
      </w:pPr>
    </w:p>
    <w:p w14:paraId="7E4F858A" w14:textId="77777777" w:rsidR="005636C7" w:rsidRPr="005F483B" w:rsidRDefault="005636C7" w:rsidP="005F483B">
      <w:pPr>
        <w:pStyle w:val="ListBullet"/>
        <w:spacing w:line="276" w:lineRule="auto"/>
        <w:rPr>
          <w:rFonts w:ascii="Georgia" w:hAnsi="Georgia"/>
        </w:rPr>
      </w:pPr>
      <w:r w:rsidRPr="005F483B">
        <w:rPr>
          <w:rFonts w:ascii="Georgia" w:hAnsi="Georgia"/>
        </w:rPr>
        <w:t>EN 16838 for refrigerated display scooping cabinets for gelato.</w:t>
      </w:r>
    </w:p>
    <w:p w14:paraId="4BC30926" w14:textId="77777777" w:rsidR="005636C7" w:rsidRPr="00066675" w:rsidRDefault="005636C7" w:rsidP="005636C7">
      <w:pPr>
        <w:pStyle w:val="E3Bullets"/>
        <w:jc w:val="both"/>
      </w:pPr>
    </w:p>
    <w:p w14:paraId="1442E720" w14:textId="77777777" w:rsidR="005636C7" w:rsidRDefault="005636C7" w:rsidP="005636C7">
      <w:pPr>
        <w:pStyle w:val="E3Bullets"/>
        <w:jc w:val="both"/>
      </w:pPr>
      <w:r w:rsidRPr="00066675">
        <w:t>Essentially,</w:t>
      </w:r>
      <w:r>
        <w:t xml:space="preserve"> these s</w:t>
      </w:r>
      <w:r w:rsidRPr="00066675">
        <w:t>tandards cover a much wider range of refrigeration equipment that performs similar functions or ha</w:t>
      </w:r>
      <w:r>
        <w:t>s</w:t>
      </w:r>
      <w:r w:rsidRPr="00066675">
        <w:t xml:space="preserve"> similar characteristics </w:t>
      </w:r>
      <w:r>
        <w:t xml:space="preserve">to </w:t>
      </w:r>
      <w:r w:rsidRPr="00066675">
        <w:t xml:space="preserve">those already regulated in Australia and New Zealand. These </w:t>
      </w:r>
      <w:r>
        <w:t xml:space="preserve">standards make up </w:t>
      </w:r>
      <w:r w:rsidRPr="00066675">
        <w:t xml:space="preserve">a complementary suite of test methods that cover much of the refrigerated cabinet market (previously these were sub-sets in AS 1731). </w:t>
      </w:r>
      <w:r>
        <w:t>They have been developed using the ISO as a parent standard.</w:t>
      </w:r>
    </w:p>
    <w:p w14:paraId="65A974D0" w14:textId="77777777" w:rsidR="005636C7" w:rsidRDefault="005636C7" w:rsidP="005636C7">
      <w:pPr>
        <w:pStyle w:val="E3Bullets"/>
        <w:jc w:val="both"/>
      </w:pPr>
    </w:p>
    <w:p w14:paraId="30F346A0" w14:textId="77777777" w:rsidR="005636C7" w:rsidRDefault="005636C7" w:rsidP="005636C7">
      <w:pPr>
        <w:pStyle w:val="E3Bullets"/>
        <w:jc w:val="both"/>
      </w:pPr>
      <w:r>
        <w:t>The ISO S</w:t>
      </w:r>
      <w:r w:rsidRPr="00066675">
        <w:t>tandard is widely used in Europe as the preferred test method for display cabinets</w:t>
      </w:r>
      <w:r>
        <w:t>.</w:t>
      </w:r>
      <w:r w:rsidRPr="00066675">
        <w:t xml:space="preserve"> </w:t>
      </w:r>
      <w:r>
        <w:t>O</w:t>
      </w:r>
      <w:r w:rsidRPr="00066675">
        <w:t xml:space="preserve">ther countries have </w:t>
      </w:r>
      <w:r>
        <w:t>adopted or adapted it or are looking to do so. There was almost unanimous support from industry for the adoption of the European standards and test methods.</w:t>
      </w:r>
    </w:p>
    <w:p w14:paraId="7FE933A6" w14:textId="77777777" w:rsidR="005636C7" w:rsidRDefault="005636C7" w:rsidP="005636C7">
      <w:pPr>
        <w:pStyle w:val="E3Bullets"/>
        <w:jc w:val="both"/>
      </w:pPr>
    </w:p>
    <w:p w14:paraId="306F6B1B" w14:textId="77777777" w:rsidR="005636C7" w:rsidRPr="00066675" w:rsidRDefault="005636C7" w:rsidP="005636C7">
      <w:pPr>
        <w:pStyle w:val="E3Bullets"/>
        <w:jc w:val="both"/>
      </w:pPr>
      <w:r w:rsidRPr="00066675">
        <w:t xml:space="preserve">The ISO standard for display cabinets, allows a ‘deemed to comply’ option for components to be swapped in an already rated model, without the need to re-test or register it as a separate model. </w:t>
      </w:r>
      <w:r>
        <w:t xml:space="preserve">The regulatory proposals in this RIS incorporate the inclusion of a ‘deemed to comply’ provision in the revised standards.  This is supported by industry, with the feedback from the consultation process supporting a ‘deemed to comply’ pathway to compliance, particularly for local manufacturers who face high compliance costs from the proposed regulatory changes than importers would face.  </w:t>
      </w:r>
    </w:p>
    <w:p w14:paraId="3D6CB1C4" w14:textId="77777777" w:rsidR="005636C7" w:rsidRDefault="005636C7" w:rsidP="005636C7">
      <w:pPr>
        <w:pStyle w:val="E3Heading4"/>
        <w:jc w:val="both"/>
      </w:pPr>
      <w:bookmarkStart w:id="153" w:name="_Toc447533587"/>
    </w:p>
    <w:p w14:paraId="0DEC8692" w14:textId="77777777" w:rsidR="005636C7" w:rsidRPr="0041262C" w:rsidRDefault="005636C7" w:rsidP="005636C7">
      <w:pPr>
        <w:pStyle w:val="E3Heading4"/>
        <w:jc w:val="both"/>
      </w:pPr>
      <w:r w:rsidRPr="0041262C">
        <w:t>MEPS levels</w:t>
      </w:r>
      <w:bookmarkEnd w:id="153"/>
      <w:r w:rsidRPr="0041262C">
        <w:t xml:space="preserve"> </w:t>
      </w:r>
    </w:p>
    <w:p w14:paraId="45F344C3" w14:textId="77777777" w:rsidR="005636C7" w:rsidRPr="00066675" w:rsidRDefault="005636C7" w:rsidP="005636C7">
      <w:pPr>
        <w:pStyle w:val="E3BodyText"/>
        <w:jc w:val="both"/>
        <w:rPr>
          <w:lang w:val="en-NZ" w:eastAsia="en-NZ"/>
        </w:rPr>
      </w:pPr>
      <w:r w:rsidRPr="00066675">
        <w:t>All regulatory proposals look at either adopting the European MEPS levels or designing MEPS levels based on European methods</w:t>
      </w:r>
      <w:r>
        <w:t xml:space="preserve">.  </w:t>
      </w:r>
      <w:r w:rsidRPr="00066675">
        <w:rPr>
          <w:lang w:val="en-NZ" w:eastAsia="en-NZ"/>
        </w:rPr>
        <w:t xml:space="preserve">The idea of moving to group level MEPS is that it avoids the </w:t>
      </w:r>
      <w:r>
        <w:rPr>
          <w:lang w:val="en-NZ" w:eastAsia="en-NZ"/>
        </w:rPr>
        <w:t xml:space="preserve">issues caused by specific </w:t>
      </w:r>
      <w:r w:rsidRPr="00066675">
        <w:rPr>
          <w:lang w:val="en-NZ" w:eastAsia="en-NZ"/>
        </w:rPr>
        <w:t>definitions</w:t>
      </w:r>
      <w:r>
        <w:rPr>
          <w:lang w:val="en-NZ" w:eastAsia="en-NZ"/>
        </w:rPr>
        <w:t xml:space="preserve"> and</w:t>
      </w:r>
      <w:r w:rsidRPr="00066675">
        <w:rPr>
          <w:lang w:val="en-NZ" w:eastAsia="en-NZ"/>
        </w:rPr>
        <w:t xml:space="preserve"> slight class-differences in MEPS levels</w:t>
      </w:r>
      <w:r>
        <w:rPr>
          <w:lang w:val="en-NZ" w:eastAsia="en-NZ"/>
        </w:rPr>
        <w:t>.</w:t>
      </w:r>
      <w:r w:rsidRPr="00066675">
        <w:rPr>
          <w:lang w:val="en-NZ" w:eastAsia="en-NZ"/>
        </w:rPr>
        <w:t xml:space="preserve"> Broader product groups are</w:t>
      </w:r>
      <w:r>
        <w:rPr>
          <w:lang w:val="en-NZ" w:eastAsia="en-NZ"/>
        </w:rPr>
        <w:t xml:space="preserve"> also</w:t>
      </w:r>
      <w:r w:rsidRPr="00066675">
        <w:rPr>
          <w:lang w:val="en-NZ" w:eastAsia="en-NZ"/>
        </w:rPr>
        <w:t xml:space="preserve"> more inclusive without specific dimensional or physical characteristics creating grey areas and loopholes in regulation.</w:t>
      </w:r>
    </w:p>
    <w:p w14:paraId="20A1CFBF" w14:textId="77777777" w:rsidR="005636C7" w:rsidRDefault="005636C7" w:rsidP="005636C7">
      <w:pPr>
        <w:pStyle w:val="E3Bullets"/>
        <w:jc w:val="both"/>
      </w:pPr>
    </w:p>
    <w:p w14:paraId="7AABA33B" w14:textId="77777777" w:rsidR="005636C7" w:rsidRDefault="005636C7" w:rsidP="005636C7">
      <w:pPr>
        <w:pStyle w:val="E3Bullets"/>
        <w:jc w:val="both"/>
      </w:pPr>
      <w:r w:rsidRPr="00066675">
        <w:t xml:space="preserve">Three MEPS level scenarios are </w:t>
      </w:r>
      <w:r>
        <w:t>contained in options 2 to 4:</w:t>
      </w:r>
    </w:p>
    <w:p w14:paraId="5509F5AF"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Revising local Australia-New Zealand MEPS levels to affect the least efficient 10% of cabinets, per group of similar cabinet types (option 2), or </w:t>
      </w:r>
    </w:p>
    <w:p w14:paraId="7A231024" w14:textId="77777777" w:rsidR="005636C7" w:rsidRPr="005F483B" w:rsidRDefault="005636C7" w:rsidP="005F483B">
      <w:pPr>
        <w:pStyle w:val="ListBullet"/>
        <w:numPr>
          <w:ilvl w:val="0"/>
          <w:numId w:val="0"/>
        </w:numPr>
        <w:spacing w:line="276" w:lineRule="auto"/>
        <w:ind w:left="360"/>
        <w:rPr>
          <w:rFonts w:ascii="Georgia" w:hAnsi="Georgia"/>
        </w:rPr>
      </w:pPr>
    </w:p>
    <w:p w14:paraId="2E2F1F8D"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 Revising local Australia-New Zealand MEPS levels to affect the least efficient 30% of cabinets per group of similar cabinet types (option 3), or </w:t>
      </w:r>
    </w:p>
    <w:p w14:paraId="60DA4268" w14:textId="77777777" w:rsidR="005636C7" w:rsidRPr="005F483B" w:rsidRDefault="005636C7" w:rsidP="005F483B">
      <w:pPr>
        <w:pStyle w:val="ListBullet"/>
        <w:numPr>
          <w:ilvl w:val="0"/>
          <w:numId w:val="0"/>
        </w:numPr>
        <w:spacing w:line="276" w:lineRule="auto"/>
        <w:ind w:left="360"/>
        <w:rPr>
          <w:rFonts w:ascii="Georgia" w:hAnsi="Georgia"/>
        </w:rPr>
      </w:pPr>
    </w:p>
    <w:p w14:paraId="303275FC"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Aligning with EC </w:t>
      </w:r>
      <w:r w:rsidRPr="005F483B" w:rsidDel="00F502B9">
        <w:rPr>
          <w:rFonts w:ascii="Georgia" w:hAnsi="Georgia"/>
        </w:rPr>
        <w:t>MEPS levels (</w:t>
      </w:r>
      <w:r w:rsidRPr="005F483B">
        <w:rPr>
          <w:rFonts w:ascii="Georgia" w:hAnsi="Georgia"/>
        </w:rPr>
        <w:t xml:space="preserve">option 4) with </w:t>
      </w:r>
      <w:r w:rsidRPr="005F483B" w:rsidDel="00F502B9">
        <w:rPr>
          <w:rFonts w:ascii="Georgia" w:hAnsi="Georgia"/>
        </w:rPr>
        <w:t>appro</w:t>
      </w:r>
      <w:r w:rsidRPr="005F483B">
        <w:rPr>
          <w:rFonts w:ascii="Georgia" w:hAnsi="Georgia"/>
        </w:rPr>
        <w:t>ximately</w:t>
      </w:r>
      <w:r w:rsidRPr="005F483B" w:rsidDel="00F502B9">
        <w:rPr>
          <w:rFonts w:ascii="Georgia" w:hAnsi="Georgia"/>
        </w:rPr>
        <w:t xml:space="preserve"> </w:t>
      </w:r>
      <w:r w:rsidRPr="005F483B">
        <w:rPr>
          <w:rFonts w:ascii="Georgia" w:hAnsi="Georgia"/>
        </w:rPr>
        <w:t>25</w:t>
      </w:r>
      <w:r w:rsidRPr="005F483B" w:rsidDel="00F502B9">
        <w:rPr>
          <w:rFonts w:ascii="Georgia" w:hAnsi="Georgia"/>
        </w:rPr>
        <w:t xml:space="preserve">% </w:t>
      </w:r>
      <w:r w:rsidRPr="005F483B">
        <w:rPr>
          <w:rFonts w:ascii="Georgia" w:hAnsi="Georgia"/>
        </w:rPr>
        <w:t xml:space="preserve">of all cabinet models </w:t>
      </w:r>
      <w:r w:rsidRPr="005F483B" w:rsidDel="00F502B9">
        <w:rPr>
          <w:rFonts w:ascii="Georgia" w:hAnsi="Georgia"/>
        </w:rPr>
        <w:t xml:space="preserve">affected but </w:t>
      </w:r>
      <w:r w:rsidRPr="005F483B">
        <w:rPr>
          <w:rFonts w:ascii="Georgia" w:hAnsi="Georgia"/>
        </w:rPr>
        <w:t xml:space="preserve">with </w:t>
      </w:r>
      <w:r w:rsidRPr="005F483B" w:rsidDel="00F502B9">
        <w:rPr>
          <w:rFonts w:ascii="Georgia" w:hAnsi="Georgia"/>
        </w:rPr>
        <w:t>some sub-sets of cab</w:t>
      </w:r>
      <w:r w:rsidRPr="005F483B">
        <w:rPr>
          <w:rFonts w:ascii="Georgia" w:hAnsi="Georgia"/>
        </w:rPr>
        <w:t>inets are more affected than others</w:t>
      </w:r>
      <w:r w:rsidRPr="005F483B" w:rsidDel="00F502B9">
        <w:rPr>
          <w:rFonts w:ascii="Georgia" w:hAnsi="Georgia"/>
        </w:rPr>
        <w:t xml:space="preserve">. </w:t>
      </w:r>
    </w:p>
    <w:p w14:paraId="1AE51519" w14:textId="77777777" w:rsidR="005636C7" w:rsidRPr="00EB391B" w:rsidDel="00F502B9" w:rsidRDefault="005636C7" w:rsidP="005636C7">
      <w:pPr>
        <w:pStyle w:val="E3Bullets"/>
        <w:ind w:left="227"/>
        <w:jc w:val="both"/>
      </w:pPr>
    </w:p>
    <w:p w14:paraId="07C46D8F" w14:textId="77777777" w:rsidR="005F483B" w:rsidRDefault="005F483B">
      <w:pPr>
        <w:rPr>
          <w:rFonts w:ascii="Georgia" w:eastAsia="Cambria" w:hAnsi="Georgia" w:cs="Georgia"/>
          <w:b/>
          <w:bCs/>
          <w:color w:val="000000"/>
          <w:sz w:val="21"/>
          <w:szCs w:val="19"/>
          <w:lang w:val="en-US" w:eastAsia="en-US"/>
        </w:rPr>
      </w:pPr>
      <w:bookmarkStart w:id="154" w:name="_Ref449960531"/>
      <w:bookmarkStart w:id="155" w:name="_Toc449708960"/>
      <w:bookmarkStart w:id="156" w:name="_Toc449968524"/>
      <w:bookmarkStart w:id="157" w:name="_Toc494142455"/>
      <w:bookmarkStart w:id="158" w:name="_Toc500159655"/>
      <w:r>
        <w:br w:type="page"/>
      </w:r>
    </w:p>
    <w:p w14:paraId="61671DAC" w14:textId="31C2585B" w:rsidR="005636C7" w:rsidRPr="00AF7405" w:rsidRDefault="005636C7" w:rsidP="007A7E50">
      <w:pPr>
        <w:pStyle w:val="E3TableTitles"/>
        <w:spacing w:after="0"/>
        <w:jc w:val="both"/>
        <w:rPr>
          <w:sz w:val="18"/>
          <w:szCs w:val="20"/>
        </w:rPr>
      </w:pPr>
      <w:r>
        <w:t xml:space="preserve">Table </w:t>
      </w:r>
      <w:r>
        <w:fldChar w:fldCharType="begin"/>
      </w:r>
      <w:r>
        <w:instrText xml:space="preserve"> SEQ Table \* ARABIC </w:instrText>
      </w:r>
      <w:r>
        <w:fldChar w:fldCharType="separate"/>
      </w:r>
      <w:r w:rsidR="00AC6998">
        <w:rPr>
          <w:noProof/>
        </w:rPr>
        <w:t>5</w:t>
      </w:r>
      <w:r>
        <w:rPr>
          <w:noProof/>
        </w:rPr>
        <w:fldChar w:fldCharType="end"/>
      </w:r>
      <w:bookmarkEnd w:id="154"/>
      <w:r>
        <w:t>: Summary of 15 groups of display and s</w:t>
      </w:r>
      <w:r w:rsidRPr="009A4D6A">
        <w:t>torage cabinets.</w:t>
      </w:r>
      <w:bookmarkEnd w:id="155"/>
      <w:bookmarkEnd w:id="156"/>
      <w:bookmarkEnd w:id="157"/>
      <w:bookmarkEnd w:id="158"/>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605"/>
        <w:gridCol w:w="1513"/>
        <w:gridCol w:w="1559"/>
        <w:gridCol w:w="1701"/>
        <w:gridCol w:w="1468"/>
        <w:gridCol w:w="1855"/>
      </w:tblGrid>
      <w:tr w:rsidR="005636C7" w:rsidRPr="00F03E27" w14:paraId="25B3BF70" w14:textId="77777777" w:rsidTr="005636C7">
        <w:trPr>
          <w:jc w:val="center"/>
        </w:trPr>
        <w:tc>
          <w:tcPr>
            <w:tcW w:w="421" w:type="dxa"/>
            <w:shd w:val="clear" w:color="auto" w:fill="0C0C0C"/>
          </w:tcPr>
          <w:p w14:paraId="4BEA3529" w14:textId="77777777" w:rsidR="005636C7" w:rsidRPr="001A279D" w:rsidRDefault="005636C7" w:rsidP="005636C7">
            <w:pPr>
              <w:pStyle w:val="E3TableHeading"/>
              <w:rPr>
                <w:szCs w:val="15"/>
              </w:rPr>
            </w:pPr>
          </w:p>
        </w:tc>
        <w:tc>
          <w:tcPr>
            <w:tcW w:w="1605" w:type="dxa"/>
            <w:shd w:val="clear" w:color="auto" w:fill="0C0C0C"/>
            <w:vAlign w:val="center"/>
          </w:tcPr>
          <w:p w14:paraId="73065263" w14:textId="77777777" w:rsidR="005636C7" w:rsidRPr="00497702" w:rsidRDefault="005636C7" w:rsidP="005636C7">
            <w:pPr>
              <w:pStyle w:val="E3TableHeading"/>
              <w:jc w:val="center"/>
              <w:rPr>
                <w:sz w:val="20"/>
                <w:szCs w:val="20"/>
              </w:rPr>
            </w:pPr>
            <w:r w:rsidRPr="00497702">
              <w:rPr>
                <w:sz w:val="20"/>
                <w:szCs w:val="20"/>
              </w:rPr>
              <w:t>Group Abbrev.</w:t>
            </w:r>
          </w:p>
        </w:tc>
        <w:tc>
          <w:tcPr>
            <w:tcW w:w="1513" w:type="dxa"/>
            <w:shd w:val="clear" w:color="auto" w:fill="0C0C0C"/>
            <w:vAlign w:val="center"/>
          </w:tcPr>
          <w:p w14:paraId="5493A0C4" w14:textId="77777777" w:rsidR="005636C7" w:rsidRPr="00497702" w:rsidRDefault="005636C7" w:rsidP="005636C7">
            <w:pPr>
              <w:pStyle w:val="E3TableHeading"/>
              <w:jc w:val="center"/>
              <w:rPr>
                <w:sz w:val="20"/>
                <w:szCs w:val="20"/>
              </w:rPr>
            </w:pPr>
            <w:r w:rsidRPr="00497702">
              <w:rPr>
                <w:sz w:val="20"/>
                <w:szCs w:val="20"/>
              </w:rPr>
              <w:t>Application</w:t>
            </w:r>
          </w:p>
        </w:tc>
        <w:tc>
          <w:tcPr>
            <w:tcW w:w="1559" w:type="dxa"/>
            <w:shd w:val="clear" w:color="auto" w:fill="0C0C0C"/>
            <w:vAlign w:val="center"/>
          </w:tcPr>
          <w:p w14:paraId="3E8B6255" w14:textId="77777777" w:rsidR="005636C7" w:rsidRPr="00497702" w:rsidRDefault="005636C7" w:rsidP="005636C7">
            <w:pPr>
              <w:pStyle w:val="E3TableHeading"/>
              <w:jc w:val="center"/>
              <w:rPr>
                <w:sz w:val="20"/>
                <w:szCs w:val="20"/>
              </w:rPr>
            </w:pPr>
            <w:r w:rsidRPr="00497702">
              <w:rPr>
                <w:sz w:val="20"/>
                <w:szCs w:val="20"/>
              </w:rPr>
              <w:t>Temperature</w:t>
            </w:r>
          </w:p>
        </w:tc>
        <w:tc>
          <w:tcPr>
            <w:tcW w:w="1701" w:type="dxa"/>
            <w:shd w:val="clear" w:color="auto" w:fill="0C0C0C"/>
            <w:vAlign w:val="center"/>
          </w:tcPr>
          <w:p w14:paraId="04483CA3" w14:textId="77777777" w:rsidR="005636C7" w:rsidRPr="00497702" w:rsidRDefault="005636C7" w:rsidP="005636C7">
            <w:pPr>
              <w:pStyle w:val="E3TableHeading"/>
              <w:jc w:val="center"/>
              <w:rPr>
                <w:sz w:val="20"/>
                <w:szCs w:val="20"/>
              </w:rPr>
            </w:pPr>
            <w:r w:rsidRPr="00497702">
              <w:rPr>
                <w:sz w:val="20"/>
                <w:szCs w:val="20"/>
              </w:rPr>
              <w:t>Configuration</w:t>
            </w:r>
          </w:p>
        </w:tc>
        <w:tc>
          <w:tcPr>
            <w:tcW w:w="1468" w:type="dxa"/>
            <w:shd w:val="clear" w:color="auto" w:fill="0C0C0C"/>
            <w:vAlign w:val="center"/>
          </w:tcPr>
          <w:p w14:paraId="624ADFF3" w14:textId="77777777" w:rsidR="005636C7" w:rsidRPr="00497702" w:rsidRDefault="005636C7" w:rsidP="007A7E50">
            <w:pPr>
              <w:pStyle w:val="E3TableHeading"/>
              <w:spacing w:after="0"/>
              <w:jc w:val="center"/>
              <w:rPr>
                <w:sz w:val="20"/>
                <w:szCs w:val="20"/>
              </w:rPr>
            </w:pPr>
            <w:r w:rsidRPr="00497702">
              <w:rPr>
                <w:sz w:val="20"/>
                <w:szCs w:val="20"/>
              </w:rPr>
              <w:t>AS 1731.14 Types</w:t>
            </w:r>
          </w:p>
        </w:tc>
        <w:tc>
          <w:tcPr>
            <w:tcW w:w="1855" w:type="dxa"/>
            <w:shd w:val="clear" w:color="auto" w:fill="0C0C0C"/>
            <w:vAlign w:val="center"/>
          </w:tcPr>
          <w:p w14:paraId="6D7E69F5" w14:textId="77777777" w:rsidR="005636C7" w:rsidRPr="00497702" w:rsidRDefault="005636C7" w:rsidP="007A7E50">
            <w:pPr>
              <w:pStyle w:val="E3TableHeading"/>
              <w:spacing w:after="0"/>
              <w:jc w:val="center"/>
              <w:rPr>
                <w:sz w:val="20"/>
                <w:szCs w:val="20"/>
              </w:rPr>
            </w:pPr>
            <w:r w:rsidRPr="00497702">
              <w:rPr>
                <w:sz w:val="20"/>
                <w:szCs w:val="20"/>
              </w:rPr>
              <w:t>ISO 23953 Types</w:t>
            </w:r>
          </w:p>
        </w:tc>
      </w:tr>
      <w:tr w:rsidR="005636C7" w:rsidRPr="00026511" w14:paraId="14D75262" w14:textId="77777777" w:rsidTr="005636C7">
        <w:trPr>
          <w:jc w:val="center"/>
        </w:trPr>
        <w:tc>
          <w:tcPr>
            <w:tcW w:w="421" w:type="dxa"/>
          </w:tcPr>
          <w:p w14:paraId="7BC3E0A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w:t>
            </w:r>
          </w:p>
        </w:tc>
        <w:tc>
          <w:tcPr>
            <w:tcW w:w="1605" w:type="dxa"/>
            <w:vAlign w:val="center"/>
          </w:tcPr>
          <w:p w14:paraId="248E9D58"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IRH</w:t>
            </w:r>
          </w:p>
          <w:p w14:paraId="0E370CD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Refrigerated Horizontal Cabinets</w:t>
            </w:r>
          </w:p>
        </w:tc>
        <w:tc>
          <w:tcPr>
            <w:tcW w:w="1513" w:type="dxa"/>
            <w:vMerge w:val="restart"/>
            <w:vAlign w:val="center"/>
          </w:tcPr>
          <w:p w14:paraId="70F36B3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Integral Refrigerated Display Cabinets </w:t>
            </w:r>
          </w:p>
        </w:tc>
        <w:tc>
          <w:tcPr>
            <w:tcW w:w="1559" w:type="dxa"/>
            <w:vMerge w:val="restart"/>
            <w:vAlign w:val="center"/>
          </w:tcPr>
          <w:p w14:paraId="45650D2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50B6417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7AFB850B"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HC1, HC2, HC3, HC4, HC5, HC6</w:t>
            </w:r>
          </w:p>
        </w:tc>
        <w:tc>
          <w:tcPr>
            <w:tcW w:w="1855" w:type="dxa"/>
            <w:vAlign w:val="center"/>
          </w:tcPr>
          <w:p w14:paraId="1E2BE40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IHC1, IHC2, IHC3, IHC4, IHC5, IHC6, IHC7, IHC8</w:t>
            </w:r>
          </w:p>
        </w:tc>
      </w:tr>
      <w:tr w:rsidR="005636C7" w:rsidRPr="00026511" w14:paraId="241BE2A9" w14:textId="77777777" w:rsidTr="005636C7">
        <w:trPr>
          <w:jc w:val="center"/>
        </w:trPr>
        <w:tc>
          <w:tcPr>
            <w:tcW w:w="421" w:type="dxa"/>
          </w:tcPr>
          <w:p w14:paraId="238046C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w:t>
            </w:r>
          </w:p>
        </w:tc>
        <w:tc>
          <w:tcPr>
            <w:tcW w:w="1605" w:type="dxa"/>
            <w:vAlign w:val="center"/>
          </w:tcPr>
          <w:p w14:paraId="0B281D9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IRV</w:t>
            </w:r>
          </w:p>
          <w:p w14:paraId="1D03961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Refrigerated Vertical Cabinets</w:t>
            </w:r>
          </w:p>
        </w:tc>
        <w:tc>
          <w:tcPr>
            <w:tcW w:w="1513" w:type="dxa"/>
            <w:vMerge/>
            <w:vAlign w:val="center"/>
          </w:tcPr>
          <w:p w14:paraId="2DA1328B"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1C1CB798" w14:textId="77777777" w:rsidR="005636C7" w:rsidRPr="0041262C" w:rsidRDefault="005636C7" w:rsidP="005636C7">
            <w:pPr>
              <w:pStyle w:val="E3tabletext1"/>
              <w:rPr>
                <w:rFonts w:ascii="Helvetica" w:hAnsi="Helvetica" w:cs="Helvetica"/>
                <w:sz w:val="15"/>
                <w:szCs w:val="15"/>
              </w:rPr>
            </w:pPr>
          </w:p>
        </w:tc>
        <w:tc>
          <w:tcPr>
            <w:tcW w:w="1701" w:type="dxa"/>
            <w:vMerge w:val="restart"/>
            <w:vAlign w:val="center"/>
          </w:tcPr>
          <w:p w14:paraId="14BC056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0C29242E"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IVC1, IVC2, IVC3</w:t>
            </w:r>
          </w:p>
        </w:tc>
        <w:tc>
          <w:tcPr>
            <w:tcW w:w="1855" w:type="dxa"/>
            <w:vAlign w:val="center"/>
          </w:tcPr>
          <w:p w14:paraId="215DBCAC"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IVC1, IVC2, IVC3, IYC1, IYC2, IYC3</w:t>
            </w:r>
          </w:p>
        </w:tc>
      </w:tr>
      <w:tr w:rsidR="005636C7" w:rsidRPr="00026511" w14:paraId="366D4814" w14:textId="77777777" w:rsidTr="005636C7">
        <w:trPr>
          <w:jc w:val="center"/>
        </w:trPr>
        <w:tc>
          <w:tcPr>
            <w:tcW w:w="421" w:type="dxa"/>
          </w:tcPr>
          <w:p w14:paraId="5CD32E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w:t>
            </w:r>
          </w:p>
        </w:tc>
        <w:tc>
          <w:tcPr>
            <w:tcW w:w="1605" w:type="dxa"/>
            <w:vAlign w:val="center"/>
          </w:tcPr>
          <w:p w14:paraId="2CAC052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IRV-4</w:t>
            </w:r>
          </w:p>
          <w:p w14:paraId="5E4E471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Refrigerated Vertical Cabinets with Glass Door</w:t>
            </w:r>
          </w:p>
        </w:tc>
        <w:tc>
          <w:tcPr>
            <w:tcW w:w="1513" w:type="dxa"/>
            <w:vMerge/>
            <w:vAlign w:val="center"/>
          </w:tcPr>
          <w:p w14:paraId="7C091CDB"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04A4FAEB" w14:textId="77777777" w:rsidR="005636C7" w:rsidRPr="0041262C" w:rsidRDefault="005636C7" w:rsidP="005636C7">
            <w:pPr>
              <w:pStyle w:val="E3tabletext1"/>
              <w:rPr>
                <w:rFonts w:ascii="Helvetica" w:hAnsi="Helvetica" w:cs="Helvetica"/>
                <w:sz w:val="15"/>
                <w:szCs w:val="15"/>
              </w:rPr>
            </w:pPr>
          </w:p>
        </w:tc>
        <w:tc>
          <w:tcPr>
            <w:tcW w:w="1701" w:type="dxa"/>
            <w:vMerge/>
            <w:vAlign w:val="center"/>
          </w:tcPr>
          <w:p w14:paraId="483AB880" w14:textId="77777777" w:rsidR="005636C7" w:rsidRPr="0041262C" w:rsidRDefault="005636C7" w:rsidP="005636C7">
            <w:pPr>
              <w:pStyle w:val="E3tabletext1"/>
              <w:rPr>
                <w:rFonts w:ascii="Helvetica" w:hAnsi="Helvetica" w:cs="Helvetica"/>
                <w:sz w:val="15"/>
                <w:szCs w:val="15"/>
              </w:rPr>
            </w:pPr>
          </w:p>
        </w:tc>
        <w:tc>
          <w:tcPr>
            <w:tcW w:w="1468" w:type="dxa"/>
            <w:vAlign w:val="center"/>
          </w:tcPr>
          <w:p w14:paraId="0FC4EA02"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IVC4 Glass door</w:t>
            </w:r>
          </w:p>
        </w:tc>
        <w:tc>
          <w:tcPr>
            <w:tcW w:w="1855" w:type="dxa"/>
            <w:vAlign w:val="center"/>
          </w:tcPr>
          <w:p w14:paraId="10520A9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IVC4, IYC4</w:t>
            </w:r>
          </w:p>
        </w:tc>
      </w:tr>
      <w:tr w:rsidR="005636C7" w:rsidRPr="00026511" w14:paraId="501AC1C2" w14:textId="77777777" w:rsidTr="005636C7">
        <w:trPr>
          <w:jc w:val="center"/>
        </w:trPr>
        <w:tc>
          <w:tcPr>
            <w:tcW w:w="421" w:type="dxa"/>
          </w:tcPr>
          <w:p w14:paraId="1972FF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w:t>
            </w:r>
          </w:p>
        </w:tc>
        <w:tc>
          <w:tcPr>
            <w:tcW w:w="1605" w:type="dxa"/>
            <w:vAlign w:val="center"/>
          </w:tcPr>
          <w:p w14:paraId="6BBEFD5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w:t>
            </w:r>
          </w:p>
          <w:p w14:paraId="1909407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Freezer Horizontal</w:t>
            </w:r>
          </w:p>
        </w:tc>
        <w:tc>
          <w:tcPr>
            <w:tcW w:w="1513" w:type="dxa"/>
            <w:vMerge/>
            <w:vAlign w:val="center"/>
          </w:tcPr>
          <w:p w14:paraId="12FB74BF" w14:textId="77777777" w:rsidR="005636C7" w:rsidRPr="0041262C" w:rsidRDefault="005636C7" w:rsidP="005636C7">
            <w:pPr>
              <w:pStyle w:val="E3tabletext1"/>
              <w:rPr>
                <w:rFonts w:ascii="Helvetica" w:hAnsi="Helvetica" w:cs="Helvetica"/>
                <w:sz w:val="15"/>
                <w:szCs w:val="15"/>
              </w:rPr>
            </w:pPr>
          </w:p>
        </w:tc>
        <w:tc>
          <w:tcPr>
            <w:tcW w:w="1559" w:type="dxa"/>
            <w:vMerge w:val="restart"/>
            <w:vAlign w:val="center"/>
          </w:tcPr>
          <w:p w14:paraId="53BA707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Merge w:val="restart"/>
            <w:vAlign w:val="center"/>
          </w:tcPr>
          <w:p w14:paraId="327A78F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1F7EE0B0"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IHF1, IHF3, IHF4</w:t>
            </w:r>
          </w:p>
        </w:tc>
        <w:tc>
          <w:tcPr>
            <w:tcW w:w="1855" w:type="dxa"/>
            <w:vAlign w:val="center"/>
          </w:tcPr>
          <w:p w14:paraId="617E94AE"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IHF1, IHF3, IHF4</w:t>
            </w:r>
          </w:p>
        </w:tc>
      </w:tr>
      <w:tr w:rsidR="005636C7" w:rsidRPr="00026511" w14:paraId="2B0C9E0B" w14:textId="77777777" w:rsidTr="005636C7">
        <w:trPr>
          <w:jc w:val="center"/>
        </w:trPr>
        <w:tc>
          <w:tcPr>
            <w:tcW w:w="421" w:type="dxa"/>
          </w:tcPr>
          <w:p w14:paraId="2D88148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w:t>
            </w:r>
          </w:p>
        </w:tc>
        <w:tc>
          <w:tcPr>
            <w:tcW w:w="1605" w:type="dxa"/>
            <w:vAlign w:val="center"/>
          </w:tcPr>
          <w:p w14:paraId="588966B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IFH-5</w:t>
            </w:r>
          </w:p>
          <w:p w14:paraId="2A35B61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Freezer Horizontal with Lid</w:t>
            </w:r>
          </w:p>
        </w:tc>
        <w:tc>
          <w:tcPr>
            <w:tcW w:w="1513" w:type="dxa"/>
            <w:vMerge/>
            <w:vAlign w:val="center"/>
          </w:tcPr>
          <w:p w14:paraId="6996B098"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5501B22D" w14:textId="77777777" w:rsidR="005636C7" w:rsidRPr="0041262C" w:rsidRDefault="005636C7" w:rsidP="005636C7">
            <w:pPr>
              <w:pStyle w:val="E3tabletext1"/>
              <w:rPr>
                <w:rFonts w:ascii="Helvetica" w:hAnsi="Helvetica" w:cs="Helvetica"/>
                <w:sz w:val="15"/>
                <w:szCs w:val="15"/>
              </w:rPr>
            </w:pPr>
          </w:p>
        </w:tc>
        <w:tc>
          <w:tcPr>
            <w:tcW w:w="1701" w:type="dxa"/>
            <w:vMerge/>
            <w:vAlign w:val="center"/>
          </w:tcPr>
          <w:p w14:paraId="3D1D44F6" w14:textId="77777777" w:rsidR="005636C7" w:rsidRPr="0041262C" w:rsidRDefault="005636C7" w:rsidP="005636C7">
            <w:pPr>
              <w:pStyle w:val="E3tabletext1"/>
              <w:rPr>
                <w:rFonts w:ascii="Helvetica" w:hAnsi="Helvetica" w:cs="Helvetica"/>
                <w:sz w:val="15"/>
                <w:szCs w:val="15"/>
              </w:rPr>
            </w:pPr>
          </w:p>
        </w:tc>
        <w:tc>
          <w:tcPr>
            <w:tcW w:w="1468" w:type="dxa"/>
            <w:vAlign w:val="center"/>
          </w:tcPr>
          <w:p w14:paraId="26EB5853"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IHF5, IHF6</w:t>
            </w:r>
          </w:p>
        </w:tc>
        <w:tc>
          <w:tcPr>
            <w:tcW w:w="1855" w:type="dxa"/>
            <w:vAlign w:val="center"/>
          </w:tcPr>
          <w:p w14:paraId="2DA84284"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IHF5, IHF6</w:t>
            </w:r>
          </w:p>
        </w:tc>
      </w:tr>
      <w:tr w:rsidR="005636C7" w:rsidRPr="00026511" w14:paraId="2081E523" w14:textId="77777777" w:rsidTr="005636C7">
        <w:trPr>
          <w:jc w:val="center"/>
        </w:trPr>
        <w:tc>
          <w:tcPr>
            <w:tcW w:w="421" w:type="dxa"/>
          </w:tcPr>
          <w:p w14:paraId="1E17C88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w:t>
            </w:r>
          </w:p>
        </w:tc>
        <w:tc>
          <w:tcPr>
            <w:tcW w:w="1605" w:type="dxa"/>
            <w:vAlign w:val="center"/>
          </w:tcPr>
          <w:p w14:paraId="117526FC"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IFV</w:t>
            </w:r>
          </w:p>
          <w:p w14:paraId="566544A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Integral Freezer Vertical</w:t>
            </w:r>
          </w:p>
        </w:tc>
        <w:tc>
          <w:tcPr>
            <w:tcW w:w="1513" w:type="dxa"/>
            <w:vMerge/>
            <w:vAlign w:val="center"/>
          </w:tcPr>
          <w:p w14:paraId="06076981"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65671B21"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3F88B3B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7A62DDB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IVF1, IVF2, IVF4 Glass door</w:t>
            </w:r>
          </w:p>
        </w:tc>
        <w:tc>
          <w:tcPr>
            <w:tcW w:w="1855" w:type="dxa"/>
            <w:vAlign w:val="center"/>
          </w:tcPr>
          <w:p w14:paraId="3DE1F507"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IVF1, IVF2, IVF4, IYF1, IYF2, IYF3, IYF4</w:t>
            </w:r>
          </w:p>
        </w:tc>
      </w:tr>
      <w:tr w:rsidR="005636C7" w:rsidRPr="00026511" w14:paraId="47E28944" w14:textId="77777777" w:rsidTr="005636C7">
        <w:trPr>
          <w:jc w:val="center"/>
        </w:trPr>
        <w:tc>
          <w:tcPr>
            <w:tcW w:w="421" w:type="dxa"/>
          </w:tcPr>
          <w:p w14:paraId="3240302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7</w:t>
            </w:r>
          </w:p>
        </w:tc>
        <w:tc>
          <w:tcPr>
            <w:tcW w:w="1605" w:type="dxa"/>
            <w:vAlign w:val="center"/>
          </w:tcPr>
          <w:p w14:paraId="63842A1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RRH</w:t>
            </w:r>
          </w:p>
          <w:p w14:paraId="604FEA6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Refrigerated Horizontal Cabinets</w:t>
            </w:r>
          </w:p>
        </w:tc>
        <w:tc>
          <w:tcPr>
            <w:tcW w:w="1513" w:type="dxa"/>
            <w:vMerge w:val="restart"/>
            <w:vAlign w:val="center"/>
          </w:tcPr>
          <w:p w14:paraId="74E166A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Remote Refrigerated Display Cabinets </w:t>
            </w:r>
          </w:p>
        </w:tc>
        <w:tc>
          <w:tcPr>
            <w:tcW w:w="1559" w:type="dxa"/>
            <w:vMerge w:val="restart"/>
            <w:vAlign w:val="center"/>
          </w:tcPr>
          <w:p w14:paraId="062B4B8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45FDBC2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322922C1"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RS6, RS7, RS8, RS9</w:t>
            </w:r>
          </w:p>
        </w:tc>
        <w:tc>
          <w:tcPr>
            <w:tcW w:w="1855" w:type="dxa"/>
            <w:vAlign w:val="center"/>
          </w:tcPr>
          <w:p w14:paraId="6F270B1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RHC1, RHC2, RHC3, RHC4, RHC5, RHC6, RHC7</w:t>
            </w:r>
          </w:p>
        </w:tc>
      </w:tr>
      <w:tr w:rsidR="005636C7" w:rsidRPr="00026511" w14:paraId="6A215A34" w14:textId="77777777" w:rsidTr="005636C7">
        <w:trPr>
          <w:jc w:val="center"/>
        </w:trPr>
        <w:tc>
          <w:tcPr>
            <w:tcW w:w="421" w:type="dxa"/>
          </w:tcPr>
          <w:p w14:paraId="58B8C9D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8</w:t>
            </w:r>
          </w:p>
        </w:tc>
        <w:tc>
          <w:tcPr>
            <w:tcW w:w="1605" w:type="dxa"/>
            <w:vAlign w:val="center"/>
          </w:tcPr>
          <w:p w14:paraId="442462F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 xml:space="preserve">RRV </w:t>
            </w:r>
          </w:p>
          <w:p w14:paraId="42F6B05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Refrigerated Vertical Cabinets</w:t>
            </w:r>
          </w:p>
        </w:tc>
        <w:tc>
          <w:tcPr>
            <w:tcW w:w="1513" w:type="dxa"/>
            <w:vMerge/>
            <w:vAlign w:val="center"/>
          </w:tcPr>
          <w:p w14:paraId="0CD711E8"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31D6BC23" w14:textId="77777777" w:rsidR="005636C7" w:rsidRPr="0041262C" w:rsidRDefault="005636C7" w:rsidP="005636C7">
            <w:pPr>
              <w:pStyle w:val="E3tabletext1"/>
              <w:rPr>
                <w:rFonts w:ascii="Helvetica" w:hAnsi="Helvetica" w:cs="Helvetica"/>
                <w:sz w:val="15"/>
                <w:szCs w:val="15"/>
              </w:rPr>
            </w:pPr>
          </w:p>
        </w:tc>
        <w:tc>
          <w:tcPr>
            <w:tcW w:w="1701" w:type="dxa"/>
            <w:vMerge w:val="restart"/>
            <w:vAlign w:val="center"/>
          </w:tcPr>
          <w:p w14:paraId="15FC4FC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0B8E311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RS1, RS3, RS4, RS5, RS10</w:t>
            </w:r>
          </w:p>
        </w:tc>
        <w:tc>
          <w:tcPr>
            <w:tcW w:w="1855" w:type="dxa"/>
            <w:vAlign w:val="center"/>
          </w:tcPr>
          <w:p w14:paraId="68FDC2A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RVC1, RVC3, RVC4, RYC1, RYC2, RYC3, RYC4</w:t>
            </w:r>
          </w:p>
        </w:tc>
      </w:tr>
      <w:tr w:rsidR="005636C7" w:rsidRPr="00026511" w14:paraId="77835076" w14:textId="77777777" w:rsidTr="005636C7">
        <w:trPr>
          <w:jc w:val="center"/>
        </w:trPr>
        <w:tc>
          <w:tcPr>
            <w:tcW w:w="421" w:type="dxa"/>
          </w:tcPr>
          <w:p w14:paraId="1C8E7F6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9</w:t>
            </w:r>
          </w:p>
        </w:tc>
        <w:tc>
          <w:tcPr>
            <w:tcW w:w="1605" w:type="dxa"/>
            <w:vAlign w:val="center"/>
          </w:tcPr>
          <w:p w14:paraId="21BAEF62"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RRV-2</w:t>
            </w:r>
          </w:p>
          <w:p w14:paraId="1B7E4F5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Remote Refrigerated </w:t>
            </w:r>
            <w:r>
              <w:rPr>
                <w:rFonts w:ascii="Helvetica" w:hAnsi="Helvetica" w:cs="Helvetica"/>
                <w:sz w:val="15"/>
                <w:szCs w:val="15"/>
              </w:rPr>
              <w:t xml:space="preserve">Vertical Cabinet, open, medium </w:t>
            </w:r>
            <w:r w:rsidRPr="0041262C">
              <w:rPr>
                <w:rFonts w:ascii="Helvetica" w:hAnsi="Helvetica" w:cs="Helvetica"/>
                <w:sz w:val="15"/>
                <w:szCs w:val="15"/>
              </w:rPr>
              <w:t>temp</w:t>
            </w:r>
          </w:p>
        </w:tc>
        <w:tc>
          <w:tcPr>
            <w:tcW w:w="1513" w:type="dxa"/>
            <w:vMerge/>
            <w:vAlign w:val="center"/>
          </w:tcPr>
          <w:p w14:paraId="57B6235B"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01772BBC" w14:textId="77777777" w:rsidR="005636C7" w:rsidRPr="0041262C" w:rsidRDefault="005636C7" w:rsidP="005636C7">
            <w:pPr>
              <w:pStyle w:val="E3tabletext1"/>
              <w:rPr>
                <w:rFonts w:ascii="Helvetica" w:hAnsi="Helvetica" w:cs="Helvetica"/>
                <w:sz w:val="15"/>
                <w:szCs w:val="15"/>
              </w:rPr>
            </w:pPr>
          </w:p>
        </w:tc>
        <w:tc>
          <w:tcPr>
            <w:tcW w:w="1701" w:type="dxa"/>
            <w:vMerge/>
            <w:vAlign w:val="center"/>
          </w:tcPr>
          <w:p w14:paraId="53D57E52" w14:textId="77777777" w:rsidR="005636C7" w:rsidRPr="0041262C" w:rsidRDefault="005636C7" w:rsidP="005636C7">
            <w:pPr>
              <w:pStyle w:val="E3tabletext1"/>
              <w:rPr>
                <w:rFonts w:ascii="Helvetica" w:hAnsi="Helvetica" w:cs="Helvetica"/>
                <w:sz w:val="15"/>
                <w:szCs w:val="15"/>
              </w:rPr>
            </w:pPr>
          </w:p>
        </w:tc>
        <w:tc>
          <w:tcPr>
            <w:tcW w:w="1468" w:type="dxa"/>
            <w:vAlign w:val="center"/>
          </w:tcPr>
          <w:p w14:paraId="405C0461"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RS2</w:t>
            </w:r>
          </w:p>
        </w:tc>
        <w:tc>
          <w:tcPr>
            <w:tcW w:w="1855" w:type="dxa"/>
            <w:vAlign w:val="center"/>
          </w:tcPr>
          <w:p w14:paraId="2520D47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RVC2</w:t>
            </w:r>
          </w:p>
        </w:tc>
      </w:tr>
      <w:tr w:rsidR="005636C7" w:rsidRPr="00026511" w14:paraId="0E0A3290" w14:textId="77777777" w:rsidTr="005F483B">
        <w:trPr>
          <w:trHeight w:val="616"/>
          <w:jc w:val="center"/>
        </w:trPr>
        <w:tc>
          <w:tcPr>
            <w:tcW w:w="421" w:type="dxa"/>
          </w:tcPr>
          <w:p w14:paraId="03B2B56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10</w:t>
            </w:r>
          </w:p>
        </w:tc>
        <w:tc>
          <w:tcPr>
            <w:tcW w:w="1605" w:type="dxa"/>
            <w:vAlign w:val="center"/>
          </w:tcPr>
          <w:p w14:paraId="79E6180A"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RFH</w:t>
            </w:r>
          </w:p>
          <w:p w14:paraId="0B353FD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Freezer Horizontal</w:t>
            </w:r>
          </w:p>
        </w:tc>
        <w:tc>
          <w:tcPr>
            <w:tcW w:w="1513" w:type="dxa"/>
            <w:vMerge/>
            <w:vAlign w:val="center"/>
          </w:tcPr>
          <w:p w14:paraId="14DF70BB" w14:textId="77777777" w:rsidR="005636C7" w:rsidRPr="0041262C" w:rsidRDefault="005636C7" w:rsidP="005636C7">
            <w:pPr>
              <w:pStyle w:val="E3tabletext1"/>
              <w:rPr>
                <w:rFonts w:ascii="Helvetica" w:hAnsi="Helvetica" w:cs="Helvetica"/>
                <w:sz w:val="15"/>
                <w:szCs w:val="15"/>
              </w:rPr>
            </w:pPr>
          </w:p>
        </w:tc>
        <w:tc>
          <w:tcPr>
            <w:tcW w:w="1559" w:type="dxa"/>
            <w:vMerge w:val="restart"/>
            <w:vAlign w:val="center"/>
          </w:tcPr>
          <w:p w14:paraId="5AF463F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Align w:val="center"/>
          </w:tcPr>
          <w:p w14:paraId="6CAADC4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Horizontal</w:t>
            </w:r>
          </w:p>
        </w:tc>
        <w:tc>
          <w:tcPr>
            <w:tcW w:w="1468" w:type="dxa"/>
            <w:vAlign w:val="center"/>
          </w:tcPr>
          <w:p w14:paraId="71D0A34B" w14:textId="7AFE101A"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RS13, RS14</w:t>
            </w:r>
          </w:p>
        </w:tc>
        <w:tc>
          <w:tcPr>
            <w:tcW w:w="1855" w:type="dxa"/>
            <w:vAlign w:val="center"/>
          </w:tcPr>
          <w:p w14:paraId="6C1573D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RHF1, RHF3, RHF4, RHF5, RHF6, RHF7</w:t>
            </w:r>
          </w:p>
        </w:tc>
      </w:tr>
      <w:tr w:rsidR="005636C7" w:rsidRPr="00026511" w14:paraId="6ADF213A" w14:textId="77777777" w:rsidTr="005F483B">
        <w:trPr>
          <w:trHeight w:val="712"/>
          <w:jc w:val="center"/>
        </w:trPr>
        <w:tc>
          <w:tcPr>
            <w:tcW w:w="421" w:type="dxa"/>
          </w:tcPr>
          <w:p w14:paraId="384272F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11</w:t>
            </w:r>
          </w:p>
        </w:tc>
        <w:tc>
          <w:tcPr>
            <w:tcW w:w="1605" w:type="dxa"/>
            <w:vAlign w:val="center"/>
          </w:tcPr>
          <w:p w14:paraId="684221FC"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RFV</w:t>
            </w:r>
          </w:p>
          <w:p w14:paraId="4C1EA4B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Remote Freezer Vertical</w:t>
            </w:r>
          </w:p>
        </w:tc>
        <w:tc>
          <w:tcPr>
            <w:tcW w:w="1513" w:type="dxa"/>
            <w:vMerge/>
            <w:vAlign w:val="center"/>
          </w:tcPr>
          <w:p w14:paraId="4EA247CA"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42A8F084"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661FD38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6E024771"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RS11, RS12, RS15, RS16, RS17, RS18, RS19, RS20</w:t>
            </w:r>
          </w:p>
        </w:tc>
        <w:tc>
          <w:tcPr>
            <w:tcW w:w="1855" w:type="dxa"/>
            <w:vAlign w:val="center"/>
          </w:tcPr>
          <w:p w14:paraId="687BA7BE"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RVF1, RVF2, RVF4, RYF1, RYF2, RYF3, RYF4</w:t>
            </w:r>
          </w:p>
        </w:tc>
      </w:tr>
      <w:tr w:rsidR="005636C7" w:rsidRPr="00026511" w14:paraId="0B2761A4" w14:textId="77777777" w:rsidTr="005636C7">
        <w:trPr>
          <w:jc w:val="center"/>
        </w:trPr>
        <w:tc>
          <w:tcPr>
            <w:tcW w:w="421" w:type="dxa"/>
          </w:tcPr>
          <w:p w14:paraId="0D0A9BE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12</w:t>
            </w:r>
          </w:p>
        </w:tc>
        <w:tc>
          <w:tcPr>
            <w:tcW w:w="1605" w:type="dxa"/>
            <w:vAlign w:val="center"/>
          </w:tcPr>
          <w:p w14:paraId="6B0C44EF"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SRH</w:t>
            </w:r>
          </w:p>
          <w:p w14:paraId="50BD785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refrigerated Horizontal with solid door</w:t>
            </w:r>
          </w:p>
        </w:tc>
        <w:tc>
          <w:tcPr>
            <w:tcW w:w="1513" w:type="dxa"/>
            <w:vMerge w:val="restart"/>
            <w:vAlign w:val="center"/>
          </w:tcPr>
          <w:p w14:paraId="0FBF653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Integral Refrigerated Storage cabinet  </w:t>
            </w:r>
          </w:p>
        </w:tc>
        <w:tc>
          <w:tcPr>
            <w:tcW w:w="1559" w:type="dxa"/>
            <w:vMerge w:val="restart"/>
            <w:vAlign w:val="center"/>
          </w:tcPr>
          <w:p w14:paraId="3C9B029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Refrigerator</w:t>
            </w:r>
          </w:p>
        </w:tc>
        <w:tc>
          <w:tcPr>
            <w:tcW w:w="1701" w:type="dxa"/>
            <w:vAlign w:val="center"/>
          </w:tcPr>
          <w:p w14:paraId="21BF2E4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Counter (Horizontal)</w:t>
            </w:r>
          </w:p>
        </w:tc>
        <w:tc>
          <w:tcPr>
            <w:tcW w:w="1468" w:type="dxa"/>
            <w:vAlign w:val="center"/>
          </w:tcPr>
          <w:p w14:paraId="3E5E2D75"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No equivalent registered</w:t>
            </w:r>
          </w:p>
        </w:tc>
        <w:tc>
          <w:tcPr>
            <w:tcW w:w="1855" w:type="dxa"/>
            <w:vMerge w:val="restart"/>
            <w:vAlign w:val="center"/>
          </w:tcPr>
          <w:p w14:paraId="3E02C409"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Storage cabinet types are defined into four categories (but not classified by the technical standards yet)</w:t>
            </w:r>
          </w:p>
        </w:tc>
      </w:tr>
      <w:tr w:rsidR="005636C7" w:rsidRPr="00026511" w14:paraId="1038FB55" w14:textId="77777777" w:rsidTr="005636C7">
        <w:trPr>
          <w:jc w:val="center"/>
        </w:trPr>
        <w:tc>
          <w:tcPr>
            <w:tcW w:w="421" w:type="dxa"/>
          </w:tcPr>
          <w:p w14:paraId="00D9984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w:t>
            </w:r>
          </w:p>
        </w:tc>
        <w:tc>
          <w:tcPr>
            <w:tcW w:w="1605" w:type="dxa"/>
            <w:vAlign w:val="center"/>
          </w:tcPr>
          <w:p w14:paraId="36B3FBD7"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SRV</w:t>
            </w:r>
          </w:p>
          <w:p w14:paraId="31D1405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Refrigerated, Vertical with solid door</w:t>
            </w:r>
          </w:p>
        </w:tc>
        <w:tc>
          <w:tcPr>
            <w:tcW w:w="1513" w:type="dxa"/>
            <w:vMerge/>
            <w:vAlign w:val="center"/>
          </w:tcPr>
          <w:p w14:paraId="439E6216"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2E25B1F9"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772957F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0820E658"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 xml:space="preserve">IVC4 Solid door </w:t>
            </w:r>
            <w:r w:rsidRPr="0041262C">
              <w:rPr>
                <w:rFonts w:ascii="Helvetica" w:hAnsi="Helvetica" w:cs="Helvetica"/>
                <w:sz w:val="15"/>
                <w:szCs w:val="15"/>
              </w:rPr>
              <w:br/>
              <w:t xml:space="preserve">M1 &amp; M2 </w:t>
            </w:r>
            <w:r w:rsidRPr="0041262C">
              <w:rPr>
                <w:rFonts w:ascii="Helvetica" w:hAnsi="Helvetica" w:cs="Helvetica"/>
                <w:sz w:val="15"/>
                <w:szCs w:val="15"/>
              </w:rPr>
              <w:br/>
            </w:r>
          </w:p>
        </w:tc>
        <w:tc>
          <w:tcPr>
            <w:tcW w:w="1855" w:type="dxa"/>
            <w:vMerge/>
            <w:vAlign w:val="center"/>
          </w:tcPr>
          <w:p w14:paraId="71316D3F" w14:textId="77777777" w:rsidR="005636C7" w:rsidRPr="00026511" w:rsidRDefault="005636C7" w:rsidP="007A7E50">
            <w:pPr>
              <w:pStyle w:val="E3tabletext1"/>
              <w:spacing w:after="0"/>
            </w:pPr>
          </w:p>
        </w:tc>
      </w:tr>
      <w:tr w:rsidR="005636C7" w:rsidRPr="00026511" w14:paraId="33338AE5" w14:textId="77777777" w:rsidTr="005636C7">
        <w:trPr>
          <w:jc w:val="center"/>
        </w:trPr>
        <w:tc>
          <w:tcPr>
            <w:tcW w:w="421" w:type="dxa"/>
          </w:tcPr>
          <w:p w14:paraId="750E9FA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14</w:t>
            </w:r>
          </w:p>
        </w:tc>
        <w:tc>
          <w:tcPr>
            <w:tcW w:w="1605" w:type="dxa"/>
            <w:vAlign w:val="center"/>
          </w:tcPr>
          <w:p w14:paraId="4D0FB73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SFH</w:t>
            </w:r>
          </w:p>
          <w:p w14:paraId="6EF4820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Freezer, Horizontal with solid door</w:t>
            </w:r>
          </w:p>
        </w:tc>
        <w:tc>
          <w:tcPr>
            <w:tcW w:w="1513" w:type="dxa"/>
            <w:vMerge/>
            <w:vAlign w:val="center"/>
          </w:tcPr>
          <w:p w14:paraId="352D70EE" w14:textId="77777777" w:rsidR="005636C7" w:rsidRPr="0041262C" w:rsidRDefault="005636C7" w:rsidP="005636C7">
            <w:pPr>
              <w:pStyle w:val="E3tabletext1"/>
              <w:rPr>
                <w:rFonts w:ascii="Helvetica" w:hAnsi="Helvetica" w:cs="Helvetica"/>
                <w:sz w:val="15"/>
                <w:szCs w:val="15"/>
              </w:rPr>
            </w:pPr>
          </w:p>
        </w:tc>
        <w:tc>
          <w:tcPr>
            <w:tcW w:w="1559" w:type="dxa"/>
            <w:vMerge w:val="restart"/>
            <w:vAlign w:val="center"/>
          </w:tcPr>
          <w:p w14:paraId="2B52366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Freezer</w:t>
            </w:r>
          </w:p>
        </w:tc>
        <w:tc>
          <w:tcPr>
            <w:tcW w:w="1701" w:type="dxa"/>
            <w:vAlign w:val="center"/>
          </w:tcPr>
          <w:p w14:paraId="0BFDBC0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Counter (Horizontal)</w:t>
            </w:r>
          </w:p>
        </w:tc>
        <w:tc>
          <w:tcPr>
            <w:tcW w:w="1468" w:type="dxa"/>
            <w:vAlign w:val="center"/>
          </w:tcPr>
          <w:p w14:paraId="20230B4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No equivalent registered</w:t>
            </w:r>
          </w:p>
        </w:tc>
        <w:tc>
          <w:tcPr>
            <w:tcW w:w="1855" w:type="dxa"/>
            <w:vMerge/>
            <w:vAlign w:val="center"/>
          </w:tcPr>
          <w:p w14:paraId="7B742EC7" w14:textId="77777777" w:rsidR="005636C7" w:rsidRPr="00026511" w:rsidRDefault="005636C7" w:rsidP="007A7E50">
            <w:pPr>
              <w:pStyle w:val="E3tabletext1"/>
              <w:spacing w:after="0"/>
            </w:pPr>
          </w:p>
        </w:tc>
      </w:tr>
      <w:tr w:rsidR="005636C7" w:rsidRPr="00026511" w14:paraId="5EDED7B2" w14:textId="77777777" w:rsidTr="005636C7">
        <w:trPr>
          <w:trHeight w:val="645"/>
          <w:jc w:val="center"/>
        </w:trPr>
        <w:tc>
          <w:tcPr>
            <w:tcW w:w="421" w:type="dxa"/>
          </w:tcPr>
          <w:p w14:paraId="5B643DB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w:t>
            </w:r>
          </w:p>
        </w:tc>
        <w:tc>
          <w:tcPr>
            <w:tcW w:w="1605" w:type="dxa"/>
            <w:vAlign w:val="center"/>
          </w:tcPr>
          <w:p w14:paraId="2FA197F6" w14:textId="77777777" w:rsidR="005636C7" w:rsidRPr="0041262C" w:rsidRDefault="005636C7" w:rsidP="007A7E50">
            <w:pPr>
              <w:pStyle w:val="E3tabletext1"/>
              <w:spacing w:after="0"/>
              <w:rPr>
                <w:rFonts w:ascii="Helvetica" w:hAnsi="Helvetica" w:cs="Helvetica"/>
                <w:sz w:val="15"/>
                <w:szCs w:val="15"/>
              </w:rPr>
            </w:pPr>
            <w:r w:rsidRPr="0041262C">
              <w:rPr>
                <w:rFonts w:ascii="Helvetica" w:hAnsi="Helvetica" w:cs="Helvetica"/>
                <w:sz w:val="15"/>
                <w:szCs w:val="15"/>
              </w:rPr>
              <w:t>SFV</w:t>
            </w:r>
          </w:p>
          <w:p w14:paraId="654F8E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Service Cabinet Freezer, Vertical with solid door</w:t>
            </w:r>
          </w:p>
        </w:tc>
        <w:tc>
          <w:tcPr>
            <w:tcW w:w="1513" w:type="dxa"/>
            <w:vMerge/>
            <w:vAlign w:val="center"/>
          </w:tcPr>
          <w:p w14:paraId="38191365" w14:textId="77777777" w:rsidR="005636C7" w:rsidRPr="0041262C" w:rsidRDefault="005636C7" w:rsidP="005636C7">
            <w:pPr>
              <w:pStyle w:val="E3tabletext1"/>
              <w:rPr>
                <w:rFonts w:ascii="Helvetica" w:hAnsi="Helvetica" w:cs="Helvetica"/>
                <w:sz w:val="15"/>
                <w:szCs w:val="15"/>
              </w:rPr>
            </w:pPr>
          </w:p>
        </w:tc>
        <w:tc>
          <w:tcPr>
            <w:tcW w:w="1559" w:type="dxa"/>
            <w:vMerge/>
            <w:vAlign w:val="center"/>
          </w:tcPr>
          <w:p w14:paraId="3509CAF4" w14:textId="77777777" w:rsidR="005636C7" w:rsidRPr="0041262C" w:rsidRDefault="005636C7" w:rsidP="005636C7">
            <w:pPr>
              <w:pStyle w:val="E3tabletext1"/>
              <w:rPr>
                <w:rFonts w:ascii="Helvetica" w:hAnsi="Helvetica" w:cs="Helvetica"/>
                <w:sz w:val="15"/>
                <w:szCs w:val="15"/>
              </w:rPr>
            </w:pPr>
          </w:p>
        </w:tc>
        <w:tc>
          <w:tcPr>
            <w:tcW w:w="1701" w:type="dxa"/>
            <w:vAlign w:val="center"/>
          </w:tcPr>
          <w:p w14:paraId="53BBD47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Vertical</w:t>
            </w:r>
          </w:p>
        </w:tc>
        <w:tc>
          <w:tcPr>
            <w:tcW w:w="1468" w:type="dxa"/>
            <w:vAlign w:val="center"/>
          </w:tcPr>
          <w:p w14:paraId="67D3EE84" w14:textId="77777777" w:rsidR="005636C7" w:rsidRPr="0041262C" w:rsidRDefault="005636C7" w:rsidP="007A7E50">
            <w:pPr>
              <w:pStyle w:val="E3tabletext1"/>
              <w:spacing w:after="0"/>
              <w:rPr>
                <w:rFonts w:ascii="Helvetica" w:hAnsi="Helvetica" w:cs="Helvetica"/>
                <w:sz w:val="15"/>
                <w:szCs w:val="15"/>
              </w:rPr>
            </w:pPr>
            <w:r>
              <w:rPr>
                <w:rFonts w:ascii="Helvetica" w:hAnsi="Helvetica" w:cs="Helvetica"/>
                <w:sz w:val="15"/>
                <w:szCs w:val="15"/>
              </w:rPr>
              <w:t xml:space="preserve">IVF4 Solid doors </w:t>
            </w:r>
            <w:r>
              <w:rPr>
                <w:rFonts w:ascii="Helvetica" w:hAnsi="Helvetica" w:cs="Helvetica"/>
                <w:sz w:val="15"/>
                <w:szCs w:val="15"/>
              </w:rPr>
              <w:br/>
              <w:t>L1 &amp; L2</w:t>
            </w:r>
          </w:p>
        </w:tc>
        <w:tc>
          <w:tcPr>
            <w:tcW w:w="1855" w:type="dxa"/>
            <w:vMerge/>
            <w:vAlign w:val="center"/>
          </w:tcPr>
          <w:p w14:paraId="48722AC0" w14:textId="77777777" w:rsidR="005636C7" w:rsidRPr="00026511" w:rsidRDefault="005636C7" w:rsidP="007A7E50">
            <w:pPr>
              <w:pStyle w:val="E3tabletext1"/>
              <w:spacing w:after="0"/>
            </w:pPr>
          </w:p>
        </w:tc>
      </w:tr>
    </w:tbl>
    <w:p w14:paraId="2605C09A" w14:textId="77777777" w:rsidR="005636C7" w:rsidRDefault="005636C7" w:rsidP="005636C7">
      <w:pPr>
        <w:pStyle w:val="E3BodyText"/>
        <w:jc w:val="both"/>
      </w:pPr>
    </w:p>
    <w:p w14:paraId="45BA8DDD" w14:textId="77777777" w:rsidR="005636C7" w:rsidRDefault="005636C7" w:rsidP="005636C7">
      <w:pPr>
        <w:pStyle w:val="E3BodyText"/>
        <w:jc w:val="both"/>
      </w:pPr>
      <w:r>
        <w:t>Options 2 and 3 were developed on the basis of</w:t>
      </w:r>
      <w:r w:rsidRPr="00066675">
        <w:t xml:space="preserve"> local registration data, overseas data and New Zealand sales weighted data</w:t>
      </w:r>
      <w:r>
        <w:t>.</w:t>
      </w:r>
      <w:r w:rsidRPr="00066675" w:rsidDel="00D6773C">
        <w:t xml:space="preserve"> </w:t>
      </w:r>
      <w:r w:rsidRPr="00066675">
        <w:t xml:space="preserve">For ease of interpretation, </w:t>
      </w:r>
      <w:r>
        <w:t xml:space="preserve">cabinets were divided </w:t>
      </w:r>
      <w:r w:rsidRPr="00066675">
        <w:t xml:space="preserve">into 15 groups of similar types, to distinguish </w:t>
      </w:r>
      <w:r>
        <w:t xml:space="preserve">between </w:t>
      </w:r>
      <w:r w:rsidRPr="00066675">
        <w:t xml:space="preserve">high selling types (beverage cabinets) and those that would need to comply with distinct standards (ice-cream, beverage, gelato, storage). MEPS levels </w:t>
      </w:r>
      <w:r>
        <w:t xml:space="preserve">were </w:t>
      </w:r>
      <w:r w:rsidRPr="00066675">
        <w:t>imposed per group – an approach which is simpler to understand and enforce.</w:t>
      </w:r>
    </w:p>
    <w:p w14:paraId="20E140C9" w14:textId="77777777" w:rsidR="005636C7" w:rsidRDefault="005636C7" w:rsidP="005636C7">
      <w:pPr>
        <w:pStyle w:val="E3BodyText"/>
        <w:jc w:val="both"/>
      </w:pPr>
      <w:r w:rsidRPr="00066675">
        <w:t xml:space="preserve">These </w:t>
      </w:r>
      <w:r>
        <w:t>15</w:t>
      </w:r>
      <w:r w:rsidRPr="00066675">
        <w:t xml:space="preserve"> groups have distinct efficiency levels and dates of implementation. </w:t>
      </w:r>
      <w:r w:rsidRPr="003D5BD2">
        <w:rPr>
          <w:b/>
        </w:rPr>
        <w:t>Table 5</w:t>
      </w:r>
      <w:r>
        <w:t xml:space="preserve"> </w:t>
      </w:r>
      <w:r w:rsidRPr="00066675">
        <w:t>outlines the groups for the purpose of setting MEPS in Australia and New Zealand.</w:t>
      </w:r>
    </w:p>
    <w:p w14:paraId="7C7F2F44" w14:textId="77777777" w:rsidR="005636C7" w:rsidRPr="00EF6371" w:rsidRDefault="005636C7" w:rsidP="00EF6371">
      <w:pPr>
        <w:spacing w:after="113" w:line="278" w:lineRule="auto"/>
        <w:jc w:val="both"/>
        <w:rPr>
          <w:rFonts w:ascii="Georgia" w:eastAsia="Cambria" w:hAnsi="Georgia"/>
          <w:lang w:eastAsia="en-US"/>
        </w:rPr>
      </w:pPr>
      <w:r w:rsidRPr="00EF6371">
        <w:rPr>
          <w:rFonts w:ascii="Georgia" w:eastAsia="Cambria" w:hAnsi="Georgia"/>
          <w:lang w:eastAsia="en-US"/>
        </w:rPr>
        <w:t>MEPS levels in Europe are imposed per group irrespective of cabinet type (remote or integral, closed or open).  This approach to MEPS levels (broad definitions based on cabinet groups and group-level MEPS), is preferable to the specific class and MEPS definitions in AS 1731. Separate type definitions are still essential for specific test methods and test setups. Essentially the supplier must define what temperature their units will operate at – and from there, work out what group it will be classified into.</w:t>
      </w:r>
    </w:p>
    <w:p w14:paraId="36453226" w14:textId="77777777" w:rsidR="005636C7" w:rsidRDefault="005636C7" w:rsidP="005636C7">
      <w:pPr>
        <w:jc w:val="both"/>
        <w:rPr>
          <w:lang w:val="en-NZ" w:eastAsia="en-NZ"/>
        </w:rPr>
      </w:pPr>
    </w:p>
    <w:p w14:paraId="17A1ABC2" w14:textId="77777777" w:rsidR="005636C7" w:rsidRDefault="005636C7" w:rsidP="005636C7">
      <w:pPr>
        <w:jc w:val="both"/>
        <w:rPr>
          <w:lang w:val="en-NZ" w:eastAsia="en-NZ"/>
        </w:rPr>
      </w:pPr>
    </w:p>
    <w:p w14:paraId="3046DDAF" w14:textId="77777777" w:rsidR="005636C7" w:rsidRDefault="005636C7" w:rsidP="005636C7">
      <w:pPr>
        <w:jc w:val="both"/>
        <w:rPr>
          <w:lang w:val="en-NZ" w:eastAsia="en-NZ"/>
        </w:rPr>
      </w:pPr>
    </w:p>
    <w:p w14:paraId="29B362DC" w14:textId="77777777" w:rsidR="005636C7" w:rsidRDefault="005636C7" w:rsidP="005636C7">
      <w:pPr>
        <w:jc w:val="both"/>
        <w:rPr>
          <w:lang w:val="en-NZ" w:eastAsia="en-NZ"/>
        </w:rPr>
      </w:pPr>
    </w:p>
    <w:p w14:paraId="61E4550E" w14:textId="77777777" w:rsidR="005636C7" w:rsidRDefault="005636C7" w:rsidP="005636C7">
      <w:pPr>
        <w:jc w:val="both"/>
        <w:rPr>
          <w:lang w:val="en-NZ" w:eastAsia="en-NZ"/>
        </w:rPr>
      </w:pPr>
    </w:p>
    <w:p w14:paraId="0F9FF0B3" w14:textId="77777777" w:rsidR="005636C7" w:rsidRDefault="005636C7" w:rsidP="005636C7">
      <w:pPr>
        <w:jc w:val="both"/>
        <w:rPr>
          <w:lang w:val="en-NZ" w:eastAsia="en-NZ"/>
        </w:rPr>
      </w:pPr>
    </w:p>
    <w:p w14:paraId="05E1CB1D" w14:textId="77777777" w:rsidR="005636C7" w:rsidRDefault="005636C7" w:rsidP="005636C7">
      <w:pPr>
        <w:jc w:val="both"/>
        <w:rPr>
          <w:lang w:val="en-NZ" w:eastAsia="en-NZ"/>
        </w:rPr>
      </w:pPr>
    </w:p>
    <w:p w14:paraId="4239C0F8" w14:textId="77777777" w:rsidR="005636C7" w:rsidRDefault="005636C7" w:rsidP="005636C7">
      <w:pPr>
        <w:jc w:val="both"/>
        <w:rPr>
          <w:lang w:val="en-NZ" w:eastAsia="en-NZ"/>
        </w:rPr>
      </w:pPr>
    </w:p>
    <w:p w14:paraId="3CACD518" w14:textId="77777777" w:rsidR="005636C7" w:rsidRDefault="005636C7" w:rsidP="005636C7">
      <w:pPr>
        <w:jc w:val="both"/>
        <w:rPr>
          <w:lang w:val="en-NZ" w:eastAsia="en-NZ"/>
        </w:rPr>
      </w:pPr>
    </w:p>
    <w:p w14:paraId="4D77BBE1" w14:textId="77777777" w:rsidR="005636C7" w:rsidRDefault="005636C7" w:rsidP="005636C7">
      <w:pPr>
        <w:jc w:val="both"/>
        <w:rPr>
          <w:lang w:val="en-NZ" w:eastAsia="en-NZ"/>
        </w:rPr>
      </w:pPr>
    </w:p>
    <w:p w14:paraId="056F8F7E" w14:textId="77777777" w:rsidR="005636C7" w:rsidRDefault="005636C7" w:rsidP="005636C7">
      <w:pPr>
        <w:jc w:val="both"/>
        <w:rPr>
          <w:lang w:val="en-NZ" w:eastAsia="en-NZ"/>
        </w:rPr>
      </w:pPr>
    </w:p>
    <w:p w14:paraId="23E085B4" w14:textId="77777777" w:rsidR="005636C7" w:rsidRDefault="005636C7" w:rsidP="005636C7">
      <w:pPr>
        <w:jc w:val="both"/>
        <w:rPr>
          <w:lang w:val="en-NZ" w:eastAsia="en-NZ"/>
        </w:rPr>
      </w:pPr>
    </w:p>
    <w:p w14:paraId="77761551" w14:textId="77777777" w:rsidR="005636C7" w:rsidRDefault="005636C7" w:rsidP="005636C7">
      <w:pPr>
        <w:jc w:val="both"/>
        <w:rPr>
          <w:lang w:val="en-NZ" w:eastAsia="en-NZ"/>
        </w:rPr>
      </w:pPr>
    </w:p>
    <w:p w14:paraId="081CB6D8" w14:textId="77777777" w:rsidR="005636C7" w:rsidRDefault="005636C7" w:rsidP="005636C7">
      <w:pPr>
        <w:jc w:val="both"/>
        <w:rPr>
          <w:lang w:val="en-NZ" w:eastAsia="en-NZ"/>
        </w:rPr>
      </w:pPr>
    </w:p>
    <w:p w14:paraId="509F3E08" w14:textId="77777777" w:rsidR="005636C7" w:rsidRDefault="005636C7" w:rsidP="005636C7">
      <w:pPr>
        <w:jc w:val="both"/>
        <w:rPr>
          <w:lang w:val="en-NZ" w:eastAsia="en-NZ"/>
        </w:rPr>
      </w:pPr>
    </w:p>
    <w:p w14:paraId="081B9047" w14:textId="77777777" w:rsidR="005636C7" w:rsidRDefault="005636C7" w:rsidP="005636C7">
      <w:pPr>
        <w:jc w:val="both"/>
        <w:rPr>
          <w:lang w:val="en-NZ" w:eastAsia="en-NZ"/>
        </w:rPr>
      </w:pPr>
    </w:p>
    <w:p w14:paraId="247A9F54" w14:textId="77777777" w:rsidR="005636C7" w:rsidRDefault="005636C7" w:rsidP="005636C7">
      <w:pPr>
        <w:jc w:val="both"/>
        <w:rPr>
          <w:lang w:val="en-NZ" w:eastAsia="en-NZ"/>
        </w:rPr>
      </w:pPr>
    </w:p>
    <w:p w14:paraId="0F3F2173" w14:textId="77777777" w:rsidR="005636C7" w:rsidRDefault="005636C7" w:rsidP="005636C7">
      <w:pPr>
        <w:jc w:val="both"/>
        <w:rPr>
          <w:lang w:val="en-NZ" w:eastAsia="en-NZ"/>
        </w:rPr>
      </w:pPr>
    </w:p>
    <w:p w14:paraId="03F2FAA5" w14:textId="77777777" w:rsidR="005636C7" w:rsidRPr="00105013" w:rsidRDefault="005636C7" w:rsidP="005636C7">
      <w:pPr>
        <w:jc w:val="both"/>
        <w:rPr>
          <w:lang w:val="en-NZ" w:eastAsia="en-NZ"/>
        </w:rPr>
      </w:pPr>
    </w:p>
    <w:p w14:paraId="4924ECBF" w14:textId="77777777" w:rsidR="00EF6371" w:rsidRDefault="00EF6371">
      <w:pPr>
        <w:rPr>
          <w:rFonts w:ascii="Georgia" w:eastAsia="Cambria" w:hAnsi="Georgia" w:cs="Georgia"/>
          <w:b/>
          <w:bCs/>
          <w:color w:val="000000"/>
          <w:sz w:val="21"/>
          <w:szCs w:val="19"/>
          <w:lang w:val="en-US" w:eastAsia="en-US"/>
        </w:rPr>
      </w:pPr>
      <w:bookmarkStart w:id="159" w:name="_Ref449960606"/>
      <w:bookmarkStart w:id="160" w:name="_Toc449708961"/>
      <w:bookmarkStart w:id="161" w:name="_Toc449968525"/>
      <w:bookmarkStart w:id="162" w:name="_Toc494142456"/>
      <w:bookmarkStart w:id="163" w:name="_Toc500159656"/>
      <w:r>
        <w:br w:type="page"/>
      </w:r>
    </w:p>
    <w:p w14:paraId="1B863275" w14:textId="47D4C8B7" w:rsidR="005636C7" w:rsidRPr="004C3E41" w:rsidRDefault="005636C7" w:rsidP="005636C7">
      <w:pPr>
        <w:pStyle w:val="E3TableTitles"/>
      </w:pPr>
      <w:r w:rsidRPr="004C3E41">
        <w:t xml:space="preserve">Table </w:t>
      </w:r>
      <w:r w:rsidRPr="004C3E41">
        <w:fldChar w:fldCharType="begin"/>
      </w:r>
      <w:r w:rsidRPr="004C3E41">
        <w:instrText xml:space="preserve"> SEQ Table \* ARABIC </w:instrText>
      </w:r>
      <w:r w:rsidRPr="004C3E41">
        <w:fldChar w:fldCharType="separate"/>
      </w:r>
      <w:r w:rsidR="00AC6998">
        <w:rPr>
          <w:noProof/>
        </w:rPr>
        <w:t>6</w:t>
      </w:r>
      <w:r w:rsidRPr="004C3E41">
        <w:fldChar w:fldCharType="end"/>
      </w:r>
      <w:bookmarkEnd w:id="159"/>
      <w:r w:rsidRPr="004C3E41">
        <w:t>: Proportion of cabinet types per group, estimated from European data vs local sales data.</w:t>
      </w:r>
      <w:bookmarkEnd w:id="160"/>
      <w:bookmarkEnd w:id="161"/>
      <w:bookmarkEnd w:id="162"/>
      <w:bookmarkEnd w:id="163"/>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276"/>
        <w:gridCol w:w="1417"/>
        <w:gridCol w:w="1418"/>
        <w:gridCol w:w="1134"/>
        <w:gridCol w:w="1134"/>
        <w:gridCol w:w="1032"/>
      </w:tblGrid>
      <w:tr w:rsidR="005636C7" w:rsidRPr="00532AE7" w14:paraId="674DB8DD" w14:textId="77777777" w:rsidTr="005636C7">
        <w:trPr>
          <w:jc w:val="center"/>
        </w:trPr>
        <w:tc>
          <w:tcPr>
            <w:tcW w:w="2250" w:type="dxa"/>
            <w:vMerge w:val="restart"/>
            <w:shd w:val="clear" w:color="auto" w:fill="0C0C0C"/>
            <w:vAlign w:val="center"/>
          </w:tcPr>
          <w:p w14:paraId="064A73EC" w14:textId="77777777" w:rsidR="005636C7" w:rsidRPr="001A279D" w:rsidRDefault="005636C7" w:rsidP="005636C7">
            <w:pPr>
              <w:pStyle w:val="E3TableHeading"/>
              <w:jc w:val="both"/>
              <w:rPr>
                <w:szCs w:val="15"/>
              </w:rPr>
            </w:pPr>
            <w:r w:rsidRPr="001A279D">
              <w:rPr>
                <w:szCs w:val="15"/>
              </w:rPr>
              <w:t>Application</w:t>
            </w:r>
          </w:p>
        </w:tc>
        <w:tc>
          <w:tcPr>
            <w:tcW w:w="1276" w:type="dxa"/>
            <w:vMerge w:val="restart"/>
            <w:shd w:val="clear" w:color="auto" w:fill="0C0C0C"/>
            <w:vAlign w:val="center"/>
          </w:tcPr>
          <w:p w14:paraId="714DC7CC" w14:textId="77777777" w:rsidR="005636C7" w:rsidRPr="00D646FE" w:rsidRDefault="005636C7" w:rsidP="005636C7">
            <w:pPr>
              <w:pStyle w:val="E3TableHeading"/>
              <w:jc w:val="both"/>
              <w:rPr>
                <w:szCs w:val="15"/>
              </w:rPr>
            </w:pPr>
            <w:r w:rsidRPr="00D646FE">
              <w:rPr>
                <w:szCs w:val="15"/>
              </w:rPr>
              <w:t>Temperature</w:t>
            </w:r>
          </w:p>
        </w:tc>
        <w:tc>
          <w:tcPr>
            <w:tcW w:w="1417" w:type="dxa"/>
            <w:vMerge w:val="restart"/>
            <w:shd w:val="clear" w:color="auto" w:fill="0C0C0C"/>
            <w:vAlign w:val="center"/>
          </w:tcPr>
          <w:p w14:paraId="4FF6DD9C" w14:textId="77777777" w:rsidR="005636C7" w:rsidRPr="00DA4189" w:rsidRDefault="005636C7" w:rsidP="005636C7">
            <w:pPr>
              <w:pStyle w:val="E3TableHeading"/>
              <w:jc w:val="both"/>
              <w:rPr>
                <w:szCs w:val="15"/>
              </w:rPr>
            </w:pPr>
            <w:r w:rsidRPr="00DA4189">
              <w:rPr>
                <w:szCs w:val="15"/>
              </w:rPr>
              <w:t>Configuration</w:t>
            </w:r>
          </w:p>
        </w:tc>
        <w:tc>
          <w:tcPr>
            <w:tcW w:w="1418" w:type="dxa"/>
            <w:vMerge w:val="restart"/>
            <w:shd w:val="clear" w:color="auto" w:fill="0C0C0C"/>
            <w:vAlign w:val="center"/>
          </w:tcPr>
          <w:p w14:paraId="4CA0974B" w14:textId="77777777" w:rsidR="005636C7" w:rsidRPr="00DA4189" w:rsidRDefault="005636C7" w:rsidP="005636C7">
            <w:pPr>
              <w:pStyle w:val="E3TableHeading"/>
              <w:jc w:val="both"/>
              <w:rPr>
                <w:szCs w:val="15"/>
              </w:rPr>
            </w:pPr>
            <w:r w:rsidRPr="00DA4189">
              <w:rPr>
                <w:szCs w:val="15"/>
              </w:rPr>
              <w:t>AS 1731.14 Types</w:t>
            </w:r>
          </w:p>
        </w:tc>
        <w:tc>
          <w:tcPr>
            <w:tcW w:w="3300" w:type="dxa"/>
            <w:gridSpan w:val="3"/>
            <w:shd w:val="clear" w:color="auto" w:fill="0C0C0C"/>
          </w:tcPr>
          <w:p w14:paraId="47D8E81F" w14:textId="77777777" w:rsidR="005636C7" w:rsidRPr="00DA4189" w:rsidRDefault="005636C7" w:rsidP="005636C7">
            <w:pPr>
              <w:pStyle w:val="E3TableHeading"/>
              <w:jc w:val="both"/>
              <w:rPr>
                <w:szCs w:val="15"/>
              </w:rPr>
            </w:pPr>
            <w:r w:rsidRPr="00DA4189">
              <w:rPr>
                <w:szCs w:val="15"/>
              </w:rPr>
              <w:t>Dissection by type and sub-type</w:t>
            </w:r>
          </w:p>
        </w:tc>
      </w:tr>
      <w:tr w:rsidR="005636C7" w:rsidRPr="00532AE7" w14:paraId="43669B0A" w14:textId="77777777" w:rsidTr="005636C7">
        <w:trPr>
          <w:jc w:val="center"/>
        </w:trPr>
        <w:tc>
          <w:tcPr>
            <w:tcW w:w="2250" w:type="dxa"/>
            <w:vMerge/>
            <w:shd w:val="clear" w:color="auto" w:fill="0C0C0C"/>
            <w:vAlign w:val="center"/>
          </w:tcPr>
          <w:p w14:paraId="2BB9DAB1" w14:textId="77777777" w:rsidR="005636C7" w:rsidRPr="00A4659E" w:rsidRDefault="005636C7" w:rsidP="005636C7">
            <w:pPr>
              <w:pStyle w:val="E3TableHeading"/>
              <w:jc w:val="both"/>
              <w:rPr>
                <w:szCs w:val="15"/>
              </w:rPr>
            </w:pPr>
          </w:p>
        </w:tc>
        <w:tc>
          <w:tcPr>
            <w:tcW w:w="1276" w:type="dxa"/>
            <w:vMerge/>
            <w:shd w:val="clear" w:color="auto" w:fill="0C0C0C"/>
            <w:vAlign w:val="center"/>
          </w:tcPr>
          <w:p w14:paraId="14077B11" w14:textId="77777777" w:rsidR="005636C7" w:rsidRPr="00A4659E" w:rsidRDefault="005636C7" w:rsidP="005636C7">
            <w:pPr>
              <w:pStyle w:val="E3TableHeading"/>
              <w:jc w:val="both"/>
              <w:rPr>
                <w:szCs w:val="15"/>
              </w:rPr>
            </w:pPr>
          </w:p>
        </w:tc>
        <w:tc>
          <w:tcPr>
            <w:tcW w:w="1417" w:type="dxa"/>
            <w:vMerge/>
            <w:shd w:val="clear" w:color="auto" w:fill="0C0C0C"/>
            <w:vAlign w:val="center"/>
          </w:tcPr>
          <w:p w14:paraId="7E08E894" w14:textId="77777777" w:rsidR="005636C7" w:rsidRPr="00A4659E" w:rsidRDefault="005636C7" w:rsidP="005636C7">
            <w:pPr>
              <w:pStyle w:val="E3TableHeading"/>
              <w:jc w:val="both"/>
              <w:rPr>
                <w:szCs w:val="15"/>
              </w:rPr>
            </w:pPr>
          </w:p>
        </w:tc>
        <w:tc>
          <w:tcPr>
            <w:tcW w:w="1418" w:type="dxa"/>
            <w:vMerge/>
            <w:shd w:val="clear" w:color="auto" w:fill="0C0C0C"/>
            <w:vAlign w:val="center"/>
          </w:tcPr>
          <w:p w14:paraId="36CF78D1" w14:textId="77777777" w:rsidR="005636C7" w:rsidRPr="00A4659E" w:rsidRDefault="005636C7" w:rsidP="005636C7">
            <w:pPr>
              <w:pStyle w:val="E3TableHeading"/>
              <w:jc w:val="both"/>
              <w:rPr>
                <w:szCs w:val="15"/>
              </w:rPr>
            </w:pPr>
          </w:p>
        </w:tc>
        <w:tc>
          <w:tcPr>
            <w:tcW w:w="1134" w:type="dxa"/>
            <w:shd w:val="clear" w:color="auto" w:fill="0C0C0C"/>
          </w:tcPr>
          <w:p w14:paraId="505AB7ED" w14:textId="77777777" w:rsidR="005636C7" w:rsidRPr="00A4659E" w:rsidRDefault="005636C7" w:rsidP="005636C7">
            <w:pPr>
              <w:pStyle w:val="E3TableHeading"/>
              <w:jc w:val="both"/>
              <w:rPr>
                <w:szCs w:val="15"/>
              </w:rPr>
            </w:pPr>
            <w:r w:rsidRPr="00A4659E">
              <w:rPr>
                <w:szCs w:val="15"/>
              </w:rPr>
              <w:t>EU</w:t>
            </w:r>
          </w:p>
        </w:tc>
        <w:tc>
          <w:tcPr>
            <w:tcW w:w="2166" w:type="dxa"/>
            <w:gridSpan w:val="2"/>
            <w:shd w:val="clear" w:color="auto" w:fill="0C0C0C"/>
          </w:tcPr>
          <w:p w14:paraId="434EDC4F" w14:textId="77777777" w:rsidR="005636C7" w:rsidRPr="001A279D" w:rsidRDefault="005636C7" w:rsidP="005636C7">
            <w:pPr>
              <w:pStyle w:val="E3TableHeading"/>
              <w:jc w:val="both"/>
              <w:rPr>
                <w:szCs w:val="15"/>
              </w:rPr>
            </w:pPr>
            <w:r w:rsidRPr="00A4659E">
              <w:rPr>
                <w:szCs w:val="15"/>
              </w:rPr>
              <w:t xml:space="preserve">Local </w:t>
            </w:r>
            <w:r w:rsidRPr="00A4659E">
              <w:rPr>
                <w:szCs w:val="15"/>
                <w:vertAlign w:val="superscript"/>
              </w:rPr>
              <w:t>(1)</w:t>
            </w:r>
            <w:r w:rsidRPr="001A279D">
              <w:rPr>
                <w:rStyle w:val="FootnoteReference"/>
                <w:szCs w:val="15"/>
              </w:rPr>
              <w:footnoteReference w:id="33"/>
            </w:r>
          </w:p>
        </w:tc>
      </w:tr>
      <w:tr w:rsidR="005636C7" w:rsidRPr="001073B6" w14:paraId="205FB342" w14:textId="77777777" w:rsidTr="005636C7">
        <w:trPr>
          <w:jc w:val="center"/>
        </w:trPr>
        <w:tc>
          <w:tcPr>
            <w:tcW w:w="2250" w:type="dxa"/>
            <w:vMerge w:val="restart"/>
            <w:vAlign w:val="center"/>
          </w:tcPr>
          <w:p w14:paraId="5256AE6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Refrigerated Display Cabinet (Integral)</w:t>
            </w:r>
          </w:p>
        </w:tc>
        <w:tc>
          <w:tcPr>
            <w:tcW w:w="1276" w:type="dxa"/>
            <w:vMerge w:val="restart"/>
            <w:vAlign w:val="center"/>
          </w:tcPr>
          <w:p w14:paraId="626D116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0D41D63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31C4CDF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HC1, HC2, HC3, HC4, HC5, HC6</w:t>
            </w:r>
          </w:p>
        </w:tc>
        <w:tc>
          <w:tcPr>
            <w:tcW w:w="1134" w:type="dxa"/>
            <w:vMerge w:val="restart"/>
            <w:vAlign w:val="center"/>
          </w:tcPr>
          <w:p w14:paraId="661EFEA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67%</w:t>
            </w:r>
          </w:p>
        </w:tc>
        <w:tc>
          <w:tcPr>
            <w:tcW w:w="1134" w:type="dxa"/>
            <w:vMerge w:val="restart"/>
            <w:vAlign w:val="center"/>
          </w:tcPr>
          <w:p w14:paraId="4E1B6EA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62%</w:t>
            </w:r>
          </w:p>
        </w:tc>
        <w:tc>
          <w:tcPr>
            <w:tcW w:w="1032" w:type="dxa"/>
            <w:vAlign w:val="center"/>
          </w:tcPr>
          <w:p w14:paraId="0D70184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w:t>
            </w:r>
          </w:p>
        </w:tc>
      </w:tr>
      <w:tr w:rsidR="005636C7" w:rsidRPr="001073B6" w14:paraId="0044FABE" w14:textId="77777777" w:rsidTr="005636C7">
        <w:trPr>
          <w:jc w:val="center"/>
        </w:trPr>
        <w:tc>
          <w:tcPr>
            <w:tcW w:w="2250" w:type="dxa"/>
            <w:vMerge/>
            <w:vAlign w:val="center"/>
          </w:tcPr>
          <w:p w14:paraId="126CBA8E"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703D8950" w14:textId="77777777" w:rsidR="005636C7" w:rsidRPr="0041262C" w:rsidRDefault="005636C7" w:rsidP="005636C7">
            <w:pPr>
              <w:pStyle w:val="E3tabletext1"/>
              <w:jc w:val="both"/>
              <w:rPr>
                <w:rFonts w:ascii="Helvetica" w:hAnsi="Helvetica" w:cs="Helvetica"/>
                <w:sz w:val="15"/>
                <w:szCs w:val="15"/>
              </w:rPr>
            </w:pPr>
          </w:p>
        </w:tc>
        <w:tc>
          <w:tcPr>
            <w:tcW w:w="1417" w:type="dxa"/>
            <w:vMerge w:val="restart"/>
            <w:vAlign w:val="center"/>
          </w:tcPr>
          <w:p w14:paraId="03C9B6F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C7C6FE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IVC1, IVC2, IVC3</w:t>
            </w:r>
          </w:p>
        </w:tc>
        <w:tc>
          <w:tcPr>
            <w:tcW w:w="1134" w:type="dxa"/>
            <w:vMerge/>
            <w:vAlign w:val="center"/>
          </w:tcPr>
          <w:p w14:paraId="7CDDD2C5"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64EBD875"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46DBFB5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w:t>
            </w:r>
          </w:p>
        </w:tc>
      </w:tr>
      <w:tr w:rsidR="005636C7" w:rsidRPr="001073B6" w14:paraId="7B5DD0DC" w14:textId="77777777" w:rsidTr="005636C7">
        <w:trPr>
          <w:jc w:val="center"/>
        </w:trPr>
        <w:tc>
          <w:tcPr>
            <w:tcW w:w="2250" w:type="dxa"/>
            <w:vMerge/>
            <w:vAlign w:val="center"/>
          </w:tcPr>
          <w:p w14:paraId="7153F3DB"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3CBF188A" w14:textId="77777777" w:rsidR="005636C7" w:rsidRPr="0041262C" w:rsidRDefault="005636C7" w:rsidP="005636C7">
            <w:pPr>
              <w:pStyle w:val="E3tabletext1"/>
              <w:jc w:val="both"/>
              <w:rPr>
                <w:rFonts w:ascii="Helvetica" w:hAnsi="Helvetica" w:cs="Helvetica"/>
                <w:sz w:val="15"/>
                <w:szCs w:val="15"/>
              </w:rPr>
            </w:pPr>
          </w:p>
        </w:tc>
        <w:tc>
          <w:tcPr>
            <w:tcW w:w="1417" w:type="dxa"/>
            <w:vMerge/>
            <w:vAlign w:val="center"/>
          </w:tcPr>
          <w:p w14:paraId="0A1D314A"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1CF89E7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IVC4</w:t>
            </w:r>
          </w:p>
        </w:tc>
        <w:tc>
          <w:tcPr>
            <w:tcW w:w="1134" w:type="dxa"/>
            <w:vMerge/>
            <w:vAlign w:val="center"/>
          </w:tcPr>
          <w:p w14:paraId="08E489D0"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42879BB9"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676DD3A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46.5%</w:t>
            </w:r>
          </w:p>
        </w:tc>
      </w:tr>
      <w:tr w:rsidR="005636C7" w:rsidRPr="001073B6" w14:paraId="6EBC3969" w14:textId="77777777" w:rsidTr="005636C7">
        <w:trPr>
          <w:jc w:val="center"/>
        </w:trPr>
        <w:tc>
          <w:tcPr>
            <w:tcW w:w="2250" w:type="dxa"/>
            <w:vMerge/>
            <w:vAlign w:val="center"/>
          </w:tcPr>
          <w:p w14:paraId="5922794A" w14:textId="77777777" w:rsidR="005636C7" w:rsidRPr="0041262C" w:rsidRDefault="005636C7" w:rsidP="005636C7">
            <w:pPr>
              <w:pStyle w:val="E3tabletext1"/>
              <w:jc w:val="both"/>
              <w:rPr>
                <w:rFonts w:ascii="Helvetica" w:hAnsi="Helvetica" w:cs="Helvetica"/>
                <w:sz w:val="15"/>
                <w:szCs w:val="15"/>
              </w:rPr>
            </w:pPr>
          </w:p>
        </w:tc>
        <w:tc>
          <w:tcPr>
            <w:tcW w:w="1276" w:type="dxa"/>
            <w:vMerge w:val="restart"/>
            <w:vAlign w:val="center"/>
          </w:tcPr>
          <w:p w14:paraId="1A93DEF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Merge w:val="restart"/>
            <w:vAlign w:val="center"/>
          </w:tcPr>
          <w:p w14:paraId="35DE078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21D345F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HF1, HF3, HF4</w:t>
            </w:r>
          </w:p>
        </w:tc>
        <w:tc>
          <w:tcPr>
            <w:tcW w:w="1134" w:type="dxa"/>
            <w:vMerge/>
            <w:vAlign w:val="center"/>
          </w:tcPr>
          <w:p w14:paraId="41300DF7"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6B949285"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3DC5F7B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0.6%</w:t>
            </w:r>
          </w:p>
        </w:tc>
      </w:tr>
      <w:tr w:rsidR="005636C7" w:rsidRPr="001073B6" w14:paraId="7D865CB1" w14:textId="77777777" w:rsidTr="005636C7">
        <w:trPr>
          <w:jc w:val="center"/>
        </w:trPr>
        <w:tc>
          <w:tcPr>
            <w:tcW w:w="2250" w:type="dxa"/>
            <w:vMerge/>
            <w:vAlign w:val="center"/>
          </w:tcPr>
          <w:p w14:paraId="45F35181"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228A8C1F" w14:textId="77777777" w:rsidR="005636C7" w:rsidRPr="0041262C" w:rsidRDefault="005636C7" w:rsidP="005636C7">
            <w:pPr>
              <w:pStyle w:val="E3tabletext1"/>
              <w:jc w:val="both"/>
              <w:rPr>
                <w:rFonts w:ascii="Helvetica" w:hAnsi="Helvetica" w:cs="Helvetica"/>
                <w:sz w:val="15"/>
                <w:szCs w:val="15"/>
              </w:rPr>
            </w:pPr>
          </w:p>
        </w:tc>
        <w:tc>
          <w:tcPr>
            <w:tcW w:w="1417" w:type="dxa"/>
            <w:vMerge/>
            <w:vAlign w:val="center"/>
          </w:tcPr>
          <w:p w14:paraId="382E34F7"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5FB2A7F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HF5, HF6</w:t>
            </w:r>
          </w:p>
        </w:tc>
        <w:tc>
          <w:tcPr>
            <w:tcW w:w="1134" w:type="dxa"/>
            <w:vMerge/>
            <w:vAlign w:val="center"/>
          </w:tcPr>
          <w:p w14:paraId="63E1BBF0"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65F3DBE6"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5747EE1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w:t>
            </w:r>
          </w:p>
        </w:tc>
      </w:tr>
      <w:tr w:rsidR="005636C7" w:rsidRPr="001073B6" w14:paraId="08A908FF" w14:textId="77777777" w:rsidTr="005636C7">
        <w:trPr>
          <w:jc w:val="center"/>
        </w:trPr>
        <w:tc>
          <w:tcPr>
            <w:tcW w:w="2250" w:type="dxa"/>
            <w:vMerge/>
            <w:vAlign w:val="center"/>
          </w:tcPr>
          <w:p w14:paraId="269EFF2B"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3CAFDAAE"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416518A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5E70B26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IVF1, IVF2, IVF4</w:t>
            </w:r>
          </w:p>
        </w:tc>
        <w:tc>
          <w:tcPr>
            <w:tcW w:w="1134" w:type="dxa"/>
            <w:vMerge/>
            <w:vAlign w:val="center"/>
          </w:tcPr>
          <w:p w14:paraId="24785E60"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38C95D9F"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201960F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w:t>
            </w:r>
          </w:p>
        </w:tc>
      </w:tr>
      <w:tr w:rsidR="005636C7" w:rsidRPr="001073B6" w14:paraId="53F4D87A" w14:textId="77777777" w:rsidTr="005636C7">
        <w:trPr>
          <w:jc w:val="center"/>
        </w:trPr>
        <w:tc>
          <w:tcPr>
            <w:tcW w:w="2250" w:type="dxa"/>
            <w:vMerge w:val="restart"/>
            <w:vAlign w:val="center"/>
          </w:tcPr>
          <w:p w14:paraId="57CAD36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Refrigerated Display Cabinet (Remote)</w:t>
            </w:r>
          </w:p>
        </w:tc>
        <w:tc>
          <w:tcPr>
            <w:tcW w:w="1276" w:type="dxa"/>
            <w:vMerge w:val="restart"/>
            <w:vAlign w:val="center"/>
          </w:tcPr>
          <w:p w14:paraId="1B1C520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2882F6C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434251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RS6, RS7, RS8, RS9</w:t>
            </w:r>
          </w:p>
        </w:tc>
        <w:tc>
          <w:tcPr>
            <w:tcW w:w="1134" w:type="dxa"/>
            <w:vMerge w:val="restart"/>
            <w:vAlign w:val="center"/>
          </w:tcPr>
          <w:p w14:paraId="6241D0A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w:t>
            </w:r>
          </w:p>
        </w:tc>
        <w:tc>
          <w:tcPr>
            <w:tcW w:w="1134" w:type="dxa"/>
            <w:vMerge w:val="restart"/>
            <w:vAlign w:val="center"/>
          </w:tcPr>
          <w:p w14:paraId="11EE374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18%</w:t>
            </w:r>
          </w:p>
        </w:tc>
        <w:tc>
          <w:tcPr>
            <w:tcW w:w="1032" w:type="dxa"/>
            <w:vAlign w:val="center"/>
          </w:tcPr>
          <w:p w14:paraId="7ACADFB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1.2%</w:t>
            </w:r>
          </w:p>
        </w:tc>
      </w:tr>
      <w:tr w:rsidR="005636C7" w:rsidRPr="001073B6" w14:paraId="1BE099A1" w14:textId="77777777" w:rsidTr="005636C7">
        <w:trPr>
          <w:jc w:val="center"/>
        </w:trPr>
        <w:tc>
          <w:tcPr>
            <w:tcW w:w="2250" w:type="dxa"/>
            <w:vMerge/>
            <w:vAlign w:val="center"/>
          </w:tcPr>
          <w:p w14:paraId="7321A34C"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6C8298C9" w14:textId="77777777" w:rsidR="005636C7" w:rsidRPr="0041262C" w:rsidRDefault="005636C7" w:rsidP="005636C7">
            <w:pPr>
              <w:pStyle w:val="E3tabletext1"/>
              <w:jc w:val="both"/>
              <w:rPr>
                <w:rFonts w:ascii="Helvetica" w:hAnsi="Helvetica" w:cs="Helvetica"/>
                <w:sz w:val="15"/>
                <w:szCs w:val="15"/>
              </w:rPr>
            </w:pPr>
          </w:p>
        </w:tc>
        <w:tc>
          <w:tcPr>
            <w:tcW w:w="1417" w:type="dxa"/>
            <w:vMerge w:val="restart"/>
            <w:vAlign w:val="center"/>
          </w:tcPr>
          <w:p w14:paraId="692C52B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46E7F36"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RS1, RS3, RS4, RS5, RS10</w:t>
            </w:r>
          </w:p>
        </w:tc>
        <w:tc>
          <w:tcPr>
            <w:tcW w:w="1134" w:type="dxa"/>
            <w:vMerge/>
            <w:vAlign w:val="center"/>
          </w:tcPr>
          <w:p w14:paraId="7E132C0E"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408E1570"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25D9495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w:t>
            </w:r>
          </w:p>
        </w:tc>
      </w:tr>
      <w:tr w:rsidR="005636C7" w:rsidRPr="001073B6" w14:paraId="3151C2AD" w14:textId="77777777" w:rsidTr="005636C7">
        <w:trPr>
          <w:jc w:val="center"/>
        </w:trPr>
        <w:tc>
          <w:tcPr>
            <w:tcW w:w="2250" w:type="dxa"/>
            <w:vMerge/>
            <w:vAlign w:val="center"/>
          </w:tcPr>
          <w:p w14:paraId="12728058"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4DB2750D" w14:textId="77777777" w:rsidR="005636C7" w:rsidRPr="0041262C" w:rsidRDefault="005636C7" w:rsidP="005636C7">
            <w:pPr>
              <w:pStyle w:val="E3tabletext1"/>
              <w:jc w:val="both"/>
              <w:rPr>
                <w:rFonts w:ascii="Helvetica" w:hAnsi="Helvetica" w:cs="Helvetica"/>
                <w:sz w:val="15"/>
                <w:szCs w:val="15"/>
              </w:rPr>
            </w:pPr>
          </w:p>
        </w:tc>
        <w:tc>
          <w:tcPr>
            <w:tcW w:w="1417" w:type="dxa"/>
            <w:vMerge/>
            <w:vAlign w:val="center"/>
          </w:tcPr>
          <w:p w14:paraId="52415FB2"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3100FFB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RS2</w:t>
            </w:r>
          </w:p>
        </w:tc>
        <w:tc>
          <w:tcPr>
            <w:tcW w:w="1134" w:type="dxa"/>
            <w:vMerge/>
            <w:vAlign w:val="center"/>
          </w:tcPr>
          <w:p w14:paraId="0E5DDC7B"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41E0107B"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4BE5288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10.5%</w:t>
            </w:r>
          </w:p>
        </w:tc>
      </w:tr>
      <w:tr w:rsidR="005636C7" w:rsidRPr="001073B6" w14:paraId="0589CBD9" w14:textId="77777777" w:rsidTr="005636C7">
        <w:trPr>
          <w:jc w:val="center"/>
        </w:trPr>
        <w:tc>
          <w:tcPr>
            <w:tcW w:w="2250" w:type="dxa"/>
            <w:vMerge/>
            <w:vAlign w:val="center"/>
          </w:tcPr>
          <w:p w14:paraId="28A640B0" w14:textId="77777777" w:rsidR="005636C7" w:rsidRPr="0041262C" w:rsidRDefault="005636C7" w:rsidP="005636C7">
            <w:pPr>
              <w:pStyle w:val="E3tabletext1"/>
              <w:jc w:val="both"/>
              <w:rPr>
                <w:rFonts w:ascii="Helvetica" w:hAnsi="Helvetica" w:cs="Helvetica"/>
                <w:sz w:val="15"/>
                <w:szCs w:val="15"/>
              </w:rPr>
            </w:pPr>
          </w:p>
        </w:tc>
        <w:tc>
          <w:tcPr>
            <w:tcW w:w="1276" w:type="dxa"/>
            <w:vMerge w:val="restart"/>
            <w:vAlign w:val="center"/>
          </w:tcPr>
          <w:p w14:paraId="0D0C71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Align w:val="center"/>
          </w:tcPr>
          <w:p w14:paraId="316F471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Horizontal</w:t>
            </w:r>
          </w:p>
        </w:tc>
        <w:tc>
          <w:tcPr>
            <w:tcW w:w="1418" w:type="dxa"/>
            <w:vAlign w:val="center"/>
          </w:tcPr>
          <w:p w14:paraId="1505FF0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RS13, RS14,</w:t>
            </w:r>
          </w:p>
        </w:tc>
        <w:tc>
          <w:tcPr>
            <w:tcW w:w="1134" w:type="dxa"/>
            <w:vMerge/>
            <w:vAlign w:val="center"/>
          </w:tcPr>
          <w:p w14:paraId="2215EE63"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3E6717F1"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140E597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w:t>
            </w:r>
          </w:p>
        </w:tc>
      </w:tr>
      <w:tr w:rsidR="005636C7" w:rsidRPr="001073B6" w14:paraId="2C524DF5" w14:textId="77777777" w:rsidTr="005636C7">
        <w:trPr>
          <w:jc w:val="center"/>
        </w:trPr>
        <w:tc>
          <w:tcPr>
            <w:tcW w:w="2250" w:type="dxa"/>
            <w:vMerge/>
            <w:vAlign w:val="center"/>
          </w:tcPr>
          <w:p w14:paraId="125DF31D"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39446A9D"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10BAE30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Align w:val="center"/>
          </w:tcPr>
          <w:p w14:paraId="6CA43CC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RS11, RS12, RS15, RS16, RS17, RS18, RS19, RS20</w:t>
            </w:r>
          </w:p>
        </w:tc>
        <w:tc>
          <w:tcPr>
            <w:tcW w:w="1134" w:type="dxa"/>
            <w:vMerge/>
            <w:vAlign w:val="center"/>
          </w:tcPr>
          <w:p w14:paraId="73BCE287" w14:textId="77777777" w:rsidR="005636C7" w:rsidRPr="0041262C" w:rsidRDefault="005636C7" w:rsidP="005636C7">
            <w:pPr>
              <w:pStyle w:val="E3tabletext1"/>
              <w:jc w:val="both"/>
              <w:rPr>
                <w:rFonts w:ascii="Helvetica" w:hAnsi="Helvetica" w:cs="Helvetica"/>
                <w:sz w:val="15"/>
                <w:szCs w:val="15"/>
              </w:rPr>
            </w:pPr>
          </w:p>
        </w:tc>
        <w:tc>
          <w:tcPr>
            <w:tcW w:w="1134" w:type="dxa"/>
            <w:vMerge/>
            <w:vAlign w:val="center"/>
          </w:tcPr>
          <w:p w14:paraId="304B4A75"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5374364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2.3%</w:t>
            </w:r>
          </w:p>
        </w:tc>
      </w:tr>
      <w:tr w:rsidR="005636C7" w:rsidRPr="001073B6" w14:paraId="6AD5CA44" w14:textId="77777777" w:rsidTr="005636C7">
        <w:trPr>
          <w:jc w:val="center"/>
        </w:trPr>
        <w:tc>
          <w:tcPr>
            <w:tcW w:w="2250" w:type="dxa"/>
            <w:vMerge w:val="restart"/>
            <w:vAlign w:val="center"/>
          </w:tcPr>
          <w:p w14:paraId="6C856A8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Refrigerated Storage Cabinet  (Integral)</w:t>
            </w:r>
          </w:p>
        </w:tc>
        <w:tc>
          <w:tcPr>
            <w:tcW w:w="1276" w:type="dxa"/>
            <w:vMerge w:val="restart"/>
            <w:vAlign w:val="center"/>
          </w:tcPr>
          <w:p w14:paraId="55546B3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Refrigerator</w:t>
            </w:r>
          </w:p>
        </w:tc>
        <w:tc>
          <w:tcPr>
            <w:tcW w:w="1417" w:type="dxa"/>
            <w:vAlign w:val="center"/>
          </w:tcPr>
          <w:p w14:paraId="22A1592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Counter (Horizontal)</w:t>
            </w:r>
          </w:p>
        </w:tc>
        <w:tc>
          <w:tcPr>
            <w:tcW w:w="1418" w:type="dxa"/>
            <w:vMerge w:val="restart"/>
            <w:vAlign w:val="center"/>
          </w:tcPr>
          <w:p w14:paraId="22E6B811"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Storage cabinet types are defined into four categories. No further breakdown  of types yet</w:t>
            </w:r>
          </w:p>
        </w:tc>
        <w:tc>
          <w:tcPr>
            <w:tcW w:w="1134" w:type="dxa"/>
            <w:vMerge w:val="restart"/>
            <w:vAlign w:val="center"/>
          </w:tcPr>
          <w:p w14:paraId="083017C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19%</w:t>
            </w:r>
          </w:p>
        </w:tc>
        <w:tc>
          <w:tcPr>
            <w:tcW w:w="1134" w:type="dxa"/>
            <w:vMerge w:val="restart"/>
            <w:vAlign w:val="center"/>
          </w:tcPr>
          <w:p w14:paraId="380DF31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 xml:space="preserve">20% </w:t>
            </w:r>
            <w:r w:rsidRPr="0041262C">
              <w:rPr>
                <w:rFonts w:ascii="Helvetica" w:hAnsi="Helvetica" w:cs="Helvetica"/>
                <w:sz w:val="15"/>
                <w:szCs w:val="15"/>
                <w:vertAlign w:val="superscript"/>
              </w:rPr>
              <w:t>(2)</w:t>
            </w:r>
            <w:r w:rsidRPr="0041262C">
              <w:rPr>
                <w:rStyle w:val="FootnoteReference"/>
                <w:rFonts w:ascii="Helvetica" w:hAnsi="Helvetica" w:cs="Helvetica"/>
                <w:sz w:val="15"/>
                <w:szCs w:val="15"/>
              </w:rPr>
              <w:footnoteReference w:id="34"/>
            </w:r>
          </w:p>
        </w:tc>
        <w:tc>
          <w:tcPr>
            <w:tcW w:w="1032" w:type="dxa"/>
            <w:vAlign w:val="center"/>
          </w:tcPr>
          <w:p w14:paraId="0A333DC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w:t>
            </w:r>
          </w:p>
        </w:tc>
      </w:tr>
      <w:tr w:rsidR="005636C7" w:rsidRPr="001073B6" w14:paraId="4C2FEA35" w14:textId="77777777" w:rsidTr="005636C7">
        <w:trPr>
          <w:jc w:val="center"/>
        </w:trPr>
        <w:tc>
          <w:tcPr>
            <w:tcW w:w="2250" w:type="dxa"/>
            <w:vMerge/>
            <w:vAlign w:val="center"/>
          </w:tcPr>
          <w:p w14:paraId="26BD7DC7"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4E8F047F"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5FAC67B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Merge/>
          </w:tcPr>
          <w:p w14:paraId="74146AD7"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4E53A840"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7A6A79AF"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61CB37F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w:t>
            </w:r>
          </w:p>
        </w:tc>
      </w:tr>
      <w:tr w:rsidR="005636C7" w:rsidRPr="001073B6" w14:paraId="643C5DEA" w14:textId="77777777" w:rsidTr="005636C7">
        <w:trPr>
          <w:jc w:val="center"/>
        </w:trPr>
        <w:tc>
          <w:tcPr>
            <w:tcW w:w="2250" w:type="dxa"/>
            <w:vMerge/>
            <w:vAlign w:val="center"/>
          </w:tcPr>
          <w:p w14:paraId="6538D269" w14:textId="77777777" w:rsidR="005636C7" w:rsidRPr="0041262C" w:rsidRDefault="005636C7" w:rsidP="005636C7">
            <w:pPr>
              <w:pStyle w:val="E3tabletext1"/>
              <w:jc w:val="both"/>
              <w:rPr>
                <w:rFonts w:ascii="Helvetica" w:hAnsi="Helvetica" w:cs="Helvetica"/>
                <w:sz w:val="15"/>
                <w:szCs w:val="15"/>
              </w:rPr>
            </w:pPr>
          </w:p>
        </w:tc>
        <w:tc>
          <w:tcPr>
            <w:tcW w:w="1276" w:type="dxa"/>
            <w:vMerge w:val="restart"/>
            <w:vAlign w:val="center"/>
          </w:tcPr>
          <w:p w14:paraId="4FECFA3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Freezer</w:t>
            </w:r>
          </w:p>
        </w:tc>
        <w:tc>
          <w:tcPr>
            <w:tcW w:w="1417" w:type="dxa"/>
            <w:vAlign w:val="center"/>
          </w:tcPr>
          <w:p w14:paraId="5147AAF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Counter (Horizontal)</w:t>
            </w:r>
          </w:p>
        </w:tc>
        <w:tc>
          <w:tcPr>
            <w:tcW w:w="1418" w:type="dxa"/>
            <w:vMerge/>
          </w:tcPr>
          <w:p w14:paraId="45763B77"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63D4227D"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5C3C0294"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053BDA8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46.5%</w:t>
            </w:r>
          </w:p>
        </w:tc>
      </w:tr>
      <w:tr w:rsidR="005636C7" w:rsidRPr="001073B6" w14:paraId="2D7822A7" w14:textId="77777777" w:rsidTr="005636C7">
        <w:trPr>
          <w:jc w:val="center"/>
        </w:trPr>
        <w:tc>
          <w:tcPr>
            <w:tcW w:w="2250" w:type="dxa"/>
            <w:vMerge/>
            <w:vAlign w:val="center"/>
          </w:tcPr>
          <w:p w14:paraId="7AEBBC29" w14:textId="77777777" w:rsidR="005636C7" w:rsidRPr="0041262C" w:rsidRDefault="005636C7" w:rsidP="005636C7">
            <w:pPr>
              <w:pStyle w:val="E3tabletext1"/>
              <w:jc w:val="both"/>
              <w:rPr>
                <w:rFonts w:ascii="Helvetica" w:hAnsi="Helvetica" w:cs="Helvetica"/>
                <w:sz w:val="15"/>
                <w:szCs w:val="15"/>
              </w:rPr>
            </w:pPr>
          </w:p>
        </w:tc>
        <w:tc>
          <w:tcPr>
            <w:tcW w:w="1276" w:type="dxa"/>
            <w:vMerge/>
            <w:vAlign w:val="center"/>
          </w:tcPr>
          <w:p w14:paraId="409E6F26" w14:textId="77777777" w:rsidR="005636C7" w:rsidRPr="0041262C" w:rsidRDefault="005636C7" w:rsidP="005636C7">
            <w:pPr>
              <w:pStyle w:val="E3tabletext1"/>
              <w:jc w:val="both"/>
              <w:rPr>
                <w:rFonts w:ascii="Helvetica" w:hAnsi="Helvetica" w:cs="Helvetica"/>
                <w:sz w:val="15"/>
                <w:szCs w:val="15"/>
              </w:rPr>
            </w:pPr>
          </w:p>
        </w:tc>
        <w:tc>
          <w:tcPr>
            <w:tcW w:w="1417" w:type="dxa"/>
            <w:vAlign w:val="center"/>
          </w:tcPr>
          <w:p w14:paraId="191AE13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Vertical</w:t>
            </w:r>
          </w:p>
        </w:tc>
        <w:tc>
          <w:tcPr>
            <w:tcW w:w="1418" w:type="dxa"/>
            <w:vMerge/>
          </w:tcPr>
          <w:p w14:paraId="373DED38"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5DC23DB5" w14:textId="77777777" w:rsidR="005636C7" w:rsidRPr="0041262C" w:rsidRDefault="005636C7" w:rsidP="005636C7">
            <w:pPr>
              <w:pStyle w:val="E3tabletext1"/>
              <w:jc w:val="both"/>
              <w:rPr>
                <w:rFonts w:ascii="Helvetica" w:hAnsi="Helvetica" w:cs="Helvetica"/>
                <w:sz w:val="15"/>
                <w:szCs w:val="15"/>
              </w:rPr>
            </w:pPr>
          </w:p>
        </w:tc>
        <w:tc>
          <w:tcPr>
            <w:tcW w:w="1134" w:type="dxa"/>
            <w:vMerge/>
          </w:tcPr>
          <w:p w14:paraId="7FC623B7" w14:textId="77777777" w:rsidR="005636C7" w:rsidRPr="0041262C" w:rsidRDefault="005636C7" w:rsidP="005636C7">
            <w:pPr>
              <w:pStyle w:val="E3tabletext1"/>
              <w:jc w:val="both"/>
              <w:rPr>
                <w:rFonts w:ascii="Helvetica" w:hAnsi="Helvetica" w:cs="Helvetica"/>
                <w:sz w:val="15"/>
                <w:szCs w:val="15"/>
              </w:rPr>
            </w:pPr>
          </w:p>
        </w:tc>
        <w:tc>
          <w:tcPr>
            <w:tcW w:w="1032" w:type="dxa"/>
            <w:vAlign w:val="center"/>
          </w:tcPr>
          <w:p w14:paraId="6F5510F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0.6%</w:t>
            </w:r>
          </w:p>
        </w:tc>
      </w:tr>
    </w:tbl>
    <w:p w14:paraId="74D63B8E" w14:textId="77777777" w:rsidR="005636C7" w:rsidRDefault="005636C7" w:rsidP="005636C7">
      <w:pPr>
        <w:pStyle w:val="E3Figuretitles"/>
        <w:jc w:val="both"/>
      </w:pPr>
    </w:p>
    <w:p w14:paraId="59B79D16" w14:textId="77777777" w:rsidR="005636C7" w:rsidRDefault="005636C7" w:rsidP="005636C7">
      <w:pPr>
        <w:spacing w:before="60"/>
        <w:jc w:val="both"/>
        <w:rPr>
          <w:b/>
          <w:sz w:val="18"/>
          <w:szCs w:val="18"/>
        </w:rPr>
      </w:pPr>
      <w:r w:rsidRPr="00934F3C">
        <w:rPr>
          <w:b/>
        </w:rPr>
        <w:t>Table 6</w:t>
      </w:r>
      <w:r>
        <w:t xml:space="preserve"> above </w:t>
      </w:r>
      <w:r w:rsidRPr="00105013">
        <w:t>shows a sales profile of grouped cabinet types, including a comparison of Australian and New Zealand registered</w:t>
      </w:r>
      <w:r>
        <w:t xml:space="preserve"> cabinets and s</w:t>
      </w:r>
      <w:r w:rsidRPr="00105013">
        <w:t>torage types</w:t>
      </w:r>
      <w:r>
        <w:t xml:space="preserve"> with</w:t>
      </w:r>
      <w:r w:rsidRPr="00105013">
        <w:t xml:space="preserve"> the European sales profile of broader categories (EC 2014b and EC 2012). Sales of integral display cabinets are slightly higher in the EU than </w:t>
      </w:r>
      <w:r>
        <w:t xml:space="preserve">in </w:t>
      </w:r>
      <w:r w:rsidRPr="00105013">
        <w:t>Australia</w:t>
      </w:r>
      <w:r>
        <w:t xml:space="preserve"> and </w:t>
      </w:r>
      <w:r w:rsidRPr="00105013">
        <w:t>New Zealand, and remote types are lower.</w:t>
      </w:r>
      <w:bookmarkStart w:id="164" w:name="_Ref449960664"/>
      <w:bookmarkStart w:id="165" w:name="_Toc449709073"/>
      <w:bookmarkStart w:id="166" w:name="_Toc494142480"/>
    </w:p>
    <w:p w14:paraId="74124169" w14:textId="77777777" w:rsidR="005636C7" w:rsidRDefault="005636C7" w:rsidP="005636C7">
      <w:pPr>
        <w:spacing w:before="60"/>
        <w:jc w:val="both"/>
        <w:rPr>
          <w:b/>
          <w:sz w:val="18"/>
          <w:szCs w:val="18"/>
        </w:rPr>
      </w:pPr>
    </w:p>
    <w:p w14:paraId="7B6452FA" w14:textId="77777777" w:rsidR="005636C7" w:rsidRDefault="005636C7" w:rsidP="005636C7">
      <w:pPr>
        <w:pStyle w:val="E3Figuretitles"/>
        <w:rPr>
          <w:bCs w:val="0"/>
          <w:sz w:val="18"/>
          <w:szCs w:val="18"/>
          <w:lang w:val="en-AU"/>
        </w:rPr>
      </w:pPr>
    </w:p>
    <w:p w14:paraId="52D02825" w14:textId="77777777" w:rsidR="005636C7" w:rsidRDefault="005636C7" w:rsidP="005636C7">
      <w:pPr>
        <w:pStyle w:val="E3Figuretitles"/>
        <w:rPr>
          <w:bCs w:val="0"/>
          <w:sz w:val="18"/>
          <w:szCs w:val="18"/>
          <w:lang w:val="en-AU"/>
        </w:rPr>
      </w:pPr>
    </w:p>
    <w:p w14:paraId="16A0FFDE" w14:textId="77777777" w:rsidR="005636C7" w:rsidRDefault="005636C7" w:rsidP="005636C7">
      <w:pPr>
        <w:pStyle w:val="E3Figuretitles"/>
        <w:rPr>
          <w:bCs w:val="0"/>
          <w:sz w:val="18"/>
          <w:szCs w:val="18"/>
          <w:lang w:val="en-AU"/>
        </w:rPr>
      </w:pPr>
    </w:p>
    <w:p w14:paraId="4342190D" w14:textId="77777777" w:rsidR="005F483B" w:rsidRDefault="005F483B">
      <w:pPr>
        <w:rPr>
          <w:rFonts w:ascii="Georgia" w:eastAsia="Cambria" w:hAnsi="Georgia"/>
          <w:b/>
          <w:bCs/>
          <w:sz w:val="20"/>
          <w:szCs w:val="20"/>
          <w:lang w:val="en-US" w:eastAsia="en-US"/>
        </w:rPr>
      </w:pPr>
      <w:r>
        <w:br w:type="page"/>
      </w:r>
    </w:p>
    <w:p w14:paraId="398494C2" w14:textId="5017FC97" w:rsidR="005636C7" w:rsidRPr="00781983" w:rsidRDefault="005636C7" w:rsidP="005636C7">
      <w:pPr>
        <w:pStyle w:val="E3Figuretitles"/>
        <w:rPr>
          <w:sz w:val="18"/>
          <w:szCs w:val="18"/>
          <w:lang w:val="en-AU"/>
        </w:rPr>
      </w:pPr>
      <w:r w:rsidRPr="00A929F6">
        <w:t xml:space="preserve">Figure </w:t>
      </w:r>
      <w:bookmarkEnd w:id="164"/>
      <w:r w:rsidRPr="00A929F6">
        <w:t>12: Sales profile for Australia and New Zealand in 2016, based on 15 groups of cabinet types.</w:t>
      </w:r>
      <w:bookmarkEnd w:id="165"/>
      <w:bookmarkEnd w:id="166"/>
    </w:p>
    <w:tbl>
      <w:tblPr>
        <w:tblW w:w="9100" w:type="dxa"/>
        <w:tblInd w:w="108" w:type="dxa"/>
        <w:tblBorders>
          <w:top w:val="single" w:sz="4" w:space="0" w:color="000000"/>
          <w:left w:val="single" w:sz="4" w:space="0" w:color="000000"/>
          <w:right w:val="single" w:sz="4" w:space="0" w:color="000000"/>
        </w:tblBorders>
        <w:tblLayout w:type="fixed"/>
        <w:tblLook w:val="00A0" w:firstRow="1" w:lastRow="0" w:firstColumn="1" w:lastColumn="0" w:noHBand="0" w:noVBand="0"/>
      </w:tblPr>
      <w:tblGrid>
        <w:gridCol w:w="9100"/>
      </w:tblGrid>
      <w:tr w:rsidR="005636C7" w:rsidRPr="00BD20BC" w14:paraId="24F7D04B" w14:textId="77777777" w:rsidTr="005636C7">
        <w:trPr>
          <w:trHeight w:val="5799"/>
        </w:trPr>
        <w:tc>
          <w:tcPr>
            <w:tcW w:w="9100" w:type="dxa"/>
            <w:tcBorders>
              <w:top w:val="single" w:sz="4" w:space="0" w:color="000000"/>
              <w:bottom w:val="single" w:sz="4" w:space="0" w:color="auto"/>
            </w:tcBorders>
            <w:vAlign w:val="center"/>
          </w:tcPr>
          <w:p w14:paraId="2E4B974A" w14:textId="77777777" w:rsidR="005636C7" w:rsidRPr="00BD20BC" w:rsidRDefault="005636C7" w:rsidP="005636C7">
            <w:pPr>
              <w:keepLines/>
              <w:spacing w:before="60"/>
              <w:jc w:val="both"/>
              <w:rPr>
                <w:sz w:val="16"/>
                <w:szCs w:val="16"/>
              </w:rPr>
            </w:pPr>
            <w:r>
              <w:rPr>
                <w:noProof/>
              </w:rPr>
              <w:drawing>
                <wp:inline distT="0" distB="0" distL="0" distR="0" wp14:anchorId="4DD6CC69" wp14:editId="446CB37B">
                  <wp:extent cx="5303520" cy="3896139"/>
                  <wp:effectExtent l="0" t="0" r="0" b="0"/>
                  <wp:docPr id="31" name="Chart 31" descr="Cabinet types can be broadly split into similar sub-sets, and then given the same performance level to pass, irrespective of whether they are open, closed, high or low temperature. This is a similar approach to that proposed in Europe. Beverage chillers make up nealy half all sales. " title="Sales profile of Australian and New Zealand cabinet types split into groupssplit of cabinet types into group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51FEA1FD" w14:textId="77777777" w:rsidR="005636C7" w:rsidRDefault="005636C7" w:rsidP="005636C7">
      <w:pPr>
        <w:pStyle w:val="E3Bullets"/>
        <w:rPr>
          <w:b/>
          <w:highlight w:val="yellow"/>
        </w:rPr>
      </w:pPr>
    </w:p>
    <w:p w14:paraId="30995176" w14:textId="77777777" w:rsidR="005636C7" w:rsidRDefault="005636C7" w:rsidP="005636C7">
      <w:pPr>
        <w:pStyle w:val="E3Heading4"/>
      </w:pPr>
    </w:p>
    <w:p w14:paraId="04D6DA96" w14:textId="77777777" w:rsidR="005636C7" w:rsidRPr="0041262C" w:rsidRDefault="005636C7" w:rsidP="005636C7">
      <w:pPr>
        <w:pStyle w:val="E3Heading4"/>
        <w:jc w:val="both"/>
      </w:pPr>
      <w:r w:rsidRPr="0041262C">
        <w:t>European Energy Efficiency Index calculation for MEPS</w:t>
      </w:r>
    </w:p>
    <w:p w14:paraId="418C613E" w14:textId="77777777" w:rsidR="005636C7" w:rsidRDefault="005636C7" w:rsidP="005636C7">
      <w:pPr>
        <w:pStyle w:val="E3BodyText"/>
        <w:jc w:val="both"/>
      </w:pPr>
      <w:r>
        <w:t xml:space="preserve">The proposed move to adopt international standards and test methods would involve adopting the European approach to testing and calculating energy efficiency for refrigerated commercial cabinets. </w:t>
      </w:r>
    </w:p>
    <w:p w14:paraId="417B5C91" w14:textId="77777777" w:rsidR="005636C7" w:rsidRPr="00066675" w:rsidRDefault="005636C7" w:rsidP="005636C7">
      <w:pPr>
        <w:pStyle w:val="E3BodyText"/>
        <w:jc w:val="both"/>
      </w:pPr>
      <w:r w:rsidRPr="00066675">
        <w:t xml:space="preserve">The European approach uses a simple Energy Efficiency Index (EEI) – a linear equation based on the tested efficiency of a cabinet, </w:t>
      </w:r>
      <w:r>
        <w:t>compared with the</w:t>
      </w:r>
      <w:r w:rsidRPr="00066675">
        <w:t xml:space="preserve"> Standard Annual Energy Consumption (SAEC). The EEI score shows how much more efficient a cabinet model is than its </w:t>
      </w:r>
      <w:r>
        <w:t>SAEC</w:t>
      </w:r>
      <w:r w:rsidRPr="00066675">
        <w:t>.</w:t>
      </w:r>
      <w:r w:rsidRPr="00066675">
        <w:rPr>
          <w:rStyle w:val="FootnoteReference"/>
        </w:rPr>
        <w:footnoteReference w:id="35"/>
      </w:r>
      <w:r w:rsidRPr="00066675">
        <w:t xml:space="preserve">  </w:t>
      </w:r>
    </w:p>
    <w:p w14:paraId="4B6C32E5" w14:textId="77777777" w:rsidR="00EF6371" w:rsidRDefault="00EF6371">
      <w:pPr>
        <w:rPr>
          <w:rFonts w:ascii="Georgia" w:eastAsia="Calibri" w:hAnsi="Georgia" w:cs="Georgia"/>
          <w:color w:val="000000"/>
          <w:szCs w:val="19"/>
          <w:lang w:val="en-US" w:eastAsia="en-US"/>
        </w:rPr>
      </w:pPr>
      <w:r>
        <w:br w:type="page"/>
      </w:r>
    </w:p>
    <w:p w14:paraId="349B06BC" w14:textId="1E695EF2" w:rsidR="005636C7" w:rsidRDefault="005636C7" w:rsidP="005636C7">
      <w:pPr>
        <w:pStyle w:val="E3BodyText"/>
        <w:jc w:val="both"/>
        <w:rPr>
          <w:lang w:val="en-NZ" w:eastAsia="en-NZ"/>
        </w:rPr>
      </w:pPr>
      <w:r w:rsidRPr="00066675">
        <w:t xml:space="preserve">The European Commission has specified </w:t>
      </w:r>
      <w:r>
        <w:t xml:space="preserve">minimum </w:t>
      </w:r>
      <w:r w:rsidRPr="00066675">
        <w:t>EEI</w:t>
      </w:r>
      <w:r>
        <w:t>’s</w:t>
      </w:r>
      <w:r w:rsidRPr="00066675">
        <w:t xml:space="preserve"> that must be achieved by specific years, for all cabinet types. These have been signaled well in advance by publicizing the simple index levels and dates when they will come into force. </w:t>
      </w:r>
      <w:r>
        <w:t>Table 7 overleaf shows</w:t>
      </w:r>
      <w:r w:rsidRPr="009E72D0">
        <w:rPr>
          <w:lang w:val="en-NZ" w:eastAsia="en-NZ"/>
        </w:rPr>
        <w:t xml:space="preserve"> </w:t>
      </w:r>
      <w:r>
        <w:rPr>
          <w:lang w:val="en-NZ" w:eastAsia="en-NZ"/>
        </w:rPr>
        <w:t xml:space="preserve">the MEPS </w:t>
      </w:r>
      <w:r w:rsidRPr="009E72D0">
        <w:rPr>
          <w:lang w:val="en-NZ" w:eastAsia="en-NZ"/>
        </w:rPr>
        <w:t>implementation dates in Europe.</w:t>
      </w:r>
      <w:r>
        <w:rPr>
          <w:lang w:val="en-NZ" w:eastAsia="en-NZ"/>
        </w:rPr>
        <w:t xml:space="preserve"> MEPS were introduced for storage cabinets from 1 July 2016.</w:t>
      </w:r>
    </w:p>
    <w:p w14:paraId="3A5E2EE4" w14:textId="77777777" w:rsidR="005636C7" w:rsidRDefault="005636C7" w:rsidP="005636C7">
      <w:pPr>
        <w:pStyle w:val="E3TableTitles"/>
      </w:pPr>
      <w:bookmarkStart w:id="167" w:name="_Toc500159657"/>
      <w:r w:rsidRPr="004C3E41">
        <w:t xml:space="preserve">Table </w:t>
      </w:r>
      <w:r w:rsidRPr="004C3E41">
        <w:fldChar w:fldCharType="begin"/>
      </w:r>
      <w:r w:rsidRPr="004C3E41">
        <w:instrText xml:space="preserve"> SEQ Table \* ARABIC </w:instrText>
      </w:r>
      <w:r w:rsidRPr="004C3E41">
        <w:fldChar w:fldCharType="separate"/>
      </w:r>
      <w:r w:rsidR="00AC6998">
        <w:rPr>
          <w:noProof/>
        </w:rPr>
        <w:t>7</w:t>
      </w:r>
      <w:r w:rsidRPr="004C3E41">
        <w:fldChar w:fldCharType="end"/>
      </w:r>
      <w:r w:rsidRPr="004C3E41">
        <w:t>: European introduction dates and MEPS for storage cabinets, and draft MEPS for display cabinets.</w:t>
      </w:r>
      <w:bookmarkEnd w:id="167"/>
      <w:r w:rsidRPr="004C3E41">
        <w:t xml:space="preserve"> </w:t>
      </w:r>
    </w:p>
    <w:tbl>
      <w:tblPr>
        <w:tblW w:w="9526" w:type="dxa"/>
        <w:tblInd w:w="103" w:type="dxa"/>
        <w:tblLook w:val="04A0" w:firstRow="1" w:lastRow="0" w:firstColumn="1" w:lastColumn="0" w:noHBand="0" w:noVBand="1"/>
      </w:tblPr>
      <w:tblGrid>
        <w:gridCol w:w="1923"/>
        <w:gridCol w:w="1540"/>
        <w:gridCol w:w="824"/>
        <w:gridCol w:w="2551"/>
        <w:gridCol w:w="1148"/>
        <w:gridCol w:w="1540"/>
      </w:tblGrid>
      <w:tr w:rsidR="005636C7" w:rsidRPr="009111B2" w14:paraId="1BAFA1F5" w14:textId="77777777" w:rsidTr="005636C7">
        <w:trPr>
          <w:trHeight w:val="315"/>
        </w:trPr>
        <w:tc>
          <w:tcPr>
            <w:tcW w:w="1923" w:type="dxa"/>
            <w:tcBorders>
              <w:top w:val="single" w:sz="4" w:space="0" w:color="auto"/>
              <w:left w:val="single" w:sz="4" w:space="0" w:color="auto"/>
              <w:bottom w:val="nil"/>
              <w:right w:val="single" w:sz="4" w:space="0" w:color="auto"/>
            </w:tcBorders>
            <w:shd w:val="clear" w:color="auto" w:fill="000000"/>
            <w:vAlign w:val="bottom"/>
            <w:hideMark/>
          </w:tcPr>
          <w:p w14:paraId="4A39BD70" w14:textId="77777777" w:rsidR="005636C7" w:rsidRPr="009111B2" w:rsidRDefault="005636C7" w:rsidP="005636C7">
            <w:pPr>
              <w:pStyle w:val="E3TableHeading"/>
              <w:jc w:val="center"/>
              <w:rPr>
                <w:color w:val="FFFFFF"/>
                <w:sz w:val="15"/>
                <w:szCs w:val="15"/>
                <w:lang w:val="en-NZ"/>
              </w:rPr>
            </w:pPr>
            <w:r w:rsidRPr="009111B2">
              <w:rPr>
                <w:color w:val="FFFFFF"/>
                <w:sz w:val="15"/>
                <w:szCs w:val="15"/>
                <w:lang w:val="en-NZ"/>
              </w:rPr>
              <w:t>Introduction date</w:t>
            </w:r>
          </w:p>
        </w:tc>
        <w:tc>
          <w:tcPr>
            <w:tcW w:w="2364" w:type="dxa"/>
            <w:gridSpan w:val="2"/>
            <w:tcBorders>
              <w:top w:val="nil"/>
              <w:left w:val="nil"/>
              <w:bottom w:val="nil"/>
              <w:right w:val="single" w:sz="4" w:space="0" w:color="auto"/>
            </w:tcBorders>
            <w:shd w:val="clear" w:color="auto" w:fill="000000"/>
            <w:vAlign w:val="center"/>
            <w:hideMark/>
          </w:tcPr>
          <w:p w14:paraId="24255F03" w14:textId="77777777" w:rsidR="005636C7" w:rsidRPr="009111B2" w:rsidRDefault="005636C7" w:rsidP="005636C7">
            <w:pPr>
              <w:spacing w:before="60" w:after="60"/>
              <w:jc w:val="center"/>
              <w:rPr>
                <w:rFonts w:ascii="Helvetica" w:hAnsi="Helvetica" w:cs="Helvetica"/>
                <w:b/>
                <w:color w:val="FFFFFF"/>
                <w:sz w:val="15"/>
                <w:szCs w:val="15"/>
                <w:lang w:val="en-NZ"/>
              </w:rPr>
            </w:pPr>
            <w:r w:rsidRPr="009111B2">
              <w:rPr>
                <w:rFonts w:ascii="Helvetica" w:hAnsi="Helvetica" w:cs="Helvetica"/>
                <w:b/>
                <w:color w:val="FFFFFF"/>
                <w:sz w:val="15"/>
                <w:szCs w:val="15"/>
                <w:lang w:val="en-NZ"/>
              </w:rPr>
              <w:t>Refrigerated storage cabinets</w:t>
            </w:r>
          </w:p>
        </w:tc>
        <w:tc>
          <w:tcPr>
            <w:tcW w:w="2551" w:type="dxa"/>
            <w:tcBorders>
              <w:top w:val="single" w:sz="4" w:space="0" w:color="auto"/>
              <w:left w:val="single" w:sz="4" w:space="0" w:color="auto"/>
              <w:bottom w:val="single" w:sz="4" w:space="0" w:color="auto"/>
              <w:right w:val="single" w:sz="4" w:space="0" w:color="auto"/>
            </w:tcBorders>
            <w:shd w:val="clear" w:color="auto" w:fill="000000"/>
          </w:tcPr>
          <w:p w14:paraId="48BAAA17"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Heavy Duty Cabinets</w:t>
            </w:r>
          </w:p>
        </w:tc>
        <w:tc>
          <w:tcPr>
            <w:tcW w:w="2688" w:type="dxa"/>
            <w:gridSpan w:val="2"/>
            <w:tcBorders>
              <w:top w:val="single" w:sz="4" w:space="0" w:color="auto"/>
              <w:left w:val="single" w:sz="4" w:space="0" w:color="auto"/>
              <w:bottom w:val="single" w:sz="4" w:space="0" w:color="auto"/>
              <w:right w:val="single" w:sz="4" w:space="0" w:color="000000"/>
            </w:tcBorders>
            <w:shd w:val="clear" w:color="auto" w:fill="000000"/>
            <w:noWrap/>
            <w:vAlign w:val="center"/>
            <w:hideMark/>
          </w:tcPr>
          <w:p w14:paraId="3C1C1071" w14:textId="77777777" w:rsidR="005636C7" w:rsidRPr="009111B2" w:rsidRDefault="005636C7" w:rsidP="005636C7">
            <w:pPr>
              <w:spacing w:before="60" w:after="60"/>
              <w:jc w:val="center"/>
              <w:rPr>
                <w:rFonts w:ascii="Helvetica" w:hAnsi="Helvetica" w:cs="Helvetica"/>
                <w:b/>
                <w:color w:val="FFFFFF"/>
                <w:sz w:val="15"/>
                <w:szCs w:val="15"/>
                <w:lang w:val="en-NZ"/>
              </w:rPr>
            </w:pPr>
            <w:r w:rsidRPr="009111B2">
              <w:rPr>
                <w:rFonts w:ascii="Helvetica" w:hAnsi="Helvetica" w:cs="Helvetica"/>
                <w:b/>
                <w:color w:val="FFFFFF"/>
                <w:sz w:val="15"/>
                <w:szCs w:val="15"/>
                <w:lang w:val="en-NZ"/>
              </w:rPr>
              <w:t>Refrigerated display cabinets</w:t>
            </w:r>
          </w:p>
        </w:tc>
      </w:tr>
      <w:tr w:rsidR="005636C7" w:rsidRPr="009111B2" w14:paraId="57750946" w14:textId="77777777" w:rsidTr="005636C7">
        <w:trPr>
          <w:trHeight w:val="315"/>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BE504DA"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July 2016</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F7F8A9"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115</w:t>
            </w:r>
          </w:p>
        </w:tc>
        <w:tc>
          <w:tcPr>
            <w:tcW w:w="2551" w:type="dxa"/>
            <w:vMerge w:val="restart"/>
            <w:tcBorders>
              <w:top w:val="nil"/>
              <w:left w:val="single" w:sz="4" w:space="0" w:color="auto"/>
              <w:right w:val="single" w:sz="4" w:space="0" w:color="auto"/>
            </w:tcBorders>
            <w:vAlign w:val="center"/>
          </w:tcPr>
          <w:p w14:paraId="530B4096"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rPr>
              <w:t>EEI &lt; 115</w:t>
            </w:r>
          </w:p>
        </w:tc>
        <w:tc>
          <w:tcPr>
            <w:tcW w:w="1148" w:type="dxa"/>
            <w:tcBorders>
              <w:top w:val="nil"/>
              <w:left w:val="single" w:sz="4" w:space="0" w:color="auto"/>
              <w:bottom w:val="nil"/>
              <w:right w:val="nil"/>
            </w:tcBorders>
            <w:shd w:val="clear" w:color="000000" w:fill="D9D9D9"/>
            <w:noWrap/>
            <w:vAlign w:val="bottom"/>
            <w:hideMark/>
          </w:tcPr>
          <w:p w14:paraId="71B9A87C"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7A818FC2"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428E408F"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3FF1AFC0" w14:textId="77777777" w:rsidR="005636C7" w:rsidRPr="009111B2" w:rsidRDefault="005636C7" w:rsidP="005636C7">
            <w:pPr>
              <w:spacing w:before="60" w:after="60"/>
              <w:rPr>
                <w:rFonts w:ascii="Helvetica"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35F0331D"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5AE5BB9F"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3A5BA5AB"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68EF61F7"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09428E8F"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4F8324"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2018*</w:t>
            </w:r>
          </w:p>
        </w:tc>
        <w:tc>
          <w:tcPr>
            <w:tcW w:w="1540" w:type="dxa"/>
            <w:tcBorders>
              <w:top w:val="nil"/>
              <w:left w:val="nil"/>
              <w:bottom w:val="nil"/>
              <w:right w:val="nil"/>
            </w:tcBorders>
            <w:shd w:val="clear" w:color="000000" w:fill="D9D9D9"/>
            <w:noWrap/>
            <w:vAlign w:val="bottom"/>
            <w:hideMark/>
          </w:tcPr>
          <w:p w14:paraId="1366EA13"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6E2EA740"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0ED345FA"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3047E2"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150</w:t>
            </w:r>
          </w:p>
        </w:tc>
      </w:tr>
      <w:tr w:rsidR="005636C7" w:rsidRPr="009111B2" w14:paraId="367AF9B9"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5963B52D" w14:textId="77777777" w:rsidR="005636C7" w:rsidRPr="009111B2" w:rsidRDefault="005636C7" w:rsidP="005636C7">
            <w:pPr>
              <w:spacing w:before="60" w:after="60"/>
              <w:rPr>
                <w:rFonts w:ascii="Helvetica" w:hAnsi="Helvetica" w:cs="Helvetica"/>
                <w:b/>
                <w:sz w:val="15"/>
                <w:szCs w:val="15"/>
                <w:lang w:val="en-NZ"/>
              </w:rPr>
            </w:pPr>
          </w:p>
        </w:tc>
        <w:tc>
          <w:tcPr>
            <w:tcW w:w="1540" w:type="dxa"/>
            <w:tcBorders>
              <w:top w:val="nil"/>
              <w:left w:val="nil"/>
              <w:bottom w:val="single" w:sz="4" w:space="0" w:color="auto"/>
              <w:right w:val="nil"/>
            </w:tcBorders>
            <w:shd w:val="clear" w:color="000000" w:fill="D9D9D9"/>
            <w:noWrap/>
            <w:vAlign w:val="bottom"/>
            <w:hideMark/>
          </w:tcPr>
          <w:p w14:paraId="612A6626"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single" w:sz="4" w:space="0" w:color="auto"/>
              <w:right w:val="single" w:sz="4" w:space="0" w:color="auto"/>
            </w:tcBorders>
            <w:shd w:val="clear" w:color="000000" w:fill="D9D9D9"/>
            <w:noWrap/>
            <w:vAlign w:val="bottom"/>
            <w:hideMark/>
          </w:tcPr>
          <w:p w14:paraId="329DA1BD"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tcPr>
          <w:p w14:paraId="645292A5"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4ED0AC9E"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2BDD9597"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CAFD42"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2018</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6298A7"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95</w:t>
            </w:r>
          </w:p>
        </w:tc>
        <w:tc>
          <w:tcPr>
            <w:tcW w:w="2551" w:type="dxa"/>
            <w:vMerge w:val="restart"/>
            <w:tcBorders>
              <w:top w:val="nil"/>
              <w:left w:val="single" w:sz="4" w:space="0" w:color="auto"/>
              <w:right w:val="single" w:sz="4" w:space="0" w:color="auto"/>
            </w:tcBorders>
          </w:tcPr>
          <w:p w14:paraId="65872A0A"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nil"/>
              <w:right w:val="nil"/>
            </w:tcBorders>
            <w:shd w:val="clear" w:color="000000" w:fill="D9D9D9"/>
            <w:noWrap/>
            <w:vAlign w:val="bottom"/>
            <w:hideMark/>
          </w:tcPr>
          <w:p w14:paraId="0D64A6A4"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69598F5B"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1FA16367"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6EC07B2C" w14:textId="77777777" w:rsidR="005636C7" w:rsidRPr="009111B2" w:rsidRDefault="005636C7" w:rsidP="005636C7">
            <w:pPr>
              <w:spacing w:before="60" w:after="60"/>
              <w:rPr>
                <w:rFonts w:ascii="Helvetica"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69424576"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2E6FB116"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0DE95E14"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4CCAEAE0"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6F915837"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6F1999"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2019*</w:t>
            </w:r>
          </w:p>
        </w:tc>
        <w:tc>
          <w:tcPr>
            <w:tcW w:w="1540" w:type="dxa"/>
            <w:tcBorders>
              <w:top w:val="nil"/>
              <w:left w:val="nil"/>
              <w:bottom w:val="nil"/>
              <w:right w:val="nil"/>
            </w:tcBorders>
            <w:shd w:val="clear" w:color="000000" w:fill="D9D9D9"/>
            <w:noWrap/>
            <w:vAlign w:val="bottom"/>
            <w:hideMark/>
          </w:tcPr>
          <w:p w14:paraId="7A35B861"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79EF4B1C"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6C216456"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8131820"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130</w:t>
            </w:r>
          </w:p>
        </w:tc>
      </w:tr>
      <w:tr w:rsidR="005636C7" w:rsidRPr="009111B2" w14:paraId="681C4E0D"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35F238F5" w14:textId="77777777" w:rsidR="005636C7" w:rsidRPr="009111B2" w:rsidRDefault="005636C7" w:rsidP="005636C7">
            <w:pPr>
              <w:spacing w:before="60" w:after="60"/>
              <w:rPr>
                <w:rFonts w:ascii="Helvetica" w:hAnsi="Helvetica" w:cs="Helvetica"/>
                <w:b/>
                <w:sz w:val="15"/>
                <w:szCs w:val="15"/>
                <w:lang w:val="en-NZ"/>
              </w:rPr>
            </w:pPr>
          </w:p>
        </w:tc>
        <w:tc>
          <w:tcPr>
            <w:tcW w:w="1540" w:type="dxa"/>
            <w:tcBorders>
              <w:top w:val="nil"/>
              <w:left w:val="nil"/>
              <w:bottom w:val="single" w:sz="4" w:space="0" w:color="auto"/>
              <w:right w:val="nil"/>
            </w:tcBorders>
            <w:shd w:val="clear" w:color="000000" w:fill="D9D9D9"/>
            <w:noWrap/>
            <w:vAlign w:val="bottom"/>
            <w:hideMark/>
          </w:tcPr>
          <w:p w14:paraId="287FD5F6"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single" w:sz="4" w:space="0" w:color="auto"/>
              <w:right w:val="single" w:sz="4" w:space="0" w:color="auto"/>
            </w:tcBorders>
            <w:shd w:val="clear" w:color="000000" w:fill="D9D9D9"/>
            <w:noWrap/>
            <w:vAlign w:val="bottom"/>
            <w:hideMark/>
          </w:tcPr>
          <w:p w14:paraId="4B4018BB"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tcPr>
          <w:p w14:paraId="75019A04"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597E94B8"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74D33608"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0EB488D"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July 2019</w:t>
            </w:r>
          </w:p>
        </w:tc>
        <w:tc>
          <w:tcPr>
            <w:tcW w:w="236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4B1E6A"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85</w:t>
            </w:r>
          </w:p>
        </w:tc>
        <w:tc>
          <w:tcPr>
            <w:tcW w:w="2551" w:type="dxa"/>
            <w:vMerge w:val="restart"/>
            <w:tcBorders>
              <w:top w:val="nil"/>
              <w:left w:val="single" w:sz="4" w:space="0" w:color="auto"/>
              <w:right w:val="single" w:sz="4" w:space="0" w:color="auto"/>
            </w:tcBorders>
          </w:tcPr>
          <w:p w14:paraId="45DAB681"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nil"/>
              <w:right w:val="nil"/>
            </w:tcBorders>
            <w:shd w:val="clear" w:color="000000" w:fill="D9D9D9"/>
            <w:noWrap/>
            <w:vAlign w:val="bottom"/>
            <w:hideMark/>
          </w:tcPr>
          <w:p w14:paraId="72983F36"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nil"/>
              <w:right w:val="single" w:sz="4" w:space="0" w:color="auto"/>
            </w:tcBorders>
            <w:shd w:val="clear" w:color="000000" w:fill="D9D9D9"/>
            <w:noWrap/>
            <w:vAlign w:val="bottom"/>
            <w:hideMark/>
          </w:tcPr>
          <w:p w14:paraId="55BDFE57"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35C550D9"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65CCB65B" w14:textId="77777777" w:rsidR="005636C7" w:rsidRPr="009111B2" w:rsidRDefault="005636C7" w:rsidP="005636C7">
            <w:pPr>
              <w:spacing w:before="60" w:after="60"/>
              <w:rPr>
                <w:rFonts w:ascii="Helvetica" w:hAnsi="Helvetica" w:cs="Helvetica"/>
                <w:b/>
                <w:sz w:val="15"/>
                <w:szCs w:val="15"/>
                <w:lang w:val="en-NZ"/>
              </w:rPr>
            </w:pPr>
          </w:p>
        </w:tc>
        <w:tc>
          <w:tcPr>
            <w:tcW w:w="2364" w:type="dxa"/>
            <w:gridSpan w:val="2"/>
            <w:vMerge/>
            <w:tcBorders>
              <w:top w:val="single" w:sz="4" w:space="0" w:color="auto"/>
              <w:left w:val="single" w:sz="4" w:space="0" w:color="auto"/>
              <w:bottom w:val="single" w:sz="4" w:space="0" w:color="000000"/>
              <w:right w:val="single" w:sz="4" w:space="0" w:color="auto"/>
            </w:tcBorders>
            <w:vAlign w:val="center"/>
            <w:hideMark/>
          </w:tcPr>
          <w:p w14:paraId="797CBF29"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tcBorders>
              <w:left w:val="single" w:sz="4" w:space="0" w:color="auto"/>
              <w:bottom w:val="single" w:sz="4" w:space="0" w:color="auto"/>
              <w:right w:val="single" w:sz="4" w:space="0" w:color="auto"/>
            </w:tcBorders>
            <w:shd w:val="clear" w:color="000000" w:fill="D9D9D9"/>
          </w:tcPr>
          <w:p w14:paraId="41BE7CA2" w14:textId="77777777" w:rsidR="005636C7" w:rsidRPr="009111B2" w:rsidRDefault="005636C7" w:rsidP="005636C7">
            <w:pPr>
              <w:spacing w:before="60" w:after="60"/>
              <w:jc w:val="center"/>
              <w:rPr>
                <w:rFonts w:ascii="Helvetica" w:hAnsi="Helvetica" w:cs="Helvetica"/>
                <w:b/>
                <w:sz w:val="15"/>
                <w:szCs w:val="15"/>
                <w:lang w:val="en-NZ"/>
              </w:rPr>
            </w:pPr>
          </w:p>
        </w:tc>
        <w:tc>
          <w:tcPr>
            <w:tcW w:w="1148" w:type="dxa"/>
            <w:tcBorders>
              <w:top w:val="nil"/>
              <w:left w:val="single" w:sz="4" w:space="0" w:color="auto"/>
              <w:bottom w:val="single" w:sz="4" w:space="0" w:color="auto"/>
              <w:right w:val="nil"/>
            </w:tcBorders>
            <w:shd w:val="clear" w:color="000000" w:fill="D9D9D9"/>
            <w:noWrap/>
            <w:vAlign w:val="bottom"/>
            <w:hideMark/>
          </w:tcPr>
          <w:p w14:paraId="43C02CB1" w14:textId="77777777" w:rsidR="005636C7" w:rsidRPr="009111B2" w:rsidRDefault="005636C7" w:rsidP="005636C7">
            <w:pPr>
              <w:spacing w:before="60" w:after="60"/>
              <w:jc w:val="center"/>
              <w:rPr>
                <w:rFonts w:ascii="Helvetica" w:hAnsi="Helvetica" w:cs="Helvetica"/>
                <w:b/>
                <w:sz w:val="15"/>
                <w:szCs w:val="15"/>
                <w:lang w:val="en-NZ"/>
              </w:rPr>
            </w:pPr>
          </w:p>
        </w:tc>
        <w:tc>
          <w:tcPr>
            <w:tcW w:w="1540" w:type="dxa"/>
            <w:tcBorders>
              <w:top w:val="nil"/>
              <w:left w:val="nil"/>
              <w:bottom w:val="single" w:sz="4" w:space="0" w:color="auto"/>
              <w:right w:val="single" w:sz="4" w:space="0" w:color="auto"/>
            </w:tcBorders>
            <w:shd w:val="clear" w:color="000000" w:fill="D9D9D9"/>
            <w:noWrap/>
            <w:vAlign w:val="bottom"/>
            <w:hideMark/>
          </w:tcPr>
          <w:p w14:paraId="3E7F53F9" w14:textId="77777777" w:rsidR="005636C7" w:rsidRPr="009111B2" w:rsidRDefault="005636C7" w:rsidP="005636C7">
            <w:pPr>
              <w:spacing w:before="60" w:after="60"/>
              <w:jc w:val="center"/>
              <w:rPr>
                <w:rFonts w:ascii="Helvetica" w:hAnsi="Helvetica" w:cs="Helvetica"/>
                <w:b/>
                <w:sz w:val="15"/>
                <w:szCs w:val="15"/>
                <w:lang w:val="en-NZ"/>
              </w:rPr>
            </w:pPr>
          </w:p>
        </w:tc>
      </w:tr>
      <w:tr w:rsidR="005636C7" w:rsidRPr="009111B2" w14:paraId="2B7187F2" w14:textId="77777777" w:rsidTr="005636C7">
        <w:trPr>
          <w:trHeight w:val="300"/>
        </w:trPr>
        <w:tc>
          <w:tcPr>
            <w:tcW w:w="192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BB630E" w14:textId="77777777" w:rsidR="005636C7" w:rsidRPr="009111B2" w:rsidRDefault="005636C7" w:rsidP="005636C7">
            <w:pPr>
              <w:spacing w:before="60" w:after="60"/>
              <w:rPr>
                <w:rFonts w:ascii="Helvetica" w:hAnsi="Helvetica" w:cs="Helvetica"/>
                <w:b/>
                <w:sz w:val="15"/>
                <w:szCs w:val="15"/>
                <w:lang w:val="en-NZ"/>
              </w:rPr>
            </w:pPr>
            <w:r w:rsidRPr="009111B2">
              <w:rPr>
                <w:rFonts w:ascii="Helvetica" w:hAnsi="Helvetica" w:cs="Helvetica"/>
                <w:b/>
                <w:sz w:val="15"/>
                <w:szCs w:val="15"/>
                <w:lang w:val="en-NZ"/>
              </w:rPr>
              <w:t>From 1 January 2021*</w:t>
            </w:r>
          </w:p>
        </w:tc>
        <w:tc>
          <w:tcPr>
            <w:tcW w:w="1540" w:type="dxa"/>
            <w:tcBorders>
              <w:top w:val="nil"/>
              <w:left w:val="nil"/>
              <w:bottom w:val="nil"/>
              <w:right w:val="nil"/>
            </w:tcBorders>
            <w:shd w:val="clear" w:color="000000" w:fill="D9D9D9"/>
            <w:noWrap/>
            <w:vAlign w:val="bottom"/>
            <w:hideMark/>
          </w:tcPr>
          <w:p w14:paraId="48D40234" w14:textId="77777777" w:rsidR="005636C7" w:rsidRPr="009111B2" w:rsidRDefault="005636C7" w:rsidP="005636C7">
            <w:pPr>
              <w:spacing w:before="60" w:after="60"/>
              <w:jc w:val="center"/>
              <w:rPr>
                <w:rFonts w:ascii="Helvetica" w:hAnsi="Helvetica" w:cs="Helvetica"/>
                <w:b/>
                <w:sz w:val="15"/>
                <w:szCs w:val="15"/>
                <w:lang w:val="en-NZ"/>
              </w:rPr>
            </w:pPr>
          </w:p>
        </w:tc>
        <w:tc>
          <w:tcPr>
            <w:tcW w:w="824" w:type="dxa"/>
            <w:tcBorders>
              <w:top w:val="nil"/>
              <w:left w:val="nil"/>
              <w:bottom w:val="nil"/>
              <w:right w:val="single" w:sz="4" w:space="0" w:color="auto"/>
            </w:tcBorders>
            <w:shd w:val="clear" w:color="000000" w:fill="D9D9D9"/>
            <w:noWrap/>
            <w:vAlign w:val="bottom"/>
            <w:hideMark/>
          </w:tcPr>
          <w:p w14:paraId="086550F2" w14:textId="77777777" w:rsidR="005636C7" w:rsidRPr="009111B2" w:rsidRDefault="005636C7" w:rsidP="005636C7">
            <w:pPr>
              <w:spacing w:before="60" w:after="60"/>
              <w:jc w:val="center"/>
              <w:rPr>
                <w:rFonts w:ascii="Helvetica" w:hAnsi="Helvetica" w:cs="Helvetica"/>
                <w:b/>
                <w:sz w:val="15"/>
                <w:szCs w:val="15"/>
                <w:lang w:val="en-NZ"/>
              </w:rPr>
            </w:pPr>
          </w:p>
        </w:tc>
        <w:tc>
          <w:tcPr>
            <w:tcW w:w="2551" w:type="dxa"/>
            <w:vMerge w:val="restart"/>
            <w:tcBorders>
              <w:top w:val="single" w:sz="4" w:space="0" w:color="auto"/>
              <w:left w:val="single" w:sz="4" w:space="0" w:color="auto"/>
              <w:bottom w:val="single" w:sz="4" w:space="0" w:color="auto"/>
              <w:right w:val="single" w:sz="4" w:space="0" w:color="auto"/>
            </w:tcBorders>
          </w:tcPr>
          <w:p w14:paraId="31DF1567" w14:textId="77777777" w:rsidR="005636C7" w:rsidRPr="009111B2" w:rsidRDefault="005636C7" w:rsidP="005636C7">
            <w:pPr>
              <w:spacing w:before="60" w:after="60"/>
              <w:jc w:val="center"/>
              <w:rPr>
                <w:rFonts w:ascii="Helvetica" w:hAnsi="Helvetica" w:cs="Helvetica"/>
                <w:b/>
                <w:sz w:val="15"/>
                <w:szCs w:val="15"/>
                <w:lang w:val="en-NZ"/>
              </w:rPr>
            </w:pPr>
          </w:p>
        </w:tc>
        <w:tc>
          <w:tcPr>
            <w:tcW w:w="26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644E0D1" w14:textId="77777777" w:rsidR="005636C7" w:rsidRPr="009111B2" w:rsidRDefault="005636C7" w:rsidP="005636C7">
            <w:pPr>
              <w:spacing w:before="60" w:after="60"/>
              <w:jc w:val="center"/>
              <w:rPr>
                <w:rFonts w:ascii="Helvetica" w:hAnsi="Helvetica" w:cs="Helvetica"/>
                <w:b/>
                <w:sz w:val="15"/>
                <w:szCs w:val="15"/>
                <w:lang w:val="en-NZ"/>
              </w:rPr>
            </w:pPr>
            <w:r w:rsidRPr="009111B2">
              <w:rPr>
                <w:rFonts w:ascii="Helvetica" w:hAnsi="Helvetica" w:cs="Helvetica"/>
                <w:b/>
                <w:sz w:val="15"/>
                <w:szCs w:val="15"/>
                <w:lang w:val="en-NZ"/>
              </w:rPr>
              <w:t>EEI &lt; 110</w:t>
            </w:r>
          </w:p>
        </w:tc>
      </w:tr>
      <w:tr w:rsidR="005636C7" w:rsidRPr="009111B2" w14:paraId="732AA682" w14:textId="77777777" w:rsidTr="005636C7">
        <w:trPr>
          <w:trHeight w:val="300"/>
        </w:trPr>
        <w:tc>
          <w:tcPr>
            <w:tcW w:w="1923" w:type="dxa"/>
            <w:vMerge/>
            <w:tcBorders>
              <w:top w:val="single" w:sz="4" w:space="0" w:color="auto"/>
              <w:left w:val="single" w:sz="4" w:space="0" w:color="auto"/>
              <w:bottom w:val="single" w:sz="4" w:space="0" w:color="000000"/>
              <w:right w:val="single" w:sz="4" w:space="0" w:color="000000"/>
            </w:tcBorders>
            <w:vAlign w:val="center"/>
            <w:hideMark/>
          </w:tcPr>
          <w:p w14:paraId="3D791679" w14:textId="77777777" w:rsidR="005636C7" w:rsidRPr="009111B2"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695FE557" w14:textId="77777777" w:rsidR="005636C7" w:rsidRPr="009111B2" w:rsidRDefault="005636C7" w:rsidP="005636C7">
            <w:pPr>
              <w:spacing w:before="60" w:after="60"/>
              <w:jc w:val="both"/>
              <w:rPr>
                <w:rFonts w:ascii="Helvetica" w:hAnsi="Helvetica" w:cs="Helvetica"/>
                <w:b/>
                <w:sz w:val="15"/>
                <w:szCs w:val="14"/>
                <w:lang w:val="en-NZ"/>
              </w:rPr>
            </w:pPr>
            <w:r w:rsidRPr="009111B2">
              <w:rPr>
                <w:rFonts w:ascii="Helvetica" w:hAnsi="Helvetica" w:cs="Helvetica"/>
                <w:b/>
                <w:sz w:val="15"/>
                <w:szCs w:val="14"/>
                <w:lang w:val="en-NZ"/>
              </w:rPr>
              <w:t> </w:t>
            </w:r>
          </w:p>
        </w:tc>
        <w:tc>
          <w:tcPr>
            <w:tcW w:w="824" w:type="dxa"/>
            <w:tcBorders>
              <w:top w:val="nil"/>
              <w:left w:val="nil"/>
              <w:bottom w:val="single" w:sz="4" w:space="0" w:color="auto"/>
              <w:right w:val="single" w:sz="4" w:space="0" w:color="auto"/>
            </w:tcBorders>
            <w:shd w:val="clear" w:color="000000" w:fill="D9D9D9"/>
            <w:noWrap/>
            <w:vAlign w:val="bottom"/>
            <w:hideMark/>
          </w:tcPr>
          <w:p w14:paraId="1EEE1C17" w14:textId="77777777" w:rsidR="005636C7" w:rsidRPr="009111B2" w:rsidRDefault="005636C7" w:rsidP="005636C7">
            <w:pPr>
              <w:spacing w:before="60" w:after="60"/>
              <w:jc w:val="both"/>
              <w:rPr>
                <w:rFonts w:ascii="Helvetica" w:hAnsi="Helvetica" w:cs="Helvetica"/>
                <w:b/>
                <w:sz w:val="15"/>
                <w:szCs w:val="14"/>
                <w:lang w:val="en-NZ"/>
              </w:rPr>
            </w:pPr>
            <w:r w:rsidRPr="009111B2">
              <w:rPr>
                <w:rFonts w:ascii="Helvetica" w:hAnsi="Helvetica" w:cs="Helvetica"/>
                <w:b/>
                <w:sz w:val="15"/>
                <w:szCs w:val="14"/>
                <w:lang w:val="en-NZ"/>
              </w:rPr>
              <w:t> </w:t>
            </w:r>
          </w:p>
        </w:tc>
        <w:tc>
          <w:tcPr>
            <w:tcW w:w="2551" w:type="dxa"/>
            <w:vMerge/>
            <w:tcBorders>
              <w:left w:val="single" w:sz="4" w:space="0" w:color="auto"/>
              <w:bottom w:val="single" w:sz="4" w:space="0" w:color="auto"/>
              <w:right w:val="single" w:sz="4" w:space="0" w:color="auto"/>
            </w:tcBorders>
          </w:tcPr>
          <w:p w14:paraId="2FB85DE5" w14:textId="77777777" w:rsidR="005636C7" w:rsidRPr="009111B2" w:rsidRDefault="005636C7" w:rsidP="005636C7">
            <w:pPr>
              <w:spacing w:before="60" w:after="60"/>
              <w:jc w:val="both"/>
              <w:rPr>
                <w:rFonts w:ascii="Helvetica" w:hAnsi="Helvetica" w:cs="Helvetica"/>
                <w:b/>
                <w:sz w:val="15"/>
                <w:szCs w:val="14"/>
                <w:lang w:val="en-NZ"/>
              </w:rPr>
            </w:pPr>
          </w:p>
        </w:tc>
        <w:tc>
          <w:tcPr>
            <w:tcW w:w="2688" w:type="dxa"/>
            <w:gridSpan w:val="2"/>
            <w:vMerge/>
            <w:tcBorders>
              <w:top w:val="nil"/>
              <w:left w:val="single" w:sz="4" w:space="0" w:color="auto"/>
              <w:bottom w:val="single" w:sz="4" w:space="0" w:color="auto"/>
              <w:right w:val="single" w:sz="4" w:space="0" w:color="auto"/>
            </w:tcBorders>
            <w:vAlign w:val="center"/>
            <w:hideMark/>
          </w:tcPr>
          <w:p w14:paraId="4EF6F53B" w14:textId="77777777" w:rsidR="005636C7" w:rsidRPr="009111B2" w:rsidRDefault="005636C7" w:rsidP="005636C7">
            <w:pPr>
              <w:spacing w:before="60" w:after="60"/>
              <w:jc w:val="both"/>
              <w:rPr>
                <w:rFonts w:ascii="Helvetica" w:hAnsi="Helvetica" w:cs="Helvetica"/>
                <w:b/>
                <w:sz w:val="15"/>
                <w:szCs w:val="14"/>
                <w:lang w:val="en-NZ"/>
              </w:rPr>
            </w:pPr>
          </w:p>
        </w:tc>
      </w:tr>
    </w:tbl>
    <w:p w14:paraId="4642AD68" w14:textId="77777777" w:rsidR="005636C7" w:rsidRDefault="005636C7" w:rsidP="005636C7">
      <w:pPr>
        <w:pStyle w:val="E3tabletext1"/>
        <w:jc w:val="left"/>
        <w:rPr>
          <w:lang w:val="en-NZ"/>
        </w:rPr>
      </w:pPr>
      <w:r>
        <w:rPr>
          <w:lang w:val="en-NZ"/>
        </w:rPr>
        <w:t xml:space="preserve">* </w:t>
      </w:r>
      <w:r w:rsidRPr="0041262C">
        <w:rPr>
          <w:sz w:val="16"/>
          <w:lang w:val="en-NZ"/>
        </w:rPr>
        <w:t>Dates for cabinets other than storage cabinets, and MEPS EEI levels – are indicative only. These were taken from the April 2016 EU documents and are not publically available for comment.</w:t>
      </w:r>
    </w:p>
    <w:p w14:paraId="07034314" w14:textId="77777777" w:rsidR="005636C7" w:rsidRDefault="005636C7" w:rsidP="005636C7">
      <w:pPr>
        <w:pStyle w:val="E3BodyText"/>
        <w:jc w:val="both"/>
      </w:pPr>
    </w:p>
    <w:p w14:paraId="23311701" w14:textId="77777777" w:rsidR="005636C7" w:rsidRDefault="005636C7" w:rsidP="005636C7">
      <w:pPr>
        <w:pStyle w:val="E3BodyText"/>
        <w:jc w:val="both"/>
      </w:pPr>
      <w:r w:rsidRPr="00066675">
        <w:t xml:space="preserve">See </w:t>
      </w:r>
      <w:r>
        <w:rPr>
          <w:b/>
        </w:rPr>
        <w:t>Attachment E</w:t>
      </w:r>
      <w:r w:rsidRPr="00066675">
        <w:rPr>
          <w:b/>
        </w:rPr>
        <w:t xml:space="preserve"> </w:t>
      </w:r>
      <w:r w:rsidRPr="00066675">
        <w:t xml:space="preserve">for more information about European test methods, the EEI and </w:t>
      </w:r>
      <w:r>
        <w:t xml:space="preserve">EC </w:t>
      </w:r>
      <w:r w:rsidRPr="00066675">
        <w:t>MEPS levels.</w:t>
      </w:r>
    </w:p>
    <w:p w14:paraId="2D4C58CE" w14:textId="77777777" w:rsidR="005636C7" w:rsidRPr="0041262C" w:rsidRDefault="005636C7" w:rsidP="005636C7">
      <w:pPr>
        <w:pStyle w:val="E3Heading4"/>
        <w:jc w:val="both"/>
        <w:rPr>
          <w:sz w:val="28"/>
        </w:rPr>
      </w:pPr>
      <w:r w:rsidRPr="0041262C">
        <w:t>Proposed EU efficiency levels under current Option 4 regulatory proposal</w:t>
      </w:r>
    </w:p>
    <w:p w14:paraId="64F7AFB3" w14:textId="77777777" w:rsidR="005636C7" w:rsidRDefault="005636C7" w:rsidP="005636C7">
      <w:pPr>
        <w:spacing w:before="240"/>
        <w:jc w:val="both"/>
      </w:pPr>
      <w:r>
        <w:t xml:space="preserve">It is proposed that EU EEI levels adopted from 1 December 2019 for both refrigerated storage cabinets and refrigerated display cabinets (if implemented by that date). </w:t>
      </w:r>
    </w:p>
    <w:p w14:paraId="0D1C5034" w14:textId="77777777" w:rsidR="005636C7" w:rsidRDefault="005636C7" w:rsidP="005636C7">
      <w:pPr>
        <w:pStyle w:val="E3BodyText"/>
        <w:jc w:val="both"/>
      </w:pPr>
      <w:r>
        <w:t xml:space="preserve">Refrigerated storage cabinet energy efficiency levels would align with the regulated EU 2018 levels (see </w:t>
      </w:r>
      <w:r w:rsidRPr="00FA4EC7">
        <w:rPr>
          <w:b/>
        </w:rPr>
        <w:t xml:space="preserve">Table </w:t>
      </w:r>
      <w:r>
        <w:rPr>
          <w:b/>
        </w:rPr>
        <w:t>8</w:t>
      </w:r>
      <w:r w:rsidRPr="00FA4EC7">
        <w:rPr>
          <w:b/>
        </w:rPr>
        <w:t>A</w:t>
      </w:r>
      <w:r w:rsidRPr="00090BF2">
        <w:t xml:space="preserve"> below</w:t>
      </w:r>
      <w:r>
        <w:t xml:space="preserve">), </w:t>
      </w:r>
      <w:r w:rsidRPr="00B4374E">
        <w:t>while the proposed refrigerated display cabinet energy efficiency levels are based on the proposed EU 2017 levels</w:t>
      </w:r>
      <w:r>
        <w:t xml:space="preserve"> (</w:t>
      </w:r>
      <w:r w:rsidRPr="003D5BD2">
        <w:rPr>
          <w:b/>
        </w:rPr>
        <w:t>Table 8B</w:t>
      </w:r>
      <w:r w:rsidRPr="000E0D90">
        <w:t>).</w:t>
      </w:r>
    </w:p>
    <w:p w14:paraId="123D9D21" w14:textId="77777777" w:rsidR="005636C7" w:rsidRDefault="005636C7" w:rsidP="005636C7">
      <w:pPr>
        <w:pStyle w:val="E3BodyText"/>
        <w:jc w:val="both"/>
      </w:pPr>
    </w:p>
    <w:p w14:paraId="60C1C457" w14:textId="77777777" w:rsidR="005636C7" w:rsidRDefault="005636C7" w:rsidP="005636C7">
      <w:pPr>
        <w:rPr>
          <w:rFonts w:cs="Georgia"/>
          <w:b/>
          <w:bCs/>
          <w:color w:val="000000"/>
          <w:sz w:val="21"/>
          <w:szCs w:val="19"/>
          <w:lang w:val="en-US"/>
        </w:rPr>
      </w:pPr>
      <w:r>
        <w:br w:type="page"/>
      </w:r>
    </w:p>
    <w:p w14:paraId="04963725" w14:textId="77777777" w:rsidR="005636C7" w:rsidRPr="00FA4EC7" w:rsidRDefault="005636C7" w:rsidP="005636C7">
      <w:pPr>
        <w:pStyle w:val="E3TableTitles"/>
        <w:jc w:val="both"/>
      </w:pPr>
      <w:bookmarkStart w:id="168" w:name="_Toc500159658"/>
      <w:r w:rsidRPr="00FA4EC7">
        <w:t xml:space="preserve">Table </w:t>
      </w:r>
      <w:r>
        <w:t>8</w:t>
      </w:r>
      <w:r w:rsidRPr="00FA4EC7">
        <w:t xml:space="preserve">A: </w:t>
      </w:r>
      <w:r>
        <w:t>Proposed “MEPS” implementation dates for refrigerated storage cabinets.</w:t>
      </w:r>
      <w:bookmarkEnd w:id="168"/>
    </w:p>
    <w:tbl>
      <w:tblPr>
        <w:tblW w:w="9418" w:type="dxa"/>
        <w:tblInd w:w="-10" w:type="dxa"/>
        <w:tblCellMar>
          <w:left w:w="0" w:type="dxa"/>
          <w:right w:w="0" w:type="dxa"/>
        </w:tblCellMar>
        <w:tblLook w:val="04A0" w:firstRow="1" w:lastRow="0" w:firstColumn="1" w:lastColumn="0" w:noHBand="0" w:noVBand="1"/>
      </w:tblPr>
      <w:tblGrid>
        <w:gridCol w:w="2172"/>
        <w:gridCol w:w="3407"/>
        <w:gridCol w:w="3823"/>
        <w:gridCol w:w="16"/>
      </w:tblGrid>
      <w:tr w:rsidR="005636C7" w14:paraId="4D7B4699" w14:textId="77777777" w:rsidTr="005636C7">
        <w:trPr>
          <w:trHeight w:val="459"/>
        </w:trPr>
        <w:tc>
          <w:tcPr>
            <w:tcW w:w="9402" w:type="dxa"/>
            <w:gridSpan w:val="3"/>
            <w:tcBorders>
              <w:top w:val="nil"/>
              <w:left w:val="single" w:sz="8" w:space="0" w:color="auto"/>
              <w:bottom w:val="nil"/>
              <w:right w:val="nil"/>
            </w:tcBorders>
            <w:shd w:val="clear" w:color="auto" w:fill="000000"/>
            <w:noWrap/>
            <w:tcMar>
              <w:top w:w="0" w:type="dxa"/>
              <w:left w:w="108" w:type="dxa"/>
              <w:bottom w:w="0" w:type="dxa"/>
              <w:right w:w="108" w:type="dxa"/>
            </w:tcMar>
            <w:vAlign w:val="center"/>
            <w:hideMark/>
          </w:tcPr>
          <w:p w14:paraId="11CE2B62" w14:textId="77777777" w:rsidR="005636C7" w:rsidRPr="0041262C" w:rsidRDefault="005636C7" w:rsidP="005636C7">
            <w:pPr>
              <w:jc w:val="both"/>
              <w:rPr>
                <w:rFonts w:ascii="Helvetica" w:eastAsiaTheme="minorHAnsi" w:hAnsi="Helvetica" w:cs="Helvetica"/>
                <w:color w:val="FFFFFF"/>
                <w:sz w:val="15"/>
                <w:szCs w:val="15"/>
                <w:lang w:val="en-NZ" w:eastAsia="en-NZ"/>
              </w:rPr>
            </w:pPr>
            <w:r w:rsidRPr="0041262C">
              <w:rPr>
                <w:rFonts w:ascii="Helvetica" w:hAnsi="Helvetica" w:cs="Helvetica"/>
                <w:color w:val="FFFFFF"/>
                <w:sz w:val="15"/>
                <w:szCs w:val="15"/>
                <w:lang w:eastAsia="en-NZ"/>
              </w:rPr>
              <w:t>Proposed EU energy efficiency level for refrigerated storage cabinets</w:t>
            </w:r>
          </w:p>
        </w:tc>
        <w:tc>
          <w:tcPr>
            <w:tcW w:w="0" w:type="auto"/>
            <w:vAlign w:val="center"/>
            <w:hideMark/>
          </w:tcPr>
          <w:p w14:paraId="2D631722" w14:textId="77777777" w:rsidR="005636C7" w:rsidRDefault="005636C7" w:rsidP="005636C7">
            <w:pPr>
              <w:jc w:val="both"/>
              <w:rPr>
                <w:color w:val="FFFFFF"/>
                <w:lang w:eastAsia="en-NZ"/>
              </w:rPr>
            </w:pPr>
          </w:p>
        </w:tc>
      </w:tr>
      <w:tr w:rsidR="005636C7" w14:paraId="42EB344F" w14:textId="77777777" w:rsidTr="005636C7">
        <w:trPr>
          <w:trHeight w:val="545"/>
        </w:trPr>
        <w:tc>
          <w:tcPr>
            <w:tcW w:w="2172" w:type="dxa"/>
            <w:tcBorders>
              <w:top w:val="single" w:sz="8" w:space="0" w:color="auto"/>
              <w:left w:val="single" w:sz="8" w:space="0" w:color="auto"/>
              <w:bottom w:val="single" w:sz="8" w:space="0" w:color="auto"/>
              <w:right w:val="single" w:sz="8" w:space="0" w:color="auto"/>
            </w:tcBorders>
            <w:shd w:val="clear" w:color="auto" w:fill="D7E4BC"/>
            <w:tcMar>
              <w:top w:w="0" w:type="dxa"/>
              <w:left w:w="108" w:type="dxa"/>
              <w:bottom w:w="0" w:type="dxa"/>
              <w:right w:w="108" w:type="dxa"/>
            </w:tcMar>
            <w:vAlign w:val="bottom"/>
            <w:hideMark/>
          </w:tcPr>
          <w:p w14:paraId="0D502DDB" w14:textId="77777777" w:rsidR="005636C7" w:rsidRPr="0041262C" w:rsidRDefault="005636C7" w:rsidP="005636C7">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Introduction</w:t>
            </w:r>
          </w:p>
        </w:tc>
        <w:tc>
          <w:tcPr>
            <w:tcW w:w="3407" w:type="dxa"/>
            <w:tcBorders>
              <w:top w:val="single" w:sz="8" w:space="0" w:color="auto"/>
              <w:left w:val="nil"/>
              <w:bottom w:val="single" w:sz="8" w:space="0" w:color="auto"/>
              <w:right w:val="single" w:sz="8" w:space="0" w:color="000000"/>
            </w:tcBorders>
            <w:shd w:val="clear" w:color="auto" w:fill="D7E4BC"/>
            <w:tcMar>
              <w:top w:w="0" w:type="dxa"/>
              <w:left w:w="108" w:type="dxa"/>
              <w:bottom w:w="0" w:type="dxa"/>
              <w:right w:w="108" w:type="dxa"/>
            </w:tcMar>
            <w:vAlign w:val="center"/>
            <w:hideMark/>
          </w:tcPr>
          <w:p w14:paraId="57FBEEF8"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Refrigerated storage cabinets</w:t>
            </w:r>
          </w:p>
          <w:p w14:paraId="770B73B6"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Light and Normal Duty</w:t>
            </w:r>
          </w:p>
        </w:tc>
        <w:tc>
          <w:tcPr>
            <w:tcW w:w="3823" w:type="dxa"/>
            <w:tcBorders>
              <w:top w:val="single" w:sz="8" w:space="0" w:color="auto"/>
              <w:left w:val="nil"/>
              <w:bottom w:val="single" w:sz="8" w:space="0" w:color="auto"/>
              <w:right w:val="single" w:sz="8" w:space="0" w:color="000000"/>
            </w:tcBorders>
            <w:shd w:val="clear" w:color="auto" w:fill="D7E4BC"/>
            <w:noWrap/>
            <w:tcMar>
              <w:top w:w="0" w:type="dxa"/>
              <w:left w:w="108" w:type="dxa"/>
              <w:bottom w:w="0" w:type="dxa"/>
              <w:right w:w="108" w:type="dxa"/>
            </w:tcMar>
            <w:vAlign w:val="center"/>
            <w:hideMark/>
          </w:tcPr>
          <w:p w14:paraId="0D63023C"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Heavy duty cabinets</w:t>
            </w:r>
          </w:p>
        </w:tc>
        <w:tc>
          <w:tcPr>
            <w:tcW w:w="0" w:type="auto"/>
            <w:vAlign w:val="center"/>
            <w:hideMark/>
          </w:tcPr>
          <w:p w14:paraId="2A5967AD" w14:textId="77777777" w:rsidR="005636C7" w:rsidRDefault="005636C7" w:rsidP="005636C7">
            <w:pPr>
              <w:jc w:val="both"/>
              <w:rPr>
                <w:color w:val="000000"/>
                <w:lang w:eastAsia="en-NZ"/>
              </w:rPr>
            </w:pPr>
          </w:p>
        </w:tc>
      </w:tr>
      <w:tr w:rsidR="005636C7" w14:paraId="65315AAA" w14:textId="77777777" w:rsidTr="005636C7">
        <w:trPr>
          <w:trHeight w:val="221"/>
        </w:trPr>
        <w:tc>
          <w:tcPr>
            <w:tcW w:w="2172"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4429A15" w14:textId="77777777" w:rsidR="005636C7" w:rsidRPr="0041262C" w:rsidRDefault="005636C7" w:rsidP="005636C7">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1 December 2019</w:t>
            </w:r>
          </w:p>
        </w:tc>
        <w:tc>
          <w:tcPr>
            <w:tcW w:w="3407" w:type="dxa"/>
            <w:vMerge w:val="restar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1A1DFA3D"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95</w:t>
            </w:r>
          </w:p>
        </w:tc>
        <w:tc>
          <w:tcPr>
            <w:tcW w:w="3823" w:type="dxa"/>
            <w:vMerge w:val="restart"/>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14:paraId="0B15AB23"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115</w:t>
            </w:r>
          </w:p>
        </w:tc>
        <w:tc>
          <w:tcPr>
            <w:tcW w:w="0" w:type="auto"/>
            <w:vAlign w:val="center"/>
            <w:hideMark/>
          </w:tcPr>
          <w:p w14:paraId="5953214D" w14:textId="77777777" w:rsidR="005636C7" w:rsidRDefault="005636C7" w:rsidP="005636C7">
            <w:pPr>
              <w:jc w:val="both"/>
              <w:rPr>
                <w:color w:val="000000"/>
                <w:lang w:eastAsia="en-NZ"/>
              </w:rPr>
            </w:pPr>
          </w:p>
        </w:tc>
      </w:tr>
      <w:tr w:rsidR="005636C7" w14:paraId="3BC9E73D" w14:textId="77777777" w:rsidTr="005636C7">
        <w:trPr>
          <w:trHeight w:val="259"/>
        </w:trPr>
        <w:tc>
          <w:tcPr>
            <w:tcW w:w="2172" w:type="dxa"/>
            <w:vMerge/>
            <w:tcBorders>
              <w:top w:val="nil"/>
              <w:left w:val="single" w:sz="8" w:space="0" w:color="auto"/>
              <w:bottom w:val="single" w:sz="8" w:space="0" w:color="000000"/>
              <w:right w:val="single" w:sz="8" w:space="0" w:color="auto"/>
            </w:tcBorders>
            <w:vAlign w:val="center"/>
            <w:hideMark/>
          </w:tcPr>
          <w:p w14:paraId="317027D7"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8" w:space="0" w:color="000000"/>
              <w:right w:val="single" w:sz="8" w:space="0" w:color="000000"/>
            </w:tcBorders>
            <w:vAlign w:val="center"/>
            <w:hideMark/>
          </w:tcPr>
          <w:p w14:paraId="36B53527"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8" w:space="0" w:color="000000"/>
              <w:right w:val="single" w:sz="8" w:space="0" w:color="000000"/>
            </w:tcBorders>
            <w:vAlign w:val="center"/>
            <w:hideMark/>
          </w:tcPr>
          <w:p w14:paraId="60C4EF09" w14:textId="77777777" w:rsidR="005636C7" w:rsidRDefault="005636C7" w:rsidP="005636C7">
            <w:pPr>
              <w:jc w:val="both"/>
              <w:rPr>
                <w:rFonts w:ascii="Calibri" w:eastAsiaTheme="minorHAnsi" w:hAnsi="Calibri"/>
                <w:color w:val="000000"/>
                <w:sz w:val="22"/>
                <w:szCs w:val="22"/>
                <w:lang w:eastAsia="en-NZ"/>
              </w:rPr>
            </w:pPr>
          </w:p>
        </w:tc>
        <w:tc>
          <w:tcPr>
            <w:tcW w:w="0" w:type="auto"/>
            <w:vAlign w:val="center"/>
            <w:hideMark/>
          </w:tcPr>
          <w:p w14:paraId="7E130C40" w14:textId="77777777" w:rsidR="005636C7" w:rsidRDefault="005636C7" w:rsidP="005636C7">
            <w:pPr>
              <w:jc w:val="both"/>
              <w:rPr>
                <w:sz w:val="20"/>
                <w:szCs w:val="20"/>
                <w:lang w:eastAsia="en-NZ"/>
              </w:rPr>
            </w:pPr>
          </w:p>
        </w:tc>
      </w:tr>
      <w:tr w:rsidR="005636C7" w14:paraId="59D6EDA5" w14:textId="77777777" w:rsidTr="005636C7">
        <w:trPr>
          <w:trHeight w:val="259"/>
        </w:trPr>
        <w:tc>
          <w:tcPr>
            <w:tcW w:w="2172" w:type="dxa"/>
            <w:vMerge/>
            <w:tcBorders>
              <w:top w:val="nil"/>
              <w:left w:val="single" w:sz="8" w:space="0" w:color="auto"/>
              <w:bottom w:val="single" w:sz="4" w:space="0" w:color="auto"/>
              <w:right w:val="single" w:sz="8" w:space="0" w:color="auto"/>
            </w:tcBorders>
            <w:vAlign w:val="center"/>
            <w:hideMark/>
          </w:tcPr>
          <w:p w14:paraId="4BB8EFE4"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4" w:space="0" w:color="auto"/>
              <w:right w:val="single" w:sz="8" w:space="0" w:color="000000"/>
            </w:tcBorders>
            <w:vAlign w:val="center"/>
            <w:hideMark/>
          </w:tcPr>
          <w:p w14:paraId="10D7EAC7" w14:textId="77777777" w:rsidR="005636C7" w:rsidRDefault="005636C7" w:rsidP="005636C7">
            <w:pPr>
              <w:jc w:val="both"/>
              <w:rPr>
                <w:rFonts w:ascii="Calibri" w:eastAsiaTheme="minorHAnsi" w:hAnsi="Calibri"/>
                <w:color w:val="000000"/>
                <w:sz w:val="22"/>
                <w:szCs w:val="22"/>
                <w:lang w:eastAsia="en-NZ"/>
              </w:rPr>
            </w:pPr>
          </w:p>
        </w:tc>
        <w:tc>
          <w:tcPr>
            <w:tcW w:w="0" w:type="auto"/>
            <w:vMerge/>
            <w:tcBorders>
              <w:top w:val="nil"/>
              <w:left w:val="nil"/>
              <w:bottom w:val="single" w:sz="4" w:space="0" w:color="auto"/>
              <w:right w:val="single" w:sz="8" w:space="0" w:color="000000"/>
            </w:tcBorders>
            <w:vAlign w:val="center"/>
            <w:hideMark/>
          </w:tcPr>
          <w:p w14:paraId="46568BD1" w14:textId="77777777" w:rsidR="005636C7" w:rsidRDefault="005636C7" w:rsidP="005636C7">
            <w:pPr>
              <w:jc w:val="both"/>
              <w:rPr>
                <w:rFonts w:ascii="Calibri" w:eastAsiaTheme="minorHAnsi" w:hAnsi="Calibri"/>
                <w:color w:val="000000"/>
                <w:sz w:val="22"/>
                <w:szCs w:val="22"/>
                <w:lang w:eastAsia="en-NZ"/>
              </w:rPr>
            </w:pPr>
          </w:p>
        </w:tc>
        <w:tc>
          <w:tcPr>
            <w:tcW w:w="0" w:type="auto"/>
            <w:tcBorders>
              <w:bottom w:val="single" w:sz="4" w:space="0" w:color="auto"/>
            </w:tcBorders>
            <w:vAlign w:val="center"/>
            <w:hideMark/>
          </w:tcPr>
          <w:p w14:paraId="013E9B42" w14:textId="77777777" w:rsidR="005636C7" w:rsidRDefault="005636C7" w:rsidP="005636C7">
            <w:pPr>
              <w:jc w:val="both"/>
              <w:rPr>
                <w:sz w:val="20"/>
                <w:szCs w:val="20"/>
                <w:lang w:eastAsia="en-NZ"/>
              </w:rPr>
            </w:pPr>
          </w:p>
        </w:tc>
      </w:tr>
    </w:tbl>
    <w:p w14:paraId="2567B566" w14:textId="77777777" w:rsidR="005636C7" w:rsidRPr="004C3E41" w:rsidRDefault="005636C7" w:rsidP="005636C7">
      <w:pPr>
        <w:pStyle w:val="E3TableTitles"/>
        <w:jc w:val="both"/>
      </w:pPr>
      <w:bookmarkStart w:id="169" w:name="_Toc500159659"/>
      <w:r w:rsidRPr="004C3E41">
        <w:t>Table 8B: Proposed revised “MEPS” implementation dates for refrigerated storage cabinets.</w:t>
      </w:r>
      <w:bookmarkEnd w:id="169"/>
    </w:p>
    <w:tbl>
      <w:tblPr>
        <w:tblW w:w="9680" w:type="dxa"/>
        <w:jc w:val="center"/>
        <w:tblCellMar>
          <w:left w:w="0" w:type="dxa"/>
          <w:right w:w="0" w:type="dxa"/>
        </w:tblCellMar>
        <w:tblLook w:val="04A0" w:firstRow="1" w:lastRow="0" w:firstColumn="1" w:lastColumn="0" w:noHBand="0" w:noVBand="1"/>
      </w:tblPr>
      <w:tblGrid>
        <w:gridCol w:w="5208"/>
        <w:gridCol w:w="4280"/>
        <w:gridCol w:w="192"/>
      </w:tblGrid>
      <w:tr w:rsidR="005636C7" w14:paraId="3C652C19" w14:textId="77777777" w:rsidTr="005636C7">
        <w:trPr>
          <w:trHeight w:val="455"/>
          <w:jc w:val="center"/>
        </w:trPr>
        <w:tc>
          <w:tcPr>
            <w:tcW w:w="9488" w:type="dxa"/>
            <w:gridSpan w:val="2"/>
            <w:tcBorders>
              <w:top w:val="nil"/>
              <w:left w:val="single" w:sz="8" w:space="0" w:color="auto"/>
              <w:bottom w:val="nil"/>
              <w:right w:val="nil"/>
            </w:tcBorders>
            <w:shd w:val="clear" w:color="auto" w:fill="000000"/>
            <w:noWrap/>
            <w:tcMar>
              <w:top w:w="0" w:type="dxa"/>
              <w:left w:w="108" w:type="dxa"/>
              <w:bottom w:w="0" w:type="dxa"/>
              <w:right w:w="108" w:type="dxa"/>
            </w:tcMar>
            <w:vAlign w:val="center"/>
            <w:hideMark/>
          </w:tcPr>
          <w:p w14:paraId="16A6E2EC" w14:textId="77777777" w:rsidR="005636C7" w:rsidRPr="0041262C" w:rsidRDefault="005636C7" w:rsidP="005636C7">
            <w:pPr>
              <w:jc w:val="both"/>
              <w:rPr>
                <w:rFonts w:ascii="Helvetica" w:hAnsi="Helvetica" w:cs="Helvetica"/>
                <w:color w:val="FFFFFF"/>
                <w:sz w:val="15"/>
                <w:szCs w:val="15"/>
                <w:lang w:eastAsia="en-NZ"/>
              </w:rPr>
            </w:pPr>
            <w:r w:rsidRPr="0041262C">
              <w:rPr>
                <w:rFonts w:ascii="Helvetica" w:hAnsi="Helvetica" w:cs="Helvetica"/>
                <w:color w:val="FFFFFF"/>
                <w:sz w:val="15"/>
                <w:szCs w:val="15"/>
                <w:lang w:eastAsia="en-NZ"/>
              </w:rPr>
              <w:t>Proposed EU energy efficiency level for refrigerated display cabinets</w:t>
            </w:r>
          </w:p>
        </w:tc>
        <w:tc>
          <w:tcPr>
            <w:tcW w:w="192" w:type="dxa"/>
            <w:vAlign w:val="center"/>
            <w:hideMark/>
          </w:tcPr>
          <w:p w14:paraId="1B5C3B8C" w14:textId="77777777" w:rsidR="005636C7" w:rsidRDefault="005636C7" w:rsidP="005636C7">
            <w:pPr>
              <w:jc w:val="both"/>
              <w:rPr>
                <w:color w:val="FFFFFF"/>
                <w:lang w:eastAsia="en-NZ"/>
              </w:rPr>
            </w:pPr>
          </w:p>
        </w:tc>
      </w:tr>
      <w:tr w:rsidR="005636C7" w14:paraId="1D34979A" w14:textId="77777777" w:rsidTr="005636C7">
        <w:trPr>
          <w:trHeight w:val="653"/>
          <w:jc w:val="center"/>
        </w:trPr>
        <w:tc>
          <w:tcPr>
            <w:tcW w:w="5208" w:type="dxa"/>
            <w:tcBorders>
              <w:top w:val="single" w:sz="8" w:space="0" w:color="auto"/>
              <w:left w:val="single" w:sz="8" w:space="0" w:color="auto"/>
              <w:bottom w:val="single" w:sz="8" w:space="0" w:color="auto"/>
              <w:right w:val="single" w:sz="8" w:space="0" w:color="auto"/>
            </w:tcBorders>
            <w:shd w:val="clear" w:color="auto" w:fill="D7E4BC"/>
            <w:tcMar>
              <w:top w:w="0" w:type="dxa"/>
              <w:left w:w="108" w:type="dxa"/>
              <w:bottom w:w="0" w:type="dxa"/>
              <w:right w:w="108" w:type="dxa"/>
            </w:tcMar>
            <w:vAlign w:val="center"/>
            <w:hideMark/>
          </w:tcPr>
          <w:p w14:paraId="10598471" w14:textId="77777777" w:rsidR="005636C7" w:rsidRPr="0041262C" w:rsidRDefault="005636C7" w:rsidP="005636C7">
            <w:pPr>
              <w:jc w:val="both"/>
              <w:rPr>
                <w:rFonts w:ascii="Helvetica" w:eastAsiaTheme="minorHAnsi" w:hAnsi="Helvetica" w:cs="Helvetica"/>
                <w:color w:val="000000"/>
                <w:sz w:val="15"/>
                <w:szCs w:val="15"/>
                <w:lang w:eastAsia="en-NZ"/>
              </w:rPr>
            </w:pPr>
            <w:r w:rsidRPr="0041262C">
              <w:rPr>
                <w:rFonts w:ascii="Helvetica" w:hAnsi="Helvetica" w:cs="Helvetica"/>
                <w:color w:val="000000"/>
                <w:sz w:val="15"/>
                <w:szCs w:val="15"/>
                <w:lang w:eastAsia="en-NZ"/>
              </w:rPr>
              <w:t>Introduction</w:t>
            </w:r>
          </w:p>
        </w:tc>
        <w:tc>
          <w:tcPr>
            <w:tcW w:w="4280" w:type="dxa"/>
            <w:tcBorders>
              <w:top w:val="single" w:sz="8" w:space="0" w:color="auto"/>
              <w:left w:val="nil"/>
              <w:bottom w:val="single" w:sz="8" w:space="0" w:color="auto"/>
              <w:right w:val="single" w:sz="8" w:space="0" w:color="auto"/>
            </w:tcBorders>
            <w:shd w:val="clear" w:color="auto" w:fill="D7E4BC"/>
            <w:noWrap/>
            <w:tcMar>
              <w:top w:w="0" w:type="dxa"/>
              <w:left w:w="108" w:type="dxa"/>
              <w:bottom w:w="0" w:type="dxa"/>
              <w:right w:w="108" w:type="dxa"/>
            </w:tcMar>
            <w:vAlign w:val="center"/>
            <w:hideMark/>
          </w:tcPr>
          <w:p w14:paraId="553A8FDB"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Specific refrigerated display cabinets</w:t>
            </w:r>
          </w:p>
        </w:tc>
        <w:tc>
          <w:tcPr>
            <w:tcW w:w="192" w:type="dxa"/>
            <w:vAlign w:val="center"/>
            <w:hideMark/>
          </w:tcPr>
          <w:p w14:paraId="42ADB63A" w14:textId="77777777" w:rsidR="005636C7" w:rsidRDefault="005636C7" w:rsidP="005636C7">
            <w:pPr>
              <w:jc w:val="both"/>
              <w:rPr>
                <w:color w:val="000000"/>
                <w:lang w:eastAsia="en-NZ"/>
              </w:rPr>
            </w:pPr>
          </w:p>
        </w:tc>
      </w:tr>
      <w:tr w:rsidR="005636C7" w14:paraId="16C59DAF" w14:textId="77777777" w:rsidTr="005636C7">
        <w:trPr>
          <w:trHeight w:val="281"/>
          <w:jc w:val="center"/>
        </w:trPr>
        <w:tc>
          <w:tcPr>
            <w:tcW w:w="5208" w:type="dxa"/>
            <w:vMerge w:val="restart"/>
            <w:tcBorders>
              <w:top w:val="single" w:sz="8" w:space="0" w:color="auto"/>
              <w:left w:val="single" w:sz="8" w:space="0" w:color="auto"/>
              <w:bottom w:val="single" w:sz="8" w:space="0" w:color="auto"/>
              <w:right w:val="single" w:sz="6" w:space="0" w:color="auto"/>
            </w:tcBorders>
            <w:shd w:val="clear" w:color="auto" w:fill="FFFFFF" w:themeFill="background1"/>
            <w:tcMar>
              <w:top w:w="0" w:type="dxa"/>
              <w:left w:w="108" w:type="dxa"/>
              <w:bottom w:w="0" w:type="dxa"/>
              <w:right w:w="108" w:type="dxa"/>
            </w:tcMar>
            <w:vAlign w:val="center"/>
            <w:hideMark/>
          </w:tcPr>
          <w:p w14:paraId="05A8C232"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From 1 December 2019</w:t>
            </w:r>
          </w:p>
        </w:tc>
        <w:tc>
          <w:tcPr>
            <w:tcW w:w="4280" w:type="dxa"/>
            <w:vMerge w:val="restart"/>
            <w:tcBorders>
              <w:top w:val="single" w:sz="8" w:space="0" w:color="auto"/>
              <w:left w:val="single" w:sz="6"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14:paraId="362EA413" w14:textId="77777777" w:rsidR="005636C7" w:rsidRPr="0041262C" w:rsidRDefault="005636C7" w:rsidP="005636C7">
            <w:pPr>
              <w:jc w:val="both"/>
              <w:rPr>
                <w:rFonts w:ascii="Helvetica" w:hAnsi="Helvetica" w:cs="Helvetica"/>
                <w:color w:val="000000"/>
                <w:sz w:val="15"/>
                <w:szCs w:val="15"/>
                <w:lang w:eastAsia="en-NZ"/>
              </w:rPr>
            </w:pPr>
            <w:r w:rsidRPr="0041262C">
              <w:rPr>
                <w:rFonts w:ascii="Helvetica" w:hAnsi="Helvetica" w:cs="Helvetica"/>
                <w:color w:val="000000"/>
                <w:sz w:val="15"/>
                <w:szCs w:val="15"/>
                <w:lang w:eastAsia="en-NZ"/>
              </w:rPr>
              <w:t>EEI &lt; 130</w:t>
            </w:r>
          </w:p>
        </w:tc>
        <w:tc>
          <w:tcPr>
            <w:tcW w:w="192" w:type="dxa"/>
            <w:tcBorders>
              <w:left w:val="single" w:sz="8" w:space="0" w:color="auto"/>
            </w:tcBorders>
            <w:vAlign w:val="center"/>
            <w:hideMark/>
          </w:tcPr>
          <w:p w14:paraId="36593150" w14:textId="77777777" w:rsidR="005636C7" w:rsidRDefault="005636C7" w:rsidP="005636C7">
            <w:pPr>
              <w:jc w:val="both"/>
              <w:rPr>
                <w:color w:val="000000"/>
                <w:lang w:eastAsia="en-NZ"/>
              </w:rPr>
            </w:pPr>
          </w:p>
        </w:tc>
      </w:tr>
      <w:tr w:rsidR="005636C7" w14:paraId="2EDB3BAA" w14:textId="77777777" w:rsidTr="005636C7">
        <w:trPr>
          <w:trHeight w:val="267"/>
          <w:jc w:val="center"/>
        </w:trPr>
        <w:tc>
          <w:tcPr>
            <w:tcW w:w="5208" w:type="dxa"/>
            <w:vMerge/>
            <w:tcBorders>
              <w:top w:val="single" w:sz="6" w:space="0" w:color="auto"/>
              <w:left w:val="single" w:sz="8" w:space="0" w:color="auto"/>
              <w:bottom w:val="single" w:sz="8" w:space="0" w:color="auto"/>
              <w:right w:val="single" w:sz="6" w:space="0" w:color="auto"/>
            </w:tcBorders>
            <w:shd w:val="clear" w:color="auto" w:fill="FFFFFF" w:themeFill="background1"/>
            <w:vAlign w:val="center"/>
            <w:hideMark/>
          </w:tcPr>
          <w:p w14:paraId="363F1153" w14:textId="77777777" w:rsidR="005636C7" w:rsidRDefault="005636C7" w:rsidP="005636C7">
            <w:pPr>
              <w:jc w:val="both"/>
              <w:rPr>
                <w:rFonts w:ascii="Calibri" w:eastAsiaTheme="minorHAnsi" w:hAnsi="Calibri"/>
                <w:color w:val="000000"/>
                <w:sz w:val="22"/>
                <w:szCs w:val="22"/>
                <w:lang w:eastAsia="en-NZ"/>
              </w:rPr>
            </w:pPr>
          </w:p>
        </w:tc>
        <w:tc>
          <w:tcPr>
            <w:tcW w:w="4280" w:type="dxa"/>
            <w:vMerge/>
            <w:tcBorders>
              <w:top w:val="single" w:sz="6" w:space="0" w:color="auto"/>
              <w:left w:val="single" w:sz="6" w:space="0" w:color="auto"/>
              <w:bottom w:val="single" w:sz="8" w:space="0" w:color="auto"/>
              <w:right w:val="single" w:sz="8" w:space="0" w:color="auto"/>
            </w:tcBorders>
            <w:shd w:val="clear" w:color="auto" w:fill="FFFFFF" w:themeFill="background1"/>
            <w:vAlign w:val="center"/>
            <w:hideMark/>
          </w:tcPr>
          <w:p w14:paraId="2C887352" w14:textId="77777777" w:rsidR="005636C7" w:rsidRDefault="005636C7" w:rsidP="005636C7">
            <w:pPr>
              <w:jc w:val="both"/>
              <w:rPr>
                <w:rFonts w:ascii="Calibri" w:eastAsiaTheme="minorHAnsi" w:hAnsi="Calibri"/>
                <w:color w:val="000000"/>
                <w:sz w:val="22"/>
                <w:szCs w:val="22"/>
                <w:lang w:eastAsia="en-NZ"/>
              </w:rPr>
            </w:pPr>
          </w:p>
        </w:tc>
        <w:tc>
          <w:tcPr>
            <w:tcW w:w="192" w:type="dxa"/>
            <w:tcBorders>
              <w:left w:val="single" w:sz="8" w:space="0" w:color="auto"/>
            </w:tcBorders>
            <w:vAlign w:val="center"/>
            <w:hideMark/>
          </w:tcPr>
          <w:p w14:paraId="09BCE649" w14:textId="77777777" w:rsidR="005636C7" w:rsidRDefault="005636C7" w:rsidP="005636C7">
            <w:pPr>
              <w:jc w:val="both"/>
              <w:rPr>
                <w:sz w:val="20"/>
                <w:szCs w:val="20"/>
                <w:lang w:eastAsia="en-NZ"/>
              </w:rPr>
            </w:pPr>
          </w:p>
        </w:tc>
      </w:tr>
      <w:tr w:rsidR="005636C7" w14:paraId="10D23F7C" w14:textId="77777777" w:rsidTr="005636C7">
        <w:trPr>
          <w:trHeight w:val="267"/>
          <w:jc w:val="center"/>
        </w:trPr>
        <w:tc>
          <w:tcPr>
            <w:tcW w:w="5208" w:type="dxa"/>
            <w:vMerge/>
            <w:tcBorders>
              <w:top w:val="single" w:sz="6" w:space="0" w:color="auto"/>
              <w:left w:val="single" w:sz="8" w:space="0" w:color="auto"/>
              <w:bottom w:val="single" w:sz="8" w:space="0" w:color="auto"/>
              <w:right w:val="single" w:sz="6" w:space="0" w:color="auto"/>
            </w:tcBorders>
            <w:shd w:val="clear" w:color="auto" w:fill="FFFFFF" w:themeFill="background1"/>
            <w:vAlign w:val="center"/>
            <w:hideMark/>
          </w:tcPr>
          <w:p w14:paraId="2B8CA4A1" w14:textId="77777777" w:rsidR="005636C7" w:rsidRDefault="005636C7" w:rsidP="005636C7">
            <w:pPr>
              <w:jc w:val="both"/>
              <w:rPr>
                <w:rFonts w:ascii="Calibri" w:eastAsiaTheme="minorHAnsi" w:hAnsi="Calibri"/>
                <w:color w:val="000000"/>
                <w:sz w:val="22"/>
                <w:szCs w:val="22"/>
                <w:lang w:eastAsia="en-NZ"/>
              </w:rPr>
            </w:pPr>
          </w:p>
        </w:tc>
        <w:tc>
          <w:tcPr>
            <w:tcW w:w="4280" w:type="dxa"/>
            <w:vMerge/>
            <w:tcBorders>
              <w:top w:val="single" w:sz="6" w:space="0" w:color="auto"/>
              <w:left w:val="single" w:sz="6" w:space="0" w:color="auto"/>
              <w:bottom w:val="single" w:sz="8" w:space="0" w:color="auto"/>
              <w:right w:val="single" w:sz="8" w:space="0" w:color="auto"/>
            </w:tcBorders>
            <w:shd w:val="clear" w:color="auto" w:fill="FFFFFF" w:themeFill="background1"/>
            <w:vAlign w:val="center"/>
            <w:hideMark/>
          </w:tcPr>
          <w:p w14:paraId="4D946CFC" w14:textId="77777777" w:rsidR="005636C7" w:rsidRDefault="005636C7" w:rsidP="005636C7">
            <w:pPr>
              <w:jc w:val="both"/>
              <w:rPr>
                <w:rFonts w:ascii="Calibri" w:eastAsiaTheme="minorHAnsi" w:hAnsi="Calibri"/>
                <w:color w:val="000000"/>
                <w:sz w:val="22"/>
                <w:szCs w:val="22"/>
                <w:lang w:eastAsia="en-NZ"/>
              </w:rPr>
            </w:pPr>
          </w:p>
        </w:tc>
        <w:tc>
          <w:tcPr>
            <w:tcW w:w="192" w:type="dxa"/>
            <w:tcBorders>
              <w:left w:val="single" w:sz="8" w:space="0" w:color="auto"/>
            </w:tcBorders>
            <w:vAlign w:val="center"/>
            <w:hideMark/>
          </w:tcPr>
          <w:p w14:paraId="5225D7BD" w14:textId="77777777" w:rsidR="005636C7" w:rsidRDefault="005636C7" w:rsidP="005636C7">
            <w:pPr>
              <w:jc w:val="both"/>
              <w:rPr>
                <w:sz w:val="20"/>
                <w:szCs w:val="20"/>
                <w:lang w:eastAsia="en-NZ"/>
              </w:rPr>
            </w:pPr>
          </w:p>
        </w:tc>
      </w:tr>
    </w:tbl>
    <w:p w14:paraId="6CDA3902" w14:textId="77777777" w:rsidR="005636C7" w:rsidRPr="0041262C" w:rsidRDefault="005636C7" w:rsidP="005636C7">
      <w:pPr>
        <w:pStyle w:val="E3Heading2"/>
        <w:spacing w:before="240" w:after="240"/>
        <w:jc w:val="both"/>
      </w:pPr>
      <w:bookmarkStart w:id="170" w:name="_Toc500151801"/>
      <w:r w:rsidRPr="0041262C">
        <w:t>Energy efficiency labelling</w:t>
      </w:r>
      <w:bookmarkEnd w:id="170"/>
    </w:p>
    <w:p w14:paraId="0AC9EE14" w14:textId="77777777" w:rsidR="005636C7" w:rsidRPr="002E2FF4" w:rsidRDefault="005636C7" w:rsidP="005636C7">
      <w:pPr>
        <w:pStyle w:val="E3Heading4"/>
        <w:jc w:val="both"/>
        <w:rPr>
          <w:lang w:val="en-NZ" w:eastAsia="en-NZ"/>
        </w:rPr>
      </w:pPr>
      <w:r w:rsidRPr="002E2FF4">
        <w:t>European Efficiency grades</w:t>
      </w:r>
    </w:p>
    <w:p w14:paraId="7FBF1B8D" w14:textId="77777777" w:rsidR="005636C7" w:rsidRDefault="005636C7" w:rsidP="005636C7">
      <w:pPr>
        <w:pStyle w:val="E3BodyText"/>
        <w:jc w:val="both"/>
        <w:rPr>
          <w:lang w:val="en-NZ"/>
        </w:rPr>
      </w:pPr>
      <w:r w:rsidRPr="009E72D0">
        <w:rPr>
          <w:lang w:val="en-NZ" w:eastAsia="en-NZ"/>
        </w:rPr>
        <w:t xml:space="preserve">The </w:t>
      </w:r>
      <w:r w:rsidRPr="00066675">
        <w:t>European Commission</w:t>
      </w:r>
      <w:r w:rsidRPr="009E72D0">
        <w:rPr>
          <w:lang w:val="en-NZ" w:eastAsia="en-NZ"/>
        </w:rPr>
        <w:t xml:space="preserve"> has also devised a series of efficiency grades (A – G or similar)</w:t>
      </w:r>
      <w:r>
        <w:rPr>
          <w:lang w:val="en-NZ" w:eastAsia="en-NZ"/>
        </w:rPr>
        <w:t>. T</w:t>
      </w:r>
      <w:r w:rsidRPr="009E72D0">
        <w:rPr>
          <w:lang w:val="en-NZ" w:eastAsia="en-NZ"/>
        </w:rPr>
        <w:t xml:space="preserve">he mandatory labelling scheme which obligates suppliers to label on their products and literature depicting the efficiency grade of the product and other relevant efficiency details. </w:t>
      </w:r>
      <w:r w:rsidRPr="0009059E">
        <w:rPr>
          <w:b/>
          <w:lang w:val="en-NZ" w:eastAsia="en-NZ"/>
        </w:rPr>
        <w:t xml:space="preserve"> </w:t>
      </w:r>
    </w:p>
    <w:p w14:paraId="6190E974" w14:textId="77777777" w:rsidR="005636C7" w:rsidRDefault="005636C7" w:rsidP="005636C7">
      <w:pPr>
        <w:pStyle w:val="E3BodyText"/>
        <w:jc w:val="both"/>
        <w:rPr>
          <w:lang w:eastAsia="en-NZ"/>
        </w:rPr>
      </w:pPr>
      <w:r w:rsidRPr="009E72D0">
        <w:rPr>
          <w:lang w:val="en-NZ" w:eastAsia="en-NZ"/>
        </w:rPr>
        <w:t>Group A is the highest efficiency grade, where they achieve a score that means their energy use is 70% better than the Standard Annual Energy Consumption</w:t>
      </w:r>
      <w:r>
        <w:rPr>
          <w:lang w:val="en-NZ" w:eastAsia="en-NZ"/>
        </w:rPr>
        <w:t>. T</w:t>
      </w:r>
      <w:r w:rsidRPr="009E72D0">
        <w:rPr>
          <w:lang w:val="en-NZ" w:eastAsia="en-NZ"/>
        </w:rPr>
        <w:t xml:space="preserve">he labelling grades </w:t>
      </w:r>
      <w:r>
        <w:rPr>
          <w:lang w:val="en-NZ" w:eastAsia="en-NZ"/>
        </w:rPr>
        <w:t xml:space="preserve">for refrigerated display cabinets shown in </w:t>
      </w:r>
      <w:r>
        <w:rPr>
          <w:b/>
        </w:rPr>
        <w:t>T</w:t>
      </w:r>
      <w:r w:rsidRPr="00B83064">
        <w:rPr>
          <w:b/>
        </w:rPr>
        <w:t xml:space="preserve">able </w:t>
      </w:r>
      <w:r>
        <w:rPr>
          <w:b/>
        </w:rPr>
        <w:t>9</w:t>
      </w:r>
      <w:r>
        <w:rPr>
          <w:lang w:val="en-NZ" w:eastAsia="en-NZ"/>
        </w:rPr>
        <w:t xml:space="preserve"> below, </w:t>
      </w:r>
      <w:r w:rsidRPr="009E72D0">
        <w:rPr>
          <w:lang w:val="en-NZ" w:eastAsia="en-NZ"/>
        </w:rPr>
        <w:t>are still subject to industry-government discussion in Europe, so</w:t>
      </w:r>
      <w:r>
        <w:rPr>
          <w:lang w:val="en-NZ" w:eastAsia="en-NZ"/>
        </w:rPr>
        <w:t xml:space="preserve"> are</w:t>
      </w:r>
      <w:r w:rsidRPr="009E72D0">
        <w:rPr>
          <w:lang w:val="en-NZ" w:eastAsia="en-NZ"/>
        </w:rPr>
        <w:t xml:space="preserve"> likely to change.</w:t>
      </w:r>
      <w:r>
        <w:rPr>
          <w:lang w:val="en-NZ" w:eastAsia="en-NZ"/>
        </w:rPr>
        <w:t xml:space="preserve"> </w:t>
      </w:r>
      <w:r w:rsidRPr="00851D62">
        <w:rPr>
          <w:b/>
        </w:rPr>
        <w:t>Table 1</w:t>
      </w:r>
      <w:r>
        <w:rPr>
          <w:b/>
        </w:rPr>
        <w:t>0</w:t>
      </w:r>
      <w:r>
        <w:rPr>
          <w:lang w:val="en-NZ" w:eastAsia="en-NZ"/>
        </w:rPr>
        <w:t xml:space="preserve"> shows the </w:t>
      </w:r>
      <w:r>
        <w:rPr>
          <w:lang w:eastAsia="en-NZ"/>
        </w:rPr>
        <w:t>Energy efficiency classes</w:t>
      </w:r>
      <w:r w:rsidRPr="00B525A5">
        <w:rPr>
          <w:lang w:eastAsia="en-NZ"/>
        </w:rPr>
        <w:t xml:space="preserve"> for </w:t>
      </w:r>
      <w:r>
        <w:rPr>
          <w:lang w:eastAsia="en-NZ"/>
        </w:rPr>
        <w:t>labelling of s</w:t>
      </w:r>
      <w:r w:rsidRPr="00B525A5">
        <w:rPr>
          <w:lang w:eastAsia="en-NZ"/>
        </w:rPr>
        <w:t>torage cabinets</w:t>
      </w:r>
      <w:r>
        <w:rPr>
          <w:lang w:eastAsia="en-NZ"/>
        </w:rPr>
        <w:t xml:space="preserve">. </w:t>
      </w:r>
    </w:p>
    <w:p w14:paraId="0F590373" w14:textId="77777777" w:rsidR="005636C7" w:rsidRPr="00114031" w:rsidRDefault="005636C7" w:rsidP="005636C7">
      <w:pPr>
        <w:pStyle w:val="E3TableTitles"/>
        <w:rPr>
          <w:lang w:eastAsia="en-NZ"/>
        </w:rPr>
      </w:pPr>
      <w:bookmarkStart w:id="171" w:name="_Ref449962892"/>
      <w:bookmarkStart w:id="172" w:name="_Toc449708963"/>
      <w:bookmarkStart w:id="173" w:name="_Toc449968527"/>
      <w:bookmarkStart w:id="174" w:name="_Toc494142458"/>
      <w:bookmarkStart w:id="175" w:name="_Toc500159660"/>
      <w:r w:rsidRPr="004C3E41">
        <w:t xml:space="preserve">Table </w:t>
      </w:r>
      <w:bookmarkEnd w:id="171"/>
      <w:r w:rsidRPr="004C3E41">
        <w:t>9: Proposed efficiency grades for refrigerated display cabinets</w:t>
      </w:r>
      <w:r>
        <w:rPr>
          <w:lang w:eastAsia="en-NZ"/>
        </w:rPr>
        <w:t>.</w:t>
      </w:r>
      <w:bookmarkEnd w:id="172"/>
      <w:bookmarkEnd w:id="173"/>
      <w:bookmarkEnd w:id="174"/>
      <w:bookmarkEnd w:id="175"/>
    </w:p>
    <w:tbl>
      <w:tblPr>
        <w:tblW w:w="9356" w:type="dxa"/>
        <w:tblLook w:val="04A0" w:firstRow="1" w:lastRow="0" w:firstColumn="1" w:lastColumn="0" w:noHBand="0" w:noVBand="1"/>
      </w:tblPr>
      <w:tblGrid>
        <w:gridCol w:w="1708"/>
        <w:gridCol w:w="2036"/>
        <w:gridCol w:w="1908"/>
        <w:gridCol w:w="2036"/>
        <w:gridCol w:w="1668"/>
      </w:tblGrid>
      <w:tr w:rsidR="005636C7" w:rsidRPr="00114031" w14:paraId="71FD37F4" w14:textId="77777777" w:rsidTr="005636C7">
        <w:trPr>
          <w:trHeight w:val="459"/>
        </w:trPr>
        <w:tc>
          <w:tcPr>
            <w:tcW w:w="1708" w:type="dxa"/>
            <w:tcBorders>
              <w:top w:val="single" w:sz="4" w:space="0" w:color="FFFFFF" w:themeColor="background1"/>
              <w:bottom w:val="single" w:sz="4" w:space="0" w:color="FFFFFF" w:themeColor="background1"/>
            </w:tcBorders>
            <w:shd w:val="clear" w:color="auto" w:fill="000000" w:themeFill="text1"/>
            <w:vAlign w:val="center"/>
            <w:hideMark/>
          </w:tcPr>
          <w:p w14:paraId="64E6135D" w14:textId="77777777" w:rsidR="005636C7" w:rsidRPr="00114031" w:rsidRDefault="005636C7" w:rsidP="005636C7">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6981C6A7" w14:textId="77777777" w:rsidR="005636C7" w:rsidRPr="00114031" w:rsidRDefault="005636C7" w:rsidP="005636C7">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14:paraId="32AED5C7" w14:textId="77777777" w:rsidR="005636C7" w:rsidRPr="00114031" w:rsidRDefault="005636C7" w:rsidP="005636C7">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784BF65A" w14:textId="77777777" w:rsidR="005636C7" w:rsidRPr="00114031" w:rsidRDefault="005636C7" w:rsidP="005636C7">
            <w:pPr>
              <w:pStyle w:val="E3TableHeading"/>
              <w:jc w:val="both"/>
              <w:rPr>
                <w:lang w:val="en-NZ"/>
              </w:rPr>
            </w:pPr>
            <w:r w:rsidRPr="00114031">
              <w:rPr>
                <w:lang w:val="en-NZ"/>
              </w:rPr>
              <w:t>Small Ice-cream freezers</w:t>
            </w:r>
          </w:p>
        </w:tc>
        <w:tc>
          <w:tcPr>
            <w:tcW w:w="1668" w:type="dxa"/>
            <w:tcBorders>
              <w:top w:val="single" w:sz="4" w:space="0" w:color="FFFFFF" w:themeColor="background1"/>
              <w:bottom w:val="single" w:sz="4" w:space="0" w:color="FFFFFF" w:themeColor="background1"/>
            </w:tcBorders>
            <w:shd w:val="clear" w:color="auto" w:fill="000000" w:themeFill="text1"/>
            <w:vAlign w:val="center"/>
            <w:hideMark/>
          </w:tcPr>
          <w:p w14:paraId="1536CA57" w14:textId="77777777" w:rsidR="005636C7" w:rsidRPr="00114031" w:rsidRDefault="005636C7" w:rsidP="005636C7">
            <w:pPr>
              <w:pStyle w:val="E3TableHeading"/>
              <w:jc w:val="both"/>
              <w:rPr>
                <w:lang w:val="en-NZ"/>
              </w:rPr>
            </w:pPr>
            <w:r>
              <w:rPr>
                <w:lang w:val="en-NZ"/>
              </w:rPr>
              <w:t xml:space="preserve">Gelato </w:t>
            </w:r>
            <w:r w:rsidRPr="00114031">
              <w:rPr>
                <w:lang w:val="en-NZ"/>
              </w:rPr>
              <w:t>scoop</w:t>
            </w:r>
            <w:r>
              <w:rPr>
                <w:lang w:val="en-NZ"/>
              </w:rPr>
              <w:t>ing</w:t>
            </w:r>
            <w:r w:rsidRPr="00114031">
              <w:rPr>
                <w:lang w:val="en-NZ"/>
              </w:rPr>
              <w:t xml:space="preserve"> </w:t>
            </w:r>
            <w:r>
              <w:rPr>
                <w:lang w:val="en-NZ"/>
              </w:rPr>
              <w:t>c</w:t>
            </w:r>
            <w:r w:rsidRPr="00114031">
              <w:rPr>
                <w:lang w:val="en-NZ"/>
              </w:rPr>
              <w:t>abinets</w:t>
            </w:r>
          </w:p>
        </w:tc>
      </w:tr>
      <w:tr w:rsidR="005636C7" w:rsidRPr="00114031" w14:paraId="04E00351" w14:textId="77777777" w:rsidTr="005636C7">
        <w:trPr>
          <w:trHeight w:val="300"/>
        </w:trPr>
        <w:tc>
          <w:tcPr>
            <w:tcW w:w="1708"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1A588F5E" w14:textId="77777777" w:rsidR="005636C7" w:rsidRPr="00114031" w:rsidRDefault="005636C7" w:rsidP="005636C7">
            <w:pPr>
              <w:pStyle w:val="E3tabletext1"/>
              <w:jc w:val="both"/>
              <w:rPr>
                <w:lang w:val="en-NZ"/>
              </w:rPr>
            </w:pPr>
            <w:r w:rsidRPr="00114031">
              <w:rPr>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5280C936" w14:textId="77777777" w:rsidR="005636C7" w:rsidRPr="00114031" w:rsidRDefault="005636C7" w:rsidP="005636C7">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31B40212" w14:textId="77777777" w:rsidR="005636C7" w:rsidRPr="00114031" w:rsidRDefault="005636C7" w:rsidP="005636C7">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61C04421" w14:textId="77777777" w:rsidR="005636C7" w:rsidRPr="00114031" w:rsidRDefault="005636C7" w:rsidP="005636C7">
            <w:pPr>
              <w:pStyle w:val="E3tabletext1"/>
              <w:jc w:val="both"/>
              <w:rPr>
                <w:lang w:val="en-NZ"/>
              </w:rPr>
            </w:pPr>
            <w:r w:rsidRPr="00114031">
              <w:rPr>
                <w:lang w:val="en-NZ"/>
              </w:rPr>
              <w:t>EEI &lt; 40</w:t>
            </w:r>
          </w:p>
        </w:tc>
        <w:tc>
          <w:tcPr>
            <w:tcW w:w="166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28028CCB" w14:textId="77777777" w:rsidR="005636C7" w:rsidRPr="00114031" w:rsidRDefault="005636C7" w:rsidP="005636C7">
            <w:pPr>
              <w:pStyle w:val="E3tabletext1"/>
              <w:jc w:val="both"/>
              <w:rPr>
                <w:lang w:val="en-NZ"/>
              </w:rPr>
            </w:pPr>
            <w:r w:rsidRPr="00114031">
              <w:rPr>
                <w:lang w:val="en-NZ"/>
              </w:rPr>
              <w:t>EEI &lt; 40</w:t>
            </w:r>
          </w:p>
        </w:tc>
      </w:tr>
      <w:tr w:rsidR="005636C7" w:rsidRPr="00114031" w14:paraId="7F2EF17D" w14:textId="77777777" w:rsidTr="005636C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20EBFD6A" w14:textId="77777777" w:rsidR="005636C7" w:rsidRPr="00114031" w:rsidRDefault="005636C7" w:rsidP="005636C7">
            <w:pPr>
              <w:pStyle w:val="E3tabletext1"/>
              <w:jc w:val="both"/>
              <w:rPr>
                <w:lang w:val="en-NZ"/>
              </w:rPr>
            </w:pPr>
            <w:r w:rsidRPr="00114031">
              <w:rPr>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14:paraId="18658DD2"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14:paraId="0AFE819E"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14:paraId="60BF3315"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1668" w:type="dxa"/>
            <w:tcBorders>
              <w:top w:val="nil"/>
              <w:left w:val="nil"/>
              <w:bottom w:val="single" w:sz="4" w:space="0" w:color="auto"/>
              <w:right w:val="single" w:sz="4" w:space="0" w:color="auto"/>
            </w:tcBorders>
            <w:shd w:val="clear" w:color="auto" w:fill="auto"/>
            <w:noWrap/>
            <w:vAlign w:val="bottom"/>
            <w:hideMark/>
          </w:tcPr>
          <w:p w14:paraId="22179EAC"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5636C7" w:rsidRPr="00114031" w14:paraId="6DB13F31" w14:textId="77777777" w:rsidTr="005636C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46F353C7" w14:textId="77777777" w:rsidR="005636C7" w:rsidRPr="00114031" w:rsidRDefault="005636C7" w:rsidP="005636C7">
            <w:pPr>
              <w:pStyle w:val="E3tabletext1"/>
              <w:jc w:val="both"/>
              <w:rPr>
                <w:lang w:val="en-NZ"/>
              </w:rPr>
            </w:pPr>
            <w:r w:rsidRPr="00114031">
              <w:rPr>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14:paraId="7FE1CD6F"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14:paraId="14931ADB"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14:paraId="6A79FD07" w14:textId="77777777" w:rsidR="005636C7" w:rsidRPr="00114031" w:rsidRDefault="005636C7" w:rsidP="005636C7">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1668" w:type="dxa"/>
            <w:tcBorders>
              <w:top w:val="nil"/>
              <w:left w:val="nil"/>
              <w:bottom w:val="single" w:sz="4" w:space="0" w:color="auto"/>
              <w:right w:val="single" w:sz="4" w:space="0" w:color="auto"/>
            </w:tcBorders>
            <w:shd w:val="clear" w:color="auto" w:fill="auto"/>
            <w:noWrap/>
            <w:vAlign w:val="bottom"/>
            <w:hideMark/>
          </w:tcPr>
          <w:p w14:paraId="64ECDB98" w14:textId="77777777" w:rsidR="005636C7" w:rsidRPr="00114031" w:rsidRDefault="005636C7" w:rsidP="005636C7">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5636C7" w:rsidRPr="00114031" w14:paraId="3FE45CB1" w14:textId="77777777" w:rsidTr="005636C7">
        <w:trPr>
          <w:trHeight w:val="300"/>
        </w:trPr>
        <w:tc>
          <w:tcPr>
            <w:tcW w:w="1708" w:type="dxa"/>
            <w:tcBorders>
              <w:top w:val="nil"/>
              <w:left w:val="single" w:sz="4" w:space="0" w:color="auto"/>
              <w:bottom w:val="single" w:sz="4" w:space="0" w:color="auto"/>
              <w:right w:val="single" w:sz="4" w:space="0" w:color="auto"/>
            </w:tcBorders>
            <w:shd w:val="clear" w:color="auto" w:fill="auto"/>
            <w:noWrap/>
            <w:vAlign w:val="bottom"/>
            <w:hideMark/>
          </w:tcPr>
          <w:p w14:paraId="43D226FF" w14:textId="77777777" w:rsidR="005636C7" w:rsidRPr="00114031" w:rsidRDefault="005636C7" w:rsidP="005636C7">
            <w:pPr>
              <w:pStyle w:val="E3tabletext1"/>
              <w:jc w:val="both"/>
              <w:rPr>
                <w:lang w:val="en-NZ"/>
              </w:rPr>
            </w:pPr>
            <w:r w:rsidRPr="00114031">
              <w:rPr>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14:paraId="702EE990"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14:paraId="52C32CDA"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249C84A2" w14:textId="77777777" w:rsidR="005636C7" w:rsidRPr="00114031" w:rsidRDefault="005636C7" w:rsidP="005636C7">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1668" w:type="dxa"/>
            <w:tcBorders>
              <w:top w:val="nil"/>
              <w:left w:val="nil"/>
              <w:bottom w:val="single" w:sz="4" w:space="0" w:color="auto"/>
              <w:right w:val="single" w:sz="4" w:space="0" w:color="auto"/>
            </w:tcBorders>
            <w:shd w:val="clear" w:color="auto" w:fill="auto"/>
            <w:noWrap/>
            <w:vAlign w:val="bottom"/>
            <w:hideMark/>
          </w:tcPr>
          <w:p w14:paraId="239901BC"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5636C7" w:rsidRPr="00114031" w14:paraId="05E39962" w14:textId="77777777" w:rsidTr="005636C7">
        <w:trPr>
          <w:trHeight w:val="300"/>
        </w:trPr>
        <w:tc>
          <w:tcPr>
            <w:tcW w:w="1708" w:type="dxa"/>
            <w:tcBorders>
              <w:top w:val="nil"/>
              <w:left w:val="single" w:sz="4" w:space="0" w:color="auto"/>
              <w:bottom w:val="single" w:sz="4" w:space="0" w:color="auto"/>
              <w:right w:val="single" w:sz="4" w:space="0" w:color="auto"/>
            </w:tcBorders>
            <w:shd w:val="clear" w:color="000000" w:fill="D8D8D8"/>
            <w:noWrap/>
            <w:vAlign w:val="bottom"/>
            <w:hideMark/>
          </w:tcPr>
          <w:p w14:paraId="36C4D282" w14:textId="77777777" w:rsidR="005636C7" w:rsidRPr="00114031" w:rsidRDefault="005636C7" w:rsidP="005636C7">
            <w:pPr>
              <w:pStyle w:val="E3tabletext1"/>
              <w:jc w:val="both"/>
              <w:rPr>
                <w:lang w:val="en-NZ"/>
              </w:rPr>
            </w:pPr>
            <w:r w:rsidRPr="00114031">
              <w:rPr>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14:paraId="37CCA7C2"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14:paraId="414C91D9"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3183F98A"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1668" w:type="dxa"/>
            <w:tcBorders>
              <w:top w:val="nil"/>
              <w:left w:val="nil"/>
              <w:bottom w:val="single" w:sz="4" w:space="0" w:color="auto"/>
              <w:right w:val="single" w:sz="4" w:space="0" w:color="auto"/>
            </w:tcBorders>
            <w:shd w:val="clear" w:color="000000" w:fill="D8D8D8"/>
            <w:noWrap/>
            <w:vAlign w:val="bottom"/>
            <w:hideMark/>
          </w:tcPr>
          <w:p w14:paraId="2F08F674" w14:textId="77777777" w:rsidR="005636C7" w:rsidRPr="00114031" w:rsidRDefault="005636C7" w:rsidP="005636C7">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5636C7" w:rsidRPr="00114031" w14:paraId="56EA0085" w14:textId="77777777" w:rsidTr="005636C7">
        <w:trPr>
          <w:trHeight w:val="300"/>
        </w:trPr>
        <w:tc>
          <w:tcPr>
            <w:tcW w:w="1708" w:type="dxa"/>
            <w:tcBorders>
              <w:top w:val="nil"/>
              <w:left w:val="single" w:sz="4" w:space="0" w:color="auto"/>
              <w:bottom w:val="single" w:sz="4" w:space="0" w:color="auto"/>
              <w:right w:val="single" w:sz="4" w:space="0" w:color="auto"/>
            </w:tcBorders>
            <w:shd w:val="clear" w:color="000000" w:fill="D8D8D8"/>
            <w:noWrap/>
            <w:vAlign w:val="bottom"/>
            <w:hideMark/>
          </w:tcPr>
          <w:p w14:paraId="078004E5" w14:textId="77777777" w:rsidR="005636C7" w:rsidRPr="00114031" w:rsidRDefault="005636C7" w:rsidP="005636C7">
            <w:pPr>
              <w:pStyle w:val="E3tabletext1"/>
              <w:jc w:val="both"/>
              <w:rPr>
                <w:lang w:val="en-NZ"/>
              </w:rPr>
            </w:pPr>
            <w:r w:rsidRPr="00114031">
              <w:rPr>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14:paraId="554872D2"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14:paraId="5769D3E1"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11F246AB"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1668" w:type="dxa"/>
            <w:tcBorders>
              <w:top w:val="nil"/>
              <w:left w:val="nil"/>
              <w:bottom w:val="single" w:sz="4" w:space="0" w:color="auto"/>
              <w:right w:val="single" w:sz="4" w:space="0" w:color="auto"/>
            </w:tcBorders>
            <w:shd w:val="clear" w:color="000000" w:fill="D8D8D8"/>
            <w:noWrap/>
            <w:vAlign w:val="bottom"/>
            <w:hideMark/>
          </w:tcPr>
          <w:p w14:paraId="168DBF21"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5636C7" w:rsidRPr="00114031" w14:paraId="12C9FB7F" w14:textId="77777777" w:rsidTr="005636C7">
        <w:trPr>
          <w:trHeight w:val="300"/>
        </w:trPr>
        <w:tc>
          <w:tcPr>
            <w:tcW w:w="1708" w:type="dxa"/>
            <w:tcBorders>
              <w:top w:val="nil"/>
              <w:left w:val="single" w:sz="4" w:space="0" w:color="auto"/>
              <w:bottom w:val="single" w:sz="4" w:space="0" w:color="auto"/>
              <w:right w:val="single" w:sz="4" w:space="0" w:color="auto"/>
            </w:tcBorders>
            <w:shd w:val="clear" w:color="000000" w:fill="A5A5A5"/>
            <w:noWrap/>
            <w:vAlign w:val="bottom"/>
            <w:hideMark/>
          </w:tcPr>
          <w:p w14:paraId="6A22DC9C" w14:textId="77777777" w:rsidR="005636C7" w:rsidRPr="00114031" w:rsidRDefault="005636C7" w:rsidP="005636C7">
            <w:pPr>
              <w:pStyle w:val="E3tabletext1"/>
              <w:jc w:val="both"/>
              <w:rPr>
                <w:lang w:val="en-NZ"/>
              </w:rPr>
            </w:pPr>
            <w:r w:rsidRPr="00114031">
              <w:rPr>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14:paraId="567634E5"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14:paraId="0FD8286F"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7293EBBC"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1668" w:type="dxa"/>
            <w:tcBorders>
              <w:top w:val="nil"/>
              <w:left w:val="nil"/>
              <w:bottom w:val="single" w:sz="4" w:space="0" w:color="auto"/>
              <w:right w:val="single" w:sz="4" w:space="0" w:color="auto"/>
            </w:tcBorders>
            <w:shd w:val="clear" w:color="000000" w:fill="A5A5A5"/>
            <w:noWrap/>
            <w:vAlign w:val="bottom"/>
            <w:hideMark/>
          </w:tcPr>
          <w:p w14:paraId="2FC77B17"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14:paraId="69C1FE51" w14:textId="77777777" w:rsidR="005636C7" w:rsidRDefault="005636C7" w:rsidP="005636C7">
      <w:pPr>
        <w:pStyle w:val="E3TableTitles"/>
      </w:pPr>
    </w:p>
    <w:p w14:paraId="524658B2" w14:textId="77777777" w:rsidR="005636C7" w:rsidRPr="004C3E41" w:rsidRDefault="005636C7" w:rsidP="005636C7">
      <w:pPr>
        <w:pStyle w:val="E3TableTitles"/>
      </w:pPr>
      <w:bookmarkStart w:id="176" w:name="_Toc500159661"/>
      <w:r w:rsidRPr="004C3E41">
        <w:t>Table 10: Energy efficiency classes for labelling of storage cabinets.</w:t>
      </w:r>
      <w:bookmarkEnd w:id="176"/>
    </w:p>
    <w:tbl>
      <w:tblPr>
        <w:tblW w:w="9356" w:type="dxa"/>
        <w:tblInd w:w="-5" w:type="dxa"/>
        <w:tblLook w:val="04A0" w:firstRow="1" w:lastRow="0" w:firstColumn="1" w:lastColumn="0" w:noHBand="0" w:noVBand="1"/>
      </w:tblPr>
      <w:tblGrid>
        <w:gridCol w:w="4395"/>
        <w:gridCol w:w="4961"/>
      </w:tblGrid>
      <w:tr w:rsidR="005636C7" w:rsidRPr="00F707FD" w14:paraId="050EDDFF" w14:textId="77777777" w:rsidTr="005636C7">
        <w:trPr>
          <w:trHeight w:val="585"/>
        </w:trPr>
        <w:tc>
          <w:tcPr>
            <w:tcW w:w="935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FC57463" w14:textId="77777777" w:rsidR="005636C7" w:rsidRPr="00DA4189" w:rsidRDefault="005636C7" w:rsidP="005636C7">
            <w:pPr>
              <w:pStyle w:val="E3TableHeading"/>
              <w:jc w:val="both"/>
              <w:rPr>
                <w:szCs w:val="15"/>
              </w:rPr>
            </w:pPr>
            <w:r w:rsidRPr="001A279D">
              <w:rPr>
                <w:szCs w:val="15"/>
              </w:rPr>
              <w:t>Proposed EU energy efficiency</w:t>
            </w:r>
            <w:r w:rsidRPr="00D646FE">
              <w:rPr>
                <w:szCs w:val="15"/>
              </w:rPr>
              <w:t xml:space="preserve"> levels for </w:t>
            </w:r>
            <w:r w:rsidRPr="00DA4189">
              <w:rPr>
                <w:szCs w:val="15"/>
              </w:rPr>
              <w:t>labelling of refrigerated storage cabinets</w:t>
            </w:r>
          </w:p>
        </w:tc>
      </w:tr>
      <w:tr w:rsidR="005636C7" w:rsidRPr="00114031" w14:paraId="6E8B5417" w14:textId="77777777" w:rsidTr="005636C7">
        <w:trPr>
          <w:trHeight w:val="454"/>
        </w:trPr>
        <w:tc>
          <w:tcPr>
            <w:tcW w:w="4395"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266745F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Energy Efficiency Class</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F510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EEI</w:t>
            </w:r>
          </w:p>
        </w:tc>
      </w:tr>
      <w:tr w:rsidR="005636C7" w:rsidRPr="00114031" w14:paraId="13CF6F5A"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7225D643"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3099B55D"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EEI &lt; 5</w:t>
            </w:r>
          </w:p>
        </w:tc>
      </w:tr>
      <w:tr w:rsidR="005636C7" w:rsidRPr="00114031" w14:paraId="6EE5E6EA"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7EF9CE0"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5E61F44C"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5 ≤ EEI &lt; 10</w:t>
            </w:r>
          </w:p>
        </w:tc>
      </w:tr>
      <w:tr w:rsidR="005636C7" w:rsidRPr="00114031" w14:paraId="3F5B3985"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4D8A103"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05A5A944"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10 ≤ EEI &lt; 15</w:t>
            </w:r>
          </w:p>
        </w:tc>
      </w:tr>
      <w:tr w:rsidR="005636C7" w:rsidRPr="00114031" w14:paraId="2BBE1F1F"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29BA766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A</w:t>
            </w:r>
          </w:p>
        </w:tc>
        <w:tc>
          <w:tcPr>
            <w:tcW w:w="4961" w:type="dxa"/>
            <w:tcBorders>
              <w:top w:val="single" w:sz="4" w:space="0" w:color="auto"/>
              <w:left w:val="nil"/>
              <w:bottom w:val="single" w:sz="4" w:space="0" w:color="auto"/>
              <w:right w:val="single" w:sz="4" w:space="0" w:color="auto"/>
            </w:tcBorders>
            <w:shd w:val="clear" w:color="auto" w:fill="auto"/>
            <w:noWrap/>
            <w:hideMark/>
          </w:tcPr>
          <w:p w14:paraId="715D84D7"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15 ≤ EEI &lt; 25</w:t>
            </w:r>
          </w:p>
        </w:tc>
      </w:tr>
      <w:tr w:rsidR="005636C7" w:rsidRPr="00114031" w14:paraId="266E1759"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37BCBB35"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B</w:t>
            </w:r>
          </w:p>
        </w:tc>
        <w:tc>
          <w:tcPr>
            <w:tcW w:w="4961" w:type="dxa"/>
            <w:tcBorders>
              <w:top w:val="single" w:sz="4" w:space="0" w:color="auto"/>
              <w:left w:val="nil"/>
              <w:bottom w:val="single" w:sz="4" w:space="0" w:color="auto"/>
              <w:right w:val="single" w:sz="4" w:space="0" w:color="auto"/>
            </w:tcBorders>
            <w:shd w:val="clear" w:color="auto" w:fill="auto"/>
            <w:noWrap/>
            <w:hideMark/>
          </w:tcPr>
          <w:p w14:paraId="5E66BD03"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25 ≤ EEI &lt; 35</w:t>
            </w:r>
          </w:p>
        </w:tc>
      </w:tr>
      <w:tr w:rsidR="005636C7" w:rsidRPr="00114031" w14:paraId="1892B3AF"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68828374"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C</w:t>
            </w:r>
          </w:p>
        </w:tc>
        <w:tc>
          <w:tcPr>
            <w:tcW w:w="4961" w:type="dxa"/>
            <w:tcBorders>
              <w:top w:val="single" w:sz="4" w:space="0" w:color="auto"/>
              <w:left w:val="nil"/>
              <w:bottom w:val="single" w:sz="4" w:space="0" w:color="auto"/>
              <w:right w:val="single" w:sz="4" w:space="0" w:color="auto"/>
            </w:tcBorders>
            <w:shd w:val="clear" w:color="auto" w:fill="auto"/>
            <w:noWrap/>
            <w:hideMark/>
          </w:tcPr>
          <w:p w14:paraId="71F9D5F9"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35 ≤ EEI &lt; 50</w:t>
            </w:r>
          </w:p>
        </w:tc>
      </w:tr>
      <w:tr w:rsidR="005636C7" w:rsidRPr="00114031" w14:paraId="7BBB0527"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4F040EB9"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D</w:t>
            </w:r>
          </w:p>
        </w:tc>
        <w:tc>
          <w:tcPr>
            <w:tcW w:w="4961" w:type="dxa"/>
            <w:tcBorders>
              <w:top w:val="single" w:sz="4" w:space="0" w:color="auto"/>
              <w:left w:val="nil"/>
              <w:bottom w:val="single" w:sz="4" w:space="0" w:color="auto"/>
              <w:right w:val="single" w:sz="4" w:space="0" w:color="auto"/>
            </w:tcBorders>
            <w:shd w:val="clear" w:color="auto" w:fill="auto"/>
            <w:noWrap/>
            <w:hideMark/>
          </w:tcPr>
          <w:p w14:paraId="69B5BA5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50 ≤ EEI &lt; 75</w:t>
            </w:r>
          </w:p>
        </w:tc>
      </w:tr>
      <w:tr w:rsidR="005636C7" w:rsidRPr="00114031" w14:paraId="47497BBC"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50C1B00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E</w:t>
            </w:r>
          </w:p>
        </w:tc>
        <w:tc>
          <w:tcPr>
            <w:tcW w:w="4961" w:type="dxa"/>
            <w:tcBorders>
              <w:top w:val="single" w:sz="4" w:space="0" w:color="auto"/>
              <w:left w:val="nil"/>
              <w:bottom w:val="single" w:sz="4" w:space="0" w:color="auto"/>
              <w:right w:val="single" w:sz="4" w:space="0" w:color="auto"/>
            </w:tcBorders>
            <w:shd w:val="clear" w:color="auto" w:fill="auto"/>
            <w:noWrap/>
            <w:hideMark/>
          </w:tcPr>
          <w:p w14:paraId="318B47AD"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75 ≤ EEI &lt; 85</w:t>
            </w:r>
          </w:p>
        </w:tc>
      </w:tr>
      <w:tr w:rsidR="005636C7" w:rsidRPr="00114031" w14:paraId="4226C8A1"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691CA480"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F</w:t>
            </w:r>
          </w:p>
        </w:tc>
        <w:tc>
          <w:tcPr>
            <w:tcW w:w="4961" w:type="dxa"/>
            <w:tcBorders>
              <w:top w:val="single" w:sz="4" w:space="0" w:color="auto"/>
              <w:left w:val="nil"/>
              <w:bottom w:val="single" w:sz="4" w:space="0" w:color="auto"/>
              <w:right w:val="single" w:sz="4" w:space="0" w:color="auto"/>
            </w:tcBorders>
            <w:shd w:val="clear" w:color="auto" w:fill="auto"/>
            <w:noWrap/>
            <w:hideMark/>
          </w:tcPr>
          <w:p w14:paraId="0ADFAE1A"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85 ≤ EEI &lt; 95</w:t>
            </w:r>
          </w:p>
        </w:tc>
      </w:tr>
      <w:tr w:rsidR="005636C7" w:rsidRPr="00114031" w14:paraId="7A11552D" w14:textId="77777777" w:rsidTr="005636C7">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hideMark/>
          </w:tcPr>
          <w:p w14:paraId="64EB9045"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G</w:t>
            </w:r>
          </w:p>
        </w:tc>
        <w:tc>
          <w:tcPr>
            <w:tcW w:w="4961" w:type="dxa"/>
            <w:tcBorders>
              <w:top w:val="single" w:sz="4" w:space="0" w:color="auto"/>
              <w:left w:val="nil"/>
              <w:bottom w:val="single" w:sz="4" w:space="0" w:color="auto"/>
              <w:right w:val="single" w:sz="4" w:space="0" w:color="auto"/>
            </w:tcBorders>
            <w:shd w:val="clear" w:color="auto" w:fill="auto"/>
            <w:noWrap/>
            <w:hideMark/>
          </w:tcPr>
          <w:p w14:paraId="3C0A815B" w14:textId="77777777" w:rsidR="005636C7" w:rsidRPr="0041262C" w:rsidRDefault="005636C7" w:rsidP="005636C7">
            <w:pPr>
              <w:pStyle w:val="E3tabletext1"/>
              <w:jc w:val="left"/>
              <w:rPr>
                <w:rFonts w:ascii="Helvetica" w:hAnsi="Helvetica" w:cs="Helvetica"/>
                <w:sz w:val="15"/>
                <w:szCs w:val="15"/>
              </w:rPr>
            </w:pPr>
            <w:r w:rsidRPr="0041262C">
              <w:rPr>
                <w:rFonts w:ascii="Helvetica" w:hAnsi="Helvetica" w:cs="Helvetica"/>
                <w:sz w:val="15"/>
                <w:szCs w:val="15"/>
              </w:rPr>
              <w:t>95 ≤ EEI &lt; 115</w:t>
            </w:r>
          </w:p>
        </w:tc>
      </w:tr>
    </w:tbl>
    <w:p w14:paraId="05FD8661" w14:textId="77777777" w:rsidR="005636C7" w:rsidRDefault="005636C7" w:rsidP="005636C7">
      <w:pPr>
        <w:pStyle w:val="E3Bullets"/>
        <w:spacing w:before="120" w:after="240"/>
        <w:contextualSpacing w:val="0"/>
        <w:jc w:val="both"/>
      </w:pPr>
      <w:r w:rsidRPr="00AC7259">
        <w:t xml:space="preserve">There is currently no labelling of </w:t>
      </w:r>
      <w:r>
        <w:t>r</w:t>
      </w:r>
      <w:r w:rsidRPr="00AC7259">
        <w:t xml:space="preserve">efrigerated </w:t>
      </w:r>
      <w:r>
        <w:t xml:space="preserve">commercial </w:t>
      </w:r>
      <w:r w:rsidRPr="00AC7259">
        <w:t>cabinets in Australia or New Zealand</w:t>
      </w:r>
      <w:r>
        <w:t xml:space="preserve">. </w:t>
      </w:r>
      <w:r w:rsidRPr="00F96015">
        <w:t xml:space="preserve"> </w:t>
      </w:r>
      <w:r>
        <w:t xml:space="preserve">The proposal in the Consultation RIS to include mandatory labelling as part of the regulatory policy options has been modified following the consultation process.  While there was some support for mandatory labelling of refrigerated commercial cabinets from stakeholders, mandatory physical labelling was opposed, primarily due to the additional cost involved.  There was also concern that the use of physical labels on commercial cabinets would be impractical and of little benefit given that the purchasing decision or product comparison is often not made in the showroom. </w:t>
      </w:r>
    </w:p>
    <w:p w14:paraId="6A18E16C" w14:textId="77777777" w:rsidR="005636C7" w:rsidRDefault="005636C7" w:rsidP="005636C7">
      <w:pPr>
        <w:pStyle w:val="E3Bullets"/>
        <w:spacing w:after="240"/>
        <w:contextualSpacing w:val="0"/>
        <w:jc w:val="both"/>
        <w:rPr>
          <w:lang w:val="en-NZ" w:eastAsia="en-NZ"/>
        </w:rPr>
      </w:pPr>
      <w:r>
        <w:rPr>
          <w:lang w:val="en-NZ" w:eastAsia="en-NZ"/>
        </w:rPr>
        <w:t>There was, however, support for voluntary electronic labelling online or in the literature. There was a clear preference for online labelling which auto-populates using the Energy Rating website.</w:t>
      </w:r>
      <w:r w:rsidRPr="009976A5">
        <w:rPr>
          <w:rStyle w:val="FootnoteReference"/>
        </w:rPr>
        <w:t xml:space="preserve"> </w:t>
      </w:r>
      <w:r w:rsidRPr="0085161C">
        <w:rPr>
          <w:rStyle w:val="FootnoteReference"/>
        </w:rPr>
        <w:footnoteReference w:id="36"/>
      </w:r>
      <w:r>
        <w:rPr>
          <w:lang w:val="en-NZ" w:eastAsia="en-NZ"/>
        </w:rPr>
        <w:t xml:space="preserve"> </w:t>
      </w:r>
    </w:p>
    <w:p w14:paraId="578CD030" w14:textId="77777777" w:rsidR="005636C7" w:rsidRDefault="005636C7" w:rsidP="005636C7">
      <w:pPr>
        <w:pStyle w:val="E3Bullets"/>
        <w:spacing w:before="120" w:after="240"/>
        <w:contextualSpacing w:val="0"/>
        <w:jc w:val="both"/>
        <w:rPr>
          <w:lang w:val="en-NZ" w:eastAsia="en-NZ"/>
        </w:rPr>
      </w:pPr>
      <w:r>
        <w:rPr>
          <w:lang w:val="en-NZ" w:eastAsia="en-NZ"/>
        </w:rPr>
        <w:t xml:space="preserve">The Technical Working Group recommended the introduction of voluntary online labelling, noting that some manufacturers may still choose to apply a physical label under an online energy rating information scheme (see </w:t>
      </w:r>
      <w:r>
        <w:rPr>
          <w:b/>
          <w:lang w:val="en-NZ" w:eastAsia="en-NZ"/>
        </w:rPr>
        <w:t xml:space="preserve">Attachment F </w:t>
      </w:r>
      <w:r>
        <w:rPr>
          <w:lang w:val="en-NZ" w:eastAsia="en-NZ"/>
        </w:rPr>
        <w:t>for further details).</w:t>
      </w:r>
    </w:p>
    <w:p w14:paraId="501BA71D" w14:textId="77777777" w:rsidR="005636C7" w:rsidRDefault="005636C7" w:rsidP="005636C7">
      <w:pPr>
        <w:pStyle w:val="E3Bullets"/>
        <w:spacing w:after="240"/>
        <w:contextualSpacing w:val="0"/>
        <w:jc w:val="both"/>
      </w:pPr>
      <w:r>
        <w:t>Voluntary online labelling has therefore been incorporated into all regulatory proposals. It is considered a cost-effective alternative to mandatory labelling. It has the advantage of being accessible online, with similar information provided to physical labels.  It would also provide consumers with:</w:t>
      </w:r>
    </w:p>
    <w:p w14:paraId="4FE6F008" w14:textId="77777777" w:rsidR="005636C7" w:rsidRDefault="005636C7" w:rsidP="005F483B">
      <w:pPr>
        <w:pStyle w:val="ListBullet"/>
        <w:spacing w:line="276" w:lineRule="auto"/>
        <w:rPr>
          <w:rFonts w:ascii="Georgia" w:hAnsi="Georgia"/>
        </w:rPr>
      </w:pPr>
      <w:r w:rsidRPr="005F483B">
        <w:rPr>
          <w:rFonts w:ascii="Georgia" w:hAnsi="Georgia"/>
        </w:rPr>
        <w:t>A comparative assessment of the model’s energy efficiency through a star rating scale, thereby assisting with the lack of readily available information about energy efficiency.</w:t>
      </w:r>
    </w:p>
    <w:p w14:paraId="66E58445" w14:textId="77777777" w:rsidR="005F483B" w:rsidRPr="005F483B" w:rsidRDefault="005F483B" w:rsidP="005F483B">
      <w:pPr>
        <w:pStyle w:val="ListBullet"/>
        <w:numPr>
          <w:ilvl w:val="0"/>
          <w:numId w:val="0"/>
        </w:numPr>
        <w:spacing w:line="276" w:lineRule="auto"/>
        <w:ind w:left="360"/>
        <w:rPr>
          <w:rFonts w:ascii="Georgia" w:hAnsi="Georgia"/>
        </w:rPr>
      </w:pPr>
    </w:p>
    <w:p w14:paraId="69933D58" w14:textId="77777777" w:rsidR="005636C7" w:rsidRPr="005F483B" w:rsidRDefault="005636C7" w:rsidP="005F483B">
      <w:pPr>
        <w:pStyle w:val="ListBullet"/>
        <w:spacing w:line="276" w:lineRule="auto"/>
        <w:rPr>
          <w:rFonts w:ascii="Georgia" w:hAnsi="Georgia"/>
        </w:rPr>
      </w:pPr>
      <w:r w:rsidRPr="005F483B">
        <w:rPr>
          <w:rFonts w:ascii="Georgia" w:hAnsi="Georgia"/>
        </w:rPr>
        <w:t>The comparative energy consumption (usually kilowatt hours/year) which provides an estimate of the annual energy consumption of the appliance based on the tested energy consumption and information about the typical use of the appliance in the home.</w:t>
      </w:r>
    </w:p>
    <w:p w14:paraId="50A53C06" w14:textId="77777777" w:rsidR="005636C7" w:rsidRDefault="005636C7" w:rsidP="005F483B">
      <w:pPr>
        <w:pStyle w:val="E3BodyText"/>
        <w:spacing w:before="240"/>
        <w:jc w:val="both"/>
      </w:pPr>
      <w:r>
        <w:t>It is proposed that, to align with the European approach, a European style label would be adapted for use as an online star rating label in Australian and New Zealand.</w:t>
      </w:r>
    </w:p>
    <w:p w14:paraId="6DFC90F6" w14:textId="77777777" w:rsidR="005636C7" w:rsidRPr="00A244E5" w:rsidRDefault="005636C7" w:rsidP="005636C7">
      <w:pPr>
        <w:pStyle w:val="E3BodyText"/>
        <w:jc w:val="both"/>
      </w:pPr>
      <w:r w:rsidRPr="009E72D0">
        <w:t>In Europe storage cabinets have been regulated to be labelled from 1 July 2016 and display cabinets from 2017</w:t>
      </w:r>
      <w:r>
        <w:t>.</w:t>
      </w:r>
      <w:r w:rsidRPr="009E72D0">
        <w:rPr>
          <w:lang w:val="en-NZ" w:eastAsia="en-NZ"/>
        </w:rPr>
        <w:t xml:space="preserve"> </w:t>
      </w:r>
      <w:r>
        <w:rPr>
          <w:lang w:val="en-NZ" w:eastAsia="en-NZ"/>
        </w:rPr>
        <w:t xml:space="preserve"> </w:t>
      </w:r>
    </w:p>
    <w:p w14:paraId="0D5224F5" w14:textId="77777777" w:rsidR="005636C7" w:rsidRPr="00FC1663" w:rsidRDefault="005636C7" w:rsidP="005636C7">
      <w:pPr>
        <w:pStyle w:val="E3BodyText"/>
        <w:jc w:val="both"/>
      </w:pPr>
      <w:r>
        <w:rPr>
          <w:lang w:val="en-NZ" w:eastAsia="en-NZ"/>
        </w:rPr>
        <w:t>Some g</w:t>
      </w:r>
      <w:r w:rsidRPr="00AC7259">
        <w:rPr>
          <w:lang w:val="en-NZ" w:eastAsia="en-NZ"/>
        </w:rPr>
        <w:t xml:space="preserve">eneric examples of the European and </w:t>
      </w:r>
      <w:r>
        <w:rPr>
          <w:lang w:val="en-NZ" w:eastAsia="en-NZ"/>
        </w:rPr>
        <w:t>the online Energy R</w:t>
      </w:r>
      <w:r w:rsidRPr="00AC7259">
        <w:rPr>
          <w:lang w:val="en-NZ" w:eastAsia="en-NZ"/>
        </w:rPr>
        <w:t>ating labels are shown in</w:t>
      </w:r>
      <w:r>
        <w:rPr>
          <w:lang w:val="en-NZ" w:eastAsia="en-NZ"/>
        </w:rPr>
        <w:t xml:space="preserve"> </w:t>
      </w:r>
      <w:r w:rsidRPr="00C925B4">
        <w:rPr>
          <w:b/>
        </w:rPr>
        <w:t>Figure 1</w:t>
      </w:r>
      <w:r>
        <w:rPr>
          <w:b/>
        </w:rPr>
        <w:t>3</w:t>
      </w:r>
      <w:r w:rsidRPr="00AC7259">
        <w:rPr>
          <w:lang w:val="en-NZ" w:eastAsia="en-NZ"/>
        </w:rPr>
        <w:t xml:space="preserve">. </w:t>
      </w:r>
    </w:p>
    <w:p w14:paraId="23607A96" w14:textId="77777777" w:rsidR="005636C7" w:rsidRDefault="005636C7" w:rsidP="005636C7">
      <w:pPr>
        <w:pStyle w:val="E3Figuretitles"/>
        <w:jc w:val="both"/>
      </w:pPr>
      <w:bookmarkStart w:id="177" w:name="_Ref449962955"/>
      <w:bookmarkStart w:id="178" w:name="_Toc449709074"/>
      <w:bookmarkStart w:id="179" w:name="_Ref449962947"/>
      <w:bookmarkStart w:id="180" w:name="_Toc494142481"/>
    </w:p>
    <w:p w14:paraId="474B8D15" w14:textId="77777777" w:rsidR="005636C7" w:rsidRPr="00A929F6" w:rsidRDefault="005636C7" w:rsidP="005636C7">
      <w:pPr>
        <w:pStyle w:val="E3Figuretitles"/>
        <w:jc w:val="both"/>
      </w:pPr>
      <w:r w:rsidRPr="00A929F6">
        <w:t xml:space="preserve">Figure </w:t>
      </w:r>
      <w:bookmarkEnd w:id="177"/>
      <w:r w:rsidRPr="00A929F6">
        <w:t>13: Generic example of proposed EU label (left) and generic Energy Rating label (right</w:t>
      </w:r>
      <w:bookmarkEnd w:id="178"/>
      <w:bookmarkEnd w:id="179"/>
      <w:bookmarkEnd w:id="180"/>
      <w:r w:rsidRPr="00A929F6">
        <w:t>).</w:t>
      </w:r>
    </w:p>
    <w:p w14:paraId="38702822" w14:textId="77777777" w:rsidR="005636C7" w:rsidRPr="00C238F3" w:rsidRDefault="005636C7" w:rsidP="005636C7">
      <w:pPr>
        <w:pStyle w:val="ListParagraph"/>
      </w:pPr>
      <w:r w:rsidRPr="00C238F3">
        <w:rPr>
          <w:noProof/>
        </w:rPr>
        <w:drawing>
          <wp:inline distT="0" distB="0" distL="0" distR="0" wp14:anchorId="192E5FA3" wp14:editId="23179D8C">
            <wp:extent cx="2038350" cy="4065602"/>
            <wp:effectExtent l="0" t="0" r="0" b="0"/>
            <wp:docPr id="22" name="Picture 22" descr="Label shows European graduations of performance in a scale between A (lowest energy consuming) to G (highest energy consuming)." title="Example of European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3949" cy="4076769"/>
                    </a:xfrm>
                    <a:prstGeom prst="rect">
                      <a:avLst/>
                    </a:prstGeom>
                    <a:noFill/>
                    <a:ln>
                      <a:noFill/>
                    </a:ln>
                  </pic:spPr>
                </pic:pic>
              </a:graphicData>
            </a:graphic>
          </wp:inline>
        </w:drawing>
      </w:r>
      <w:r>
        <w:rPr>
          <w:noProof/>
          <w:lang w:val="en-NZ" w:eastAsia="en-NZ"/>
        </w:rPr>
        <w:t xml:space="preserve">     </w:t>
      </w:r>
      <w:r>
        <w:rPr>
          <w:noProof/>
        </w:rPr>
        <w:drawing>
          <wp:inline distT="0" distB="0" distL="0" distR="0" wp14:anchorId="5C03D993" wp14:editId="1ABED4D1">
            <wp:extent cx="1790700" cy="1823258"/>
            <wp:effectExtent l="0" t="0" r="0" b="5715"/>
            <wp:docPr id="57" name="Picture 57" descr="Label shows the standard star rating format used trans-Tasman" title="Typical Australian and New Zealand Energy 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95764" cy="1828414"/>
                    </a:xfrm>
                    <a:prstGeom prst="rect">
                      <a:avLst/>
                    </a:prstGeom>
                  </pic:spPr>
                </pic:pic>
              </a:graphicData>
            </a:graphic>
          </wp:inline>
        </w:drawing>
      </w:r>
    </w:p>
    <w:p w14:paraId="41C08175" w14:textId="77777777" w:rsidR="005636C7" w:rsidRDefault="005636C7" w:rsidP="005636C7">
      <w:pPr>
        <w:pStyle w:val="E3Bullets"/>
        <w:jc w:val="both"/>
      </w:pPr>
      <w:r>
        <w:rPr>
          <w:lang w:val="en-NZ" w:eastAsia="en-NZ"/>
        </w:rPr>
        <w:t>It is proposed that the online Energy R</w:t>
      </w:r>
      <w:r w:rsidRPr="0085161C">
        <w:rPr>
          <w:lang w:val="en-NZ" w:eastAsia="en-NZ"/>
        </w:rPr>
        <w:t xml:space="preserve">ating label </w:t>
      </w:r>
      <w:r>
        <w:rPr>
          <w:lang w:val="en-NZ" w:eastAsia="en-NZ"/>
        </w:rPr>
        <w:t xml:space="preserve">be used </w:t>
      </w:r>
      <w:r w:rsidRPr="0085161C">
        <w:rPr>
          <w:lang w:val="en-NZ" w:eastAsia="en-NZ"/>
        </w:rPr>
        <w:t xml:space="preserve">instead of the </w:t>
      </w:r>
      <w:r>
        <w:rPr>
          <w:lang w:val="en-NZ" w:eastAsia="en-NZ"/>
        </w:rPr>
        <w:t xml:space="preserve">European </w:t>
      </w:r>
      <w:r w:rsidRPr="0085161C">
        <w:rPr>
          <w:lang w:val="en-NZ" w:eastAsia="en-NZ"/>
        </w:rPr>
        <w:t>grading A to G, because this is familiar to buyers in Au</w:t>
      </w:r>
      <w:r>
        <w:rPr>
          <w:lang w:val="en-NZ" w:eastAsia="en-NZ"/>
        </w:rPr>
        <w:t>stralia</w:t>
      </w:r>
      <w:r w:rsidRPr="0085161C">
        <w:rPr>
          <w:lang w:val="en-NZ" w:eastAsia="en-NZ"/>
        </w:rPr>
        <w:t xml:space="preserve"> and N</w:t>
      </w:r>
      <w:r>
        <w:rPr>
          <w:lang w:val="en-NZ" w:eastAsia="en-NZ"/>
        </w:rPr>
        <w:t xml:space="preserve">ew </w:t>
      </w:r>
      <w:r w:rsidRPr="0085161C">
        <w:rPr>
          <w:lang w:val="en-NZ" w:eastAsia="en-NZ"/>
        </w:rPr>
        <w:t>Z</w:t>
      </w:r>
      <w:r>
        <w:rPr>
          <w:lang w:val="en-NZ" w:eastAsia="en-NZ"/>
        </w:rPr>
        <w:t>ealand</w:t>
      </w:r>
      <w:r w:rsidRPr="0085161C">
        <w:rPr>
          <w:lang w:val="en-NZ" w:eastAsia="en-NZ"/>
        </w:rPr>
        <w:t xml:space="preserve">. </w:t>
      </w:r>
      <w:r>
        <w:rPr>
          <w:lang w:val="en-NZ" w:eastAsia="en-NZ"/>
        </w:rPr>
        <w:t xml:space="preserve">The style of label used in Europe would need to be adapted for use.  </w:t>
      </w:r>
      <w:r w:rsidRPr="0085161C">
        <w:rPr>
          <w:lang w:val="en-NZ" w:eastAsia="en-NZ"/>
        </w:rPr>
        <w:t>The actual number of stars could be equivalent to the highest grade that the appliance meets</w:t>
      </w:r>
      <w:r>
        <w:rPr>
          <w:lang w:val="en-NZ" w:eastAsia="en-NZ"/>
        </w:rPr>
        <w:t xml:space="preserve"> (for example, </w:t>
      </w:r>
      <w:r w:rsidRPr="0085161C">
        <w:rPr>
          <w:lang w:val="en-NZ" w:eastAsia="en-NZ"/>
        </w:rPr>
        <w:t>6 stars for a</w:t>
      </w:r>
      <w:r>
        <w:rPr>
          <w:lang w:val="en-NZ" w:eastAsia="en-NZ"/>
        </w:rPr>
        <w:t>n A</w:t>
      </w:r>
      <w:r w:rsidRPr="0085161C">
        <w:rPr>
          <w:lang w:val="en-NZ" w:eastAsia="en-NZ"/>
        </w:rPr>
        <w:t xml:space="preserve"> grade</w:t>
      </w:r>
      <w:r>
        <w:rPr>
          <w:lang w:val="en-NZ" w:eastAsia="en-NZ"/>
        </w:rPr>
        <w:t xml:space="preserve"> </w:t>
      </w:r>
      <w:r w:rsidRPr="0085161C">
        <w:rPr>
          <w:lang w:val="en-NZ" w:eastAsia="en-NZ"/>
        </w:rPr>
        <w:t>model</w:t>
      </w:r>
      <w:r>
        <w:rPr>
          <w:lang w:val="en-NZ" w:eastAsia="en-NZ"/>
        </w:rPr>
        <w:t>)</w:t>
      </w:r>
      <w:r w:rsidRPr="0085161C">
        <w:rPr>
          <w:lang w:val="en-NZ" w:eastAsia="en-NZ"/>
        </w:rPr>
        <w:t xml:space="preserve">. </w:t>
      </w:r>
    </w:p>
    <w:p w14:paraId="11334EEE" w14:textId="77777777" w:rsidR="005636C7" w:rsidRDefault="005636C7" w:rsidP="005636C7">
      <w:pPr>
        <w:pStyle w:val="E3Bullets"/>
        <w:jc w:val="both"/>
      </w:pPr>
    </w:p>
    <w:p w14:paraId="7867C9BD" w14:textId="77777777" w:rsidR="005636C7" w:rsidRDefault="005636C7" w:rsidP="005636C7">
      <w:pPr>
        <w:pStyle w:val="E3Bullets"/>
        <w:jc w:val="both"/>
        <w:rPr>
          <w:lang w:val="en-NZ" w:eastAsia="en-NZ"/>
        </w:rPr>
      </w:pPr>
      <w:r w:rsidRPr="0085161C">
        <w:rPr>
          <w:lang w:val="en-NZ" w:eastAsia="en-NZ"/>
        </w:rPr>
        <w:t>Actual label specifications</w:t>
      </w:r>
      <w:r>
        <w:rPr>
          <w:lang w:val="en-NZ" w:eastAsia="en-NZ"/>
        </w:rPr>
        <w:t xml:space="preserve">, including the algorithm to translate the European EEI rating into a star rating, will </w:t>
      </w:r>
      <w:r w:rsidRPr="0085161C">
        <w:rPr>
          <w:lang w:val="en-NZ" w:eastAsia="en-NZ"/>
        </w:rPr>
        <w:t xml:space="preserve">be developed for Australia and New Zealand by government and industry </w:t>
      </w:r>
      <w:r>
        <w:rPr>
          <w:lang w:val="en-NZ" w:eastAsia="en-NZ"/>
        </w:rPr>
        <w:t>experts and regulators.</w:t>
      </w:r>
      <w:bookmarkStart w:id="181" w:name="_Toc449708771"/>
    </w:p>
    <w:p w14:paraId="40B34A3A" w14:textId="77777777" w:rsidR="005636C7" w:rsidRPr="00882D63" w:rsidRDefault="005636C7" w:rsidP="005636C7">
      <w:pPr>
        <w:pStyle w:val="E3Bullets"/>
        <w:jc w:val="both"/>
      </w:pPr>
    </w:p>
    <w:p w14:paraId="39336292" w14:textId="77777777" w:rsidR="005636C7" w:rsidRPr="00AF7405" w:rsidRDefault="005636C7" w:rsidP="005636C7">
      <w:pPr>
        <w:pStyle w:val="E3Heading2"/>
      </w:pPr>
      <w:bookmarkStart w:id="182" w:name="_Toc494897969"/>
      <w:bookmarkStart w:id="183" w:name="_Toc494955765"/>
      <w:bookmarkStart w:id="184" w:name="_Toc494959573"/>
      <w:bookmarkStart w:id="185" w:name="_Toc494972699"/>
      <w:bookmarkStart w:id="186" w:name="_Toc494973886"/>
      <w:bookmarkStart w:id="187" w:name="_Toc494974575"/>
      <w:bookmarkStart w:id="188" w:name="_Toc500151802"/>
      <w:r w:rsidRPr="00AF7405">
        <w:t>Summary of regulatory options</w:t>
      </w:r>
      <w:bookmarkEnd w:id="182"/>
      <w:bookmarkEnd w:id="183"/>
      <w:bookmarkEnd w:id="184"/>
      <w:bookmarkEnd w:id="185"/>
      <w:bookmarkEnd w:id="186"/>
      <w:bookmarkEnd w:id="187"/>
      <w:bookmarkEnd w:id="188"/>
    </w:p>
    <w:p w14:paraId="03594A2B" w14:textId="77777777" w:rsidR="005636C7" w:rsidRDefault="005636C7" w:rsidP="005636C7">
      <w:pPr>
        <w:pStyle w:val="E3Heading2"/>
        <w:spacing w:after="240"/>
        <w:rPr>
          <w:rFonts w:ascii="Georgia" w:hAnsi="Georgia"/>
          <w:i/>
          <w:sz w:val="24"/>
        </w:rPr>
      </w:pPr>
      <w:bookmarkStart w:id="189" w:name="_Toc494897970"/>
      <w:bookmarkStart w:id="190" w:name="_Toc494955766"/>
      <w:bookmarkStart w:id="191" w:name="_Toc494959574"/>
      <w:bookmarkStart w:id="192" w:name="_Toc494972700"/>
      <w:bookmarkStart w:id="193" w:name="_Toc494973887"/>
      <w:bookmarkStart w:id="194" w:name="_Toc494974576"/>
    </w:p>
    <w:p w14:paraId="137EFFE8" w14:textId="77777777" w:rsidR="005636C7" w:rsidRPr="002E2FF4" w:rsidRDefault="005636C7" w:rsidP="005636C7">
      <w:pPr>
        <w:pStyle w:val="E3Heading2"/>
      </w:pPr>
      <w:bookmarkStart w:id="195" w:name="_Toc500151803"/>
      <w:r w:rsidRPr="002E2FF4">
        <w:t>Option 2</w:t>
      </w:r>
      <w:bookmarkEnd w:id="189"/>
      <w:bookmarkEnd w:id="190"/>
      <w:bookmarkEnd w:id="191"/>
      <w:bookmarkEnd w:id="192"/>
      <w:bookmarkEnd w:id="193"/>
      <w:bookmarkEnd w:id="194"/>
      <w:bookmarkEnd w:id="195"/>
    </w:p>
    <w:p w14:paraId="0A2C282C" w14:textId="77777777" w:rsidR="005636C7" w:rsidRPr="0041262C" w:rsidRDefault="005636C7" w:rsidP="005636C7">
      <w:pPr>
        <w:spacing w:after="240"/>
        <w:jc w:val="both"/>
        <w:rPr>
          <w:rFonts w:cs="Helvetica"/>
          <w:b/>
        </w:rPr>
      </w:pPr>
      <w:r w:rsidRPr="0041262C">
        <w:rPr>
          <w:rFonts w:cs="Helvetica"/>
          <w:b/>
        </w:rPr>
        <w:t xml:space="preserve">Adopt ISO and EN test methods for display, storage and related cabinets. Develop Australasian MEPS to affect the least efficient 10% of models per group. Voluntary labelling is added. Implemented in </w:t>
      </w:r>
      <w:bookmarkEnd w:id="181"/>
      <w:r w:rsidRPr="0041262C">
        <w:rPr>
          <w:rFonts w:cs="Helvetica"/>
          <w:b/>
        </w:rPr>
        <w:t>2019.</w:t>
      </w:r>
    </w:p>
    <w:p w14:paraId="5B0DDEFF" w14:textId="77777777" w:rsidR="005636C7" w:rsidRPr="00AC7259" w:rsidRDefault="005636C7" w:rsidP="005636C7">
      <w:pPr>
        <w:pStyle w:val="E3Bullets"/>
        <w:jc w:val="both"/>
      </w:pPr>
      <w:r w:rsidRPr="00AC7259">
        <w:t>Option 2 proposes Australasian-specific MEPS set at an amalgamated group level to affect the least efficient 10% of cabinet models per group</w:t>
      </w:r>
      <w:r>
        <w:t>, with</w:t>
      </w:r>
      <w:r w:rsidRPr="00AC7259">
        <w:t xml:space="preserve"> </w:t>
      </w:r>
      <w:r>
        <w:t xml:space="preserve">voluntary online </w:t>
      </w:r>
      <w:r w:rsidRPr="00AC7259">
        <w:t xml:space="preserve">labelling is </w:t>
      </w:r>
      <w:r>
        <w:t xml:space="preserve">added (from 2019). </w:t>
      </w:r>
    </w:p>
    <w:p w14:paraId="3E30D3A0" w14:textId="77777777" w:rsidR="005636C7" w:rsidRPr="00AC7259" w:rsidRDefault="005636C7" w:rsidP="005636C7">
      <w:pPr>
        <w:pStyle w:val="E3Bullets"/>
        <w:jc w:val="both"/>
      </w:pPr>
    </w:p>
    <w:p w14:paraId="723365AF" w14:textId="77777777" w:rsidR="005636C7" w:rsidRPr="00AC7259" w:rsidRDefault="005636C7" w:rsidP="005636C7">
      <w:pPr>
        <w:pStyle w:val="E3Bullets"/>
        <w:jc w:val="both"/>
        <w:rPr>
          <w:b/>
          <w:highlight w:val="yellow"/>
        </w:rPr>
      </w:pPr>
      <w:r w:rsidRPr="00AC7259">
        <w:t xml:space="preserve">MEPS levels would be devised per group using model-weighted registration data, where this is available, from the E3 registration database and estimates from European data where there is no local data.  This approach would accord with the group-level MEPS method being applied in Europe and make it easier to transition to EC MEPS levels in the future should the need arise. </w:t>
      </w:r>
    </w:p>
    <w:p w14:paraId="38D0CC22" w14:textId="77777777" w:rsidR="005636C7" w:rsidRPr="00AF7405" w:rsidRDefault="005636C7" w:rsidP="005636C7">
      <w:pPr>
        <w:pStyle w:val="E3Heading2"/>
      </w:pPr>
      <w:bookmarkStart w:id="196" w:name="_Toc494897971"/>
      <w:bookmarkStart w:id="197" w:name="_Toc494955767"/>
      <w:bookmarkStart w:id="198" w:name="_Toc494959575"/>
      <w:bookmarkStart w:id="199" w:name="_Toc494972701"/>
      <w:bookmarkStart w:id="200" w:name="_Toc494973888"/>
      <w:bookmarkStart w:id="201" w:name="_Toc494974577"/>
      <w:bookmarkStart w:id="202" w:name="_Toc500151804"/>
      <w:bookmarkStart w:id="203" w:name="_Toc449708772"/>
      <w:r w:rsidRPr="00AF7405">
        <w:t>Option 3</w:t>
      </w:r>
      <w:bookmarkEnd w:id="196"/>
      <w:bookmarkEnd w:id="197"/>
      <w:bookmarkEnd w:id="198"/>
      <w:bookmarkEnd w:id="199"/>
      <w:bookmarkEnd w:id="200"/>
      <w:bookmarkEnd w:id="201"/>
      <w:bookmarkEnd w:id="202"/>
    </w:p>
    <w:p w14:paraId="3D33FB02" w14:textId="77777777" w:rsidR="005636C7" w:rsidRPr="0041262C" w:rsidRDefault="005636C7" w:rsidP="005636C7">
      <w:pPr>
        <w:spacing w:after="240"/>
        <w:jc w:val="both"/>
        <w:rPr>
          <w:rFonts w:cs="Helvetica"/>
          <w:b/>
        </w:rPr>
      </w:pPr>
      <w:r w:rsidRPr="0041262C">
        <w:rPr>
          <w:rFonts w:cs="Helvetica"/>
          <w:b/>
        </w:rPr>
        <w:t>Adopt ISO and EN test methods for display, storage and related cabinets. Develop Australasian MEPS to affect the least efficient 30% of models per group. Online energy rating information is added. Implemented in 2019.</w:t>
      </w:r>
      <w:bookmarkEnd w:id="203"/>
    </w:p>
    <w:p w14:paraId="0E316095" w14:textId="77777777" w:rsidR="005636C7" w:rsidRPr="00AC7259" w:rsidRDefault="005636C7" w:rsidP="005636C7">
      <w:pPr>
        <w:pStyle w:val="E3Bullets"/>
        <w:jc w:val="both"/>
      </w:pPr>
      <w:r w:rsidRPr="00AC7259">
        <w:t xml:space="preserve">Option 3 is the same as option 2 </w:t>
      </w:r>
      <w:r>
        <w:t xml:space="preserve">(including online energy rating information) </w:t>
      </w:r>
      <w:r w:rsidRPr="00AC7259">
        <w:t>except Australasian-specific MEPS would be set to affect a greater percentage of the least efficient models – 30% rather than 10% as per option 2</w:t>
      </w:r>
      <w:r>
        <w:t xml:space="preserve"> (from 2019).</w:t>
      </w:r>
      <w:r w:rsidRPr="00AC7259">
        <w:t xml:space="preserve"> </w:t>
      </w:r>
    </w:p>
    <w:p w14:paraId="1752FA57" w14:textId="77777777" w:rsidR="005636C7" w:rsidRPr="00AF7405" w:rsidRDefault="005636C7" w:rsidP="005636C7">
      <w:pPr>
        <w:pStyle w:val="E3Heading2"/>
      </w:pPr>
      <w:bookmarkStart w:id="204" w:name="_Toc494897972"/>
      <w:bookmarkStart w:id="205" w:name="_Toc494955768"/>
      <w:bookmarkStart w:id="206" w:name="_Toc494959576"/>
      <w:bookmarkStart w:id="207" w:name="_Toc494972702"/>
      <w:bookmarkStart w:id="208" w:name="_Toc494973889"/>
      <w:bookmarkStart w:id="209" w:name="_Toc494974578"/>
      <w:bookmarkStart w:id="210" w:name="_Toc500151805"/>
      <w:bookmarkStart w:id="211" w:name="_Toc449708773"/>
      <w:r w:rsidRPr="00AF7405">
        <w:t>Option 4</w:t>
      </w:r>
      <w:bookmarkEnd w:id="204"/>
      <w:bookmarkEnd w:id="205"/>
      <w:bookmarkEnd w:id="206"/>
      <w:bookmarkEnd w:id="207"/>
      <w:bookmarkEnd w:id="208"/>
      <w:bookmarkEnd w:id="209"/>
      <w:bookmarkEnd w:id="210"/>
      <w:r w:rsidRPr="00AF7405">
        <w:t xml:space="preserve"> </w:t>
      </w:r>
    </w:p>
    <w:p w14:paraId="655A96A6" w14:textId="77777777" w:rsidR="005636C7" w:rsidRPr="0041262C" w:rsidRDefault="005636C7" w:rsidP="005636C7">
      <w:pPr>
        <w:spacing w:after="240"/>
        <w:jc w:val="both"/>
        <w:rPr>
          <w:rFonts w:cs="Helvetica"/>
          <w:b/>
        </w:rPr>
      </w:pPr>
      <w:r w:rsidRPr="0041262C">
        <w:rPr>
          <w:rFonts w:cs="Helvetica"/>
          <w:b/>
        </w:rPr>
        <w:t>Adopt ISO and EN test methods for display, storage and related cabinets. Develop Australasian MEPS to align with EC MEPS levels. Voluntary labelling is added.</w:t>
      </w:r>
      <w:bookmarkEnd w:id="211"/>
      <w:r w:rsidRPr="0041262C">
        <w:rPr>
          <w:rFonts w:cs="Helvetica"/>
          <w:b/>
        </w:rPr>
        <w:t xml:space="preserve"> Implemented in 2019.</w:t>
      </w:r>
    </w:p>
    <w:p w14:paraId="5F523D3D" w14:textId="77777777" w:rsidR="005636C7" w:rsidRDefault="005636C7" w:rsidP="005636C7">
      <w:pPr>
        <w:pStyle w:val="E3Bullets"/>
        <w:jc w:val="both"/>
      </w:pPr>
      <w:r w:rsidRPr="00AC7259">
        <w:t xml:space="preserve">Option 4 is the same as options 2 and 3 </w:t>
      </w:r>
      <w:r>
        <w:t xml:space="preserve">(including online energy rating information) </w:t>
      </w:r>
      <w:r w:rsidRPr="00AC7259">
        <w:t xml:space="preserve">except it proposes </w:t>
      </w:r>
      <w:r>
        <w:t xml:space="preserve">to align Australasian MEPS levels with </w:t>
      </w:r>
      <w:r w:rsidRPr="00AC7259">
        <w:t>EC MEPS levels</w:t>
      </w:r>
      <w:r>
        <w:t xml:space="preserve"> (see </w:t>
      </w:r>
      <w:r w:rsidRPr="006978B6">
        <w:rPr>
          <w:b/>
        </w:rPr>
        <w:t>tables 8a</w:t>
      </w:r>
      <w:r>
        <w:t xml:space="preserve"> and </w:t>
      </w:r>
      <w:r w:rsidRPr="006978B6">
        <w:rPr>
          <w:b/>
        </w:rPr>
        <w:t xml:space="preserve">table 8b </w:t>
      </w:r>
      <w:r>
        <w:t>for details)</w:t>
      </w:r>
      <w:r w:rsidRPr="00AC7259">
        <w:t xml:space="preserve"> per group</w:t>
      </w:r>
      <w:r>
        <w:t xml:space="preserve"> (from 2019).</w:t>
      </w:r>
      <w:bookmarkStart w:id="212" w:name="_Toc494897973"/>
      <w:bookmarkStart w:id="213" w:name="_Toc494955769"/>
      <w:bookmarkStart w:id="214" w:name="_Toc494959577"/>
      <w:bookmarkStart w:id="215" w:name="_Toc494972703"/>
      <w:bookmarkStart w:id="216" w:name="_Toc494973890"/>
      <w:bookmarkStart w:id="217" w:name="_Toc494974579"/>
      <w:bookmarkStart w:id="218" w:name="_Toc449708774"/>
    </w:p>
    <w:p w14:paraId="71042C51" w14:textId="77777777" w:rsidR="005636C7" w:rsidRPr="00781983" w:rsidRDefault="005636C7" w:rsidP="005636C7">
      <w:pPr>
        <w:pStyle w:val="E3Bullets"/>
        <w:jc w:val="both"/>
      </w:pPr>
    </w:p>
    <w:p w14:paraId="4825137D" w14:textId="77777777" w:rsidR="005636C7" w:rsidRPr="00AF7405" w:rsidRDefault="005636C7" w:rsidP="005636C7">
      <w:pPr>
        <w:pStyle w:val="E3Heading2"/>
      </w:pPr>
      <w:bookmarkStart w:id="219" w:name="_Toc500151806"/>
      <w:r w:rsidRPr="00AF7405">
        <w:t>Option 5</w:t>
      </w:r>
      <w:bookmarkStart w:id="220" w:name="_Toc494897974"/>
      <w:bookmarkStart w:id="221" w:name="_Toc494955770"/>
      <w:bookmarkStart w:id="222" w:name="_Toc494959578"/>
      <w:bookmarkStart w:id="223" w:name="_Toc494972704"/>
      <w:bookmarkStart w:id="224" w:name="_Toc494973891"/>
      <w:bookmarkStart w:id="225" w:name="_Toc494974580"/>
      <w:bookmarkEnd w:id="212"/>
      <w:bookmarkEnd w:id="213"/>
      <w:bookmarkEnd w:id="214"/>
      <w:bookmarkEnd w:id="215"/>
      <w:bookmarkEnd w:id="216"/>
      <w:bookmarkEnd w:id="217"/>
      <w:bookmarkEnd w:id="219"/>
    </w:p>
    <w:p w14:paraId="51698A2F" w14:textId="77777777" w:rsidR="005636C7" w:rsidRDefault="005636C7" w:rsidP="005636C7">
      <w:pPr>
        <w:pStyle w:val="E3Heading4"/>
      </w:pPr>
      <w:r>
        <w:rPr>
          <w:i/>
        </w:rPr>
        <w:t xml:space="preserve"> </w:t>
      </w:r>
      <w:r w:rsidRPr="0041262C">
        <w:t>Non-Regulatory Options</w:t>
      </w:r>
      <w:bookmarkEnd w:id="218"/>
      <w:bookmarkEnd w:id="220"/>
      <w:bookmarkEnd w:id="221"/>
      <w:bookmarkEnd w:id="222"/>
      <w:bookmarkEnd w:id="223"/>
      <w:bookmarkEnd w:id="224"/>
      <w:bookmarkEnd w:id="225"/>
      <w:r w:rsidRPr="0041262C">
        <w:t xml:space="preserve"> </w:t>
      </w:r>
    </w:p>
    <w:p w14:paraId="58E71CDE" w14:textId="77777777" w:rsidR="005636C7" w:rsidRPr="00AC7259" w:rsidRDefault="005636C7" w:rsidP="005636C7">
      <w:pPr>
        <w:pStyle w:val="E3Bullets"/>
        <w:spacing w:after="240"/>
        <w:jc w:val="both"/>
      </w:pPr>
      <w:r w:rsidRPr="00AC7259">
        <w:t>Option 5 looks at possible non-regulatory options for refrigerated commercial cabinets</w:t>
      </w:r>
      <w:r>
        <w:t>.</w:t>
      </w:r>
      <w:r w:rsidRPr="00AC7259">
        <w:t xml:space="preserve"> The aim of any intervention would be to increase the average energy efficiency of refrigerated cabinets sold into the Australian and New Zealand markets. None of the </w:t>
      </w:r>
      <w:r>
        <w:t xml:space="preserve">non-regulatory </w:t>
      </w:r>
      <w:r w:rsidRPr="00AC7259">
        <w:t xml:space="preserve">options were modelled </w:t>
      </w:r>
      <w:r>
        <w:t xml:space="preserve">as part of the </w:t>
      </w:r>
      <w:r w:rsidRPr="00AC7259">
        <w:t>cost-benefit analysis</w:t>
      </w:r>
      <w:r>
        <w:t xml:space="preserve"> but are discussed in the impacts analysis in the next section.</w:t>
      </w:r>
    </w:p>
    <w:p w14:paraId="354B4ACA" w14:textId="77777777" w:rsidR="005636C7" w:rsidRPr="00AC7259" w:rsidRDefault="005636C7" w:rsidP="005636C7">
      <w:pPr>
        <w:pStyle w:val="E3Bullets"/>
        <w:ind w:left="720"/>
        <w:jc w:val="both"/>
      </w:pPr>
    </w:p>
    <w:p w14:paraId="2480EE91" w14:textId="77777777" w:rsidR="005636C7" w:rsidRPr="00AC7259" w:rsidRDefault="005636C7" w:rsidP="005636C7">
      <w:pPr>
        <w:pStyle w:val="E3Bullets"/>
        <w:contextualSpacing w:val="0"/>
        <w:jc w:val="both"/>
      </w:pPr>
      <w:r w:rsidRPr="00AC7259">
        <w:t>Non-regulatory interventions could include:</w:t>
      </w:r>
    </w:p>
    <w:p w14:paraId="014CF996" w14:textId="77777777" w:rsidR="005636C7" w:rsidRPr="005F483B" w:rsidRDefault="005636C7" w:rsidP="005F483B">
      <w:pPr>
        <w:pStyle w:val="ListBullet"/>
        <w:spacing w:line="276" w:lineRule="auto"/>
        <w:rPr>
          <w:rFonts w:ascii="Georgia" w:hAnsi="Georgia"/>
        </w:rPr>
      </w:pPr>
      <w:r w:rsidRPr="005F483B">
        <w:rPr>
          <w:rFonts w:ascii="Georgia" w:hAnsi="Georgia"/>
        </w:rPr>
        <w:t xml:space="preserve">Incentive schemes. </w:t>
      </w:r>
    </w:p>
    <w:p w14:paraId="010F98DB" w14:textId="77777777" w:rsidR="005636C7" w:rsidRPr="005F483B" w:rsidRDefault="005636C7" w:rsidP="005F483B">
      <w:pPr>
        <w:pStyle w:val="ListBullet"/>
        <w:spacing w:line="276" w:lineRule="auto"/>
        <w:rPr>
          <w:rFonts w:ascii="Georgia" w:hAnsi="Georgia"/>
        </w:rPr>
      </w:pPr>
      <w:r w:rsidRPr="005F483B">
        <w:rPr>
          <w:rFonts w:ascii="Georgia" w:hAnsi="Georgia"/>
        </w:rPr>
        <w:t>Voluntary efficiency Standards, certification or labelling programs.</w:t>
      </w:r>
    </w:p>
    <w:p w14:paraId="4E67C73A" w14:textId="77777777" w:rsidR="005636C7" w:rsidRPr="005F483B" w:rsidRDefault="005636C7" w:rsidP="005F483B">
      <w:pPr>
        <w:pStyle w:val="ListBullet"/>
        <w:spacing w:line="276" w:lineRule="auto"/>
        <w:rPr>
          <w:rFonts w:ascii="Georgia" w:hAnsi="Georgia"/>
        </w:rPr>
      </w:pPr>
      <w:r w:rsidRPr="005F483B">
        <w:rPr>
          <w:rFonts w:ascii="Georgia" w:hAnsi="Georgia"/>
        </w:rPr>
        <w:t>Buyer education campaigns.</w:t>
      </w:r>
    </w:p>
    <w:p w14:paraId="7E52CDD9" w14:textId="77777777" w:rsidR="005636C7" w:rsidRPr="008654C5" w:rsidRDefault="005636C7" w:rsidP="005636C7">
      <w:pPr>
        <w:pStyle w:val="E3Bullets"/>
        <w:ind w:left="1003"/>
        <w:jc w:val="both"/>
      </w:pPr>
      <w:bookmarkStart w:id="226" w:name="_Toc447533588"/>
    </w:p>
    <w:p w14:paraId="49B00441" w14:textId="77777777" w:rsidR="005636C7" w:rsidRPr="006C0C1F" w:rsidRDefault="005636C7" w:rsidP="005636C7">
      <w:pPr>
        <w:pStyle w:val="E3Heading4"/>
      </w:pPr>
      <w:r w:rsidRPr="006C0C1F">
        <w:t>Incentive schemes</w:t>
      </w:r>
      <w:bookmarkEnd w:id="226"/>
    </w:p>
    <w:p w14:paraId="00A0065D" w14:textId="77777777" w:rsidR="005636C7" w:rsidRPr="00EF6371" w:rsidRDefault="005636C7" w:rsidP="00EF6371">
      <w:pPr>
        <w:pStyle w:val="E3BodyText"/>
        <w:jc w:val="both"/>
      </w:pPr>
      <w:r w:rsidRPr="00EF6371">
        <w:t>Incentive schemes have been developed for refrigeration-cycle appliances in Europe and, recently, in Australia. These schemes provide an alternative to regulatory action in Australia only as New Zealand does not have any incentive schemes.</w:t>
      </w:r>
    </w:p>
    <w:p w14:paraId="1620BB9C" w14:textId="77777777" w:rsidR="005636C7" w:rsidRPr="00EF6371" w:rsidRDefault="005636C7" w:rsidP="00EF6371">
      <w:pPr>
        <w:pStyle w:val="E3BodyText"/>
        <w:jc w:val="both"/>
      </w:pPr>
      <w:r w:rsidRPr="00EF6371">
        <w:t>In Europe, the Energy Technology List (ETL) lists the most energy efficient products and allows buyers of listed equipment to claim an Enhanced Capital Allowance (ECA) in their tax return.</w:t>
      </w:r>
      <w:r w:rsidRPr="00EF6371">
        <w:footnoteReference w:id="37"/>
      </w:r>
      <w:r w:rsidRPr="00EF6371">
        <w:t xml:space="preserve"> Buyers can claim the entire ECA in the first year after purchase (rather than over four years based on the depreciated value of the product).</w:t>
      </w:r>
    </w:p>
    <w:p w14:paraId="00CA0E64" w14:textId="77777777" w:rsidR="005636C7" w:rsidRPr="00AC7259" w:rsidRDefault="005636C7" w:rsidP="00EF6371">
      <w:pPr>
        <w:pStyle w:val="E3BodyText"/>
        <w:jc w:val="both"/>
      </w:pPr>
      <w:r w:rsidRPr="00AC7259">
        <w:t>In Australia, the Emissions Reduction Fund (developed by the Australian Department of the Environment) now provides opportunities for crediting abatement associated with the installation of high efficiency refrigerated display cabinets. It is designed to reward businesses that go the extra mile by installing and using highly efficient appliances. Businesses or their agents can register their project with the Clean Energy Regulator and receive Australian Carbon Credit Units for abatement achieved beyond business as usual by installing high efficiency units.</w:t>
      </w:r>
    </w:p>
    <w:p w14:paraId="6296D294" w14:textId="77777777" w:rsidR="005636C7" w:rsidRPr="0041262C" w:rsidRDefault="005636C7" w:rsidP="005636C7">
      <w:pPr>
        <w:pStyle w:val="E3Heading4"/>
        <w:jc w:val="both"/>
      </w:pPr>
      <w:bookmarkStart w:id="227" w:name="_Toc447533589"/>
      <w:r w:rsidRPr="0041262C">
        <w:t>Voluntary efficiency standards, codes, certification or labelling programmes</w:t>
      </w:r>
      <w:bookmarkEnd w:id="227"/>
    </w:p>
    <w:p w14:paraId="4F195B75" w14:textId="77777777" w:rsidR="005636C7" w:rsidRPr="00AC7259" w:rsidRDefault="005636C7" w:rsidP="005636C7">
      <w:pPr>
        <w:pStyle w:val="E3BodyText"/>
        <w:jc w:val="both"/>
      </w:pPr>
      <w:r w:rsidRPr="00AC7259">
        <w:t xml:space="preserve">Voluntary efficiency standards, certification schemes, high efficiency endorsement labelling or dis-endorsement programmes rely on equipment suppliers agreeing to meet certain criteria in the absence of regulation.  </w:t>
      </w:r>
      <w:r>
        <w:t>High v</w:t>
      </w:r>
      <w:r w:rsidRPr="00AC7259">
        <w:t>oluntary efficiency levels can subsequently be used to develop rebates, incentives, white certificate schemes or similar.</w:t>
      </w:r>
    </w:p>
    <w:p w14:paraId="1AD6837A" w14:textId="77777777" w:rsidR="005636C7" w:rsidRDefault="005636C7" w:rsidP="005636C7">
      <w:pPr>
        <w:pStyle w:val="E3BodyText"/>
        <w:jc w:val="both"/>
      </w:pPr>
      <w:r>
        <w:t xml:space="preserve">Suppliers </w:t>
      </w:r>
      <w:r w:rsidRPr="00AC7259">
        <w:t xml:space="preserve">rely on up-to-date </w:t>
      </w:r>
      <w:r>
        <w:t>s</w:t>
      </w:r>
      <w:r w:rsidRPr="00AC7259">
        <w:t>tandards or industry-accepted methods of testing, declarations of performance and calculations to prove that they qualify.</w:t>
      </w:r>
    </w:p>
    <w:p w14:paraId="327EAF58" w14:textId="2CC75CDF" w:rsidR="005636C7" w:rsidRPr="00AC7259" w:rsidRDefault="005636C7" w:rsidP="005F483B">
      <w:pPr>
        <w:pStyle w:val="E3BodyText"/>
      </w:pPr>
      <w:r>
        <w:t>Feedback on the Consultation RIS provided strong support for voluntary online labelling (see the Consultation Section). All regulatory options, including the new option 4, incorporate online energy rating information rather than the mandatory labelling proposed in the Consultation RIS.</w:t>
      </w:r>
    </w:p>
    <w:p w14:paraId="2499AE72" w14:textId="77777777" w:rsidR="00A31669" w:rsidRDefault="00A31669">
      <w:pPr>
        <w:rPr>
          <w:rFonts w:ascii="Georgia" w:eastAsia="Calibri" w:hAnsi="Georgia" w:cs="Georgia"/>
          <w:b/>
          <w:bCs/>
          <w:color w:val="000000"/>
          <w:szCs w:val="19"/>
          <w:lang w:val="en-US" w:eastAsia="en-US"/>
        </w:rPr>
      </w:pPr>
      <w:bookmarkStart w:id="228" w:name="_Toc447533590"/>
      <w:r>
        <w:br w:type="page"/>
      </w:r>
    </w:p>
    <w:p w14:paraId="41199C82" w14:textId="535FFDD5" w:rsidR="005636C7" w:rsidRPr="0041262C" w:rsidRDefault="005636C7" w:rsidP="00A31669">
      <w:pPr>
        <w:pStyle w:val="E3Heading4"/>
        <w:spacing w:before="240"/>
        <w:jc w:val="both"/>
      </w:pPr>
      <w:r w:rsidRPr="0041262C">
        <w:t>Buyer education programmes</w:t>
      </w:r>
      <w:bookmarkEnd w:id="228"/>
    </w:p>
    <w:p w14:paraId="0E960364" w14:textId="77777777" w:rsidR="005636C7" w:rsidRDefault="005636C7" w:rsidP="005636C7">
      <w:pPr>
        <w:pStyle w:val="E3BodyText"/>
        <w:jc w:val="both"/>
      </w:pPr>
      <w:r w:rsidRPr="00AC7259">
        <w:t>Any non-regulatory intervention would need to involve a buyer education campaign. To be effective such a campaign would need to be ongoing and target buyers across the range of purchase avenues.</w:t>
      </w:r>
      <w:r>
        <w:t xml:space="preserve"> </w:t>
      </w:r>
      <w:r w:rsidRPr="00AC7259">
        <w:t xml:space="preserve">Feedback from submissions on the product profile suggested that buyer education was important and would be needed anyway with a labelling regime. </w:t>
      </w:r>
    </w:p>
    <w:p w14:paraId="2C0CD6D7" w14:textId="77777777" w:rsidR="005636C7" w:rsidRDefault="005636C7" w:rsidP="005636C7">
      <w:pPr>
        <w:jc w:val="both"/>
        <w:rPr>
          <w:rFonts w:eastAsia="Calibri" w:cs="Georgia"/>
          <w:color w:val="000000"/>
          <w:szCs w:val="19"/>
          <w:lang w:val="en-US"/>
        </w:rPr>
      </w:pPr>
      <w:r w:rsidRPr="006C0C1F">
        <w:rPr>
          <w:rFonts w:eastAsia="Calibri" w:cs="Georgia"/>
          <w:color w:val="000000"/>
          <w:szCs w:val="19"/>
          <w:lang w:val="en-US"/>
        </w:rPr>
        <w:t>However given existing market barriers and issues with the coverage of AS 1731, the ability to influence every buyer through education may be limited</w:t>
      </w:r>
      <w:r>
        <w:rPr>
          <w:rFonts w:eastAsia="Calibri" w:cs="Georgia"/>
          <w:color w:val="000000"/>
          <w:szCs w:val="19"/>
          <w:lang w:val="en-US"/>
        </w:rPr>
        <w:t>.</w:t>
      </w:r>
    </w:p>
    <w:p w14:paraId="039AC2D6" w14:textId="77777777" w:rsidR="005636C7" w:rsidRDefault="005636C7" w:rsidP="005636C7">
      <w:pPr>
        <w:rPr>
          <w:rFonts w:eastAsia="Calibri" w:cs="Georgia"/>
          <w:color w:val="000000"/>
          <w:szCs w:val="19"/>
          <w:lang w:val="en-US"/>
        </w:rPr>
      </w:pPr>
      <w:r>
        <w:rPr>
          <w:rFonts w:eastAsia="Calibri" w:cs="Georgia"/>
          <w:color w:val="000000"/>
          <w:szCs w:val="19"/>
          <w:lang w:val="en-US"/>
        </w:rPr>
        <w:br w:type="page"/>
      </w:r>
    </w:p>
    <w:p w14:paraId="63313F37" w14:textId="77777777" w:rsidR="005636C7" w:rsidRPr="00502B57" w:rsidRDefault="005636C7" w:rsidP="00502B57">
      <w:pPr>
        <w:spacing w:after="113" w:line="278" w:lineRule="auto"/>
        <w:jc w:val="both"/>
        <w:rPr>
          <w:rFonts w:ascii="Georgia" w:eastAsia="Calibri" w:hAnsi="Georgia" w:cs="Georgia"/>
          <w:color w:val="000000"/>
          <w:szCs w:val="19"/>
          <w:lang w:val="en-US" w:eastAsia="en-US"/>
        </w:rPr>
      </w:pPr>
    </w:p>
    <w:p w14:paraId="73531903" w14:textId="77777777" w:rsidR="005636C7" w:rsidRPr="00502B57" w:rsidRDefault="005636C7" w:rsidP="00502B57">
      <w:pPr>
        <w:spacing w:after="113" w:line="278" w:lineRule="auto"/>
        <w:jc w:val="both"/>
        <w:rPr>
          <w:rFonts w:ascii="Georgia" w:eastAsia="Calibri" w:hAnsi="Georgia" w:cs="Georgia"/>
          <w:color w:val="000000"/>
          <w:szCs w:val="19"/>
          <w:lang w:val="en-US" w:eastAsia="en-US"/>
        </w:rPr>
      </w:pPr>
    </w:p>
    <w:p w14:paraId="55F387D7" w14:textId="77777777" w:rsidR="005636C7" w:rsidRDefault="005636C7" w:rsidP="000F6ACF">
      <w:pPr>
        <w:pStyle w:val="E3ChapterTitle"/>
        <w:numPr>
          <w:ilvl w:val="0"/>
          <w:numId w:val="30"/>
        </w:numPr>
      </w:pPr>
      <w:bookmarkStart w:id="229" w:name="_Toc500151807"/>
      <w:r>
        <w:rPr>
          <w:noProof/>
          <w:lang w:eastAsia="en-AU"/>
        </w:rPr>
        <w:drawing>
          <wp:anchor distT="0" distB="0" distL="114300" distR="114300" simplePos="0" relativeHeight="251664384" behindDoc="1" locked="1" layoutInCell="1" allowOverlap="1" wp14:anchorId="25F7056F" wp14:editId="10982CF3">
            <wp:simplePos x="0" y="0"/>
            <wp:positionH relativeFrom="margin">
              <wp:posOffset>-342900</wp:posOffset>
            </wp:positionH>
            <wp:positionV relativeFrom="margin">
              <wp:align>top</wp:align>
            </wp:positionV>
            <wp:extent cx="6124575" cy="1800225"/>
            <wp:effectExtent l="0" t="0" r="9525" b="9525"/>
            <wp:wrapNone/>
            <wp:docPr id="23"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Impacts</w:t>
      </w:r>
      <w:bookmarkEnd w:id="229"/>
    </w:p>
    <w:p w14:paraId="7AAF37C4" w14:textId="77777777" w:rsidR="005636C7" w:rsidRDefault="005636C7" w:rsidP="005636C7">
      <w:pPr>
        <w:pStyle w:val="E3BodyText"/>
      </w:pPr>
    </w:p>
    <w:p w14:paraId="2EFB534A" w14:textId="77777777" w:rsidR="005636C7" w:rsidRDefault="005636C7" w:rsidP="005636C7">
      <w:pPr>
        <w:pStyle w:val="E3BodyText"/>
        <w:jc w:val="both"/>
      </w:pPr>
      <w:r>
        <w:t>This section identifies the groups of stakeholders likely to be affected by each option and outline the associated benefits and costs</w:t>
      </w:r>
      <w:r>
        <w:rPr>
          <w:rStyle w:val="FootnoteReference"/>
        </w:rPr>
        <w:footnoteReference w:id="38"/>
      </w:r>
      <w:r>
        <w:t>, as well as the distribution of these costs and benefits. In analysing each option, this RIS will assess the impact on those issues identified in the problem section, and whether the identified objectives can be achieved.</w:t>
      </w:r>
    </w:p>
    <w:p w14:paraId="7AB705BC" w14:textId="77777777" w:rsidR="005636C7" w:rsidRDefault="005636C7" w:rsidP="005636C7">
      <w:pPr>
        <w:pStyle w:val="E3BodyText"/>
        <w:jc w:val="both"/>
      </w:pPr>
      <w:r>
        <w:t xml:space="preserve">The full methodology and analysis, including modelling assumptions and an assessment of the regulatory cost burden on Australian companies, is available at </w:t>
      </w:r>
      <w:r>
        <w:rPr>
          <w:b/>
        </w:rPr>
        <w:t>Attachment C</w:t>
      </w:r>
      <w:r>
        <w:t>.</w:t>
      </w:r>
    </w:p>
    <w:p w14:paraId="5A6404EA" w14:textId="77777777" w:rsidR="005636C7" w:rsidRDefault="005636C7" w:rsidP="005636C7">
      <w:pPr>
        <w:pStyle w:val="E3BodyText"/>
        <w:jc w:val="both"/>
      </w:pPr>
    </w:p>
    <w:p w14:paraId="4A1D7C85" w14:textId="77777777" w:rsidR="005636C7" w:rsidRPr="0041262C" w:rsidRDefault="005636C7" w:rsidP="005636C7">
      <w:pPr>
        <w:pStyle w:val="E3Heading2"/>
        <w:jc w:val="both"/>
      </w:pPr>
      <w:bookmarkStart w:id="230" w:name="_Toc500151808"/>
      <w:r w:rsidRPr="0041262C">
        <w:t>Option 1: Business as Usual (BAU)</w:t>
      </w:r>
      <w:bookmarkEnd w:id="230"/>
    </w:p>
    <w:p w14:paraId="683EC94A" w14:textId="77777777" w:rsidR="005636C7" w:rsidRDefault="005636C7" w:rsidP="005636C7">
      <w:pPr>
        <w:pStyle w:val="E3BodyText"/>
        <w:jc w:val="both"/>
      </w:pPr>
      <w:r>
        <w:t xml:space="preserve">Under BAU there is no change to the current requirements for refrigerated commercial cabinets and no policy intervention. This means that the energy efficiency benefits still continue from the existing requirements. </w:t>
      </w:r>
    </w:p>
    <w:p w14:paraId="4BBD06F4" w14:textId="77777777" w:rsidR="005636C7" w:rsidRDefault="005636C7" w:rsidP="005636C7">
      <w:pPr>
        <w:pStyle w:val="E3BodyText"/>
        <w:jc w:val="both"/>
      </w:pPr>
      <w:r>
        <w:t xml:space="preserve">A BAU efficiency improvement of 1.0% pa (based on sales weighted efficiency from 2008 – 2012 from actual sales data) is assumed.  This improvement in efficiency can be expected to continue, given ongoing changes in technology and increased user awareness of the cost of energy and international demand for greenhouse gas reductions.  However, growth in energy use will outstrip BAU efficiency improvements so that energy consumption will continue to grow, albeit gradually, in both Australian and New Zealand under the BAU scenario. </w:t>
      </w:r>
    </w:p>
    <w:p w14:paraId="2DC0AE23" w14:textId="77777777" w:rsidR="005636C7" w:rsidRPr="0074153A" w:rsidRDefault="005636C7" w:rsidP="005636C7">
      <w:pPr>
        <w:pStyle w:val="E3BodyText"/>
        <w:spacing w:after="114"/>
        <w:jc w:val="both"/>
      </w:pPr>
      <w:r>
        <w:t>It is worth noting that this option, when compared to the other options below, would see Australian and New Zealand consumers experiencing lost energy savings of up to 1,361 GWh per year</w:t>
      </w:r>
      <w:r>
        <w:rPr>
          <w:rStyle w:val="FootnoteReference"/>
        </w:rPr>
        <w:footnoteReference w:id="39"/>
      </w:r>
      <w:r>
        <w:t>, along with the lost opportunity to reduce CO2 emissions. In addition:</w:t>
      </w:r>
    </w:p>
    <w:p w14:paraId="53E532FB" w14:textId="77777777" w:rsidR="005636C7" w:rsidRPr="00A31669" w:rsidRDefault="005636C7" w:rsidP="00A31669">
      <w:pPr>
        <w:pStyle w:val="ListBullet"/>
        <w:spacing w:line="276" w:lineRule="auto"/>
        <w:rPr>
          <w:rFonts w:ascii="Georgia" w:hAnsi="Georgia"/>
          <w:lang w:val="en-NZ"/>
        </w:rPr>
      </w:pPr>
      <w:r w:rsidRPr="00A31669">
        <w:rPr>
          <w:rFonts w:ascii="Georgia" w:hAnsi="Georgia"/>
          <w:lang w:val="en-NZ"/>
        </w:rPr>
        <w:t xml:space="preserve">Suppliers and regulators will continue to encounter problems with the complex and outdated AS 1731 test standard. </w:t>
      </w:r>
    </w:p>
    <w:p w14:paraId="1AE19EDA" w14:textId="77777777" w:rsidR="005636C7" w:rsidRPr="00A31669" w:rsidRDefault="005636C7" w:rsidP="00A31669">
      <w:pPr>
        <w:pStyle w:val="ListBullet"/>
        <w:spacing w:line="276" w:lineRule="auto"/>
        <w:rPr>
          <w:rFonts w:ascii="Georgia" w:hAnsi="Georgia"/>
        </w:rPr>
      </w:pPr>
      <w:r w:rsidRPr="00A31669">
        <w:rPr>
          <w:rFonts w:ascii="Georgia" w:hAnsi="Georgia"/>
        </w:rPr>
        <w:t xml:space="preserve">AS 1731 will continue to provide incomplete coverage of the refrigerated commercial cabinet market, with an increasing share of that market not subject to compliance requirements. </w:t>
      </w:r>
    </w:p>
    <w:p w14:paraId="5C97D89A" w14:textId="77777777" w:rsidR="005636C7" w:rsidRPr="00A31669" w:rsidRDefault="005636C7" w:rsidP="00A31669">
      <w:pPr>
        <w:pStyle w:val="ListBullet"/>
        <w:spacing w:line="276" w:lineRule="auto"/>
        <w:rPr>
          <w:rFonts w:ascii="Georgia" w:hAnsi="Georgia"/>
        </w:rPr>
      </w:pPr>
      <w:r w:rsidRPr="00A31669">
        <w:rPr>
          <w:rFonts w:ascii="Georgia" w:hAnsi="Georgia"/>
        </w:rPr>
        <w:t>Some products will continue to have ‘no value” – as they are not allocated MEPS levels under AS 1731, they do not have to comply with efficiency levels and are likely to remain unregistered. The industry will continue to perceive this as being unfair, there being no technical reason why some cabinet types remain unregulated when they provide a similar function and have similar characteristics to regulated types. Unregulated cabinet types will continue to use significant amounts of energy in both countries.</w:t>
      </w:r>
    </w:p>
    <w:p w14:paraId="485D69C1" w14:textId="77777777" w:rsidR="005636C7" w:rsidRPr="00A31669" w:rsidRDefault="005636C7" w:rsidP="00A31669">
      <w:pPr>
        <w:pStyle w:val="ListBullet"/>
        <w:spacing w:line="276" w:lineRule="auto"/>
        <w:rPr>
          <w:rFonts w:ascii="Georgia" w:hAnsi="Georgia"/>
        </w:rPr>
      </w:pPr>
      <w:r w:rsidRPr="00A31669">
        <w:rPr>
          <w:rFonts w:ascii="Georgia" w:hAnsi="Georgia"/>
        </w:rPr>
        <w:t>Unless MEPS levels are more stringent, demand on energy from the market will continue to significantly outstrip any normal predicted improvements in technology. Regulating a wider product base combined with increased MEPS levels helps to slow energy demand.</w:t>
      </w:r>
      <w:r w:rsidRPr="00A31669">
        <w:rPr>
          <w:rFonts w:ascii="Georgia" w:hAnsi="Georgia"/>
          <w:lang w:val="en-NZ"/>
        </w:rPr>
        <w:t xml:space="preserve"> </w:t>
      </w:r>
    </w:p>
    <w:p w14:paraId="42AEFAD6" w14:textId="77777777" w:rsidR="005636C7" w:rsidRPr="00A31669" w:rsidRDefault="005636C7" w:rsidP="00A31669">
      <w:pPr>
        <w:pStyle w:val="ListBullet"/>
        <w:spacing w:line="276" w:lineRule="auto"/>
        <w:rPr>
          <w:rFonts w:ascii="Georgia" w:hAnsi="Georgia"/>
        </w:rPr>
      </w:pPr>
      <w:r w:rsidRPr="00A31669">
        <w:rPr>
          <w:rFonts w:ascii="Georgia" w:hAnsi="Georgia"/>
          <w:lang w:val="en-NZ"/>
        </w:rPr>
        <w:t>The absence of labelling and lack of comparative information about energy efficiency will continue to prevent consumers from assessing the relative energy efficiency of different display cabinets. As a result they may incur higher running costs than necessary.</w:t>
      </w:r>
    </w:p>
    <w:p w14:paraId="4DD9C8E5" w14:textId="77777777" w:rsidR="005636C7" w:rsidRPr="00DC72E7" w:rsidRDefault="005636C7" w:rsidP="005636C7">
      <w:pPr>
        <w:pStyle w:val="E3Bullets"/>
        <w:autoSpaceDE/>
        <w:autoSpaceDN/>
        <w:adjustRightInd/>
        <w:spacing w:after="113" w:line="276" w:lineRule="auto"/>
        <w:ind w:left="643"/>
        <w:jc w:val="both"/>
      </w:pPr>
    </w:p>
    <w:p w14:paraId="36FCDB46" w14:textId="77777777" w:rsidR="005636C7" w:rsidRPr="00681F91" w:rsidRDefault="005636C7" w:rsidP="005636C7">
      <w:pPr>
        <w:pStyle w:val="E3Heading2"/>
        <w:jc w:val="both"/>
      </w:pPr>
      <w:bookmarkStart w:id="231" w:name="_Toc500151809"/>
      <w:r w:rsidRPr="0041262C">
        <w:t>Option 2</w:t>
      </w:r>
      <w:bookmarkEnd w:id="231"/>
      <w:r w:rsidRPr="0041262C">
        <w:t xml:space="preserve"> </w:t>
      </w:r>
    </w:p>
    <w:p w14:paraId="1D74DD5B" w14:textId="77777777" w:rsidR="005636C7" w:rsidRPr="0041262C" w:rsidRDefault="005636C7" w:rsidP="005636C7">
      <w:pPr>
        <w:spacing w:after="240"/>
        <w:jc w:val="both"/>
        <w:rPr>
          <w:rFonts w:cs="Helvetica"/>
          <w:b/>
        </w:rPr>
      </w:pPr>
      <w:r w:rsidRPr="0041262C">
        <w:rPr>
          <w:rFonts w:cs="Helvetica"/>
          <w:b/>
        </w:rPr>
        <w:t>Adopt ISO and EN test methods for display, storage and related cabinets. Develop Australasian MEPS to affect the least efficient 10% of models per group. Voluntary labelling is added. Implemented in 2019.</w:t>
      </w:r>
    </w:p>
    <w:p w14:paraId="275CA621" w14:textId="77777777" w:rsidR="005636C7" w:rsidRDefault="005636C7" w:rsidP="005636C7">
      <w:pPr>
        <w:pStyle w:val="E3BodyText"/>
        <w:jc w:val="both"/>
      </w:pPr>
      <w:r w:rsidRPr="00AC7259">
        <w:t>Option 2 proposes Australasian-specific MEPS set at an amalgamated group level to affect the least efficient 10% of cabinet models per group</w:t>
      </w:r>
      <w:r>
        <w:t>, with</w:t>
      </w:r>
      <w:r w:rsidRPr="00AC7259">
        <w:t xml:space="preserve"> </w:t>
      </w:r>
      <w:r>
        <w:t xml:space="preserve">voluntary online </w:t>
      </w:r>
      <w:r w:rsidRPr="00AC7259">
        <w:t xml:space="preserve">labelling is </w:t>
      </w:r>
      <w:r>
        <w:t xml:space="preserve">added (from 2019). </w:t>
      </w:r>
    </w:p>
    <w:p w14:paraId="285E1110" w14:textId="77777777" w:rsidR="005636C7" w:rsidRPr="006C0C1F" w:rsidRDefault="005636C7" w:rsidP="005636C7">
      <w:pPr>
        <w:pStyle w:val="E3BodyText"/>
        <w:jc w:val="both"/>
      </w:pPr>
      <w:r w:rsidRPr="00AC7259">
        <w:t xml:space="preserve">MEPS levels would be devised per group using model-weighted registration data, where this is available, from the E3 registration database and estimates from European data where there is no local data.  This approach would accord with the group-level MEPS method being applied in Europe and make it easier to transition to EC MEPS levels in the future should the need arise. </w:t>
      </w:r>
    </w:p>
    <w:p w14:paraId="3BC15AD2" w14:textId="77777777" w:rsidR="005636C7" w:rsidRPr="00CA6FCF" w:rsidRDefault="005636C7" w:rsidP="005636C7">
      <w:pPr>
        <w:pStyle w:val="E3BodyText"/>
        <w:jc w:val="both"/>
      </w:pPr>
      <w:r w:rsidRPr="00CA6FCF">
        <w:t>Option 2 proposes the following changes to BAU:</w:t>
      </w:r>
    </w:p>
    <w:p w14:paraId="03C5F320" w14:textId="77777777" w:rsidR="005636C7" w:rsidRDefault="005636C7" w:rsidP="000F6ACF">
      <w:pPr>
        <w:pStyle w:val="E3BodyText"/>
        <w:numPr>
          <w:ilvl w:val="0"/>
          <w:numId w:val="28"/>
        </w:numPr>
        <w:jc w:val="both"/>
      </w:pPr>
      <w:r w:rsidRPr="00CA6FCF">
        <w:t xml:space="preserve">Adopt ISO and EN test methods for display, storage and related cabinets. </w:t>
      </w:r>
    </w:p>
    <w:p w14:paraId="5C0CB504" w14:textId="77777777" w:rsidR="005636C7" w:rsidRDefault="005636C7" w:rsidP="000F6ACF">
      <w:pPr>
        <w:pStyle w:val="E3BodyText"/>
        <w:numPr>
          <w:ilvl w:val="0"/>
          <w:numId w:val="28"/>
        </w:numPr>
        <w:jc w:val="both"/>
      </w:pPr>
      <w:r w:rsidRPr="00CA6FCF">
        <w:t>Introduce Australasian MEPS to effect the least ef</w:t>
      </w:r>
      <w:r>
        <w:t>ficient 10% of models per group</w:t>
      </w:r>
    </w:p>
    <w:p w14:paraId="6E89429A" w14:textId="77777777" w:rsidR="005636C7" w:rsidRDefault="005636C7" w:rsidP="000F6ACF">
      <w:pPr>
        <w:pStyle w:val="E3BodyText"/>
        <w:numPr>
          <w:ilvl w:val="0"/>
          <w:numId w:val="28"/>
        </w:numPr>
        <w:jc w:val="both"/>
      </w:pPr>
      <w:r w:rsidRPr="00CA6FCF">
        <w:t>Introduce voluntary online energy efficiency labelling</w:t>
      </w:r>
    </w:p>
    <w:p w14:paraId="22CCFA38" w14:textId="77777777" w:rsidR="005636C7" w:rsidRDefault="005636C7" w:rsidP="000F6ACF">
      <w:pPr>
        <w:pStyle w:val="E3BodyText"/>
        <w:numPr>
          <w:ilvl w:val="0"/>
          <w:numId w:val="28"/>
        </w:numPr>
        <w:jc w:val="both"/>
      </w:pPr>
      <w:r w:rsidRPr="00CA6FCF">
        <w:t>Deemed to comply registration pathway</w:t>
      </w:r>
    </w:p>
    <w:p w14:paraId="2CA7FBF4" w14:textId="77777777" w:rsidR="005636C7" w:rsidRPr="00CA6FCF" w:rsidRDefault="005636C7" w:rsidP="000F6ACF">
      <w:pPr>
        <w:pStyle w:val="E3BodyText"/>
        <w:numPr>
          <w:ilvl w:val="0"/>
          <w:numId w:val="28"/>
        </w:numPr>
        <w:jc w:val="both"/>
      </w:pPr>
      <w:r w:rsidRPr="00CA6FCF">
        <w:t xml:space="preserve">Implementation December 2019. </w:t>
      </w:r>
    </w:p>
    <w:p w14:paraId="2989464C" w14:textId="77777777" w:rsidR="005636C7" w:rsidRDefault="005636C7" w:rsidP="005636C7">
      <w:pPr>
        <w:pStyle w:val="E3BodyText"/>
        <w:jc w:val="both"/>
      </w:pPr>
    </w:p>
    <w:p w14:paraId="30B8CC2E" w14:textId="77777777" w:rsidR="00A31669" w:rsidRDefault="00A31669">
      <w:pPr>
        <w:rPr>
          <w:rFonts w:ascii="Georgia" w:eastAsia="Calibri" w:hAnsi="Georgia" w:cs="Georgia"/>
          <w:color w:val="000000"/>
          <w:szCs w:val="19"/>
          <w:lang w:val="en-US" w:eastAsia="en-US"/>
        </w:rPr>
      </w:pPr>
      <w:r>
        <w:br w:type="page"/>
      </w:r>
    </w:p>
    <w:p w14:paraId="125AADC6" w14:textId="16D62792" w:rsidR="005636C7" w:rsidRDefault="005636C7" w:rsidP="005636C7">
      <w:pPr>
        <w:pStyle w:val="E3BodyText"/>
        <w:jc w:val="both"/>
        <w:rPr>
          <w:b/>
        </w:rPr>
      </w:pPr>
      <w:r>
        <w:t>Each regulatory option have advantages and disadvantages compared to BAU:</w:t>
      </w:r>
    </w:p>
    <w:p w14:paraId="3BC94871" w14:textId="77777777" w:rsidR="005636C7" w:rsidRDefault="005636C7" w:rsidP="005636C7">
      <w:pPr>
        <w:pStyle w:val="E3Heading1"/>
        <w:spacing w:before="240" w:after="240"/>
        <w:jc w:val="both"/>
        <w:rPr>
          <w:rFonts w:ascii="Georgia" w:hAnsi="Georgia" w:cs="Times New Roman"/>
          <w:b w:val="0"/>
          <w:sz w:val="24"/>
          <w:szCs w:val="24"/>
        </w:rPr>
      </w:pPr>
      <w:bookmarkStart w:id="232" w:name="_Toc500151810"/>
      <w:r>
        <w:rPr>
          <w:rFonts w:ascii="Georgia" w:hAnsi="Georgia" w:cs="Times New Roman"/>
          <w:b w:val="0"/>
          <w:sz w:val="24"/>
          <w:szCs w:val="24"/>
        </w:rPr>
        <w:t>Advantages of Option 2:</w:t>
      </w:r>
      <w:bookmarkEnd w:id="232"/>
    </w:p>
    <w:p w14:paraId="33ECE3C7"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Clarification and simplification of regulatory requirements that align with international testing, cabinet classification and methods to determine MEPS levels. </w:t>
      </w:r>
    </w:p>
    <w:p w14:paraId="21EB2322"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Removal of “grey” areas of scope of current regulations by including refrigerated storage cabinets and aligning scope of regulations with international standards. </w:t>
      </w:r>
    </w:p>
    <w:p w14:paraId="54AFA106" w14:textId="77777777" w:rsidR="005636C7" w:rsidRPr="00A31669" w:rsidRDefault="005636C7" w:rsidP="00A31669">
      <w:pPr>
        <w:pStyle w:val="ListBullet"/>
        <w:spacing w:line="276" w:lineRule="auto"/>
        <w:rPr>
          <w:rFonts w:ascii="Georgia" w:hAnsi="Georgia"/>
          <w:b/>
        </w:rPr>
      </w:pPr>
      <w:r w:rsidRPr="00A31669">
        <w:rPr>
          <w:rFonts w:ascii="Georgia" w:hAnsi="Georgia"/>
        </w:rPr>
        <w:t>It will also enable broader families of cabinet models to be designated and registered, which will reduce the number of registrations by an estimated 20%.</w:t>
      </w:r>
    </w:p>
    <w:p w14:paraId="70C13C91" w14:textId="77777777" w:rsidR="005636C7" w:rsidRPr="00A31669" w:rsidRDefault="005636C7" w:rsidP="00A31669">
      <w:pPr>
        <w:pStyle w:val="ListBullet"/>
        <w:spacing w:line="276" w:lineRule="auto"/>
        <w:rPr>
          <w:rFonts w:ascii="Georgia" w:hAnsi="Georgia"/>
          <w:b/>
        </w:rPr>
      </w:pPr>
      <w:r w:rsidRPr="00A31669">
        <w:rPr>
          <w:rFonts w:ascii="Georgia" w:hAnsi="Georgia"/>
        </w:rPr>
        <w:t>Reduced compliance costs to suppliers of low volume products through deemed to comply compliance pathway</w:t>
      </w:r>
    </w:p>
    <w:p w14:paraId="403D7B44" w14:textId="77777777" w:rsidR="005636C7" w:rsidRPr="00A31669" w:rsidRDefault="005636C7" w:rsidP="00A31669">
      <w:pPr>
        <w:pStyle w:val="ListBullet"/>
        <w:spacing w:line="276" w:lineRule="auto"/>
        <w:rPr>
          <w:rFonts w:ascii="Georgia" w:hAnsi="Georgia"/>
          <w:b/>
        </w:rPr>
      </w:pPr>
      <w:r w:rsidRPr="00A31669">
        <w:rPr>
          <w:rFonts w:ascii="Georgia" w:hAnsi="Georgia"/>
        </w:rPr>
        <w:t>Lower overall cost of commercial refrigeration to consumers and improved consumer information regarding energy consumption through online labelling</w:t>
      </w:r>
    </w:p>
    <w:p w14:paraId="11AEAB75"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Additional energy savings and greenhouse gas savings </w:t>
      </w:r>
    </w:p>
    <w:p w14:paraId="74F4737A" w14:textId="77777777" w:rsidR="005636C7" w:rsidRDefault="005636C7" w:rsidP="005636C7">
      <w:pPr>
        <w:pStyle w:val="E3Heading1"/>
        <w:spacing w:before="240" w:after="240"/>
        <w:jc w:val="both"/>
        <w:rPr>
          <w:rFonts w:ascii="Georgia" w:hAnsi="Georgia" w:cs="Times New Roman"/>
          <w:b w:val="0"/>
          <w:sz w:val="24"/>
          <w:szCs w:val="24"/>
        </w:rPr>
      </w:pPr>
      <w:bookmarkStart w:id="233" w:name="_Toc500151811"/>
      <w:r>
        <w:rPr>
          <w:rFonts w:ascii="Georgia" w:hAnsi="Georgia" w:cs="Times New Roman"/>
          <w:b w:val="0"/>
          <w:sz w:val="24"/>
          <w:szCs w:val="24"/>
        </w:rPr>
        <w:t>Dis-advantages of Option 2:</w:t>
      </w:r>
      <w:bookmarkEnd w:id="233"/>
    </w:p>
    <w:p w14:paraId="60FF1690" w14:textId="77777777" w:rsidR="005636C7" w:rsidRPr="00A31669" w:rsidRDefault="005636C7" w:rsidP="00A31669">
      <w:pPr>
        <w:pStyle w:val="ListBullet"/>
        <w:spacing w:line="276" w:lineRule="auto"/>
        <w:rPr>
          <w:rFonts w:ascii="Georgia" w:hAnsi="Georgia"/>
          <w:b/>
        </w:rPr>
      </w:pPr>
      <w:r w:rsidRPr="00A31669">
        <w:rPr>
          <w:rFonts w:ascii="Georgia" w:hAnsi="Georgia"/>
        </w:rPr>
        <w:t xml:space="preserve">An overall increase in costs to suppliers due to introducing MEPS to currently unregulated refrigerated storage cabinets   </w:t>
      </w:r>
    </w:p>
    <w:p w14:paraId="35118D45" w14:textId="77777777" w:rsidR="005636C7" w:rsidRDefault="005636C7" w:rsidP="005636C7">
      <w:pPr>
        <w:pStyle w:val="E3Heading2"/>
        <w:jc w:val="both"/>
      </w:pPr>
    </w:p>
    <w:p w14:paraId="7D656CAD" w14:textId="77777777" w:rsidR="005636C7" w:rsidRPr="00F056E3" w:rsidRDefault="005636C7" w:rsidP="005636C7">
      <w:pPr>
        <w:pStyle w:val="E3Heading2"/>
        <w:jc w:val="both"/>
      </w:pPr>
      <w:bookmarkStart w:id="234" w:name="_Toc500151812"/>
      <w:r w:rsidRPr="00F056E3">
        <w:t>Impacts on Market Participants</w:t>
      </w:r>
      <w:bookmarkEnd w:id="234"/>
    </w:p>
    <w:p w14:paraId="3707162B" w14:textId="77777777" w:rsidR="005636C7" w:rsidRDefault="005636C7" w:rsidP="005636C7">
      <w:pPr>
        <w:pStyle w:val="E3BodyText"/>
        <w:jc w:val="both"/>
        <w:rPr>
          <w:b/>
        </w:rPr>
      </w:pPr>
      <w:r w:rsidRPr="00764FA1">
        <w:t xml:space="preserve">The impact on </w:t>
      </w:r>
      <w:r>
        <w:t xml:space="preserve">each </w:t>
      </w:r>
      <w:r w:rsidRPr="00764FA1">
        <w:t>participant in the refrigerated commercial cabinet</w:t>
      </w:r>
      <w:r>
        <w:t xml:space="preserve"> market from option 2 are as follows:</w:t>
      </w:r>
    </w:p>
    <w:p w14:paraId="25EA4A10" w14:textId="77777777" w:rsidR="005636C7" w:rsidRPr="00F056E3" w:rsidRDefault="005636C7" w:rsidP="005636C7">
      <w:pPr>
        <w:pStyle w:val="E3Heading4"/>
        <w:jc w:val="both"/>
      </w:pPr>
      <w:r w:rsidRPr="00F056E3">
        <w:t>Suppliers</w:t>
      </w:r>
    </w:p>
    <w:p w14:paraId="28280482" w14:textId="77777777" w:rsidR="005636C7" w:rsidRDefault="005636C7" w:rsidP="005636C7">
      <w:pPr>
        <w:pStyle w:val="E3Bullets"/>
        <w:spacing w:before="120" w:line="276" w:lineRule="auto"/>
        <w:jc w:val="both"/>
      </w:pPr>
      <w:r>
        <w:t xml:space="preserve">Option 2 will simplify compliance and reduce compliance costs for currently regulated products but overall compliance costs will increase due to introducing regulations for previously unregulated refrigerated storage cabinets.  For more detail on the positive and negative effects on suppliers of refrigerated commercial cabinets sold in Australia and New Zealand see below. </w:t>
      </w:r>
    </w:p>
    <w:p w14:paraId="2241A7A6" w14:textId="77777777" w:rsidR="005636C7" w:rsidRDefault="005636C7" w:rsidP="005636C7">
      <w:pPr>
        <w:pStyle w:val="E3Bullets"/>
        <w:spacing w:before="120" w:line="276" w:lineRule="auto"/>
        <w:jc w:val="both"/>
      </w:pPr>
    </w:p>
    <w:p w14:paraId="4BC95C87" w14:textId="77777777" w:rsidR="005636C7" w:rsidRDefault="005636C7" w:rsidP="005636C7">
      <w:pPr>
        <w:pStyle w:val="E3Heading4"/>
        <w:jc w:val="both"/>
      </w:pPr>
      <w:r>
        <w:t>Positive effects:</w:t>
      </w:r>
    </w:p>
    <w:p w14:paraId="06EF7CFD" w14:textId="77777777" w:rsidR="005636C7" w:rsidRDefault="005636C7" w:rsidP="005636C7">
      <w:pPr>
        <w:pStyle w:val="E3BodyText"/>
        <w:jc w:val="both"/>
      </w:pPr>
      <w:r>
        <w:t>Suppliers would no longer need to access, interpret and comply with the very complicated and confusing regionally–specific Australian test standards and no longer need to:</w:t>
      </w:r>
    </w:p>
    <w:p w14:paraId="2C9AB680" w14:textId="77777777" w:rsidR="005636C7" w:rsidRDefault="005636C7" w:rsidP="000F6ACF">
      <w:pPr>
        <w:pStyle w:val="E3Bullets"/>
        <w:numPr>
          <w:ilvl w:val="0"/>
          <w:numId w:val="15"/>
        </w:numPr>
        <w:autoSpaceDE/>
        <w:autoSpaceDN/>
        <w:adjustRightInd/>
        <w:spacing w:before="120" w:after="113" w:line="276" w:lineRule="auto"/>
        <w:jc w:val="both"/>
      </w:pPr>
      <w:r>
        <w:t>Purchase the Australian Standard</w:t>
      </w:r>
    </w:p>
    <w:p w14:paraId="46581601" w14:textId="77777777" w:rsidR="005636C7" w:rsidRDefault="005636C7" w:rsidP="000F6ACF">
      <w:pPr>
        <w:pStyle w:val="E3Bullets"/>
        <w:numPr>
          <w:ilvl w:val="0"/>
          <w:numId w:val="15"/>
        </w:numPr>
        <w:autoSpaceDE/>
        <w:autoSpaceDN/>
        <w:adjustRightInd/>
        <w:spacing w:before="120" w:after="113" w:line="276" w:lineRule="auto"/>
        <w:jc w:val="both"/>
      </w:pPr>
      <w:r>
        <w:t>Have appliances tested to the Australian Standard</w:t>
      </w:r>
    </w:p>
    <w:p w14:paraId="3C510579" w14:textId="77777777" w:rsidR="005636C7" w:rsidRDefault="005636C7" w:rsidP="000F6ACF">
      <w:pPr>
        <w:pStyle w:val="E3Bullets"/>
        <w:numPr>
          <w:ilvl w:val="0"/>
          <w:numId w:val="15"/>
        </w:numPr>
        <w:autoSpaceDE/>
        <w:autoSpaceDN/>
        <w:adjustRightInd/>
        <w:spacing w:before="120" w:after="113" w:line="276" w:lineRule="auto"/>
        <w:jc w:val="both"/>
      </w:pPr>
      <w:r>
        <w:t>Incur administrative costs associated with interpreting and complying with the unique Australia/New Zealand specific test Standard</w:t>
      </w:r>
    </w:p>
    <w:p w14:paraId="227E0ADF" w14:textId="77777777" w:rsidR="0027738F" w:rsidRDefault="0027738F">
      <w:pPr>
        <w:rPr>
          <w:rFonts w:ascii="Georgia" w:eastAsia="Calibri" w:hAnsi="Georgia" w:cs="Georgia"/>
          <w:color w:val="000000"/>
          <w:szCs w:val="19"/>
          <w:lang w:val="en-US" w:eastAsia="en-US"/>
        </w:rPr>
      </w:pPr>
      <w:r>
        <w:br w:type="page"/>
      </w:r>
    </w:p>
    <w:p w14:paraId="0B4BB605" w14:textId="57243124" w:rsidR="005636C7" w:rsidRDefault="005636C7" w:rsidP="005636C7">
      <w:pPr>
        <w:pStyle w:val="E3BodyText"/>
        <w:jc w:val="both"/>
        <w:rPr>
          <w:b/>
        </w:rPr>
      </w:pPr>
      <w:r>
        <w:t>As product groupings will be aligned with international standards and convention it will be much easier for local importers (</w:t>
      </w:r>
      <w:r w:rsidRPr="008A1AA5">
        <w:t>who account for approximately 95% of all refrigerated cabinets sold in the Australasian market</w:t>
      </w:r>
      <w:r>
        <w:t>)</w:t>
      </w:r>
      <w:r w:rsidRPr="0041262C">
        <w:rPr>
          <w:rStyle w:val="FootnoteReference"/>
          <w:szCs w:val="24"/>
        </w:rPr>
        <w:footnoteReference w:id="40"/>
      </w:r>
      <w:r w:rsidRPr="0041262C">
        <w:t xml:space="preserve"> </w:t>
      </w:r>
      <w:r>
        <w:t>to identify and source Australasian compliant products from the international market. Importers will be able to select from the international market products already tested to ISO or IEC standard. Therefore reducing compliance costs and potentially improving the range of products on the market.</w:t>
      </w:r>
    </w:p>
    <w:p w14:paraId="7292A718" w14:textId="77777777" w:rsidR="005636C7" w:rsidRDefault="005636C7" w:rsidP="005636C7">
      <w:pPr>
        <w:pStyle w:val="E3BodyText"/>
        <w:jc w:val="both"/>
      </w:pPr>
      <w:r>
        <w:t xml:space="preserve">The “deemed to comply” compliance pathway for low volume products will reduce compliance costs for suppliers (especially domestic manufacturers) that build bespoke or import low volume products. Current regulations require laboratory testing and places an unrealistic compliance burden on these suppliers that result in non-compliance.   </w:t>
      </w:r>
    </w:p>
    <w:p w14:paraId="7F213648" w14:textId="77777777" w:rsidR="005636C7" w:rsidRPr="00522FDB" w:rsidRDefault="005636C7" w:rsidP="005636C7">
      <w:pPr>
        <w:pStyle w:val="E3Bullets"/>
        <w:spacing w:before="120" w:line="276" w:lineRule="auto"/>
        <w:jc w:val="both"/>
        <w:rPr>
          <w:b/>
          <w:bCs/>
        </w:rPr>
      </w:pPr>
      <w:r w:rsidRPr="00522FDB">
        <w:rPr>
          <w:b/>
          <w:bCs/>
        </w:rPr>
        <w:t xml:space="preserve">Negative effects: </w:t>
      </w:r>
    </w:p>
    <w:p w14:paraId="382C5E05" w14:textId="77777777" w:rsidR="005636C7" w:rsidRDefault="005636C7" w:rsidP="005636C7">
      <w:pPr>
        <w:pStyle w:val="E3BodyText"/>
        <w:jc w:val="both"/>
      </w:pPr>
      <w:r w:rsidRPr="00DA3677">
        <w:t xml:space="preserve">Introducing a </w:t>
      </w:r>
      <w:r>
        <w:t>new regulatory requirement for R</w:t>
      </w:r>
      <w:r w:rsidRPr="00DA3677">
        <w:t>efrigerated</w:t>
      </w:r>
      <w:r>
        <w:t xml:space="preserve"> Storage Cabinets would add compliance costs on suppliers such as:</w:t>
      </w:r>
    </w:p>
    <w:p w14:paraId="191FB505" w14:textId="77777777" w:rsidR="005636C7" w:rsidRDefault="005636C7" w:rsidP="000F6ACF">
      <w:pPr>
        <w:pStyle w:val="E3BodyText"/>
        <w:numPr>
          <w:ilvl w:val="0"/>
          <w:numId w:val="29"/>
        </w:numPr>
        <w:jc w:val="both"/>
      </w:pPr>
      <w:r>
        <w:t>Administration cost to source complying products and register products</w:t>
      </w:r>
    </w:p>
    <w:p w14:paraId="70703411" w14:textId="77777777" w:rsidR="005636C7" w:rsidRDefault="005636C7" w:rsidP="000F6ACF">
      <w:pPr>
        <w:pStyle w:val="E3BodyText"/>
        <w:numPr>
          <w:ilvl w:val="0"/>
          <w:numId w:val="29"/>
        </w:numPr>
        <w:jc w:val="both"/>
      </w:pPr>
      <w:r>
        <w:t xml:space="preserve">Testing costs if only supplying to the Australasian market (if they are already producing refrigerated storage cabinets for the European market these test costs have already been paid. </w:t>
      </w:r>
    </w:p>
    <w:p w14:paraId="1B8A534F" w14:textId="77777777" w:rsidR="005636C7" w:rsidRDefault="005636C7" w:rsidP="000F6ACF">
      <w:pPr>
        <w:pStyle w:val="E3BodyText"/>
        <w:numPr>
          <w:ilvl w:val="0"/>
          <w:numId w:val="29"/>
        </w:numPr>
        <w:jc w:val="both"/>
      </w:pPr>
      <w:r>
        <w:t xml:space="preserve">Increase in product cost if existing products being supplied do not  meet the proposed MEPS levels </w:t>
      </w:r>
    </w:p>
    <w:p w14:paraId="24AABD2A" w14:textId="77777777" w:rsidR="005636C7" w:rsidRDefault="005636C7" w:rsidP="005636C7">
      <w:pPr>
        <w:pStyle w:val="E3Bullets"/>
        <w:spacing w:before="120" w:line="360" w:lineRule="auto"/>
        <w:jc w:val="both"/>
        <w:rPr>
          <w:b/>
          <w:bCs/>
        </w:rPr>
      </w:pPr>
    </w:p>
    <w:p w14:paraId="4527C854" w14:textId="77777777" w:rsidR="005636C7" w:rsidRPr="00522FDB" w:rsidRDefault="005636C7" w:rsidP="005636C7">
      <w:pPr>
        <w:pStyle w:val="E3Bullets"/>
        <w:spacing w:before="120" w:line="360" w:lineRule="auto"/>
        <w:jc w:val="both"/>
        <w:rPr>
          <w:b/>
          <w:bCs/>
        </w:rPr>
      </w:pPr>
      <w:r w:rsidRPr="00522FDB">
        <w:rPr>
          <w:b/>
          <w:bCs/>
        </w:rPr>
        <w:t xml:space="preserve">Test Laboratories </w:t>
      </w:r>
    </w:p>
    <w:p w14:paraId="223D10B7" w14:textId="77777777" w:rsidR="005636C7" w:rsidRDefault="005636C7" w:rsidP="005636C7">
      <w:pPr>
        <w:pStyle w:val="E3BodyText"/>
        <w:jc w:val="both"/>
      </w:pPr>
      <w:r>
        <w:t xml:space="preserve">At present there are no Australian or New Zealand independent test laboratories that test to the Australian Standard although one in Australia has indicated they have the capability.  Therefore harmonising with international test standards will have no effect on Australasian test laboratories. </w:t>
      </w:r>
    </w:p>
    <w:p w14:paraId="1BB6F9ED" w14:textId="77777777" w:rsidR="005636C7" w:rsidRDefault="005636C7" w:rsidP="005636C7">
      <w:pPr>
        <w:pStyle w:val="E3Bullets"/>
        <w:spacing w:before="120" w:line="276" w:lineRule="auto"/>
        <w:jc w:val="both"/>
      </w:pPr>
    </w:p>
    <w:p w14:paraId="559EAA79" w14:textId="77777777" w:rsidR="005636C7" w:rsidRPr="00522FDB" w:rsidRDefault="005636C7" w:rsidP="005636C7">
      <w:pPr>
        <w:pStyle w:val="E3Bullets"/>
        <w:spacing w:before="120" w:line="360" w:lineRule="auto"/>
        <w:jc w:val="both"/>
        <w:rPr>
          <w:b/>
          <w:bCs/>
        </w:rPr>
      </w:pPr>
      <w:r w:rsidRPr="00522FDB">
        <w:rPr>
          <w:b/>
          <w:bCs/>
        </w:rPr>
        <w:t>Consumers</w:t>
      </w:r>
    </w:p>
    <w:p w14:paraId="42FED8B2" w14:textId="77777777" w:rsidR="005636C7" w:rsidRDefault="005636C7" w:rsidP="005636C7">
      <w:pPr>
        <w:pStyle w:val="E3Bullets"/>
        <w:spacing w:before="120" w:line="276" w:lineRule="auto"/>
        <w:jc w:val="both"/>
      </w:pPr>
      <w:r>
        <w:t xml:space="preserve">For consumers interested in energy efficiency online labelling on the </w:t>
      </w:r>
      <w:hyperlink r:id="rId64" w:history="1">
        <w:r w:rsidRPr="00E0605C">
          <w:rPr>
            <w:rStyle w:val="Hyperlink"/>
          </w:rPr>
          <w:t>www.energyrating.gov.au</w:t>
        </w:r>
      </w:hyperlink>
      <w:r>
        <w:t xml:space="preserve"> website will provide much improved information on product energy efficiency and running costs that they can use as part of their buying decision. </w:t>
      </w:r>
    </w:p>
    <w:p w14:paraId="45CBFE5A" w14:textId="77777777" w:rsidR="005636C7" w:rsidRDefault="005636C7" w:rsidP="005636C7">
      <w:pPr>
        <w:pStyle w:val="E3Bullets"/>
        <w:spacing w:before="120" w:line="276" w:lineRule="auto"/>
        <w:jc w:val="both"/>
      </w:pPr>
    </w:p>
    <w:p w14:paraId="3DE9ACCB" w14:textId="77777777" w:rsidR="005636C7" w:rsidRDefault="005636C7" w:rsidP="005636C7">
      <w:pPr>
        <w:pStyle w:val="E3Bullets"/>
        <w:spacing w:before="120" w:line="276" w:lineRule="auto"/>
        <w:jc w:val="both"/>
      </w:pPr>
      <w:r>
        <w:t xml:space="preserve">For consumers already purchasing products that meet the proposed MEPS levels in Option 2 there would be no impact of the proposed changes.  </w:t>
      </w:r>
    </w:p>
    <w:p w14:paraId="4896C961" w14:textId="77777777" w:rsidR="005636C7" w:rsidRDefault="005636C7" w:rsidP="005636C7">
      <w:pPr>
        <w:pStyle w:val="E3Bullets"/>
        <w:spacing w:before="120" w:line="276" w:lineRule="auto"/>
        <w:jc w:val="both"/>
      </w:pPr>
    </w:p>
    <w:p w14:paraId="5BB85BB6" w14:textId="77777777" w:rsidR="005636C7" w:rsidRPr="006D1900" w:rsidRDefault="005636C7" w:rsidP="005636C7">
      <w:pPr>
        <w:pStyle w:val="E3Bullets"/>
        <w:spacing w:before="120" w:line="276" w:lineRule="auto"/>
        <w:jc w:val="both"/>
      </w:pPr>
      <w:r>
        <w:t xml:space="preserve">Consumers purchasing products that do not meet the proposed MEPS levels in Option 2 there would be on average an overall reduction in the cost of their refrigeration needs as any incremental increase in product cost due to upgrades required to meet the MEPS are more than offset by savings in running costs.  For more details on costs of improvements see </w:t>
      </w:r>
      <w:r>
        <w:rPr>
          <w:b/>
        </w:rPr>
        <w:t>Attachment C</w:t>
      </w:r>
      <w:r w:rsidRPr="007A5346">
        <w:t>.</w:t>
      </w:r>
      <w:r>
        <w:t xml:space="preserve"> </w:t>
      </w:r>
    </w:p>
    <w:p w14:paraId="4AA34E47" w14:textId="77777777" w:rsidR="005636C7" w:rsidRDefault="005636C7" w:rsidP="005636C7">
      <w:pPr>
        <w:pStyle w:val="E3Bullets"/>
        <w:spacing w:before="120" w:line="276" w:lineRule="auto"/>
        <w:jc w:val="both"/>
      </w:pPr>
    </w:p>
    <w:p w14:paraId="75FEC89D" w14:textId="77777777" w:rsidR="005636C7" w:rsidRPr="00F87383" w:rsidRDefault="005636C7" w:rsidP="005636C7">
      <w:pPr>
        <w:pStyle w:val="E3Bullets"/>
        <w:spacing w:before="120" w:line="276" w:lineRule="auto"/>
        <w:jc w:val="both"/>
      </w:pPr>
      <w:r w:rsidRPr="00F87383">
        <w:t xml:space="preserve">Consumers </w:t>
      </w:r>
      <w:r>
        <w:t xml:space="preserve">may also gain access to a wider range of appliances over time because importers will potentially get access to a wider range of international products because international manufacturers no longer need to design and test products to the Australian standard.    </w:t>
      </w:r>
    </w:p>
    <w:p w14:paraId="4A633289" w14:textId="77777777" w:rsidR="005636C7" w:rsidRPr="00522FDB" w:rsidRDefault="005636C7" w:rsidP="005636C7">
      <w:pPr>
        <w:pStyle w:val="E3Heading4"/>
      </w:pPr>
    </w:p>
    <w:p w14:paraId="5A968337" w14:textId="77777777" w:rsidR="005636C7" w:rsidRPr="00522FDB" w:rsidRDefault="005636C7" w:rsidP="005636C7">
      <w:pPr>
        <w:pStyle w:val="E3Heading4"/>
      </w:pPr>
      <w:r w:rsidRPr="00522FDB">
        <w:t>Impacts on current market supply</w:t>
      </w:r>
    </w:p>
    <w:p w14:paraId="5B34BFD4" w14:textId="77777777" w:rsidR="005636C7" w:rsidRDefault="005636C7" w:rsidP="005636C7">
      <w:pPr>
        <w:pStyle w:val="E3Bullets"/>
        <w:spacing w:before="120" w:line="276" w:lineRule="auto"/>
        <w:jc w:val="both"/>
      </w:pPr>
    </w:p>
    <w:p w14:paraId="11B0029B" w14:textId="77777777" w:rsidR="005636C7" w:rsidRDefault="005636C7" w:rsidP="005636C7">
      <w:pPr>
        <w:pStyle w:val="E3Bullets"/>
        <w:spacing w:before="120" w:line="276" w:lineRule="auto"/>
        <w:jc w:val="both"/>
      </w:pPr>
      <w:r>
        <w:t>Under Option 2 the least efficient 10% of cabinets in every cabinet group will be removed from the market.  These sales will be mostly from the integral freezer category (as you would expect to see in smaller retail outlets) and remote vertical cabinets (i.e. for chilled foodstuffs in supermarkets</w:t>
      </w:r>
      <w:r w:rsidRPr="00D27690">
        <w:t>). Table 11 pr</w:t>
      </w:r>
      <w:r>
        <w:t>ovides</w:t>
      </w:r>
      <w:r w:rsidRPr="00D27690">
        <w:t xml:space="preserve"> details of this impact.</w:t>
      </w:r>
    </w:p>
    <w:p w14:paraId="2860BEF0" w14:textId="77777777" w:rsidR="005636C7" w:rsidRDefault="005636C7" w:rsidP="005636C7">
      <w:pPr>
        <w:pStyle w:val="E3TableTitles"/>
      </w:pPr>
    </w:p>
    <w:p w14:paraId="2289D3BB" w14:textId="77777777" w:rsidR="005636C7" w:rsidRDefault="005636C7" w:rsidP="005636C7">
      <w:pPr>
        <w:pStyle w:val="E3TableTitles"/>
      </w:pPr>
    </w:p>
    <w:p w14:paraId="1C8C7EE8" w14:textId="77777777" w:rsidR="005636C7" w:rsidRDefault="005636C7" w:rsidP="005636C7">
      <w:pPr>
        <w:pStyle w:val="E3TableTitles"/>
      </w:pPr>
    </w:p>
    <w:p w14:paraId="54ED592E" w14:textId="77777777" w:rsidR="005636C7" w:rsidRDefault="005636C7" w:rsidP="005636C7">
      <w:pPr>
        <w:pStyle w:val="E3TableTitles"/>
      </w:pPr>
    </w:p>
    <w:p w14:paraId="30831DD1" w14:textId="77777777" w:rsidR="005636C7" w:rsidRDefault="005636C7" w:rsidP="005636C7">
      <w:pPr>
        <w:pStyle w:val="E3TableTitles"/>
      </w:pPr>
    </w:p>
    <w:p w14:paraId="311BA82E" w14:textId="77777777" w:rsidR="005636C7" w:rsidRDefault="005636C7" w:rsidP="005636C7">
      <w:pPr>
        <w:pStyle w:val="E3TableTitles"/>
      </w:pPr>
    </w:p>
    <w:p w14:paraId="0D0FAA9B" w14:textId="77777777" w:rsidR="005636C7" w:rsidRDefault="005636C7" w:rsidP="005636C7">
      <w:pPr>
        <w:pStyle w:val="E3TableTitles"/>
      </w:pPr>
    </w:p>
    <w:p w14:paraId="5FFB6C4B" w14:textId="77777777" w:rsidR="005636C7" w:rsidRDefault="005636C7" w:rsidP="005636C7">
      <w:pPr>
        <w:pStyle w:val="E3TableTitles"/>
      </w:pPr>
    </w:p>
    <w:p w14:paraId="49091070" w14:textId="77777777" w:rsidR="00502B57" w:rsidRDefault="00502B57">
      <w:pPr>
        <w:rPr>
          <w:rFonts w:ascii="Georgia" w:eastAsia="Cambria" w:hAnsi="Georgia" w:cs="Georgia"/>
          <w:b/>
          <w:bCs/>
          <w:color w:val="000000"/>
          <w:sz w:val="21"/>
          <w:szCs w:val="19"/>
          <w:lang w:val="en-US" w:eastAsia="en-US"/>
        </w:rPr>
      </w:pPr>
      <w:bookmarkStart w:id="235" w:name="_Toc500159662"/>
      <w:r>
        <w:br w:type="page"/>
      </w:r>
    </w:p>
    <w:p w14:paraId="4B7655DB" w14:textId="576B437E" w:rsidR="005636C7" w:rsidRPr="004C3E41" w:rsidRDefault="005636C7" w:rsidP="0027738F">
      <w:pPr>
        <w:pStyle w:val="E3TableTitles"/>
        <w:spacing w:before="0" w:after="0"/>
      </w:pPr>
      <w:r w:rsidRPr="004C3E41">
        <w:t>Table 11: Summary of 15 groups of display and storage cabinets and impacts on models from Option 2.</w:t>
      </w:r>
      <w:bookmarkEnd w:id="235"/>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11"/>
        <w:gridCol w:w="1133"/>
        <w:gridCol w:w="1133"/>
        <w:gridCol w:w="991"/>
        <w:gridCol w:w="279"/>
        <w:gridCol w:w="714"/>
        <w:gridCol w:w="278"/>
        <w:gridCol w:w="850"/>
        <w:gridCol w:w="6"/>
        <w:gridCol w:w="991"/>
        <w:gridCol w:w="1127"/>
      </w:tblGrid>
      <w:tr w:rsidR="00575318" w:rsidRPr="00575318" w14:paraId="090EDB2E" w14:textId="77777777" w:rsidTr="00AF7205">
        <w:trPr>
          <w:trHeight w:val="607"/>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541788D5"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p>
        </w:tc>
        <w:tc>
          <w:tcPr>
            <w:tcW w:w="1711" w:type="dxa"/>
            <w:tcBorders>
              <w:top w:val="single" w:sz="4" w:space="0" w:color="auto"/>
              <w:left w:val="single" w:sz="4" w:space="0" w:color="auto"/>
              <w:bottom w:val="single" w:sz="4" w:space="0" w:color="auto"/>
              <w:right w:val="single" w:sz="4" w:space="0" w:color="auto"/>
            </w:tcBorders>
            <w:shd w:val="clear" w:color="auto" w:fill="0C0C0C"/>
            <w:vAlign w:val="center"/>
          </w:tcPr>
          <w:p w14:paraId="25E9365C" w14:textId="77777777" w:rsidR="00575318" w:rsidRPr="00575318" w:rsidRDefault="00575318" w:rsidP="0027738F">
            <w:pPr>
              <w:autoSpaceDE w:val="0"/>
              <w:autoSpaceDN w:val="0"/>
              <w:adjustRightInd w:val="0"/>
              <w:spacing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Group Abbrev.</w:t>
            </w:r>
          </w:p>
        </w:tc>
        <w:tc>
          <w:tcPr>
            <w:tcW w:w="1133" w:type="dxa"/>
            <w:tcBorders>
              <w:top w:val="single" w:sz="4" w:space="0" w:color="auto"/>
              <w:left w:val="single" w:sz="4" w:space="0" w:color="auto"/>
              <w:bottom w:val="single" w:sz="4" w:space="0" w:color="auto"/>
              <w:right w:val="single" w:sz="4" w:space="0" w:color="auto"/>
            </w:tcBorders>
            <w:shd w:val="clear" w:color="auto" w:fill="0C0C0C"/>
            <w:vAlign w:val="center"/>
          </w:tcPr>
          <w:p w14:paraId="7ED73F3C"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Application</w:t>
            </w:r>
          </w:p>
        </w:tc>
        <w:tc>
          <w:tcPr>
            <w:tcW w:w="1133" w:type="dxa"/>
            <w:tcBorders>
              <w:top w:val="single" w:sz="4" w:space="0" w:color="auto"/>
              <w:left w:val="single" w:sz="4" w:space="0" w:color="auto"/>
              <w:bottom w:val="single" w:sz="4" w:space="0" w:color="auto"/>
              <w:right w:val="single" w:sz="4" w:space="0" w:color="auto"/>
            </w:tcBorders>
            <w:shd w:val="clear" w:color="auto" w:fill="0C0C0C"/>
            <w:vAlign w:val="center"/>
          </w:tcPr>
          <w:p w14:paraId="22A1DC81"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Temperature</w:t>
            </w:r>
          </w:p>
        </w:tc>
        <w:tc>
          <w:tcPr>
            <w:tcW w:w="1270"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36951682"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108D444F"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AS 1731.14 Types</w:t>
            </w:r>
          </w:p>
        </w:tc>
        <w:tc>
          <w:tcPr>
            <w:tcW w:w="850" w:type="dxa"/>
            <w:tcBorders>
              <w:top w:val="single" w:sz="4" w:space="0" w:color="auto"/>
              <w:left w:val="single" w:sz="4" w:space="0" w:color="auto"/>
              <w:bottom w:val="single" w:sz="4" w:space="0" w:color="auto"/>
              <w:right w:val="single" w:sz="4" w:space="0" w:color="auto"/>
            </w:tcBorders>
            <w:shd w:val="clear" w:color="auto" w:fill="0C0C0C"/>
            <w:vAlign w:val="center"/>
          </w:tcPr>
          <w:p w14:paraId="16823E54"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ISO 23953 Types</w:t>
            </w:r>
          </w:p>
        </w:tc>
        <w:tc>
          <w:tcPr>
            <w:tcW w:w="997"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1D9DD5C3"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Models affected</w:t>
            </w:r>
          </w:p>
        </w:tc>
        <w:tc>
          <w:tcPr>
            <w:tcW w:w="1127" w:type="dxa"/>
            <w:tcBorders>
              <w:top w:val="single" w:sz="4" w:space="0" w:color="auto"/>
              <w:left w:val="single" w:sz="4" w:space="0" w:color="auto"/>
              <w:bottom w:val="single" w:sz="4" w:space="0" w:color="auto"/>
              <w:right w:val="single" w:sz="4" w:space="0" w:color="auto"/>
            </w:tcBorders>
            <w:shd w:val="clear" w:color="auto" w:fill="0C0C0C"/>
            <w:hideMark/>
          </w:tcPr>
          <w:p w14:paraId="4B1E6AFD"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Sales</w:t>
            </w:r>
          </w:p>
          <w:p w14:paraId="68FB3AE2" w14:textId="77777777" w:rsidR="00575318" w:rsidRPr="00575318" w:rsidRDefault="00575318" w:rsidP="00575318">
            <w:pPr>
              <w:autoSpaceDE w:val="0"/>
              <w:autoSpaceDN w:val="0"/>
              <w:adjustRightInd w:val="0"/>
              <w:spacing w:before="60" w:after="60"/>
              <w:rPr>
                <w:rFonts w:ascii="Helvetica" w:hAnsi="Helvetica" w:cs="Helvetica"/>
                <w:b/>
                <w:color w:val="FFFFFF"/>
                <w:sz w:val="14"/>
                <w:szCs w:val="14"/>
                <w:lang w:val="en-US" w:eastAsia="en-US"/>
              </w:rPr>
            </w:pPr>
            <w:r w:rsidRPr="00575318">
              <w:rPr>
                <w:rFonts w:ascii="Helvetica" w:hAnsi="Helvetica" w:cs="Helvetica"/>
                <w:b/>
                <w:color w:val="FFFFFF"/>
                <w:sz w:val="14"/>
                <w:szCs w:val="14"/>
                <w:lang w:val="en-US" w:eastAsia="en-US"/>
              </w:rPr>
              <w:t>affected</w:t>
            </w:r>
          </w:p>
        </w:tc>
      </w:tr>
      <w:tr w:rsidR="00575318" w:rsidRPr="00575318" w14:paraId="599E6527"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hideMark/>
          </w:tcPr>
          <w:p w14:paraId="19FB167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09A2AF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IRH</w:t>
            </w:r>
          </w:p>
          <w:p w14:paraId="456E83F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Refrigerated Horizontal Cabinets</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BC8A25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Integral Refrigerated Display Cabinets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B08019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1D32344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A0D797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HC1, HC2, HC3, HC4, HC5, HC6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61FA927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IHC1, IHC2, IHC3, IHC4, IHC5, IHC6, IHC7, IHC8</w:t>
            </w:r>
          </w:p>
        </w:tc>
        <w:tc>
          <w:tcPr>
            <w:tcW w:w="991" w:type="dxa"/>
            <w:tcBorders>
              <w:top w:val="single" w:sz="4" w:space="0" w:color="auto"/>
              <w:left w:val="single" w:sz="4" w:space="0" w:color="auto"/>
              <w:bottom w:val="single" w:sz="4" w:space="0" w:color="auto"/>
              <w:right w:val="single" w:sz="4" w:space="0" w:color="auto"/>
            </w:tcBorders>
            <w:vAlign w:val="center"/>
          </w:tcPr>
          <w:p w14:paraId="64D2BCB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39DD91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r>
      <w:tr w:rsidR="00575318" w:rsidRPr="00575318" w14:paraId="537F1057"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C9B778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345B1F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IRV</w:t>
            </w:r>
          </w:p>
          <w:p w14:paraId="03C9197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Refrigerated Vertical Cabinets</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4E3923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96C7470" w14:textId="77777777" w:rsidR="00575318" w:rsidRPr="00575318" w:rsidRDefault="00575318" w:rsidP="00575318">
            <w:pPr>
              <w:rPr>
                <w:rFonts w:ascii="Helvetica" w:hAnsi="Helvetica" w:cs="Helvetica"/>
                <w:sz w:val="14"/>
                <w:szCs w:val="14"/>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10BBB23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BB0FDC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IVC1, IVC2, IVC3</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2003FF8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IVC1, IVC2, IVC3, IYC1, IYC2, IYC3</w:t>
            </w:r>
          </w:p>
        </w:tc>
        <w:tc>
          <w:tcPr>
            <w:tcW w:w="991" w:type="dxa"/>
            <w:tcBorders>
              <w:top w:val="single" w:sz="4" w:space="0" w:color="auto"/>
              <w:left w:val="single" w:sz="4" w:space="0" w:color="auto"/>
              <w:bottom w:val="single" w:sz="4" w:space="0" w:color="auto"/>
              <w:right w:val="single" w:sz="4" w:space="0" w:color="auto"/>
            </w:tcBorders>
            <w:vAlign w:val="center"/>
          </w:tcPr>
          <w:p w14:paraId="546DAD4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E9DB6E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r>
      <w:tr w:rsidR="00575318" w:rsidRPr="00575318" w14:paraId="6C754099"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CA2B19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883115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IRV-4</w:t>
            </w:r>
          </w:p>
          <w:p w14:paraId="773C441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Refrigerated Vertical Cabinets with Glass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E0DF7C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8E6A49E" w14:textId="77777777" w:rsidR="00575318" w:rsidRPr="00575318" w:rsidRDefault="00575318" w:rsidP="00575318">
            <w:pPr>
              <w:rPr>
                <w:rFonts w:ascii="Helvetica" w:hAnsi="Helvetica" w:cs="Helvetica"/>
                <w:sz w:val="14"/>
                <w:szCs w:val="14"/>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234624C1" w14:textId="77777777" w:rsidR="00575318" w:rsidRPr="00575318" w:rsidRDefault="00575318" w:rsidP="00575318">
            <w:pPr>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4FCD46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26D80E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IVC4, IYC4</w:t>
            </w:r>
          </w:p>
        </w:tc>
        <w:tc>
          <w:tcPr>
            <w:tcW w:w="991" w:type="dxa"/>
            <w:tcBorders>
              <w:top w:val="single" w:sz="4" w:space="0" w:color="auto"/>
              <w:left w:val="single" w:sz="4" w:space="0" w:color="auto"/>
              <w:bottom w:val="single" w:sz="4" w:space="0" w:color="auto"/>
              <w:right w:val="single" w:sz="4" w:space="0" w:color="auto"/>
            </w:tcBorders>
            <w:vAlign w:val="center"/>
          </w:tcPr>
          <w:p w14:paraId="3DF6358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970EE5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6%</w:t>
            </w:r>
          </w:p>
        </w:tc>
      </w:tr>
      <w:tr w:rsidR="00575318" w:rsidRPr="00575318" w14:paraId="47B5BE3A"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93C0D1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FD0022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IFH</w:t>
            </w:r>
          </w:p>
          <w:p w14:paraId="29EF6C3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Freezer Horizontal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117FA02" w14:textId="77777777" w:rsidR="00575318" w:rsidRPr="00575318" w:rsidRDefault="00575318" w:rsidP="00575318">
            <w:pPr>
              <w:rPr>
                <w:rFonts w:ascii="Helvetica" w:hAnsi="Helvetica" w:cs="Helvetica"/>
                <w:sz w:val="14"/>
                <w:szCs w:val="1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FDF121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Freezer</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5BC6D83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662D08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IHF1, IHF3, IHF4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7E6137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IHF1, IHF3, IHF4</w:t>
            </w:r>
          </w:p>
        </w:tc>
        <w:tc>
          <w:tcPr>
            <w:tcW w:w="991" w:type="dxa"/>
            <w:tcBorders>
              <w:top w:val="single" w:sz="4" w:space="0" w:color="auto"/>
              <w:left w:val="single" w:sz="4" w:space="0" w:color="auto"/>
              <w:bottom w:val="single" w:sz="4" w:space="0" w:color="auto"/>
              <w:right w:val="single" w:sz="4" w:space="0" w:color="auto"/>
            </w:tcBorders>
            <w:vAlign w:val="center"/>
          </w:tcPr>
          <w:p w14:paraId="6084DEF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469BE4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0%</w:t>
            </w:r>
          </w:p>
        </w:tc>
      </w:tr>
      <w:tr w:rsidR="00575318" w:rsidRPr="00575318" w14:paraId="3CB7A5F2"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24F8A65"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07CF79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IFH-5</w:t>
            </w:r>
          </w:p>
          <w:p w14:paraId="35325C5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Freezer Horizontal with Lid</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80CD68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F8E2AD1" w14:textId="77777777" w:rsidR="00575318" w:rsidRPr="00575318" w:rsidRDefault="00575318" w:rsidP="00575318">
            <w:pPr>
              <w:rPr>
                <w:rFonts w:ascii="Helvetica" w:hAnsi="Helvetica" w:cs="Helvetica"/>
                <w:sz w:val="14"/>
                <w:szCs w:val="14"/>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1C0D7BDB" w14:textId="77777777" w:rsidR="00575318" w:rsidRPr="00575318" w:rsidRDefault="00575318" w:rsidP="00575318">
            <w:pPr>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C55319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IHF5, IHF6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B5B3335"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IHF5, IHF6</w:t>
            </w:r>
          </w:p>
        </w:tc>
        <w:tc>
          <w:tcPr>
            <w:tcW w:w="991" w:type="dxa"/>
            <w:tcBorders>
              <w:top w:val="single" w:sz="4" w:space="0" w:color="auto"/>
              <w:left w:val="single" w:sz="4" w:space="0" w:color="auto"/>
              <w:bottom w:val="single" w:sz="4" w:space="0" w:color="auto"/>
              <w:right w:val="single" w:sz="4" w:space="0" w:color="auto"/>
            </w:tcBorders>
            <w:vAlign w:val="center"/>
          </w:tcPr>
          <w:p w14:paraId="74C8668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4712F11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55%</w:t>
            </w:r>
          </w:p>
        </w:tc>
      </w:tr>
      <w:tr w:rsidR="00575318" w:rsidRPr="00575318" w14:paraId="56BC4E3C"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C65FD4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FB311E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IFV</w:t>
            </w:r>
          </w:p>
          <w:p w14:paraId="33C33EF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Integral Freezer Vertical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4532DFE"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618662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5114C4A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CA3C7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IVF1, IVF2, IVF4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D7ED20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IVF1, IVF2, IVF4, IYF1, IYF2, IYF3, IYF4</w:t>
            </w:r>
          </w:p>
        </w:tc>
        <w:tc>
          <w:tcPr>
            <w:tcW w:w="991" w:type="dxa"/>
            <w:tcBorders>
              <w:top w:val="single" w:sz="4" w:space="0" w:color="auto"/>
              <w:left w:val="single" w:sz="4" w:space="0" w:color="auto"/>
              <w:bottom w:val="single" w:sz="4" w:space="0" w:color="auto"/>
              <w:right w:val="single" w:sz="4" w:space="0" w:color="auto"/>
            </w:tcBorders>
            <w:vAlign w:val="center"/>
          </w:tcPr>
          <w:p w14:paraId="054D7D1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8C3B325"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12%</w:t>
            </w:r>
          </w:p>
        </w:tc>
      </w:tr>
      <w:tr w:rsidR="00575318" w:rsidRPr="00575318" w14:paraId="26A338F2"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1122BB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122DB4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RRH</w:t>
            </w:r>
          </w:p>
          <w:p w14:paraId="3141F7B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Refrigerated Horizontal Cabinets</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AC8528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Remote Refrigerated Display Cabinets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21251A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13D4598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47B574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RS6, RS7, RS8, RS9</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AD10BD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RHC1, RHC2, RHC3, RHC4, RHC5, RHC6, RHC7</w:t>
            </w:r>
          </w:p>
        </w:tc>
        <w:tc>
          <w:tcPr>
            <w:tcW w:w="991" w:type="dxa"/>
            <w:tcBorders>
              <w:top w:val="single" w:sz="4" w:space="0" w:color="auto"/>
              <w:left w:val="single" w:sz="4" w:space="0" w:color="auto"/>
              <w:bottom w:val="single" w:sz="4" w:space="0" w:color="auto"/>
              <w:right w:val="single" w:sz="4" w:space="0" w:color="auto"/>
            </w:tcBorders>
            <w:vAlign w:val="center"/>
          </w:tcPr>
          <w:p w14:paraId="60C06CB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118272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0%</w:t>
            </w:r>
          </w:p>
        </w:tc>
      </w:tr>
      <w:tr w:rsidR="00575318" w:rsidRPr="00575318" w14:paraId="0EFA2ACD"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ECC68B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8</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2DA154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RRV </w:t>
            </w:r>
          </w:p>
          <w:p w14:paraId="636F856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Refrigerated Vertical Cabinets</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85ECD17"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7EEB60E" w14:textId="77777777" w:rsidR="00575318" w:rsidRPr="00575318" w:rsidRDefault="00575318" w:rsidP="00575318">
            <w:pPr>
              <w:rPr>
                <w:rFonts w:ascii="Helvetica" w:hAnsi="Helvetica" w:cs="Helvetica"/>
                <w:sz w:val="14"/>
                <w:szCs w:val="14"/>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1BCB3AF6"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EA1BD3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RS1, RS3, RS4, RS5, RS10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7DE4DC9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RVC1, RVC3, RVC4, RYC1, RYC2, RYC3, RYC4</w:t>
            </w:r>
          </w:p>
        </w:tc>
        <w:tc>
          <w:tcPr>
            <w:tcW w:w="991" w:type="dxa"/>
            <w:tcBorders>
              <w:top w:val="single" w:sz="4" w:space="0" w:color="auto"/>
              <w:left w:val="single" w:sz="4" w:space="0" w:color="auto"/>
              <w:bottom w:val="single" w:sz="4" w:space="0" w:color="auto"/>
              <w:right w:val="single" w:sz="4" w:space="0" w:color="auto"/>
            </w:tcBorders>
            <w:vAlign w:val="center"/>
          </w:tcPr>
          <w:p w14:paraId="4FF079F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784714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54%</w:t>
            </w:r>
          </w:p>
        </w:tc>
      </w:tr>
      <w:tr w:rsidR="00575318" w:rsidRPr="00575318" w14:paraId="12FBBDFB"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E48BFE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7F7F5E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RRV-2</w:t>
            </w:r>
          </w:p>
          <w:p w14:paraId="3EA1CD6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Refrigerated Vertical Cabinet, open, medium  temp</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052AA02"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E50FFA4" w14:textId="77777777" w:rsidR="00575318" w:rsidRPr="00575318" w:rsidRDefault="00575318" w:rsidP="00575318">
            <w:pPr>
              <w:rPr>
                <w:rFonts w:ascii="Helvetica" w:hAnsi="Helvetica" w:cs="Helvetica"/>
                <w:sz w:val="14"/>
                <w:szCs w:val="14"/>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646C2C83" w14:textId="77777777" w:rsidR="00575318" w:rsidRPr="00575318" w:rsidRDefault="00575318" w:rsidP="00575318">
            <w:pPr>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F49A0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RS2</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6C68CE2"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RVC2</w:t>
            </w:r>
          </w:p>
        </w:tc>
        <w:tc>
          <w:tcPr>
            <w:tcW w:w="991" w:type="dxa"/>
            <w:tcBorders>
              <w:top w:val="single" w:sz="4" w:space="0" w:color="auto"/>
              <w:left w:val="single" w:sz="4" w:space="0" w:color="auto"/>
              <w:bottom w:val="single" w:sz="4" w:space="0" w:color="auto"/>
              <w:right w:val="single" w:sz="4" w:space="0" w:color="auto"/>
            </w:tcBorders>
            <w:vAlign w:val="center"/>
          </w:tcPr>
          <w:p w14:paraId="1A17A1B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7A43E6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0%</w:t>
            </w:r>
          </w:p>
        </w:tc>
      </w:tr>
      <w:tr w:rsidR="00575318" w:rsidRPr="00575318" w14:paraId="538712B5"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EB40C9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C54D95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RFH</w:t>
            </w:r>
          </w:p>
          <w:p w14:paraId="1E22FDE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Freezer Horizontal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3F736734" w14:textId="77777777" w:rsidR="00575318" w:rsidRPr="00575318" w:rsidRDefault="00575318" w:rsidP="00575318">
            <w:pPr>
              <w:rPr>
                <w:rFonts w:ascii="Helvetica" w:hAnsi="Helvetica" w:cs="Helvetica"/>
                <w:sz w:val="14"/>
                <w:szCs w:val="1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494AF90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Freezer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4051C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A8EA0D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RS13, RS14,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3CBCB4D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RHF1, RHF3, RHF4, RHF5, RHF6, RHF7</w:t>
            </w:r>
          </w:p>
        </w:tc>
        <w:tc>
          <w:tcPr>
            <w:tcW w:w="991" w:type="dxa"/>
            <w:tcBorders>
              <w:top w:val="single" w:sz="4" w:space="0" w:color="auto"/>
              <w:left w:val="single" w:sz="4" w:space="0" w:color="auto"/>
              <w:bottom w:val="single" w:sz="4" w:space="0" w:color="auto"/>
              <w:right w:val="single" w:sz="4" w:space="0" w:color="auto"/>
            </w:tcBorders>
            <w:vAlign w:val="center"/>
          </w:tcPr>
          <w:p w14:paraId="2E717A9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5277A87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9%</w:t>
            </w:r>
          </w:p>
        </w:tc>
      </w:tr>
      <w:tr w:rsidR="00575318" w:rsidRPr="00575318" w14:paraId="3C59E0E7" w14:textId="77777777" w:rsidTr="0027738F">
        <w:trPr>
          <w:trHeight w:val="1221"/>
          <w:jc w:val="center"/>
        </w:trPr>
        <w:tc>
          <w:tcPr>
            <w:tcW w:w="421" w:type="dxa"/>
            <w:tcBorders>
              <w:top w:val="single" w:sz="4" w:space="0" w:color="auto"/>
              <w:left w:val="single" w:sz="4" w:space="0" w:color="auto"/>
              <w:bottom w:val="single" w:sz="4" w:space="0" w:color="auto"/>
              <w:right w:val="single" w:sz="4" w:space="0" w:color="auto"/>
            </w:tcBorders>
            <w:vAlign w:val="center"/>
          </w:tcPr>
          <w:p w14:paraId="7FE5810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294744A"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RFV</w:t>
            </w:r>
          </w:p>
          <w:p w14:paraId="343E06F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Remote Freezer Vertical</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A9CE6AD"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04A4B40"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3D3585E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95EDCD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RS11, RS12, RS15, RS16, RS17, RS18, RS19, RS20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74AF7E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RVF1, RVF2, RVF4, RYF1, RYF2, RYF3, RYF4</w:t>
            </w:r>
          </w:p>
        </w:tc>
        <w:tc>
          <w:tcPr>
            <w:tcW w:w="991" w:type="dxa"/>
            <w:tcBorders>
              <w:top w:val="single" w:sz="4" w:space="0" w:color="auto"/>
              <w:left w:val="single" w:sz="4" w:space="0" w:color="auto"/>
              <w:bottom w:val="single" w:sz="4" w:space="0" w:color="auto"/>
              <w:right w:val="single" w:sz="4" w:space="0" w:color="auto"/>
            </w:tcBorders>
            <w:vAlign w:val="center"/>
          </w:tcPr>
          <w:p w14:paraId="7214290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A7818B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w:t>
            </w:r>
          </w:p>
        </w:tc>
      </w:tr>
      <w:tr w:rsidR="00575318" w:rsidRPr="00575318" w14:paraId="45F18984"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F15DA6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4679A9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SRH</w:t>
            </w:r>
          </w:p>
          <w:p w14:paraId="75A3A85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Service Cabinet, refrigerated Horizontal with solid door</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27EF97D"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Integral Refrigerated Storage cabinet  </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C35F41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Refrigerator</w:t>
            </w:r>
          </w:p>
        </w:tc>
        <w:tc>
          <w:tcPr>
            <w:tcW w:w="991" w:type="dxa"/>
            <w:tcBorders>
              <w:top w:val="single" w:sz="4" w:space="0" w:color="auto"/>
              <w:left w:val="single" w:sz="4" w:space="0" w:color="auto"/>
              <w:bottom w:val="single" w:sz="4" w:space="0" w:color="auto"/>
              <w:right w:val="single" w:sz="4" w:space="0" w:color="auto"/>
            </w:tcBorders>
            <w:vAlign w:val="center"/>
            <w:hideMark/>
          </w:tcPr>
          <w:p w14:paraId="3CE1313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62969A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No equivalent registered</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DC6729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Storage cabinet types are defined into four categories (but not classified by the technical standards yet)</w:t>
            </w:r>
          </w:p>
        </w:tc>
        <w:tc>
          <w:tcPr>
            <w:tcW w:w="991" w:type="dxa"/>
            <w:tcBorders>
              <w:top w:val="single" w:sz="4" w:space="0" w:color="auto"/>
              <w:left w:val="single" w:sz="4" w:space="0" w:color="auto"/>
              <w:bottom w:val="single" w:sz="4" w:space="0" w:color="auto"/>
              <w:right w:val="single" w:sz="4" w:space="0" w:color="auto"/>
            </w:tcBorders>
            <w:vAlign w:val="center"/>
          </w:tcPr>
          <w:p w14:paraId="61263B8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2C5B65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1A6BF725" w14:textId="77777777" w:rsidTr="00AF7205">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E35593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3FAD02D4"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SRV</w:t>
            </w:r>
          </w:p>
          <w:p w14:paraId="6B52430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Service Cabinet, Refrigerated, Vertical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DE320DD"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D70A1B8"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04F8C4B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6A0900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IVC4 Solid door </w:t>
            </w:r>
            <w:r w:rsidRPr="00575318">
              <w:rPr>
                <w:rFonts w:ascii="Helvetica" w:hAnsi="Helvetica" w:cs="Helvetica"/>
                <w:sz w:val="14"/>
                <w:szCs w:val="14"/>
              </w:rPr>
              <w:br/>
              <w:t xml:space="preserve">M1 &amp; M2 </w:t>
            </w:r>
            <w:r w:rsidRPr="00575318">
              <w:rPr>
                <w:rFonts w:ascii="Helvetica" w:hAnsi="Helvetica" w:cs="Helvetica"/>
                <w:sz w:val="14"/>
                <w:szCs w:val="14"/>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68C14E2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tcPr>
          <w:p w14:paraId="5AE1100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0731BEA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73F0CBC6" w14:textId="77777777" w:rsidTr="0027738F">
        <w:trPr>
          <w:trHeight w:val="701"/>
          <w:jc w:val="center"/>
        </w:trPr>
        <w:tc>
          <w:tcPr>
            <w:tcW w:w="421" w:type="dxa"/>
            <w:tcBorders>
              <w:top w:val="single" w:sz="4" w:space="0" w:color="auto"/>
              <w:left w:val="single" w:sz="4" w:space="0" w:color="auto"/>
              <w:bottom w:val="single" w:sz="4" w:space="0" w:color="auto"/>
              <w:right w:val="single" w:sz="4" w:space="0" w:color="auto"/>
            </w:tcBorders>
            <w:vAlign w:val="center"/>
          </w:tcPr>
          <w:p w14:paraId="3AF4FE3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3C856A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SFH</w:t>
            </w:r>
          </w:p>
          <w:p w14:paraId="17B1D928"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Service Cabinet, Freezer, Horizontal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CE490C0" w14:textId="77777777" w:rsidR="00575318" w:rsidRPr="00575318" w:rsidRDefault="00575318" w:rsidP="00575318">
            <w:pPr>
              <w:rPr>
                <w:rFonts w:ascii="Helvetica" w:hAnsi="Helvetica" w:cs="Helvetica"/>
                <w:sz w:val="14"/>
                <w:szCs w:val="1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791D897"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Freezer</w:t>
            </w:r>
          </w:p>
        </w:tc>
        <w:tc>
          <w:tcPr>
            <w:tcW w:w="991" w:type="dxa"/>
            <w:tcBorders>
              <w:top w:val="single" w:sz="4" w:space="0" w:color="auto"/>
              <w:left w:val="single" w:sz="4" w:space="0" w:color="auto"/>
              <w:bottom w:val="single" w:sz="4" w:space="0" w:color="auto"/>
              <w:right w:val="single" w:sz="4" w:space="0" w:color="auto"/>
            </w:tcBorders>
            <w:vAlign w:val="center"/>
            <w:hideMark/>
          </w:tcPr>
          <w:p w14:paraId="012ECD3C"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B8428F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No equivalent registered</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1825B34E"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tcPr>
          <w:p w14:paraId="795C6F4E"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A26F77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5DD692E0" w14:textId="77777777" w:rsidTr="0027738F">
        <w:trPr>
          <w:trHeight w:val="671"/>
          <w:jc w:val="center"/>
        </w:trPr>
        <w:tc>
          <w:tcPr>
            <w:tcW w:w="421" w:type="dxa"/>
            <w:tcBorders>
              <w:top w:val="single" w:sz="4" w:space="0" w:color="auto"/>
              <w:left w:val="single" w:sz="4" w:space="0" w:color="auto"/>
              <w:bottom w:val="single" w:sz="4" w:space="0" w:color="auto"/>
              <w:right w:val="single" w:sz="4" w:space="0" w:color="auto"/>
            </w:tcBorders>
            <w:vAlign w:val="center"/>
          </w:tcPr>
          <w:p w14:paraId="77C65D91"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15</w:t>
            </w:r>
          </w:p>
        </w:tc>
        <w:tc>
          <w:tcPr>
            <w:tcW w:w="1711" w:type="dxa"/>
            <w:tcBorders>
              <w:top w:val="single" w:sz="4" w:space="0" w:color="auto"/>
              <w:left w:val="single" w:sz="4" w:space="0" w:color="auto"/>
              <w:bottom w:val="single" w:sz="4" w:space="0" w:color="auto"/>
              <w:right w:val="single" w:sz="4" w:space="0" w:color="auto"/>
            </w:tcBorders>
            <w:hideMark/>
          </w:tcPr>
          <w:p w14:paraId="7E51A62C" w14:textId="2C81769E" w:rsidR="00575318" w:rsidRPr="00575318" w:rsidRDefault="00575318" w:rsidP="0027738F">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SFV</w:t>
            </w:r>
            <w:r w:rsidR="0027738F">
              <w:rPr>
                <w:rFonts w:ascii="Helvetica" w:hAnsi="Helvetica" w:cs="Helvetica"/>
                <w:sz w:val="14"/>
                <w:szCs w:val="14"/>
              </w:rPr>
              <w:br/>
            </w:r>
            <w:r w:rsidRPr="00575318">
              <w:rPr>
                <w:rFonts w:ascii="Helvetica" w:hAnsi="Helvetica" w:cs="Helvetica"/>
                <w:sz w:val="14"/>
                <w:szCs w:val="14"/>
              </w:rPr>
              <w:t>Service Cabinet Freezer, Vertical with solid door</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D60E238" w14:textId="77777777" w:rsidR="00575318" w:rsidRPr="00575318" w:rsidRDefault="00575318" w:rsidP="00575318">
            <w:pPr>
              <w:rPr>
                <w:rFonts w:ascii="Helvetica" w:hAnsi="Helvetica" w:cs="Helvetica"/>
                <w:sz w:val="14"/>
                <w:szCs w:val="1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8D3381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A1C8C19"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437739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 xml:space="preserve">IVF4 Solid doors </w:t>
            </w:r>
            <w:r w:rsidRPr="00575318">
              <w:rPr>
                <w:rFonts w:ascii="Helvetica" w:hAnsi="Helvetica" w:cs="Helvetica"/>
                <w:sz w:val="14"/>
                <w:szCs w:val="14"/>
              </w:rPr>
              <w:br/>
              <w:t>L1 &amp; L2</w:t>
            </w:r>
            <w:r w:rsidRPr="00575318">
              <w:rPr>
                <w:rFonts w:ascii="Helvetica" w:hAnsi="Helvetica" w:cs="Helvetica"/>
                <w:sz w:val="14"/>
                <w:szCs w:val="14"/>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1E5995BD" w14:textId="77777777" w:rsidR="00575318" w:rsidRPr="00575318" w:rsidRDefault="00575318" w:rsidP="00575318">
            <w:pPr>
              <w:rPr>
                <w:rFonts w:ascii="Helvetica" w:hAnsi="Helvetica" w:cs="Helvetica"/>
                <w:sz w:val="14"/>
                <w:szCs w:val="14"/>
              </w:rPr>
            </w:pPr>
          </w:p>
        </w:tc>
        <w:tc>
          <w:tcPr>
            <w:tcW w:w="991" w:type="dxa"/>
            <w:tcBorders>
              <w:top w:val="single" w:sz="4" w:space="0" w:color="auto"/>
              <w:left w:val="single" w:sz="4" w:space="0" w:color="auto"/>
              <w:bottom w:val="single" w:sz="4" w:space="0" w:color="auto"/>
              <w:right w:val="single" w:sz="4" w:space="0" w:color="auto"/>
            </w:tcBorders>
            <w:vAlign w:val="center"/>
          </w:tcPr>
          <w:p w14:paraId="6DD22423"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31C14090"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NA</w:t>
            </w:r>
          </w:p>
        </w:tc>
      </w:tr>
      <w:tr w:rsidR="00575318" w:rsidRPr="00575318" w14:paraId="3057F339" w14:textId="77777777" w:rsidTr="00445E56">
        <w:trPr>
          <w:trHeight w:val="131"/>
          <w:jc w:val="center"/>
        </w:trPr>
        <w:tc>
          <w:tcPr>
            <w:tcW w:w="7510" w:type="dxa"/>
            <w:gridSpan w:val="9"/>
            <w:tcBorders>
              <w:top w:val="single" w:sz="4" w:space="0" w:color="auto"/>
              <w:left w:val="single" w:sz="4" w:space="0" w:color="auto"/>
              <w:bottom w:val="single" w:sz="4" w:space="0" w:color="auto"/>
              <w:right w:val="single" w:sz="4" w:space="0" w:color="auto"/>
            </w:tcBorders>
            <w:hideMark/>
          </w:tcPr>
          <w:p w14:paraId="0BCD8EEB" w14:textId="77777777" w:rsidR="00575318" w:rsidRPr="00575318" w:rsidRDefault="00575318" w:rsidP="00445E56">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Overall effect (Groups 1 to 11)</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14:paraId="67F0844B"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10%</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110108F" w14:textId="77777777" w:rsidR="00575318" w:rsidRPr="00575318" w:rsidRDefault="00575318" w:rsidP="00575318">
            <w:pPr>
              <w:tabs>
                <w:tab w:val="left" w:pos="3293"/>
              </w:tabs>
              <w:spacing w:before="60" w:after="60"/>
              <w:ind w:left="35"/>
              <w:jc w:val="center"/>
              <w:rPr>
                <w:rFonts w:ascii="Helvetica" w:hAnsi="Helvetica" w:cs="Helvetica"/>
                <w:sz w:val="14"/>
                <w:szCs w:val="14"/>
              </w:rPr>
            </w:pPr>
            <w:r w:rsidRPr="00575318">
              <w:rPr>
                <w:rFonts w:ascii="Helvetica" w:hAnsi="Helvetica" w:cs="Helvetica"/>
                <w:sz w:val="14"/>
                <w:szCs w:val="14"/>
              </w:rPr>
              <w:t>6.9%</w:t>
            </w:r>
          </w:p>
        </w:tc>
      </w:tr>
    </w:tbl>
    <w:p w14:paraId="039A3BE0" w14:textId="77777777" w:rsidR="005636C7" w:rsidRPr="00F056E3" w:rsidRDefault="005636C7" w:rsidP="005636C7">
      <w:pPr>
        <w:pStyle w:val="E3Heading4"/>
        <w:spacing w:before="240"/>
      </w:pPr>
      <w:r w:rsidRPr="00F056E3">
        <w:t xml:space="preserve">Costs and Benefits </w:t>
      </w:r>
    </w:p>
    <w:p w14:paraId="4EF7A577" w14:textId="77777777" w:rsidR="005636C7" w:rsidRDefault="005636C7" w:rsidP="005636C7">
      <w:pPr>
        <w:pStyle w:val="E3Bullets"/>
        <w:spacing w:before="120" w:line="276" w:lineRule="auto"/>
        <w:jc w:val="both"/>
      </w:pPr>
      <w:r w:rsidRPr="00F0477C">
        <w:rPr>
          <w:b/>
        </w:rPr>
        <w:t xml:space="preserve">Figure </w:t>
      </w:r>
      <w:r>
        <w:rPr>
          <w:b/>
        </w:rPr>
        <w:t>14</w:t>
      </w:r>
      <w:r w:rsidRPr="00F0477C">
        <w:rPr>
          <w:b/>
        </w:rPr>
        <w:t xml:space="preserve"> </w:t>
      </w:r>
      <w:r>
        <w:t>shows the reduction in energy consumption over time due to Option2, there is also a corresponding reduction in greenhouse gas emissions when compared with BAU, but these are not significant when compared with other scenarios (see Options 3 and 4 below).</w:t>
      </w:r>
    </w:p>
    <w:p w14:paraId="0D939CB3" w14:textId="77777777" w:rsidR="005636C7" w:rsidRDefault="005636C7" w:rsidP="005636C7">
      <w:pPr>
        <w:pStyle w:val="E3Figuretitles"/>
      </w:pPr>
      <w:r w:rsidRPr="0041262C">
        <w:t>Figure 14: Annual energy consumption from Option 2</w:t>
      </w:r>
      <w:r>
        <w:t>.</w:t>
      </w:r>
    </w:p>
    <w:p w14:paraId="72EF4A07" w14:textId="77777777" w:rsidR="005636C7" w:rsidRDefault="005636C7" w:rsidP="005636C7">
      <w:pPr>
        <w:pStyle w:val="E3Bullets"/>
        <w:spacing w:before="120" w:line="276" w:lineRule="auto"/>
        <w:jc w:val="both"/>
      </w:pPr>
      <w:r>
        <w:rPr>
          <w:noProof/>
          <w:lang w:val="en-AU" w:eastAsia="en-AU"/>
        </w:rPr>
        <w:drawing>
          <wp:inline distT="0" distB="0" distL="0" distR="0" wp14:anchorId="39010D8A" wp14:editId="787147DD">
            <wp:extent cx="6099175" cy="4139143"/>
            <wp:effectExtent l="0" t="0" r="15875" b="13970"/>
            <wp:docPr id="37" name="Chart 37" descr="Option 2 describes a scenario where new MEPS levels would affect 10% of cabinets " title="Forecast annual energy consumption fronm opti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t xml:space="preserve"> </w:t>
      </w:r>
    </w:p>
    <w:p w14:paraId="60F7E7ED" w14:textId="77777777" w:rsidR="005636C7" w:rsidRDefault="005636C7" w:rsidP="005636C7">
      <w:pPr>
        <w:pStyle w:val="E3Bullets"/>
        <w:spacing w:before="240" w:line="276" w:lineRule="auto"/>
        <w:contextualSpacing w:val="0"/>
        <w:jc w:val="both"/>
      </w:pPr>
      <w:r>
        <w:rPr>
          <w:b/>
        </w:rPr>
        <w:t>T</w:t>
      </w:r>
      <w:r w:rsidRPr="00FF4799">
        <w:rPr>
          <w:b/>
        </w:rPr>
        <w:t xml:space="preserve">able </w:t>
      </w:r>
      <w:r>
        <w:rPr>
          <w:b/>
        </w:rPr>
        <w:t>12</w:t>
      </w:r>
      <w:r>
        <w:t xml:space="preserve"> shows the modelled impacts of Option 2 and indicates the net benefits to Australia of $AU309 million and to New Zealand of NZ$20 million and the benefit to cost ratios are 11:1 and 5:1 respectively.</w:t>
      </w:r>
    </w:p>
    <w:p w14:paraId="218952D4" w14:textId="77777777" w:rsidR="005636C7" w:rsidRPr="0041262C" w:rsidRDefault="005636C7" w:rsidP="005636C7">
      <w:pPr>
        <w:pStyle w:val="E3TableTitles"/>
        <w:spacing w:before="120"/>
      </w:pPr>
      <w:bookmarkStart w:id="236" w:name="_Toc500159663"/>
      <w:r w:rsidRPr="0041262C">
        <w:t>Table 12 Evaluation of impacts – Option 2</w:t>
      </w:r>
      <w:r>
        <w:t>.</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5000830D" w14:textId="77777777" w:rsidTr="0027738F">
        <w:tc>
          <w:tcPr>
            <w:tcW w:w="3209" w:type="dxa"/>
            <w:vAlign w:val="center"/>
          </w:tcPr>
          <w:p w14:paraId="2C3B5FCA"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Indicator</w:t>
            </w:r>
          </w:p>
        </w:tc>
        <w:tc>
          <w:tcPr>
            <w:tcW w:w="6420" w:type="dxa"/>
            <w:gridSpan w:val="2"/>
            <w:vAlign w:val="center"/>
          </w:tcPr>
          <w:p w14:paraId="7CD69AE0"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Appliances installed 2017 - 2035</w:t>
            </w:r>
          </w:p>
        </w:tc>
      </w:tr>
      <w:tr w:rsidR="005636C7" w14:paraId="13CA62F2" w14:textId="77777777" w:rsidTr="0027738F">
        <w:tc>
          <w:tcPr>
            <w:tcW w:w="3209" w:type="dxa"/>
            <w:vAlign w:val="center"/>
          </w:tcPr>
          <w:p w14:paraId="3EB07758" w14:textId="77777777" w:rsidR="005636C7" w:rsidRPr="0041262C" w:rsidRDefault="005636C7" w:rsidP="005636C7">
            <w:pPr>
              <w:pStyle w:val="E3Bullets"/>
              <w:spacing w:before="120" w:line="276" w:lineRule="auto"/>
              <w:rPr>
                <w:rFonts w:ascii="Helvetica" w:hAnsi="Helvetica" w:cs="Helvetica"/>
                <w:b/>
                <w:sz w:val="16"/>
              </w:rPr>
            </w:pPr>
          </w:p>
        </w:tc>
        <w:tc>
          <w:tcPr>
            <w:tcW w:w="3210" w:type="dxa"/>
            <w:vAlign w:val="center"/>
          </w:tcPr>
          <w:p w14:paraId="12DF3AD8"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Australia</w:t>
            </w:r>
          </w:p>
        </w:tc>
        <w:tc>
          <w:tcPr>
            <w:tcW w:w="3210" w:type="dxa"/>
            <w:vAlign w:val="center"/>
          </w:tcPr>
          <w:p w14:paraId="18E13C13" w14:textId="77777777" w:rsidR="005636C7" w:rsidRPr="0041262C" w:rsidRDefault="005636C7" w:rsidP="005636C7">
            <w:pPr>
              <w:pStyle w:val="E3Bullets"/>
              <w:spacing w:before="120" w:line="276" w:lineRule="auto"/>
              <w:jc w:val="center"/>
              <w:rPr>
                <w:rFonts w:ascii="Helvetica" w:hAnsi="Helvetica" w:cs="Helvetica"/>
                <w:b/>
                <w:sz w:val="16"/>
              </w:rPr>
            </w:pPr>
            <w:r w:rsidRPr="0041262C">
              <w:rPr>
                <w:rFonts w:ascii="Helvetica" w:hAnsi="Helvetica" w:cs="Helvetica"/>
                <w:b/>
                <w:sz w:val="16"/>
              </w:rPr>
              <w:t>New Zealand</w:t>
            </w:r>
          </w:p>
        </w:tc>
      </w:tr>
      <w:tr w:rsidR="005636C7" w14:paraId="2D4C1BEB" w14:textId="77777777" w:rsidTr="0027738F">
        <w:tc>
          <w:tcPr>
            <w:tcW w:w="3209" w:type="dxa"/>
            <w:vAlign w:val="center"/>
          </w:tcPr>
          <w:p w14:paraId="5642A0AD"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Energy Savings</w:t>
            </w:r>
          </w:p>
        </w:tc>
        <w:tc>
          <w:tcPr>
            <w:tcW w:w="3210" w:type="dxa"/>
            <w:vAlign w:val="center"/>
          </w:tcPr>
          <w:p w14:paraId="551AE09E"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2278GWh</w:t>
            </w:r>
          </w:p>
        </w:tc>
        <w:tc>
          <w:tcPr>
            <w:tcW w:w="3210" w:type="dxa"/>
            <w:vAlign w:val="center"/>
          </w:tcPr>
          <w:p w14:paraId="0327EA17"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404GWh</w:t>
            </w:r>
          </w:p>
        </w:tc>
      </w:tr>
      <w:tr w:rsidR="005636C7" w14:paraId="3D32BF5C" w14:textId="77777777" w:rsidTr="0027738F">
        <w:tc>
          <w:tcPr>
            <w:tcW w:w="3209" w:type="dxa"/>
            <w:vAlign w:val="center"/>
          </w:tcPr>
          <w:p w14:paraId="5BD7DC9D"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Emissions savings (CO2-e cumulative)</w:t>
            </w:r>
          </w:p>
        </w:tc>
        <w:tc>
          <w:tcPr>
            <w:tcW w:w="3210" w:type="dxa"/>
            <w:vAlign w:val="center"/>
          </w:tcPr>
          <w:p w14:paraId="03376681"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1.69Mt</w:t>
            </w:r>
          </w:p>
        </w:tc>
        <w:tc>
          <w:tcPr>
            <w:tcW w:w="3210" w:type="dxa"/>
            <w:vAlign w:val="center"/>
          </w:tcPr>
          <w:p w14:paraId="7F6412D0"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52kt</w:t>
            </w:r>
          </w:p>
        </w:tc>
      </w:tr>
      <w:tr w:rsidR="005636C7" w14:paraId="3D4C6D32" w14:textId="77777777" w:rsidTr="0027738F">
        <w:tc>
          <w:tcPr>
            <w:tcW w:w="3209" w:type="dxa"/>
            <w:vAlign w:val="center"/>
          </w:tcPr>
          <w:p w14:paraId="5EE3F853"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Benefits</w:t>
            </w:r>
          </w:p>
        </w:tc>
        <w:tc>
          <w:tcPr>
            <w:tcW w:w="3210" w:type="dxa"/>
            <w:vAlign w:val="center"/>
          </w:tcPr>
          <w:p w14:paraId="6ABA6210"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$AU340 million</w:t>
            </w:r>
          </w:p>
        </w:tc>
        <w:tc>
          <w:tcPr>
            <w:tcW w:w="3210" w:type="dxa"/>
            <w:vAlign w:val="center"/>
          </w:tcPr>
          <w:p w14:paraId="0B50FED2"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$NZ24 million</w:t>
            </w:r>
          </w:p>
        </w:tc>
      </w:tr>
      <w:tr w:rsidR="005636C7" w14:paraId="53AFBA34" w14:textId="77777777" w:rsidTr="0027738F">
        <w:tc>
          <w:tcPr>
            <w:tcW w:w="3209" w:type="dxa"/>
            <w:vAlign w:val="center"/>
          </w:tcPr>
          <w:p w14:paraId="3805E5C4"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Costs</w:t>
            </w:r>
          </w:p>
        </w:tc>
        <w:tc>
          <w:tcPr>
            <w:tcW w:w="3210" w:type="dxa"/>
            <w:vAlign w:val="center"/>
          </w:tcPr>
          <w:p w14:paraId="554C586F"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$AU31 million</w:t>
            </w:r>
          </w:p>
        </w:tc>
        <w:tc>
          <w:tcPr>
            <w:tcW w:w="3210" w:type="dxa"/>
            <w:vAlign w:val="center"/>
          </w:tcPr>
          <w:p w14:paraId="6CE9780F"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$NZ5 million</w:t>
            </w:r>
          </w:p>
        </w:tc>
      </w:tr>
      <w:tr w:rsidR="005636C7" w14:paraId="7CB58F6D" w14:textId="77777777" w:rsidTr="0027738F">
        <w:tc>
          <w:tcPr>
            <w:tcW w:w="3209" w:type="dxa"/>
            <w:vAlign w:val="center"/>
          </w:tcPr>
          <w:p w14:paraId="17874651"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Net Present Value</w:t>
            </w:r>
          </w:p>
        </w:tc>
        <w:tc>
          <w:tcPr>
            <w:tcW w:w="3210" w:type="dxa"/>
            <w:vAlign w:val="center"/>
          </w:tcPr>
          <w:p w14:paraId="3BA15AB5"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$AU301 million</w:t>
            </w:r>
          </w:p>
        </w:tc>
        <w:tc>
          <w:tcPr>
            <w:tcW w:w="3210" w:type="dxa"/>
            <w:vAlign w:val="center"/>
          </w:tcPr>
          <w:p w14:paraId="38219DF5"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$NZ20 million</w:t>
            </w:r>
            <w:r w:rsidRPr="0041262C">
              <w:rPr>
                <w:rStyle w:val="FootnoteReference"/>
                <w:rFonts w:ascii="Helvetica" w:hAnsi="Helvetica" w:cs="Helvetica"/>
                <w:sz w:val="16"/>
              </w:rPr>
              <w:footnoteReference w:id="41"/>
            </w:r>
          </w:p>
        </w:tc>
      </w:tr>
      <w:tr w:rsidR="005636C7" w14:paraId="3D6E49CB" w14:textId="77777777" w:rsidTr="0027738F">
        <w:tc>
          <w:tcPr>
            <w:tcW w:w="3209" w:type="dxa"/>
            <w:vAlign w:val="center"/>
          </w:tcPr>
          <w:p w14:paraId="5C4C371E"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Benefit cost ratio</w:t>
            </w:r>
          </w:p>
        </w:tc>
        <w:tc>
          <w:tcPr>
            <w:tcW w:w="3210" w:type="dxa"/>
            <w:vAlign w:val="center"/>
          </w:tcPr>
          <w:p w14:paraId="72EB50BD"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11:1</w:t>
            </w:r>
          </w:p>
        </w:tc>
        <w:tc>
          <w:tcPr>
            <w:tcW w:w="3210" w:type="dxa"/>
            <w:vAlign w:val="center"/>
          </w:tcPr>
          <w:p w14:paraId="48855081" w14:textId="77777777" w:rsidR="005636C7" w:rsidRPr="0041262C" w:rsidRDefault="005636C7" w:rsidP="005636C7">
            <w:pPr>
              <w:pStyle w:val="E3Bullets"/>
              <w:spacing w:before="120" w:line="276" w:lineRule="auto"/>
              <w:jc w:val="center"/>
              <w:rPr>
                <w:rFonts w:ascii="Helvetica" w:hAnsi="Helvetica" w:cs="Helvetica"/>
                <w:sz w:val="16"/>
              </w:rPr>
            </w:pPr>
            <w:r w:rsidRPr="0041262C">
              <w:rPr>
                <w:rFonts w:ascii="Helvetica" w:hAnsi="Helvetica" w:cs="Helvetica"/>
                <w:sz w:val="16"/>
              </w:rPr>
              <w:t>5:1</w:t>
            </w:r>
          </w:p>
        </w:tc>
      </w:tr>
    </w:tbl>
    <w:p w14:paraId="4B11BDEC" w14:textId="77777777" w:rsidR="005636C7" w:rsidRDefault="005636C7" w:rsidP="005636C7">
      <w:pPr>
        <w:pStyle w:val="E3Bullets"/>
        <w:spacing w:before="120" w:line="276" w:lineRule="auto"/>
        <w:jc w:val="both"/>
      </w:pPr>
    </w:p>
    <w:p w14:paraId="02AFE406" w14:textId="77777777" w:rsidR="005636C7" w:rsidRDefault="005636C7" w:rsidP="005636C7">
      <w:pPr>
        <w:pStyle w:val="E3Bullets"/>
        <w:spacing w:before="120" w:line="276" w:lineRule="auto"/>
        <w:jc w:val="both"/>
      </w:pPr>
      <w:r>
        <w:t>The Benefit Cost Analysis takes the costs (in Table D2, Attachment C), adds them to the cost to improve energy efficiency (using the price to efficiency ratio of 0.5) and discounts them over time and sums them. The analysis also takes the benefits from the reduced electricity costs, and these are also discounted and summed. Further details of the modelling and assumptions are at Attachment C.</w:t>
      </w:r>
    </w:p>
    <w:p w14:paraId="30CB7320" w14:textId="77777777" w:rsidR="005636C7" w:rsidRDefault="005636C7" w:rsidP="005636C7">
      <w:pPr>
        <w:pStyle w:val="E3Bullets"/>
        <w:spacing w:before="120" w:line="276" w:lineRule="auto"/>
        <w:jc w:val="both"/>
      </w:pPr>
    </w:p>
    <w:p w14:paraId="080C6E45" w14:textId="77777777" w:rsidR="005636C7" w:rsidRPr="0010036B" w:rsidRDefault="005636C7" w:rsidP="005636C7">
      <w:pPr>
        <w:pStyle w:val="E3Heading2"/>
        <w:jc w:val="both"/>
      </w:pPr>
      <w:bookmarkStart w:id="237" w:name="_Toc500151813"/>
      <w:r w:rsidRPr="0010036B">
        <w:t>Option 3</w:t>
      </w:r>
      <w:bookmarkEnd w:id="237"/>
      <w:r w:rsidRPr="0010036B">
        <w:t xml:space="preserve"> </w:t>
      </w:r>
    </w:p>
    <w:p w14:paraId="5FEEF6CD" w14:textId="77777777" w:rsidR="005636C7" w:rsidRPr="0041262C" w:rsidRDefault="005636C7" w:rsidP="005636C7">
      <w:pPr>
        <w:pStyle w:val="E3BodyText"/>
        <w:jc w:val="both"/>
      </w:pPr>
      <w:r>
        <w:t xml:space="preserve">Option 3 is the same as option 2 except the proposed MEPS levels will affect the worst 30% of cabinets in each group.  Therefore it has the same advantages and dis-advantages and impacts on market participants as Option 2 above. However the impact on the models currently sold on the market would be higher resulting in additional compliance costs. However because more energy efficient models would need to supplied and used the benefits are higher as shown below. </w:t>
      </w:r>
    </w:p>
    <w:p w14:paraId="6D7EF6FA" w14:textId="77777777" w:rsidR="005636C7" w:rsidRPr="00F056E3" w:rsidRDefault="005636C7" w:rsidP="005636C7">
      <w:pPr>
        <w:pStyle w:val="E3Heading4"/>
        <w:jc w:val="both"/>
      </w:pPr>
      <w:r w:rsidRPr="00F056E3">
        <w:t>Impacts on current market supply</w:t>
      </w:r>
    </w:p>
    <w:p w14:paraId="3AD5D33A" w14:textId="77777777" w:rsidR="005636C7" w:rsidRDefault="005636C7" w:rsidP="005636C7">
      <w:pPr>
        <w:pStyle w:val="E3Bullets"/>
        <w:spacing w:before="120" w:line="276" w:lineRule="auto"/>
        <w:jc w:val="both"/>
      </w:pPr>
      <w:r w:rsidRPr="00F056E3">
        <w:t>Under Option 3 the least efficient 30% of cabinets in every cabinet group will be removed from the market.  Similar to option 2 these sales will be mostly from the integral freezer category (as you would expect to see in smaller retail outlets) and remote vertical cabinets (i.e. for chilled foodstuffs in supermarkets). Table 13 p</w:t>
      </w:r>
      <w:r>
        <w:t>rovides details of this impact.</w:t>
      </w:r>
    </w:p>
    <w:p w14:paraId="38151C08" w14:textId="77777777" w:rsidR="005636C7" w:rsidRPr="004C3E41" w:rsidRDefault="005636C7" w:rsidP="005636C7">
      <w:pPr>
        <w:pStyle w:val="E3TableTitles"/>
      </w:pPr>
      <w:bookmarkStart w:id="238" w:name="_Toc500159664"/>
      <w:r w:rsidRPr="004C3E41">
        <w:t>Table 13: Summary of 15 groups of display and storage cabinets and impacts on models from Option 3.</w:t>
      </w:r>
      <w:bookmarkEnd w:id="238"/>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11"/>
        <w:gridCol w:w="1134"/>
        <w:gridCol w:w="1124"/>
        <w:gridCol w:w="10"/>
        <w:gridCol w:w="992"/>
        <w:gridCol w:w="132"/>
        <w:gridCol w:w="861"/>
        <w:gridCol w:w="131"/>
        <w:gridCol w:w="992"/>
        <w:gridCol w:w="11"/>
        <w:gridCol w:w="981"/>
        <w:gridCol w:w="11"/>
        <w:gridCol w:w="992"/>
      </w:tblGrid>
      <w:tr w:rsidR="005636C7" w14:paraId="08358A33" w14:textId="77777777" w:rsidTr="005636C7">
        <w:trPr>
          <w:trHeight w:val="607"/>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1CE12F15" w14:textId="77777777" w:rsidR="005636C7" w:rsidRPr="0041262C" w:rsidRDefault="005636C7" w:rsidP="005636C7">
            <w:pPr>
              <w:pStyle w:val="E3TableHeading"/>
              <w:spacing w:line="256" w:lineRule="auto"/>
              <w:rPr>
                <w:sz w:val="14"/>
              </w:rPr>
            </w:pPr>
          </w:p>
        </w:tc>
        <w:tc>
          <w:tcPr>
            <w:tcW w:w="1711" w:type="dxa"/>
            <w:tcBorders>
              <w:top w:val="single" w:sz="4" w:space="0" w:color="auto"/>
              <w:left w:val="single" w:sz="4" w:space="0" w:color="auto"/>
              <w:bottom w:val="single" w:sz="4" w:space="0" w:color="auto"/>
              <w:right w:val="single" w:sz="4" w:space="0" w:color="auto"/>
            </w:tcBorders>
            <w:shd w:val="clear" w:color="auto" w:fill="0C0C0C"/>
            <w:vAlign w:val="center"/>
          </w:tcPr>
          <w:p w14:paraId="05D7F9BF" w14:textId="77777777" w:rsidR="005636C7" w:rsidRPr="0041262C" w:rsidRDefault="005636C7" w:rsidP="005636C7">
            <w:pPr>
              <w:pStyle w:val="E3TableHeading"/>
              <w:spacing w:line="256" w:lineRule="auto"/>
              <w:rPr>
                <w:sz w:val="14"/>
              </w:rPr>
            </w:pPr>
            <w:r w:rsidRPr="0041262C">
              <w:rPr>
                <w:sz w:val="14"/>
              </w:rPr>
              <w:t>Group Abbrev.</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4994C1F1" w14:textId="77777777" w:rsidR="005636C7" w:rsidRPr="0041262C" w:rsidRDefault="005636C7" w:rsidP="005636C7">
            <w:pPr>
              <w:pStyle w:val="E3TableHeading"/>
              <w:spacing w:line="256" w:lineRule="auto"/>
              <w:rPr>
                <w:sz w:val="14"/>
              </w:rPr>
            </w:pPr>
            <w:r w:rsidRPr="0041262C">
              <w:rPr>
                <w:sz w:val="14"/>
              </w:rPr>
              <w:t>Application</w:t>
            </w:r>
          </w:p>
        </w:tc>
        <w:tc>
          <w:tcPr>
            <w:tcW w:w="1124" w:type="dxa"/>
            <w:tcBorders>
              <w:top w:val="single" w:sz="4" w:space="0" w:color="auto"/>
              <w:left w:val="single" w:sz="4" w:space="0" w:color="auto"/>
              <w:bottom w:val="single" w:sz="4" w:space="0" w:color="auto"/>
              <w:right w:val="single" w:sz="4" w:space="0" w:color="auto"/>
            </w:tcBorders>
            <w:shd w:val="clear" w:color="auto" w:fill="0C0C0C"/>
            <w:vAlign w:val="center"/>
          </w:tcPr>
          <w:p w14:paraId="6AE1252C" w14:textId="77777777" w:rsidR="005636C7" w:rsidRPr="0041262C" w:rsidRDefault="005636C7" w:rsidP="005636C7">
            <w:pPr>
              <w:pStyle w:val="E3TableHeading"/>
              <w:spacing w:line="256" w:lineRule="auto"/>
              <w:rPr>
                <w:sz w:val="14"/>
              </w:rPr>
            </w:pPr>
            <w:r w:rsidRPr="0041262C">
              <w:rPr>
                <w:sz w:val="14"/>
              </w:rPr>
              <w:t>Temperature</w:t>
            </w:r>
          </w:p>
        </w:tc>
        <w:tc>
          <w:tcPr>
            <w:tcW w:w="1134" w:type="dxa"/>
            <w:gridSpan w:val="3"/>
            <w:tcBorders>
              <w:top w:val="single" w:sz="4" w:space="0" w:color="auto"/>
              <w:left w:val="single" w:sz="4" w:space="0" w:color="auto"/>
              <w:bottom w:val="single" w:sz="4" w:space="0" w:color="auto"/>
              <w:right w:val="single" w:sz="4" w:space="0" w:color="auto"/>
            </w:tcBorders>
            <w:shd w:val="clear" w:color="auto" w:fill="0C0C0C"/>
            <w:vAlign w:val="center"/>
          </w:tcPr>
          <w:p w14:paraId="5A5BF508" w14:textId="77777777" w:rsidR="005636C7" w:rsidRPr="0041262C" w:rsidRDefault="005636C7" w:rsidP="005636C7">
            <w:pPr>
              <w:pStyle w:val="E3TableHeading"/>
              <w:spacing w:line="256" w:lineRule="auto"/>
              <w:rPr>
                <w:sz w:val="14"/>
              </w:rPr>
            </w:pPr>
            <w:r w:rsidRPr="0041262C">
              <w:rPr>
                <w:sz w:val="14"/>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14D40B0D" w14:textId="77777777" w:rsidR="005636C7" w:rsidRPr="0041262C" w:rsidRDefault="005636C7" w:rsidP="005636C7">
            <w:pPr>
              <w:pStyle w:val="E3TableHeading"/>
              <w:spacing w:line="256" w:lineRule="auto"/>
              <w:rPr>
                <w:sz w:val="14"/>
              </w:rPr>
            </w:pPr>
            <w:r w:rsidRPr="0041262C">
              <w:rPr>
                <w:sz w:val="14"/>
              </w:rPr>
              <w:t>AS 1731.14 Types</w:t>
            </w:r>
          </w:p>
        </w:tc>
        <w:tc>
          <w:tcPr>
            <w:tcW w:w="992" w:type="dxa"/>
            <w:tcBorders>
              <w:top w:val="single" w:sz="4" w:space="0" w:color="auto"/>
              <w:left w:val="single" w:sz="4" w:space="0" w:color="auto"/>
              <w:bottom w:val="single" w:sz="4" w:space="0" w:color="auto"/>
              <w:right w:val="single" w:sz="4" w:space="0" w:color="auto"/>
            </w:tcBorders>
            <w:shd w:val="clear" w:color="auto" w:fill="0C0C0C"/>
            <w:vAlign w:val="center"/>
          </w:tcPr>
          <w:p w14:paraId="25B8AEB7" w14:textId="77777777" w:rsidR="005636C7" w:rsidRPr="0041262C" w:rsidRDefault="005636C7" w:rsidP="005636C7">
            <w:pPr>
              <w:pStyle w:val="E3TableHeading"/>
              <w:spacing w:line="256" w:lineRule="auto"/>
              <w:rPr>
                <w:sz w:val="14"/>
              </w:rPr>
            </w:pPr>
            <w:r w:rsidRPr="0041262C">
              <w:rPr>
                <w:sz w:val="14"/>
              </w:rPr>
              <w:t>ISO 23953 Types</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391376C7" w14:textId="77777777" w:rsidR="005636C7" w:rsidRPr="0041262C" w:rsidRDefault="005636C7" w:rsidP="005636C7">
            <w:pPr>
              <w:pStyle w:val="E3TableHeading"/>
              <w:spacing w:line="256" w:lineRule="auto"/>
              <w:rPr>
                <w:sz w:val="14"/>
              </w:rPr>
            </w:pPr>
            <w:r w:rsidRPr="0041262C">
              <w:rPr>
                <w:sz w:val="14"/>
              </w:rPr>
              <w:t>Models affected</w:t>
            </w:r>
          </w:p>
        </w:tc>
        <w:tc>
          <w:tcPr>
            <w:tcW w:w="1003" w:type="dxa"/>
            <w:gridSpan w:val="2"/>
            <w:tcBorders>
              <w:top w:val="single" w:sz="4" w:space="0" w:color="auto"/>
              <w:left w:val="single" w:sz="4" w:space="0" w:color="auto"/>
              <w:bottom w:val="single" w:sz="4" w:space="0" w:color="auto"/>
              <w:right w:val="single" w:sz="4" w:space="0" w:color="auto"/>
            </w:tcBorders>
            <w:shd w:val="clear" w:color="auto" w:fill="0C0C0C"/>
            <w:hideMark/>
          </w:tcPr>
          <w:p w14:paraId="3AC07108" w14:textId="77777777" w:rsidR="005636C7" w:rsidRPr="0041262C" w:rsidRDefault="005636C7" w:rsidP="005636C7">
            <w:pPr>
              <w:pStyle w:val="E3TableHeading"/>
              <w:spacing w:line="256" w:lineRule="auto"/>
              <w:rPr>
                <w:sz w:val="14"/>
              </w:rPr>
            </w:pPr>
            <w:r w:rsidRPr="0041262C">
              <w:rPr>
                <w:sz w:val="14"/>
              </w:rPr>
              <w:t>Sales</w:t>
            </w:r>
          </w:p>
          <w:p w14:paraId="03BD175A" w14:textId="77777777" w:rsidR="005636C7" w:rsidRPr="0041262C" w:rsidRDefault="005636C7" w:rsidP="005636C7">
            <w:pPr>
              <w:pStyle w:val="E3TableHeading"/>
              <w:spacing w:line="256" w:lineRule="auto"/>
              <w:rPr>
                <w:sz w:val="14"/>
              </w:rPr>
            </w:pPr>
            <w:r w:rsidRPr="0041262C">
              <w:rPr>
                <w:sz w:val="14"/>
              </w:rPr>
              <w:t>affected</w:t>
            </w:r>
          </w:p>
        </w:tc>
      </w:tr>
      <w:tr w:rsidR="005636C7" w14:paraId="5B5A93E5"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hideMark/>
          </w:tcPr>
          <w:p w14:paraId="09038A5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7DEEDD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IRH</w:t>
            </w:r>
          </w:p>
          <w:p w14:paraId="6E5740D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45EB1D3"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Integral Refrigerated Display Cabinets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FD8B71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F55D4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B0837C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HC1, HC2, HC3, HC4, HC5, HC6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551602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IHC1, IHC2, IHC3, IHC4, IHC5, IHC6, IHC7, IHC8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DE1B5B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05249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21%</w:t>
            </w:r>
          </w:p>
        </w:tc>
      </w:tr>
      <w:tr w:rsidR="005636C7" w14:paraId="7012193A"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CE8918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122EF7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IRV</w:t>
            </w:r>
          </w:p>
          <w:p w14:paraId="744A37E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502456"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438EDBB9" w14:textId="77777777" w:rsidR="005636C7" w:rsidRPr="0041262C" w:rsidRDefault="005636C7" w:rsidP="005636C7">
            <w:pPr>
              <w:spacing w:line="256" w:lineRule="auto"/>
              <w:rPr>
                <w:rFonts w:ascii="Helvetica" w:hAnsi="Helvetica" w:cs="Helvetica"/>
                <w:sz w:val="14"/>
                <w:szCs w:val="14"/>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A9011E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40CF3D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IVC1, IVC2, IVC3</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5FF335C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IVC1, IVC2, IVC3, IYC1, IYC2, IYC3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063EA3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1E0E2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17%</w:t>
            </w:r>
          </w:p>
        </w:tc>
      </w:tr>
      <w:tr w:rsidR="005636C7" w14:paraId="46243E48"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15EBA3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2A1A7213"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IRV-4</w:t>
            </w:r>
          </w:p>
          <w:p w14:paraId="53970F2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Refrigerated Vertical Cabinets with Glass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2E399A"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964C208" w14:textId="77777777" w:rsidR="005636C7" w:rsidRPr="0041262C" w:rsidRDefault="005636C7" w:rsidP="005636C7">
            <w:pPr>
              <w:spacing w:line="256" w:lineRule="auto"/>
              <w:rPr>
                <w:rFonts w:ascii="Helvetica" w:hAnsi="Helvetica" w:cs="Helvetica"/>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97474C3" w14:textId="77777777" w:rsidR="005636C7" w:rsidRPr="0041262C" w:rsidRDefault="005636C7" w:rsidP="005636C7">
            <w:pPr>
              <w:spacing w:line="256" w:lineRule="auto"/>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3B03E1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B4B161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IVC4, IYC4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A9AE4A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0343411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17%</w:t>
            </w:r>
          </w:p>
        </w:tc>
      </w:tr>
      <w:tr w:rsidR="005636C7" w14:paraId="490F6CA3"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7763BD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DE2258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IFH</w:t>
            </w:r>
          </w:p>
          <w:p w14:paraId="37C6B37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DEB224"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6502D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Freezer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C2AE44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4850A8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IHF1, IHF3, IHF4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EF2C65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IHF1, IHF3, IHF4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2B0193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8C4983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75%</w:t>
            </w:r>
          </w:p>
        </w:tc>
      </w:tr>
      <w:tr w:rsidR="005636C7" w14:paraId="06C036B0"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C78513"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4491E4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IFH-5</w:t>
            </w:r>
          </w:p>
          <w:p w14:paraId="141AF3F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Freezer Horizontal with Lid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0F1037"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1EE0FFC" w14:textId="77777777" w:rsidR="005636C7" w:rsidRPr="0041262C" w:rsidRDefault="005636C7" w:rsidP="005636C7">
            <w:pPr>
              <w:spacing w:line="256" w:lineRule="auto"/>
              <w:rPr>
                <w:rFonts w:ascii="Helvetica" w:hAnsi="Helvetica" w:cs="Helvetica"/>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E7EFA5" w14:textId="77777777" w:rsidR="005636C7" w:rsidRPr="0041262C" w:rsidRDefault="005636C7" w:rsidP="005636C7">
            <w:pPr>
              <w:spacing w:line="256" w:lineRule="auto"/>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0E1502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IHF5, IHF6</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ECCD66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IHF5, IHF6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349754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425BC9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55%</w:t>
            </w:r>
          </w:p>
        </w:tc>
      </w:tr>
      <w:tr w:rsidR="005636C7" w14:paraId="1653ADB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6FEA4E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6</w:t>
            </w:r>
          </w:p>
        </w:tc>
        <w:tc>
          <w:tcPr>
            <w:tcW w:w="1711" w:type="dxa"/>
            <w:tcBorders>
              <w:top w:val="single" w:sz="4" w:space="0" w:color="auto"/>
              <w:left w:val="single" w:sz="4" w:space="0" w:color="auto"/>
              <w:bottom w:val="single" w:sz="4" w:space="0" w:color="auto"/>
              <w:right w:val="single" w:sz="4" w:space="0" w:color="auto"/>
            </w:tcBorders>
            <w:vAlign w:val="center"/>
            <w:hideMark/>
          </w:tcPr>
          <w:p w14:paraId="4208F6C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IFV</w:t>
            </w:r>
          </w:p>
          <w:p w14:paraId="6CF0075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Integral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5730CF"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EF84DB0"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6C946A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2A78BB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IVF1, IVF2, IVF4 Glass door</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10A6F33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IVF1, IVF2, IVF4, IYF1, IYF2, IYF3, IYF4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FCD971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3D2A2ED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32%</w:t>
            </w:r>
          </w:p>
        </w:tc>
      </w:tr>
      <w:tr w:rsidR="005636C7" w14:paraId="36E6B9A7"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33C4DD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7</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B836E2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RRH</w:t>
            </w:r>
          </w:p>
          <w:p w14:paraId="5C258C5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786761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Remote Refrigerated Display Cabinets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C6E4EC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D178D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514D74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RS6, RS7, RS8, RS9</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2B92664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RHC1, RHC2, RHC3, RHC4, RHC5, RHC6, RHC7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A69815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2C93A32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0%</w:t>
            </w:r>
          </w:p>
        </w:tc>
      </w:tr>
      <w:tr w:rsidR="005636C7" w14:paraId="2FFAC621"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C6D152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8</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FD08E8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RRV </w:t>
            </w:r>
          </w:p>
          <w:p w14:paraId="4EF9587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C4A620"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925F6FC" w14:textId="77777777" w:rsidR="005636C7" w:rsidRPr="0041262C" w:rsidRDefault="005636C7" w:rsidP="005636C7">
            <w:pPr>
              <w:spacing w:line="256" w:lineRule="auto"/>
              <w:rPr>
                <w:rFonts w:ascii="Helvetica" w:hAnsi="Helvetica" w:cs="Helvetica"/>
                <w:sz w:val="14"/>
                <w:szCs w:val="14"/>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08107D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116012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RS1, RS3, RS4, RS5, RS10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6437AE7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RVC1, RVC3, RVC4, RYC1, RYC2, RYC3, RYC4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72C7E3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0F206C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66%</w:t>
            </w:r>
          </w:p>
        </w:tc>
      </w:tr>
      <w:tr w:rsidR="005636C7" w14:paraId="3BD8308E"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28F9E8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9</w:t>
            </w:r>
          </w:p>
        </w:tc>
        <w:tc>
          <w:tcPr>
            <w:tcW w:w="1711" w:type="dxa"/>
            <w:tcBorders>
              <w:top w:val="single" w:sz="4" w:space="0" w:color="auto"/>
              <w:left w:val="single" w:sz="4" w:space="0" w:color="auto"/>
              <w:bottom w:val="single" w:sz="4" w:space="0" w:color="auto"/>
              <w:right w:val="single" w:sz="4" w:space="0" w:color="auto"/>
            </w:tcBorders>
            <w:vAlign w:val="center"/>
            <w:hideMark/>
          </w:tcPr>
          <w:p w14:paraId="1AC27AC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RRV-2</w:t>
            </w:r>
          </w:p>
          <w:p w14:paraId="31EC682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Refrigerated Vertical Cabinet, open, medium  temp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6372EF"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33D1676" w14:textId="77777777" w:rsidR="005636C7" w:rsidRPr="0041262C" w:rsidRDefault="005636C7" w:rsidP="005636C7">
            <w:pPr>
              <w:spacing w:line="256" w:lineRule="auto"/>
              <w:rPr>
                <w:rFonts w:ascii="Helvetica" w:hAnsi="Helvetica" w:cs="Helvetica"/>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938C54" w14:textId="77777777" w:rsidR="005636C7" w:rsidRPr="0041262C" w:rsidRDefault="005636C7" w:rsidP="005636C7">
            <w:pPr>
              <w:spacing w:line="256" w:lineRule="auto"/>
              <w:rPr>
                <w:rFonts w:ascii="Helvetica" w:hAnsi="Helvetica" w:cs="Helvetica"/>
                <w:sz w:val="14"/>
                <w:szCs w:val="1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C7B35B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RS2</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DC8F7C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RVC2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1D6C45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1737342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27%</w:t>
            </w:r>
          </w:p>
        </w:tc>
      </w:tr>
      <w:tr w:rsidR="005636C7" w14:paraId="6BCA806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CB8B8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10</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EB3BE7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RFH</w:t>
            </w:r>
          </w:p>
          <w:p w14:paraId="009F872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115AA9"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BCFB74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Freezer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B7C2E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6BCCC7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RS13, RS14,</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3FBF1A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RHF1, RHF3, RHF4, RHF5, RHF6, RHF7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3717A9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2378C92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11%</w:t>
            </w:r>
          </w:p>
        </w:tc>
      </w:tr>
      <w:tr w:rsidR="005636C7" w14:paraId="489F244C"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2AD3DC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11</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B2791B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RFV</w:t>
            </w:r>
          </w:p>
          <w:p w14:paraId="180D3F6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Remote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46B8F9"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732FEC6"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A64D55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95A05A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RS11, RS12, RS15, RS16, RS17, RS18, RS19, RS20</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D98ED8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RVF1, RVF2, RVF4, RYF1, RYF2, RYF3, RYF4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EDE387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6E297CA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w:t>
            </w:r>
          </w:p>
        </w:tc>
      </w:tr>
      <w:tr w:rsidR="005636C7" w14:paraId="4667CE54"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C40628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12</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D10DCF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SRH</w:t>
            </w:r>
          </w:p>
          <w:p w14:paraId="3AF9B63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refrigerated Horizontal with solid door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8D1192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Integral Refrigerated Storage cabinet  </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BEC297"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Refrigerator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3BD10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6CEDFE5"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No equivalent registered</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97032A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Storage cabinet types are defined into four categories (but not classified by the technical standards yet)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3054F29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45EA3E6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6B2718F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763441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13</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638A69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SRV</w:t>
            </w:r>
          </w:p>
          <w:p w14:paraId="565C909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Refrigerated,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244D4C"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3B61EEB"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CD140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287528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IVC4 Solid door </w:t>
            </w:r>
            <w:r w:rsidRPr="0041262C">
              <w:rPr>
                <w:rFonts w:ascii="Helvetica" w:hAnsi="Helvetica" w:cs="Helvetica"/>
              </w:rPr>
              <w:br/>
              <w:t xml:space="preserve">M1 &amp; M2 </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5C74C42D" w14:textId="77777777" w:rsidR="005636C7" w:rsidRPr="0041262C" w:rsidRDefault="005636C7" w:rsidP="005636C7">
            <w:pPr>
              <w:spacing w:line="256" w:lineRule="auto"/>
              <w:rPr>
                <w:rFonts w:ascii="Helvetica" w:hAnsi="Helvetica" w:cs="Helvetica"/>
                <w:sz w:val="14"/>
                <w:szCs w:val="1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696DDB9"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64C4C0D8"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099F5B75"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5F607F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14</w:t>
            </w:r>
          </w:p>
        </w:tc>
        <w:tc>
          <w:tcPr>
            <w:tcW w:w="1711" w:type="dxa"/>
            <w:tcBorders>
              <w:top w:val="single" w:sz="4" w:space="0" w:color="auto"/>
              <w:left w:val="single" w:sz="4" w:space="0" w:color="auto"/>
              <w:bottom w:val="single" w:sz="4" w:space="0" w:color="auto"/>
              <w:right w:val="single" w:sz="4" w:space="0" w:color="auto"/>
            </w:tcBorders>
            <w:vAlign w:val="center"/>
            <w:hideMark/>
          </w:tcPr>
          <w:p w14:paraId="5A9D2E6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SFH</w:t>
            </w:r>
          </w:p>
          <w:p w14:paraId="5B09254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Freezer, Horizontal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8E870DC"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83E6DC1"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Freezer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056A0A"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Counter (Horizontal)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0C1F52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No equivalent registered</w:t>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0BE7766C" w14:textId="77777777" w:rsidR="005636C7" w:rsidRPr="0041262C" w:rsidRDefault="005636C7" w:rsidP="005636C7">
            <w:pPr>
              <w:spacing w:line="256" w:lineRule="auto"/>
              <w:rPr>
                <w:rFonts w:ascii="Helvetica" w:hAnsi="Helvetica" w:cs="Helvetica"/>
                <w:sz w:val="14"/>
                <w:szCs w:val="1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9B6D41E"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05F4564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045EA181"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18453AC"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15</w:t>
            </w:r>
          </w:p>
        </w:tc>
        <w:tc>
          <w:tcPr>
            <w:tcW w:w="1711" w:type="dxa"/>
            <w:tcBorders>
              <w:top w:val="single" w:sz="4" w:space="0" w:color="auto"/>
              <w:left w:val="single" w:sz="4" w:space="0" w:color="auto"/>
              <w:bottom w:val="single" w:sz="4" w:space="0" w:color="auto"/>
              <w:right w:val="single" w:sz="4" w:space="0" w:color="auto"/>
            </w:tcBorders>
            <w:vAlign w:val="center"/>
            <w:hideMark/>
          </w:tcPr>
          <w:p w14:paraId="0C8AC1DB"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SFV</w:t>
            </w:r>
          </w:p>
          <w:p w14:paraId="423BB64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Service Cabinet Freezer,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CC2207" w14:textId="77777777" w:rsidR="005636C7" w:rsidRPr="0041262C" w:rsidRDefault="005636C7" w:rsidP="005636C7">
            <w:pPr>
              <w:spacing w:line="256" w:lineRule="auto"/>
              <w:rPr>
                <w:rFonts w:ascii="Helvetica" w:hAnsi="Helvetica" w:cs="Helvetica"/>
                <w:sz w:val="14"/>
                <w:szCs w:val="14"/>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D42196B" w14:textId="77777777" w:rsidR="005636C7" w:rsidRPr="0041262C" w:rsidRDefault="005636C7" w:rsidP="005636C7">
            <w:pPr>
              <w:spacing w:line="256" w:lineRule="auto"/>
              <w:rPr>
                <w:rFonts w:ascii="Helvetica" w:hAnsi="Helvetica" w:cs="Helvetica"/>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BD60486"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Vertical</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C785CAD"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 xml:space="preserve">IVF4 Solid doors </w:t>
            </w:r>
            <w:r w:rsidRPr="0041262C">
              <w:rPr>
                <w:rFonts w:ascii="Helvetica" w:hAnsi="Helvetica" w:cs="Helvetica"/>
              </w:rPr>
              <w:br/>
              <w:t>L1 &amp; L2</w:t>
            </w:r>
            <w:r w:rsidRPr="0041262C">
              <w:rPr>
                <w:rFonts w:ascii="Helvetica" w:hAnsi="Helvetica" w:cs="Helvetica"/>
              </w:rPr>
              <w:br/>
            </w: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14:paraId="40882413" w14:textId="77777777" w:rsidR="005636C7" w:rsidRPr="0041262C" w:rsidRDefault="005636C7" w:rsidP="005636C7">
            <w:pPr>
              <w:spacing w:line="256" w:lineRule="auto"/>
              <w:rPr>
                <w:rFonts w:ascii="Helvetica" w:hAnsi="Helvetica" w:cs="Helvetica"/>
                <w:sz w:val="14"/>
                <w:szCs w:val="1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1DCD4D4"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992" w:type="dxa"/>
            <w:tcBorders>
              <w:top w:val="single" w:sz="4" w:space="0" w:color="auto"/>
              <w:left w:val="single" w:sz="4" w:space="0" w:color="auto"/>
              <w:bottom w:val="single" w:sz="4" w:space="0" w:color="auto"/>
              <w:right w:val="single" w:sz="4" w:space="0" w:color="auto"/>
            </w:tcBorders>
            <w:vAlign w:val="center"/>
          </w:tcPr>
          <w:p w14:paraId="4FDDA062"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NA</w:t>
            </w:r>
          </w:p>
        </w:tc>
      </w:tr>
      <w:tr w:rsidR="005636C7" w14:paraId="07CFEDD8" w14:textId="77777777" w:rsidTr="005636C7">
        <w:trPr>
          <w:jc w:val="center"/>
        </w:trPr>
        <w:tc>
          <w:tcPr>
            <w:tcW w:w="7508" w:type="dxa"/>
            <w:gridSpan w:val="10"/>
            <w:tcBorders>
              <w:top w:val="single" w:sz="4" w:space="0" w:color="auto"/>
              <w:left w:val="single" w:sz="4" w:space="0" w:color="auto"/>
              <w:bottom w:val="single" w:sz="4" w:space="0" w:color="auto"/>
              <w:right w:val="single" w:sz="4" w:space="0" w:color="auto"/>
            </w:tcBorders>
            <w:vAlign w:val="center"/>
            <w:hideMark/>
          </w:tcPr>
          <w:p w14:paraId="3D66736F"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Overall effect (Groups 1 to 11)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1E672B30" w14:textId="77777777" w:rsidR="005636C7" w:rsidRPr="0041262C" w:rsidRDefault="005636C7" w:rsidP="005636C7">
            <w:pPr>
              <w:pStyle w:val="E3tabletext1"/>
              <w:spacing w:line="256" w:lineRule="auto"/>
              <w:rPr>
                <w:rFonts w:ascii="Helvetica" w:hAnsi="Helvetica" w:cs="Helvetica"/>
              </w:rPr>
            </w:pPr>
            <w:r w:rsidRPr="0041262C">
              <w:rPr>
                <w:rFonts w:ascii="Helvetica" w:hAnsi="Helvetica" w:cs="Helvetica"/>
              </w:rPr>
              <w:t>30%</w:t>
            </w:r>
          </w:p>
        </w:tc>
        <w:tc>
          <w:tcPr>
            <w:tcW w:w="1003" w:type="dxa"/>
            <w:gridSpan w:val="2"/>
            <w:tcBorders>
              <w:top w:val="single" w:sz="4" w:space="0" w:color="auto"/>
              <w:left w:val="single" w:sz="4" w:space="0" w:color="auto"/>
              <w:bottom w:val="single" w:sz="4" w:space="0" w:color="auto"/>
              <w:right w:val="single" w:sz="4" w:space="0" w:color="auto"/>
            </w:tcBorders>
            <w:vAlign w:val="center"/>
            <w:hideMark/>
          </w:tcPr>
          <w:p w14:paraId="76F09D50" w14:textId="77777777" w:rsidR="005636C7" w:rsidRPr="0041262C" w:rsidRDefault="005636C7" w:rsidP="005636C7">
            <w:pPr>
              <w:pStyle w:val="E3tabletext1"/>
              <w:spacing w:line="256" w:lineRule="auto"/>
              <w:rPr>
                <w:rFonts w:ascii="Helvetica" w:hAnsi="Helvetica" w:cs="Helvetica"/>
              </w:rPr>
            </w:pPr>
            <w:r>
              <w:rPr>
                <w:rFonts w:ascii="Helvetica" w:hAnsi="Helvetica" w:cs="Helvetica"/>
              </w:rPr>
              <w:t>13.4%</w:t>
            </w:r>
          </w:p>
        </w:tc>
      </w:tr>
    </w:tbl>
    <w:p w14:paraId="4EE41A9C" w14:textId="77777777" w:rsidR="005636C7" w:rsidRDefault="005636C7" w:rsidP="005636C7">
      <w:pPr>
        <w:pStyle w:val="E3Heading4"/>
      </w:pPr>
    </w:p>
    <w:p w14:paraId="1FDDB3C8" w14:textId="77777777" w:rsidR="005636C7" w:rsidRDefault="005636C7" w:rsidP="005636C7">
      <w:pPr>
        <w:pStyle w:val="E3Heading4"/>
      </w:pPr>
    </w:p>
    <w:p w14:paraId="1746C2B8" w14:textId="77777777" w:rsidR="005636C7" w:rsidRDefault="005636C7" w:rsidP="005636C7">
      <w:pPr>
        <w:pStyle w:val="E3Heading4"/>
      </w:pPr>
    </w:p>
    <w:p w14:paraId="10A8D620" w14:textId="77777777" w:rsidR="005636C7" w:rsidRDefault="005636C7" w:rsidP="005636C7">
      <w:pPr>
        <w:rPr>
          <w:rFonts w:eastAsia="Calibri" w:cs="Georgia"/>
          <w:b/>
          <w:bCs/>
          <w:color w:val="000000"/>
          <w:szCs w:val="19"/>
          <w:lang w:val="en-US"/>
        </w:rPr>
      </w:pPr>
      <w:r>
        <w:br w:type="page"/>
      </w:r>
    </w:p>
    <w:p w14:paraId="382B55D4" w14:textId="77777777" w:rsidR="005636C7" w:rsidRPr="00F056E3" w:rsidRDefault="005636C7" w:rsidP="005636C7">
      <w:pPr>
        <w:pStyle w:val="E3Heading4"/>
      </w:pPr>
      <w:r w:rsidRPr="00F056E3">
        <w:t xml:space="preserve">Costs and Benefits </w:t>
      </w:r>
    </w:p>
    <w:p w14:paraId="71887570" w14:textId="77777777" w:rsidR="005636C7" w:rsidRDefault="005636C7" w:rsidP="005636C7">
      <w:pPr>
        <w:pStyle w:val="E3Bullets"/>
        <w:spacing w:before="120" w:line="276" w:lineRule="auto"/>
        <w:jc w:val="both"/>
      </w:pPr>
      <w:r w:rsidRPr="00F0477C">
        <w:rPr>
          <w:b/>
        </w:rPr>
        <w:t xml:space="preserve">Figure </w:t>
      </w:r>
      <w:r>
        <w:rPr>
          <w:b/>
        </w:rPr>
        <w:t>15</w:t>
      </w:r>
      <w:r w:rsidRPr="00F0477C">
        <w:rPr>
          <w:b/>
        </w:rPr>
        <w:t xml:space="preserve"> </w:t>
      </w:r>
      <w:r>
        <w:t>shows the reduction in energy consumption over time due to Option3, there is also a corresponding greenhouse gas emissions when compared with BAU, but these are not significant when compared with other scenarios (see Options 4 below).</w:t>
      </w:r>
    </w:p>
    <w:p w14:paraId="1B0E3836" w14:textId="77777777" w:rsidR="005636C7" w:rsidRPr="00A929F6" w:rsidRDefault="005636C7" w:rsidP="005636C7">
      <w:pPr>
        <w:pStyle w:val="E3Figuretitles"/>
      </w:pPr>
      <w:r w:rsidRPr="00A929F6">
        <w:t>Figure 15: Annual energy consumption from Option 3.</w:t>
      </w:r>
    </w:p>
    <w:p w14:paraId="0B8F2019" w14:textId="77777777" w:rsidR="005636C7" w:rsidRPr="00F056E3" w:rsidRDefault="005636C7" w:rsidP="005636C7">
      <w:pPr>
        <w:pStyle w:val="E3BodyText"/>
      </w:pPr>
      <w:r>
        <w:rPr>
          <w:noProof/>
          <w:lang w:val="en-AU" w:eastAsia="en-AU"/>
        </w:rPr>
        <w:drawing>
          <wp:inline distT="0" distB="0" distL="0" distR="0" wp14:anchorId="2CDED63B" wp14:editId="7BCD7377">
            <wp:extent cx="6105525" cy="4143375"/>
            <wp:effectExtent l="0" t="0" r="9525" b="9525"/>
            <wp:docPr id="24" name="Picture 24" descr="Option 3 is the same as option 2 but under this scenarion 30% of models in the market would be affected by a more stringent MEPS level." title="Forecast annual energy consumption from o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5525" cy="4143375"/>
                    </a:xfrm>
                    <a:prstGeom prst="rect">
                      <a:avLst/>
                    </a:prstGeom>
                    <a:noFill/>
                    <a:ln>
                      <a:noFill/>
                    </a:ln>
                  </pic:spPr>
                </pic:pic>
              </a:graphicData>
            </a:graphic>
          </wp:inline>
        </w:drawing>
      </w:r>
    </w:p>
    <w:p w14:paraId="0CCF2691" w14:textId="77777777" w:rsidR="005636C7" w:rsidRPr="002759B7" w:rsidRDefault="005636C7" w:rsidP="005636C7">
      <w:pPr>
        <w:pStyle w:val="E3Bullets"/>
        <w:spacing w:before="120" w:line="276" w:lineRule="auto"/>
        <w:jc w:val="both"/>
        <w:rPr>
          <w:b/>
        </w:rPr>
      </w:pPr>
      <w:r w:rsidRPr="00FF4799">
        <w:rPr>
          <w:b/>
        </w:rPr>
        <w:t xml:space="preserve">Table </w:t>
      </w:r>
      <w:r>
        <w:rPr>
          <w:b/>
        </w:rPr>
        <w:t>14</w:t>
      </w:r>
      <w:r>
        <w:t xml:space="preserve"> shows the modelled impacts of Option 3 and indicates the net benefits to Australia of $AU798 million and to New Zealand of NZ$51 million and the benefit to cost ratios are 8:1 and 4.5:1 respectively.</w:t>
      </w:r>
    </w:p>
    <w:p w14:paraId="02074718" w14:textId="77777777" w:rsidR="005636C7" w:rsidRPr="0041262C" w:rsidRDefault="005636C7" w:rsidP="005636C7">
      <w:pPr>
        <w:pStyle w:val="E3TableTitles"/>
        <w:spacing w:before="120"/>
      </w:pPr>
      <w:bookmarkStart w:id="239" w:name="_Toc500159665"/>
      <w:r>
        <w:t>T</w:t>
      </w:r>
      <w:r w:rsidRPr="0041262C">
        <w:t>able 14 Evaluation of impacts – Option 3.</w:t>
      </w:r>
      <w:bookmarkEnd w:id="2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50FAB4F8" w14:textId="77777777" w:rsidTr="00712ED0">
        <w:tc>
          <w:tcPr>
            <w:tcW w:w="3209" w:type="dxa"/>
            <w:vAlign w:val="center"/>
          </w:tcPr>
          <w:p w14:paraId="6C3F22F5"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Indicator</w:t>
            </w:r>
          </w:p>
        </w:tc>
        <w:tc>
          <w:tcPr>
            <w:tcW w:w="6420" w:type="dxa"/>
            <w:gridSpan w:val="2"/>
            <w:vAlign w:val="center"/>
          </w:tcPr>
          <w:p w14:paraId="4D2CF689"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Appliances installed 2017 - 2035</w:t>
            </w:r>
          </w:p>
        </w:tc>
      </w:tr>
      <w:tr w:rsidR="005636C7" w14:paraId="546B0AA9" w14:textId="77777777" w:rsidTr="00712ED0">
        <w:tc>
          <w:tcPr>
            <w:tcW w:w="3209" w:type="dxa"/>
            <w:vAlign w:val="center"/>
          </w:tcPr>
          <w:p w14:paraId="3CFD67B5"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p>
        </w:tc>
        <w:tc>
          <w:tcPr>
            <w:tcW w:w="3210" w:type="dxa"/>
            <w:vAlign w:val="center"/>
          </w:tcPr>
          <w:p w14:paraId="60806DE2"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Australia</w:t>
            </w:r>
          </w:p>
        </w:tc>
        <w:tc>
          <w:tcPr>
            <w:tcW w:w="3210" w:type="dxa"/>
            <w:vAlign w:val="center"/>
          </w:tcPr>
          <w:p w14:paraId="3A045CDB" w14:textId="77777777" w:rsidR="005636C7" w:rsidRPr="0041262C" w:rsidRDefault="005636C7" w:rsidP="005636C7">
            <w:pPr>
              <w:pStyle w:val="E3Bullets"/>
              <w:spacing w:before="60" w:after="60" w:line="276" w:lineRule="auto"/>
              <w:contextualSpacing w:val="0"/>
              <w:jc w:val="center"/>
              <w:rPr>
                <w:rFonts w:ascii="Helvetica" w:hAnsi="Helvetica" w:cs="Helvetica"/>
                <w:b/>
                <w:sz w:val="16"/>
                <w:szCs w:val="16"/>
              </w:rPr>
            </w:pPr>
            <w:r w:rsidRPr="0041262C">
              <w:rPr>
                <w:rFonts w:ascii="Helvetica" w:hAnsi="Helvetica" w:cs="Helvetica"/>
                <w:b/>
                <w:sz w:val="16"/>
                <w:szCs w:val="16"/>
              </w:rPr>
              <w:t>New Zealand</w:t>
            </w:r>
          </w:p>
        </w:tc>
      </w:tr>
      <w:tr w:rsidR="005636C7" w14:paraId="6B1D6E3D" w14:textId="77777777" w:rsidTr="00712ED0">
        <w:tc>
          <w:tcPr>
            <w:tcW w:w="3209" w:type="dxa"/>
            <w:vAlign w:val="center"/>
          </w:tcPr>
          <w:p w14:paraId="2984CBB7"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Energy Savings</w:t>
            </w:r>
          </w:p>
        </w:tc>
        <w:tc>
          <w:tcPr>
            <w:tcW w:w="3210" w:type="dxa"/>
            <w:vAlign w:val="center"/>
          </w:tcPr>
          <w:p w14:paraId="6687E88C"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6406GWh</w:t>
            </w:r>
          </w:p>
        </w:tc>
        <w:tc>
          <w:tcPr>
            <w:tcW w:w="3210" w:type="dxa"/>
            <w:vAlign w:val="center"/>
          </w:tcPr>
          <w:p w14:paraId="06F11E20"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1142GWh</w:t>
            </w:r>
          </w:p>
        </w:tc>
      </w:tr>
      <w:tr w:rsidR="005636C7" w14:paraId="2FE7F1F1" w14:textId="77777777" w:rsidTr="00712ED0">
        <w:tc>
          <w:tcPr>
            <w:tcW w:w="3209" w:type="dxa"/>
            <w:vAlign w:val="center"/>
          </w:tcPr>
          <w:p w14:paraId="631B1856"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Emissions savings (CO2-e cumulative)</w:t>
            </w:r>
          </w:p>
        </w:tc>
        <w:tc>
          <w:tcPr>
            <w:tcW w:w="3210" w:type="dxa"/>
            <w:vAlign w:val="center"/>
          </w:tcPr>
          <w:p w14:paraId="218196F3"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4.76Mt</w:t>
            </w:r>
          </w:p>
        </w:tc>
        <w:tc>
          <w:tcPr>
            <w:tcW w:w="3210" w:type="dxa"/>
            <w:vAlign w:val="center"/>
          </w:tcPr>
          <w:p w14:paraId="0388BDD9"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147kt</w:t>
            </w:r>
          </w:p>
        </w:tc>
      </w:tr>
      <w:tr w:rsidR="005636C7" w14:paraId="0127ACFC" w14:textId="77777777" w:rsidTr="00712ED0">
        <w:tc>
          <w:tcPr>
            <w:tcW w:w="3209" w:type="dxa"/>
            <w:vAlign w:val="center"/>
          </w:tcPr>
          <w:p w14:paraId="703988A8"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Benefits</w:t>
            </w:r>
          </w:p>
        </w:tc>
        <w:tc>
          <w:tcPr>
            <w:tcW w:w="3210" w:type="dxa"/>
            <w:vAlign w:val="center"/>
          </w:tcPr>
          <w:p w14:paraId="6A3C9AA0"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$AU912 million</w:t>
            </w:r>
          </w:p>
        </w:tc>
        <w:tc>
          <w:tcPr>
            <w:tcW w:w="3210" w:type="dxa"/>
            <w:vAlign w:val="center"/>
          </w:tcPr>
          <w:p w14:paraId="3204E73C"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$NZ66 million</w:t>
            </w:r>
          </w:p>
        </w:tc>
      </w:tr>
      <w:tr w:rsidR="005636C7" w14:paraId="051E755A" w14:textId="77777777" w:rsidTr="00712ED0">
        <w:tc>
          <w:tcPr>
            <w:tcW w:w="3209" w:type="dxa"/>
            <w:vAlign w:val="center"/>
          </w:tcPr>
          <w:p w14:paraId="6A23FE42"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Costs</w:t>
            </w:r>
          </w:p>
        </w:tc>
        <w:tc>
          <w:tcPr>
            <w:tcW w:w="3210" w:type="dxa"/>
            <w:vAlign w:val="center"/>
          </w:tcPr>
          <w:p w14:paraId="01DE2B75"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$AU115 million</w:t>
            </w:r>
          </w:p>
        </w:tc>
        <w:tc>
          <w:tcPr>
            <w:tcW w:w="3210" w:type="dxa"/>
            <w:vAlign w:val="center"/>
          </w:tcPr>
          <w:p w14:paraId="4335E1A6"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$NZ15 million</w:t>
            </w:r>
          </w:p>
        </w:tc>
      </w:tr>
      <w:tr w:rsidR="005636C7" w14:paraId="54B3744C" w14:textId="77777777" w:rsidTr="00712ED0">
        <w:tc>
          <w:tcPr>
            <w:tcW w:w="3209" w:type="dxa"/>
            <w:vAlign w:val="center"/>
          </w:tcPr>
          <w:p w14:paraId="7C88B237"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Net Present Value</w:t>
            </w:r>
          </w:p>
        </w:tc>
        <w:tc>
          <w:tcPr>
            <w:tcW w:w="3210" w:type="dxa"/>
            <w:vAlign w:val="center"/>
          </w:tcPr>
          <w:p w14:paraId="2329F4D9"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$AU798 million</w:t>
            </w:r>
          </w:p>
        </w:tc>
        <w:tc>
          <w:tcPr>
            <w:tcW w:w="3210" w:type="dxa"/>
            <w:vAlign w:val="center"/>
          </w:tcPr>
          <w:p w14:paraId="1BA2EEE4"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$NZ51 million</w:t>
            </w:r>
            <w:r w:rsidRPr="0041262C">
              <w:rPr>
                <w:rStyle w:val="FootnoteReference"/>
                <w:rFonts w:ascii="Helvetica" w:hAnsi="Helvetica" w:cs="Helvetica"/>
                <w:sz w:val="16"/>
                <w:szCs w:val="16"/>
              </w:rPr>
              <w:footnoteReference w:id="42"/>
            </w:r>
          </w:p>
        </w:tc>
      </w:tr>
      <w:tr w:rsidR="005636C7" w14:paraId="7CAEBEEF" w14:textId="77777777" w:rsidTr="00712ED0">
        <w:tc>
          <w:tcPr>
            <w:tcW w:w="3209" w:type="dxa"/>
            <w:vAlign w:val="center"/>
          </w:tcPr>
          <w:p w14:paraId="03816ECA"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Benefit cost ratio</w:t>
            </w:r>
          </w:p>
        </w:tc>
        <w:tc>
          <w:tcPr>
            <w:tcW w:w="3210" w:type="dxa"/>
            <w:vAlign w:val="center"/>
          </w:tcPr>
          <w:p w14:paraId="1783F36F"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8:1</w:t>
            </w:r>
          </w:p>
        </w:tc>
        <w:tc>
          <w:tcPr>
            <w:tcW w:w="3210" w:type="dxa"/>
            <w:vAlign w:val="center"/>
          </w:tcPr>
          <w:p w14:paraId="3C1E97B5" w14:textId="77777777" w:rsidR="005636C7" w:rsidRPr="0041262C" w:rsidRDefault="005636C7" w:rsidP="005636C7">
            <w:pPr>
              <w:pStyle w:val="E3Bullets"/>
              <w:spacing w:before="60" w:after="60" w:line="276" w:lineRule="auto"/>
              <w:contextualSpacing w:val="0"/>
              <w:jc w:val="center"/>
              <w:rPr>
                <w:rFonts w:ascii="Helvetica" w:hAnsi="Helvetica" w:cs="Helvetica"/>
                <w:sz w:val="16"/>
                <w:szCs w:val="16"/>
              </w:rPr>
            </w:pPr>
            <w:r w:rsidRPr="0041262C">
              <w:rPr>
                <w:rFonts w:ascii="Helvetica" w:hAnsi="Helvetica" w:cs="Helvetica"/>
                <w:sz w:val="16"/>
                <w:szCs w:val="16"/>
              </w:rPr>
              <w:t>4.5:1</w:t>
            </w:r>
          </w:p>
        </w:tc>
      </w:tr>
    </w:tbl>
    <w:p w14:paraId="56DFE244" w14:textId="77777777" w:rsidR="005636C7" w:rsidRDefault="005636C7" w:rsidP="005636C7">
      <w:pPr>
        <w:pStyle w:val="E3Bullets"/>
        <w:spacing w:before="120" w:line="276" w:lineRule="auto"/>
        <w:jc w:val="both"/>
      </w:pPr>
    </w:p>
    <w:p w14:paraId="65F825E4" w14:textId="77777777" w:rsidR="005636C7" w:rsidRDefault="005636C7" w:rsidP="005636C7">
      <w:pPr>
        <w:pStyle w:val="E3Bullets"/>
        <w:spacing w:before="120" w:line="276" w:lineRule="auto"/>
        <w:jc w:val="both"/>
      </w:pPr>
      <w:r>
        <w:t xml:space="preserve">Further details of the modelling and assumptions are at </w:t>
      </w:r>
      <w:r>
        <w:rPr>
          <w:b/>
        </w:rPr>
        <w:t>Attachment C</w:t>
      </w:r>
      <w:r w:rsidRPr="007A5346">
        <w:t>.</w:t>
      </w:r>
    </w:p>
    <w:p w14:paraId="7BD277D6" w14:textId="77777777" w:rsidR="005636C7" w:rsidRPr="00CF127B" w:rsidRDefault="005636C7" w:rsidP="005636C7">
      <w:pPr>
        <w:pStyle w:val="E3Heading1"/>
        <w:spacing w:before="240" w:after="240"/>
        <w:jc w:val="both"/>
        <w:rPr>
          <w:rFonts w:eastAsia="Calibri" w:cs="Arial"/>
          <w:color w:val="000000" w:themeColor="text1"/>
          <w:sz w:val="32"/>
          <w:szCs w:val="26"/>
          <w:lang w:val="en-US"/>
        </w:rPr>
      </w:pPr>
      <w:bookmarkStart w:id="240" w:name="_Toc500151814"/>
      <w:r w:rsidRPr="00CF127B">
        <w:rPr>
          <w:rFonts w:eastAsia="Calibri" w:cs="Arial"/>
          <w:color w:val="000000" w:themeColor="text1"/>
          <w:sz w:val="32"/>
          <w:szCs w:val="26"/>
          <w:lang w:val="en-US"/>
        </w:rPr>
        <w:t>Option 4</w:t>
      </w:r>
      <w:bookmarkEnd w:id="240"/>
      <w:r w:rsidRPr="00CF127B">
        <w:rPr>
          <w:rFonts w:eastAsia="Calibri" w:cs="Arial"/>
          <w:color w:val="000000" w:themeColor="text1"/>
          <w:sz w:val="32"/>
          <w:szCs w:val="26"/>
          <w:lang w:val="en-US"/>
        </w:rPr>
        <w:t xml:space="preserve"> </w:t>
      </w:r>
    </w:p>
    <w:p w14:paraId="544C4F0B" w14:textId="77777777" w:rsidR="005636C7" w:rsidRPr="0041262C" w:rsidRDefault="005636C7" w:rsidP="005636C7">
      <w:pPr>
        <w:pStyle w:val="E3BodyText"/>
        <w:jc w:val="both"/>
      </w:pPr>
      <w:r>
        <w:t xml:space="preserve">Option 4 is the same as option 2 and 3 except the proposed MEPS levels will align with EC MEPS levels (see </w:t>
      </w:r>
      <w:r>
        <w:rPr>
          <w:b/>
        </w:rPr>
        <w:t>T</w:t>
      </w:r>
      <w:r w:rsidRPr="008F7BFC">
        <w:rPr>
          <w:b/>
        </w:rPr>
        <w:t>able 8A</w:t>
      </w:r>
      <w:r>
        <w:t xml:space="preserve"> and </w:t>
      </w:r>
      <w:r>
        <w:rPr>
          <w:b/>
        </w:rPr>
        <w:t>T</w:t>
      </w:r>
      <w:r w:rsidRPr="008F7BFC">
        <w:rPr>
          <w:b/>
        </w:rPr>
        <w:t>able 8B</w:t>
      </w:r>
      <w:r>
        <w:t xml:space="preserve"> for details) cabinets in each group.  Therefore it has the same advantages and dis-advantages and impacts on market participants as Option 2 and 3 above. However the impact on the models currently sold on the market would be different resulting in additional compliance costs. Overall more energy efficient models would need to be supplied and used and the benefits are higher as shown below.    </w:t>
      </w:r>
    </w:p>
    <w:p w14:paraId="0E812E0B" w14:textId="77777777" w:rsidR="005636C7" w:rsidRPr="00F056E3" w:rsidRDefault="005636C7" w:rsidP="005636C7">
      <w:pPr>
        <w:pStyle w:val="E3Heading4"/>
        <w:jc w:val="both"/>
      </w:pPr>
      <w:r w:rsidRPr="00F056E3">
        <w:t>Impacts on current market supply</w:t>
      </w:r>
    </w:p>
    <w:p w14:paraId="0CD015B2" w14:textId="77777777" w:rsidR="005636C7" w:rsidRDefault="005636C7" w:rsidP="005636C7">
      <w:pPr>
        <w:pStyle w:val="E3BodyText"/>
        <w:jc w:val="both"/>
      </w:pPr>
      <w:r>
        <w:t>Under Option 4, cabinets that have a higher EEI will be required to improve their energy efficiency performance to meet EC MEPS levels (for display cabinets, their draft EEI is 130, storage cabinets will have to achieve an EEI of less than 95).</w:t>
      </w:r>
    </w:p>
    <w:p w14:paraId="25DCFBE6" w14:textId="77777777" w:rsidR="005636C7" w:rsidRDefault="005636C7" w:rsidP="005636C7">
      <w:pPr>
        <w:jc w:val="both"/>
      </w:pPr>
      <w:r>
        <w:t>While some local manufacturers may be affected, the large majority of the cabinet types requiring efficiency improvements are imported, typically from Europe and Asia. Essentially all of industry would need to be aware of the changes because the efficiency targets should be an ongoing development with staged introduction of more stringent efficiency levels. If they are not affected in the short term then they should be aware of the next steps that should occur in the medium term.</w:t>
      </w:r>
    </w:p>
    <w:p w14:paraId="29B85CCE" w14:textId="77777777" w:rsidR="005636C7" w:rsidRDefault="005636C7" w:rsidP="005636C7">
      <w:pPr>
        <w:pStyle w:val="E3BodyText"/>
        <w:jc w:val="both"/>
      </w:pPr>
      <w:r w:rsidRPr="0041262C">
        <w:t>Table 15 shows the impact of the policy options on the actual sales of models based on 2015 data.  The table shows the percentage of products in each group that will not meet the MEPS levels under the options 2, 3 and 4.  In some groups there are no sales recorded  There is no sales data for the groups 12 to 15 as these products are not currently regulated (shown as NA).  The overall impact on the sales is shown in the bottom row.  It should be noted that although the MEPS policy options 2 and 3 are set at 10% and 30% of the least efficient registrations, the sales impact will be different due to different models being sold. In the case of Option 4, the MEPS levels are determined in accordance with the EU regulations and</w:t>
      </w:r>
      <w:r>
        <w:t xml:space="preserve"> </w:t>
      </w:r>
      <w:r w:rsidRPr="0041262C">
        <w:t>will impact differently depending on the efficiency of the products sold in each group</w:t>
      </w:r>
      <w:r>
        <w:t xml:space="preserve">.  </w:t>
      </w:r>
    </w:p>
    <w:p w14:paraId="20CD11CC" w14:textId="77777777" w:rsidR="005636C7" w:rsidRDefault="005636C7" w:rsidP="005636C7">
      <w:pPr>
        <w:rPr>
          <w:rFonts w:eastAsia="Calibri" w:cs="Georgia"/>
          <w:color w:val="000000"/>
          <w:szCs w:val="19"/>
          <w:lang w:val="en-US"/>
        </w:rPr>
      </w:pPr>
      <w:r>
        <w:br w:type="page"/>
      </w:r>
    </w:p>
    <w:p w14:paraId="7630731B" w14:textId="77777777" w:rsidR="005636C7" w:rsidRDefault="005636C7" w:rsidP="005636C7">
      <w:pPr>
        <w:pStyle w:val="E3TableTitles"/>
        <w:spacing w:before="0"/>
        <w:rPr>
          <w:i/>
        </w:rPr>
      </w:pPr>
      <w:bookmarkStart w:id="241" w:name="_Toc500159666"/>
      <w:r w:rsidRPr="0041262C">
        <w:t>Table 15: Summary of 15 groups of display and storage cabinets and impacts on models from Option 4</w:t>
      </w:r>
      <w:r>
        <w:t>.</w:t>
      </w:r>
      <w:bookmarkEnd w:id="24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64"/>
        <w:gridCol w:w="1134"/>
        <w:gridCol w:w="1134"/>
        <w:gridCol w:w="987"/>
        <w:gridCol w:w="284"/>
        <w:gridCol w:w="850"/>
        <w:gridCol w:w="142"/>
        <w:gridCol w:w="1134"/>
        <w:gridCol w:w="850"/>
        <w:gridCol w:w="856"/>
      </w:tblGrid>
      <w:tr w:rsidR="005636C7" w14:paraId="4409EABA" w14:textId="77777777" w:rsidTr="005636C7">
        <w:trPr>
          <w:trHeight w:val="607"/>
          <w:jc w:val="center"/>
        </w:trPr>
        <w:tc>
          <w:tcPr>
            <w:tcW w:w="421" w:type="dxa"/>
            <w:tcBorders>
              <w:top w:val="single" w:sz="4" w:space="0" w:color="auto"/>
              <w:left w:val="single" w:sz="4" w:space="0" w:color="auto"/>
              <w:bottom w:val="single" w:sz="4" w:space="0" w:color="auto"/>
              <w:right w:val="single" w:sz="4" w:space="0" w:color="auto"/>
            </w:tcBorders>
            <w:shd w:val="clear" w:color="auto" w:fill="0C0C0C"/>
          </w:tcPr>
          <w:p w14:paraId="3BBCD542" w14:textId="77777777" w:rsidR="005636C7" w:rsidRPr="0041262C" w:rsidRDefault="005636C7" w:rsidP="005636C7">
            <w:pPr>
              <w:pStyle w:val="E3TableHeading"/>
              <w:rPr>
                <w:sz w:val="14"/>
              </w:rPr>
            </w:pPr>
          </w:p>
        </w:tc>
        <w:tc>
          <w:tcPr>
            <w:tcW w:w="1564" w:type="dxa"/>
            <w:tcBorders>
              <w:top w:val="single" w:sz="4" w:space="0" w:color="auto"/>
              <w:left w:val="single" w:sz="4" w:space="0" w:color="auto"/>
              <w:bottom w:val="single" w:sz="4" w:space="0" w:color="auto"/>
              <w:right w:val="single" w:sz="4" w:space="0" w:color="auto"/>
            </w:tcBorders>
            <w:shd w:val="clear" w:color="auto" w:fill="0C0C0C"/>
            <w:vAlign w:val="center"/>
          </w:tcPr>
          <w:p w14:paraId="564E27F5" w14:textId="77777777" w:rsidR="005636C7" w:rsidRPr="0041262C" w:rsidRDefault="005636C7" w:rsidP="005636C7">
            <w:pPr>
              <w:pStyle w:val="E3TableHeading"/>
              <w:rPr>
                <w:sz w:val="14"/>
              </w:rPr>
            </w:pPr>
            <w:r w:rsidRPr="0041262C">
              <w:rPr>
                <w:sz w:val="14"/>
              </w:rPr>
              <w:t>Group Abbrev.</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0F5FB9D3" w14:textId="77777777" w:rsidR="005636C7" w:rsidRPr="0041262C" w:rsidRDefault="005636C7" w:rsidP="005636C7">
            <w:pPr>
              <w:pStyle w:val="E3TableHeading"/>
              <w:rPr>
                <w:sz w:val="14"/>
              </w:rPr>
            </w:pPr>
            <w:r w:rsidRPr="0041262C">
              <w:rPr>
                <w:sz w:val="14"/>
              </w:rPr>
              <w:t>Application</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666882A1" w14:textId="77777777" w:rsidR="005636C7" w:rsidRPr="0041262C" w:rsidRDefault="005636C7" w:rsidP="005636C7">
            <w:pPr>
              <w:pStyle w:val="E3TableHeading"/>
              <w:rPr>
                <w:sz w:val="14"/>
              </w:rPr>
            </w:pPr>
            <w:r w:rsidRPr="0041262C">
              <w:rPr>
                <w:sz w:val="14"/>
              </w:rPr>
              <w:t>Temperature</w:t>
            </w:r>
          </w:p>
        </w:tc>
        <w:tc>
          <w:tcPr>
            <w:tcW w:w="1271"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5268566B" w14:textId="77777777" w:rsidR="005636C7" w:rsidRPr="0041262C" w:rsidRDefault="005636C7" w:rsidP="005636C7">
            <w:pPr>
              <w:pStyle w:val="E3TableHeading"/>
              <w:rPr>
                <w:sz w:val="14"/>
              </w:rPr>
            </w:pPr>
            <w:r w:rsidRPr="0041262C">
              <w:rPr>
                <w:sz w:val="14"/>
              </w:rPr>
              <w:t>Configuration</w:t>
            </w:r>
          </w:p>
        </w:tc>
        <w:tc>
          <w:tcPr>
            <w:tcW w:w="992" w:type="dxa"/>
            <w:gridSpan w:val="2"/>
            <w:tcBorders>
              <w:top w:val="single" w:sz="4" w:space="0" w:color="auto"/>
              <w:left w:val="single" w:sz="4" w:space="0" w:color="auto"/>
              <w:bottom w:val="single" w:sz="4" w:space="0" w:color="auto"/>
              <w:right w:val="single" w:sz="4" w:space="0" w:color="auto"/>
            </w:tcBorders>
            <w:shd w:val="clear" w:color="auto" w:fill="0C0C0C"/>
            <w:vAlign w:val="center"/>
          </w:tcPr>
          <w:p w14:paraId="07C83159" w14:textId="77777777" w:rsidR="005636C7" w:rsidRPr="0041262C" w:rsidRDefault="005636C7" w:rsidP="005636C7">
            <w:pPr>
              <w:pStyle w:val="E3TableHeading"/>
              <w:rPr>
                <w:sz w:val="14"/>
              </w:rPr>
            </w:pPr>
            <w:r w:rsidRPr="0041262C">
              <w:rPr>
                <w:sz w:val="14"/>
              </w:rPr>
              <w:t>AS 1731.14 Types</w:t>
            </w:r>
          </w:p>
        </w:tc>
        <w:tc>
          <w:tcPr>
            <w:tcW w:w="1134" w:type="dxa"/>
            <w:tcBorders>
              <w:top w:val="single" w:sz="4" w:space="0" w:color="auto"/>
              <w:left w:val="single" w:sz="4" w:space="0" w:color="auto"/>
              <w:bottom w:val="single" w:sz="4" w:space="0" w:color="auto"/>
              <w:right w:val="single" w:sz="4" w:space="0" w:color="auto"/>
            </w:tcBorders>
            <w:shd w:val="clear" w:color="auto" w:fill="0C0C0C"/>
            <w:vAlign w:val="center"/>
          </w:tcPr>
          <w:p w14:paraId="2619DB15" w14:textId="77777777" w:rsidR="005636C7" w:rsidRPr="0041262C" w:rsidRDefault="005636C7" w:rsidP="005636C7">
            <w:pPr>
              <w:pStyle w:val="E3TableHeading"/>
              <w:rPr>
                <w:sz w:val="14"/>
              </w:rPr>
            </w:pPr>
            <w:r w:rsidRPr="0041262C">
              <w:rPr>
                <w:sz w:val="14"/>
              </w:rPr>
              <w:t>ISO 23953 Types</w:t>
            </w:r>
          </w:p>
        </w:tc>
        <w:tc>
          <w:tcPr>
            <w:tcW w:w="850" w:type="dxa"/>
            <w:tcBorders>
              <w:top w:val="single" w:sz="4" w:space="0" w:color="auto"/>
              <w:left w:val="single" w:sz="4" w:space="0" w:color="auto"/>
              <w:bottom w:val="single" w:sz="4" w:space="0" w:color="auto"/>
              <w:right w:val="single" w:sz="4" w:space="0" w:color="auto"/>
            </w:tcBorders>
            <w:shd w:val="clear" w:color="auto" w:fill="0C0C0C"/>
            <w:hideMark/>
          </w:tcPr>
          <w:p w14:paraId="48F66D80" w14:textId="77777777" w:rsidR="005636C7" w:rsidRPr="0041262C" w:rsidRDefault="005636C7" w:rsidP="005636C7">
            <w:pPr>
              <w:pStyle w:val="E3TableHeading"/>
              <w:rPr>
                <w:sz w:val="14"/>
              </w:rPr>
            </w:pPr>
            <w:r w:rsidRPr="0041262C">
              <w:rPr>
                <w:sz w:val="14"/>
              </w:rPr>
              <w:t>Models affected</w:t>
            </w:r>
          </w:p>
        </w:tc>
        <w:tc>
          <w:tcPr>
            <w:tcW w:w="856" w:type="dxa"/>
            <w:tcBorders>
              <w:top w:val="single" w:sz="4" w:space="0" w:color="auto"/>
              <w:left w:val="single" w:sz="4" w:space="0" w:color="auto"/>
              <w:bottom w:val="single" w:sz="4" w:space="0" w:color="auto"/>
              <w:right w:val="single" w:sz="4" w:space="0" w:color="auto"/>
            </w:tcBorders>
            <w:shd w:val="clear" w:color="auto" w:fill="0C0C0C"/>
            <w:hideMark/>
          </w:tcPr>
          <w:p w14:paraId="30D39C2C" w14:textId="77777777" w:rsidR="005636C7" w:rsidRPr="0041262C" w:rsidRDefault="005636C7" w:rsidP="005636C7">
            <w:pPr>
              <w:pStyle w:val="E3TableHeading"/>
              <w:rPr>
                <w:sz w:val="14"/>
              </w:rPr>
            </w:pPr>
            <w:r w:rsidRPr="0041262C">
              <w:rPr>
                <w:sz w:val="14"/>
              </w:rPr>
              <w:t>Sales</w:t>
            </w:r>
          </w:p>
          <w:p w14:paraId="411B0133" w14:textId="77777777" w:rsidR="005636C7" w:rsidRPr="0041262C" w:rsidRDefault="005636C7" w:rsidP="005636C7">
            <w:pPr>
              <w:pStyle w:val="E3TableHeading"/>
              <w:rPr>
                <w:sz w:val="14"/>
              </w:rPr>
            </w:pPr>
            <w:r w:rsidRPr="0041262C">
              <w:rPr>
                <w:sz w:val="14"/>
              </w:rPr>
              <w:t>affected</w:t>
            </w:r>
          </w:p>
        </w:tc>
      </w:tr>
      <w:tr w:rsidR="005636C7" w14:paraId="4B42FFFA"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hideMark/>
          </w:tcPr>
          <w:p w14:paraId="4B7EBC4F" w14:textId="77777777" w:rsidR="005636C7" w:rsidRPr="0041262C" w:rsidRDefault="005636C7" w:rsidP="005636C7">
            <w:pPr>
              <w:pStyle w:val="E3tabletext1"/>
              <w:rPr>
                <w:rFonts w:ascii="Helvetica" w:hAnsi="Helvetica" w:cs="Helvetica"/>
              </w:rPr>
            </w:pPr>
            <w:r w:rsidRPr="0041262C">
              <w:rPr>
                <w:rFonts w:ascii="Helvetica" w:hAnsi="Helvetica" w:cs="Helvetica"/>
              </w:rPr>
              <w:t>1</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80AFB43" w14:textId="77777777" w:rsidR="005636C7" w:rsidRPr="0041262C" w:rsidRDefault="005636C7" w:rsidP="005636C7">
            <w:pPr>
              <w:pStyle w:val="E3tabletext1"/>
              <w:rPr>
                <w:rFonts w:ascii="Helvetica" w:hAnsi="Helvetica" w:cs="Helvetica"/>
              </w:rPr>
            </w:pPr>
            <w:r w:rsidRPr="0041262C">
              <w:rPr>
                <w:rFonts w:ascii="Helvetica" w:hAnsi="Helvetica" w:cs="Helvetica"/>
              </w:rPr>
              <w:t>IRH</w:t>
            </w:r>
          </w:p>
          <w:p w14:paraId="38562E01"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2FAF15"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Integral Refrigerated Display Cabinets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5CA6DA" w14:textId="77777777" w:rsidR="005636C7" w:rsidRPr="0041262C" w:rsidRDefault="005636C7" w:rsidP="005636C7">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4279B417"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1FEA75A" w14:textId="77777777" w:rsidR="005636C7" w:rsidRPr="0041262C" w:rsidRDefault="005636C7" w:rsidP="005636C7">
            <w:pPr>
              <w:pStyle w:val="E3tabletext1"/>
              <w:rPr>
                <w:rFonts w:ascii="Helvetica" w:hAnsi="Helvetica" w:cs="Helvetica"/>
              </w:rPr>
            </w:pPr>
            <w:r w:rsidRPr="0041262C">
              <w:rPr>
                <w:rFonts w:ascii="Helvetica" w:hAnsi="Helvetica" w:cs="Helvetica"/>
              </w:rPr>
              <w:t>HC1, HC2, HC3, HC4, HC5, HC6</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1670F19" w14:textId="77777777" w:rsidR="005636C7" w:rsidRPr="0041262C" w:rsidRDefault="005636C7" w:rsidP="005636C7">
            <w:pPr>
              <w:pStyle w:val="E3tabletext1"/>
              <w:rPr>
                <w:rFonts w:ascii="Helvetica" w:hAnsi="Helvetica" w:cs="Helvetica"/>
              </w:rPr>
            </w:pPr>
            <w:r w:rsidRPr="0041262C">
              <w:rPr>
                <w:rFonts w:ascii="Helvetica" w:hAnsi="Helvetica" w:cs="Helvetica"/>
              </w:rPr>
              <w:t>IHC1, IHC2, IHC3, IHC4, IHC5, IHC6, IHC7, IHC8</w:t>
            </w:r>
          </w:p>
        </w:tc>
        <w:tc>
          <w:tcPr>
            <w:tcW w:w="850" w:type="dxa"/>
            <w:tcBorders>
              <w:top w:val="single" w:sz="4" w:space="0" w:color="auto"/>
              <w:left w:val="single" w:sz="4" w:space="0" w:color="auto"/>
              <w:bottom w:val="single" w:sz="4" w:space="0" w:color="auto"/>
              <w:right w:val="single" w:sz="4" w:space="0" w:color="auto"/>
            </w:tcBorders>
            <w:vAlign w:val="center"/>
          </w:tcPr>
          <w:p w14:paraId="59BAFF08" w14:textId="77777777" w:rsidR="005636C7" w:rsidRPr="0041262C" w:rsidRDefault="005636C7" w:rsidP="005636C7">
            <w:pPr>
              <w:pStyle w:val="E3tabletext1"/>
              <w:rPr>
                <w:rFonts w:ascii="Helvetica" w:hAnsi="Helvetica" w:cs="Helvetica"/>
              </w:rPr>
            </w:pPr>
            <w:r>
              <w:rPr>
                <w:rFonts w:ascii="Helvetica" w:hAnsi="Helvetica" w:cs="Helvetica"/>
              </w:rPr>
              <w:t>51</w:t>
            </w:r>
          </w:p>
        </w:tc>
        <w:tc>
          <w:tcPr>
            <w:tcW w:w="856" w:type="dxa"/>
            <w:tcBorders>
              <w:top w:val="single" w:sz="4" w:space="0" w:color="auto"/>
              <w:left w:val="single" w:sz="4" w:space="0" w:color="auto"/>
              <w:bottom w:val="single" w:sz="4" w:space="0" w:color="auto"/>
              <w:right w:val="single" w:sz="4" w:space="0" w:color="auto"/>
            </w:tcBorders>
            <w:vAlign w:val="center"/>
            <w:hideMark/>
          </w:tcPr>
          <w:p w14:paraId="75D6C4A6" w14:textId="77777777" w:rsidR="005636C7" w:rsidRPr="0041262C" w:rsidRDefault="005636C7" w:rsidP="005636C7">
            <w:pPr>
              <w:pStyle w:val="E3tabletext1"/>
              <w:rPr>
                <w:rFonts w:ascii="Helvetica" w:hAnsi="Helvetica" w:cs="Helvetica"/>
              </w:rPr>
            </w:pPr>
            <w:r w:rsidRPr="0041262C">
              <w:rPr>
                <w:rFonts w:ascii="Helvetica" w:hAnsi="Helvetica" w:cs="Helvetica"/>
              </w:rPr>
              <w:t>50%</w:t>
            </w:r>
          </w:p>
        </w:tc>
      </w:tr>
      <w:tr w:rsidR="005636C7" w14:paraId="3088CD03"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462F468" w14:textId="77777777" w:rsidR="005636C7" w:rsidRPr="0041262C" w:rsidRDefault="005636C7" w:rsidP="005636C7">
            <w:pPr>
              <w:pStyle w:val="E3tabletext1"/>
              <w:rPr>
                <w:rFonts w:ascii="Helvetica" w:hAnsi="Helvetica" w:cs="Helvetica"/>
              </w:rPr>
            </w:pPr>
            <w:r w:rsidRPr="0041262C">
              <w:rPr>
                <w:rFonts w:ascii="Helvetica" w:hAnsi="Helvetica" w:cs="Helvetica"/>
              </w:rPr>
              <w:t>2</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3472AC6" w14:textId="77777777" w:rsidR="005636C7" w:rsidRPr="0041262C" w:rsidRDefault="005636C7" w:rsidP="005636C7">
            <w:pPr>
              <w:pStyle w:val="E3tabletext1"/>
              <w:rPr>
                <w:rFonts w:ascii="Helvetica" w:hAnsi="Helvetica" w:cs="Helvetica"/>
              </w:rPr>
            </w:pPr>
            <w:r w:rsidRPr="0041262C">
              <w:rPr>
                <w:rFonts w:ascii="Helvetica" w:hAnsi="Helvetica" w:cs="Helvetica"/>
              </w:rPr>
              <w:t>IRV</w:t>
            </w:r>
          </w:p>
          <w:p w14:paraId="1C40C479"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BE27ED"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0EA45C" w14:textId="77777777" w:rsidR="005636C7" w:rsidRPr="0041262C" w:rsidRDefault="005636C7" w:rsidP="005636C7">
            <w:pPr>
              <w:rPr>
                <w:rFonts w:ascii="Helvetica" w:hAnsi="Helvetica" w:cs="Helvetica"/>
                <w:sz w:val="14"/>
                <w:szCs w:val="14"/>
              </w:rPr>
            </w:pP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51C4419A"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1158529" w14:textId="77777777" w:rsidR="005636C7" w:rsidRPr="0041262C" w:rsidRDefault="005636C7" w:rsidP="005636C7">
            <w:pPr>
              <w:pStyle w:val="E3tabletext1"/>
              <w:rPr>
                <w:rFonts w:ascii="Helvetica" w:hAnsi="Helvetica" w:cs="Helvetica"/>
              </w:rPr>
            </w:pPr>
            <w:r w:rsidRPr="0041262C">
              <w:rPr>
                <w:rFonts w:ascii="Helvetica" w:hAnsi="Helvetica" w:cs="Helvetica"/>
              </w:rPr>
              <w:t>IVC1, IVC2, IVC3</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1A27C64" w14:textId="77777777" w:rsidR="005636C7" w:rsidRPr="0041262C" w:rsidRDefault="005636C7" w:rsidP="005636C7">
            <w:pPr>
              <w:pStyle w:val="E3tabletext1"/>
              <w:rPr>
                <w:rFonts w:ascii="Helvetica" w:hAnsi="Helvetica" w:cs="Helvetica"/>
              </w:rPr>
            </w:pPr>
            <w:r w:rsidRPr="0041262C">
              <w:rPr>
                <w:rFonts w:ascii="Helvetica" w:hAnsi="Helvetica" w:cs="Helvetica"/>
              </w:rPr>
              <w:t>IVC1, IVC2, IVC3, IYC1, IYC2, IYC3</w:t>
            </w:r>
          </w:p>
        </w:tc>
        <w:tc>
          <w:tcPr>
            <w:tcW w:w="850" w:type="dxa"/>
            <w:tcBorders>
              <w:top w:val="single" w:sz="4" w:space="0" w:color="auto"/>
              <w:left w:val="single" w:sz="4" w:space="0" w:color="auto"/>
              <w:bottom w:val="single" w:sz="4" w:space="0" w:color="auto"/>
              <w:right w:val="single" w:sz="4" w:space="0" w:color="auto"/>
            </w:tcBorders>
            <w:vAlign w:val="center"/>
          </w:tcPr>
          <w:p w14:paraId="318AE3F7" w14:textId="77777777" w:rsidR="005636C7" w:rsidRPr="0041262C" w:rsidRDefault="005636C7" w:rsidP="005636C7">
            <w:pPr>
              <w:pStyle w:val="E3tabletext1"/>
              <w:rPr>
                <w:rFonts w:ascii="Helvetica" w:hAnsi="Helvetica" w:cs="Helvetica"/>
              </w:rPr>
            </w:pPr>
            <w:r>
              <w:rPr>
                <w:rFonts w:ascii="Helvetica" w:hAnsi="Helvetica" w:cs="Helvetica"/>
              </w:rPr>
              <w:t>21%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8585A31" w14:textId="77777777" w:rsidR="005636C7" w:rsidRPr="0041262C" w:rsidRDefault="005636C7" w:rsidP="005636C7">
            <w:pPr>
              <w:pStyle w:val="E3tabletext1"/>
              <w:rPr>
                <w:rFonts w:ascii="Helvetica" w:hAnsi="Helvetica" w:cs="Helvetica"/>
              </w:rPr>
            </w:pPr>
            <w:r w:rsidRPr="0041262C">
              <w:rPr>
                <w:rFonts w:ascii="Helvetica" w:hAnsi="Helvetica" w:cs="Helvetica"/>
              </w:rPr>
              <w:t>11%</w:t>
            </w:r>
          </w:p>
        </w:tc>
      </w:tr>
      <w:tr w:rsidR="005636C7" w14:paraId="46B4922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B2DC34F" w14:textId="77777777" w:rsidR="005636C7" w:rsidRPr="0041262C" w:rsidRDefault="005636C7" w:rsidP="005636C7">
            <w:pPr>
              <w:pStyle w:val="E3tabletext1"/>
              <w:rPr>
                <w:rFonts w:ascii="Helvetica" w:hAnsi="Helvetica" w:cs="Helvetica"/>
              </w:rPr>
            </w:pPr>
            <w:r w:rsidRPr="0041262C">
              <w:rPr>
                <w:rFonts w:ascii="Helvetica" w:hAnsi="Helvetica" w:cs="Helvetica"/>
              </w:rPr>
              <w:t>3</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5AA71A8" w14:textId="77777777" w:rsidR="005636C7" w:rsidRPr="0041262C" w:rsidRDefault="005636C7" w:rsidP="005636C7">
            <w:pPr>
              <w:pStyle w:val="E3tabletext1"/>
              <w:rPr>
                <w:rFonts w:ascii="Helvetica" w:hAnsi="Helvetica" w:cs="Helvetica"/>
              </w:rPr>
            </w:pPr>
            <w:r w:rsidRPr="0041262C">
              <w:rPr>
                <w:rFonts w:ascii="Helvetica" w:hAnsi="Helvetica" w:cs="Helvetica"/>
              </w:rPr>
              <w:t>IRV-4</w:t>
            </w:r>
          </w:p>
          <w:p w14:paraId="26D73092"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Refrigerated Vertical Cabinets with Glass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6F124E"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1DF5D4" w14:textId="77777777" w:rsidR="005636C7" w:rsidRPr="0041262C" w:rsidRDefault="005636C7" w:rsidP="005636C7">
            <w:pPr>
              <w:rPr>
                <w:rFonts w:ascii="Helvetica" w:hAnsi="Helvetica" w:cs="Helvetica"/>
                <w:sz w:val="14"/>
                <w:szCs w:val="14"/>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406CA866" w14:textId="77777777" w:rsidR="005636C7" w:rsidRPr="0041262C" w:rsidRDefault="005636C7" w:rsidP="005636C7">
            <w:pPr>
              <w:rPr>
                <w:rFonts w:ascii="Helvetica" w:hAnsi="Helvetica" w:cs="Helvetica"/>
                <w:sz w:val="14"/>
                <w:szCs w:val="1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385177D" w14:textId="77777777" w:rsidR="005636C7" w:rsidRPr="0041262C" w:rsidRDefault="005636C7" w:rsidP="005636C7">
            <w:pPr>
              <w:pStyle w:val="E3tabletext1"/>
              <w:rPr>
                <w:rFonts w:ascii="Helvetica" w:hAnsi="Helvetica" w:cs="Helvetica"/>
              </w:rPr>
            </w:pPr>
            <w:r w:rsidRPr="0041262C">
              <w:rPr>
                <w:rFonts w:ascii="Helvetica" w:hAnsi="Helvetica" w:cs="Helvetica"/>
              </w:rPr>
              <w:t>IVC4 Glass door</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3E2E65C" w14:textId="77777777" w:rsidR="005636C7" w:rsidRPr="0041262C" w:rsidRDefault="005636C7" w:rsidP="005636C7">
            <w:pPr>
              <w:pStyle w:val="E3tabletext1"/>
              <w:rPr>
                <w:rFonts w:ascii="Helvetica" w:hAnsi="Helvetica" w:cs="Helvetica"/>
              </w:rPr>
            </w:pPr>
            <w:r w:rsidRPr="0041262C">
              <w:rPr>
                <w:rFonts w:ascii="Helvetica" w:hAnsi="Helvetica" w:cs="Helvetica"/>
              </w:rPr>
              <w:t>IVC4, IYC4</w:t>
            </w:r>
          </w:p>
        </w:tc>
        <w:tc>
          <w:tcPr>
            <w:tcW w:w="850" w:type="dxa"/>
            <w:tcBorders>
              <w:top w:val="single" w:sz="4" w:space="0" w:color="auto"/>
              <w:left w:val="single" w:sz="4" w:space="0" w:color="auto"/>
              <w:bottom w:val="single" w:sz="4" w:space="0" w:color="auto"/>
              <w:right w:val="single" w:sz="4" w:space="0" w:color="auto"/>
            </w:tcBorders>
            <w:vAlign w:val="center"/>
          </w:tcPr>
          <w:p w14:paraId="72AC29FD" w14:textId="77777777" w:rsidR="005636C7" w:rsidRPr="0041262C" w:rsidRDefault="005636C7" w:rsidP="005636C7">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tcPr>
          <w:p w14:paraId="51D3D58E" w14:textId="77777777" w:rsidR="005636C7" w:rsidRPr="0041262C" w:rsidRDefault="005636C7" w:rsidP="005636C7">
            <w:pPr>
              <w:pStyle w:val="E3tabletext1"/>
              <w:rPr>
                <w:rFonts w:ascii="Helvetica" w:hAnsi="Helvetica" w:cs="Helvetica"/>
              </w:rPr>
            </w:pPr>
            <w:r w:rsidRPr="0041262C">
              <w:rPr>
                <w:rFonts w:ascii="Helvetica" w:hAnsi="Helvetica" w:cs="Helvetica"/>
              </w:rPr>
              <w:t>20%</w:t>
            </w:r>
          </w:p>
        </w:tc>
      </w:tr>
      <w:tr w:rsidR="005636C7" w14:paraId="20A428CF"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1858061D" w14:textId="77777777" w:rsidR="005636C7" w:rsidRPr="0041262C" w:rsidRDefault="005636C7" w:rsidP="005636C7">
            <w:pPr>
              <w:pStyle w:val="E3tabletext1"/>
              <w:rPr>
                <w:rFonts w:ascii="Helvetica" w:hAnsi="Helvetica" w:cs="Helvetica"/>
              </w:rPr>
            </w:pPr>
            <w:r w:rsidRPr="0041262C">
              <w:rPr>
                <w:rFonts w:ascii="Helvetica" w:hAnsi="Helvetica" w:cs="Helvetica"/>
              </w:rPr>
              <w:t>4</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3EF4A80" w14:textId="77777777" w:rsidR="005636C7" w:rsidRPr="0041262C" w:rsidRDefault="005636C7" w:rsidP="005636C7">
            <w:pPr>
              <w:pStyle w:val="E3tabletext1"/>
              <w:rPr>
                <w:rFonts w:ascii="Helvetica" w:hAnsi="Helvetica" w:cs="Helvetica"/>
              </w:rPr>
            </w:pPr>
            <w:r w:rsidRPr="0041262C">
              <w:rPr>
                <w:rFonts w:ascii="Helvetica" w:hAnsi="Helvetica" w:cs="Helvetica"/>
              </w:rPr>
              <w:t>IFH</w:t>
            </w:r>
          </w:p>
          <w:p w14:paraId="0E09BA50"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3D502D" w14:textId="77777777" w:rsidR="005636C7" w:rsidRPr="0041262C" w:rsidRDefault="005636C7" w:rsidP="005636C7">
            <w:pPr>
              <w:rPr>
                <w:rFonts w:ascii="Helvetica" w:hAnsi="Helvetica" w:cs="Helvetica"/>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939A245" w14:textId="77777777" w:rsidR="005636C7" w:rsidRPr="0041262C" w:rsidRDefault="005636C7" w:rsidP="005636C7">
            <w:pPr>
              <w:pStyle w:val="E3tabletext1"/>
              <w:rPr>
                <w:rFonts w:ascii="Helvetica" w:hAnsi="Helvetica" w:cs="Helvetica"/>
              </w:rPr>
            </w:pPr>
            <w:r w:rsidRPr="0041262C">
              <w:rPr>
                <w:rFonts w:ascii="Helvetica" w:hAnsi="Helvetica" w:cs="Helvetica"/>
              </w:rPr>
              <w:t>Freezer</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5312F553"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95A5D34" w14:textId="77777777" w:rsidR="005636C7" w:rsidRPr="0041262C" w:rsidRDefault="005636C7" w:rsidP="005636C7">
            <w:pPr>
              <w:pStyle w:val="E3tabletext1"/>
              <w:rPr>
                <w:rFonts w:ascii="Helvetica" w:hAnsi="Helvetica" w:cs="Helvetica"/>
              </w:rPr>
            </w:pPr>
            <w:r w:rsidRPr="0041262C">
              <w:rPr>
                <w:rFonts w:ascii="Helvetica" w:hAnsi="Helvetica" w:cs="Helvetica"/>
              </w:rPr>
              <w:t>IHF1, IHF3, IHF4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AB64485" w14:textId="77777777" w:rsidR="005636C7" w:rsidRPr="0041262C" w:rsidRDefault="005636C7" w:rsidP="005636C7">
            <w:pPr>
              <w:pStyle w:val="E3tabletext1"/>
              <w:rPr>
                <w:rFonts w:ascii="Helvetica" w:hAnsi="Helvetica" w:cs="Helvetica"/>
              </w:rPr>
            </w:pPr>
            <w:r w:rsidRPr="0041262C">
              <w:rPr>
                <w:rFonts w:ascii="Helvetica" w:hAnsi="Helvetica" w:cs="Helvetica"/>
              </w:rPr>
              <w:t>IHF1, IHF3, IHF4</w:t>
            </w:r>
          </w:p>
        </w:tc>
        <w:tc>
          <w:tcPr>
            <w:tcW w:w="850" w:type="dxa"/>
            <w:tcBorders>
              <w:top w:val="single" w:sz="4" w:space="0" w:color="auto"/>
              <w:left w:val="single" w:sz="4" w:space="0" w:color="auto"/>
              <w:bottom w:val="single" w:sz="4" w:space="0" w:color="auto"/>
              <w:right w:val="single" w:sz="4" w:space="0" w:color="auto"/>
            </w:tcBorders>
            <w:vAlign w:val="center"/>
          </w:tcPr>
          <w:p w14:paraId="7D6F77BB" w14:textId="77777777" w:rsidR="005636C7" w:rsidRPr="0041262C" w:rsidRDefault="005636C7" w:rsidP="005636C7">
            <w:pPr>
              <w:pStyle w:val="E3tabletext1"/>
              <w:rPr>
                <w:rFonts w:ascii="Helvetica" w:hAnsi="Helvetica" w:cs="Helvetica"/>
              </w:rPr>
            </w:pPr>
            <w:r>
              <w:rPr>
                <w:rFonts w:ascii="Helvetica" w:hAnsi="Helvetica" w:cs="Helvetica"/>
              </w:rPr>
              <w:t>59%</w:t>
            </w:r>
          </w:p>
        </w:tc>
        <w:tc>
          <w:tcPr>
            <w:tcW w:w="856" w:type="dxa"/>
            <w:tcBorders>
              <w:top w:val="single" w:sz="4" w:space="0" w:color="auto"/>
              <w:left w:val="single" w:sz="4" w:space="0" w:color="auto"/>
              <w:bottom w:val="single" w:sz="4" w:space="0" w:color="auto"/>
              <w:right w:val="single" w:sz="4" w:space="0" w:color="auto"/>
            </w:tcBorders>
            <w:vAlign w:val="center"/>
          </w:tcPr>
          <w:p w14:paraId="385143D6" w14:textId="77777777" w:rsidR="005636C7" w:rsidRPr="0041262C" w:rsidRDefault="005636C7" w:rsidP="005636C7">
            <w:pPr>
              <w:pStyle w:val="E3tabletext1"/>
              <w:rPr>
                <w:rFonts w:ascii="Helvetica" w:hAnsi="Helvetica" w:cs="Helvetica"/>
              </w:rPr>
            </w:pPr>
            <w:r w:rsidRPr="0041262C">
              <w:rPr>
                <w:rFonts w:ascii="Helvetica" w:hAnsi="Helvetica" w:cs="Helvetica"/>
              </w:rPr>
              <w:t>79%</w:t>
            </w:r>
          </w:p>
        </w:tc>
      </w:tr>
      <w:tr w:rsidR="005636C7" w14:paraId="7BD559D2"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4BE4C4A" w14:textId="77777777" w:rsidR="005636C7" w:rsidRPr="0041262C" w:rsidRDefault="005636C7" w:rsidP="005636C7">
            <w:pPr>
              <w:pStyle w:val="E3tabletext1"/>
              <w:rPr>
                <w:rFonts w:ascii="Helvetica" w:hAnsi="Helvetica" w:cs="Helvetica"/>
              </w:rPr>
            </w:pPr>
            <w:r w:rsidRPr="0041262C">
              <w:rPr>
                <w:rFonts w:ascii="Helvetica" w:hAnsi="Helvetica" w:cs="Helvetica"/>
              </w:rPr>
              <w:t>5</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3818A7A" w14:textId="77777777" w:rsidR="005636C7" w:rsidRPr="0041262C" w:rsidRDefault="005636C7" w:rsidP="005636C7">
            <w:pPr>
              <w:pStyle w:val="E3tabletext1"/>
              <w:rPr>
                <w:rFonts w:ascii="Helvetica" w:hAnsi="Helvetica" w:cs="Helvetica"/>
              </w:rPr>
            </w:pPr>
            <w:r w:rsidRPr="0041262C">
              <w:rPr>
                <w:rFonts w:ascii="Helvetica" w:hAnsi="Helvetica" w:cs="Helvetica"/>
              </w:rPr>
              <w:t>IFH-5</w:t>
            </w:r>
          </w:p>
          <w:p w14:paraId="3BAA2AC2"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Freezer Horizontal with Lid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373669"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2F1D22" w14:textId="77777777" w:rsidR="005636C7" w:rsidRPr="0041262C" w:rsidRDefault="005636C7" w:rsidP="005636C7">
            <w:pPr>
              <w:rPr>
                <w:rFonts w:ascii="Helvetica" w:hAnsi="Helvetica" w:cs="Helvetica"/>
                <w:sz w:val="14"/>
                <w:szCs w:val="14"/>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417D63AA" w14:textId="77777777" w:rsidR="005636C7" w:rsidRPr="0041262C" w:rsidRDefault="005636C7" w:rsidP="005636C7">
            <w:pPr>
              <w:rPr>
                <w:rFonts w:ascii="Helvetica" w:hAnsi="Helvetica" w:cs="Helvetica"/>
                <w:sz w:val="14"/>
                <w:szCs w:val="1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2654116" w14:textId="77777777" w:rsidR="005636C7" w:rsidRPr="0041262C" w:rsidRDefault="005636C7" w:rsidP="005636C7">
            <w:pPr>
              <w:pStyle w:val="E3tabletext1"/>
              <w:rPr>
                <w:rFonts w:ascii="Helvetica" w:hAnsi="Helvetica" w:cs="Helvetica"/>
              </w:rPr>
            </w:pPr>
            <w:r w:rsidRPr="0041262C">
              <w:rPr>
                <w:rFonts w:ascii="Helvetica" w:hAnsi="Helvetica" w:cs="Helvetica"/>
              </w:rPr>
              <w:t>IHF5, IHF6</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17EA8AF" w14:textId="77777777" w:rsidR="005636C7" w:rsidRPr="0041262C" w:rsidRDefault="005636C7" w:rsidP="005636C7">
            <w:pPr>
              <w:pStyle w:val="E3tabletext1"/>
              <w:rPr>
                <w:rFonts w:ascii="Helvetica" w:hAnsi="Helvetica" w:cs="Helvetica"/>
              </w:rPr>
            </w:pPr>
            <w:r w:rsidRPr="0041262C">
              <w:rPr>
                <w:rFonts w:ascii="Helvetica" w:hAnsi="Helvetica" w:cs="Helvetica"/>
              </w:rPr>
              <w:t>IHF5, IHF6</w:t>
            </w:r>
          </w:p>
        </w:tc>
        <w:tc>
          <w:tcPr>
            <w:tcW w:w="850" w:type="dxa"/>
            <w:tcBorders>
              <w:top w:val="single" w:sz="4" w:space="0" w:color="auto"/>
              <w:left w:val="single" w:sz="4" w:space="0" w:color="auto"/>
              <w:bottom w:val="single" w:sz="4" w:space="0" w:color="auto"/>
              <w:right w:val="single" w:sz="4" w:space="0" w:color="auto"/>
            </w:tcBorders>
            <w:vAlign w:val="center"/>
          </w:tcPr>
          <w:p w14:paraId="731A042F" w14:textId="77777777" w:rsidR="005636C7" w:rsidRPr="0041262C" w:rsidRDefault="005636C7" w:rsidP="005636C7">
            <w:pPr>
              <w:pStyle w:val="E3tabletext1"/>
              <w:rPr>
                <w:rFonts w:ascii="Helvetica" w:hAnsi="Helvetica" w:cs="Helvetica"/>
              </w:rPr>
            </w:pPr>
            <w:r>
              <w:rPr>
                <w:rFonts w:ascii="Helvetica" w:hAnsi="Helvetica" w:cs="Helvetica"/>
              </w:rPr>
              <w:t>21%</w:t>
            </w:r>
          </w:p>
        </w:tc>
        <w:tc>
          <w:tcPr>
            <w:tcW w:w="856" w:type="dxa"/>
            <w:tcBorders>
              <w:top w:val="single" w:sz="4" w:space="0" w:color="auto"/>
              <w:left w:val="single" w:sz="4" w:space="0" w:color="auto"/>
              <w:bottom w:val="single" w:sz="4" w:space="0" w:color="auto"/>
              <w:right w:val="single" w:sz="4" w:space="0" w:color="auto"/>
            </w:tcBorders>
            <w:vAlign w:val="center"/>
          </w:tcPr>
          <w:p w14:paraId="481F8245" w14:textId="77777777" w:rsidR="005636C7" w:rsidRPr="0041262C" w:rsidRDefault="005636C7" w:rsidP="005636C7">
            <w:pPr>
              <w:pStyle w:val="E3tabletext1"/>
              <w:rPr>
                <w:rFonts w:ascii="Helvetica" w:hAnsi="Helvetica" w:cs="Helvetica"/>
              </w:rPr>
            </w:pPr>
            <w:r w:rsidRPr="0041262C">
              <w:rPr>
                <w:rFonts w:ascii="Helvetica" w:hAnsi="Helvetica" w:cs="Helvetica"/>
              </w:rPr>
              <w:t>55%</w:t>
            </w:r>
          </w:p>
        </w:tc>
      </w:tr>
      <w:tr w:rsidR="005636C7" w14:paraId="3D462B92"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2E3B571" w14:textId="77777777" w:rsidR="005636C7" w:rsidRPr="0041262C" w:rsidRDefault="005636C7" w:rsidP="005636C7">
            <w:pPr>
              <w:pStyle w:val="E3tabletext1"/>
              <w:rPr>
                <w:rFonts w:ascii="Helvetica" w:hAnsi="Helvetica" w:cs="Helvetica"/>
              </w:rPr>
            </w:pPr>
            <w:r w:rsidRPr="0041262C">
              <w:rPr>
                <w:rFonts w:ascii="Helvetica" w:hAnsi="Helvetica" w:cs="Helvetica"/>
              </w:rPr>
              <w:t>6</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4B4761C" w14:textId="77777777" w:rsidR="005636C7" w:rsidRPr="0041262C" w:rsidRDefault="005636C7" w:rsidP="005636C7">
            <w:pPr>
              <w:pStyle w:val="E3tabletext1"/>
              <w:rPr>
                <w:rFonts w:ascii="Helvetica" w:hAnsi="Helvetica" w:cs="Helvetica"/>
              </w:rPr>
            </w:pPr>
            <w:r w:rsidRPr="0041262C">
              <w:rPr>
                <w:rFonts w:ascii="Helvetica" w:hAnsi="Helvetica" w:cs="Helvetica"/>
              </w:rPr>
              <w:t>IFV</w:t>
            </w:r>
          </w:p>
          <w:p w14:paraId="0A23E3A5" w14:textId="77777777" w:rsidR="005636C7" w:rsidRPr="0041262C" w:rsidRDefault="005636C7" w:rsidP="005636C7">
            <w:pPr>
              <w:pStyle w:val="E3tabletext1"/>
              <w:rPr>
                <w:rFonts w:ascii="Helvetica" w:hAnsi="Helvetica" w:cs="Helvetica"/>
              </w:rPr>
            </w:pPr>
            <w:r w:rsidRPr="0041262C">
              <w:rPr>
                <w:rFonts w:ascii="Helvetica" w:hAnsi="Helvetica" w:cs="Helvetica"/>
              </w:rPr>
              <w:t>Integral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E0F1C2"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A75786"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03D5846D"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1460DC9" w14:textId="77777777" w:rsidR="005636C7" w:rsidRPr="0041262C" w:rsidRDefault="005636C7" w:rsidP="005636C7">
            <w:pPr>
              <w:pStyle w:val="E3tabletext1"/>
              <w:rPr>
                <w:rFonts w:ascii="Helvetica" w:hAnsi="Helvetica" w:cs="Helvetica"/>
              </w:rPr>
            </w:pPr>
            <w:r w:rsidRPr="0041262C">
              <w:rPr>
                <w:rFonts w:ascii="Helvetica" w:hAnsi="Helvetica" w:cs="Helvetica"/>
              </w:rPr>
              <w:t>IVF1, IVF2, IVF4 Glass door</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78B96BC" w14:textId="77777777" w:rsidR="005636C7" w:rsidRPr="0041262C" w:rsidRDefault="005636C7" w:rsidP="005636C7">
            <w:pPr>
              <w:pStyle w:val="E3tabletext1"/>
              <w:rPr>
                <w:rFonts w:ascii="Helvetica" w:hAnsi="Helvetica" w:cs="Helvetica"/>
              </w:rPr>
            </w:pPr>
            <w:r w:rsidRPr="0041262C">
              <w:rPr>
                <w:rFonts w:ascii="Helvetica" w:hAnsi="Helvetica" w:cs="Helvetica"/>
              </w:rPr>
              <w:t>IVF1, IVF2, IVF4, IYF1, IYF2, IYF3, IYF4</w:t>
            </w:r>
          </w:p>
        </w:tc>
        <w:tc>
          <w:tcPr>
            <w:tcW w:w="850" w:type="dxa"/>
            <w:tcBorders>
              <w:top w:val="single" w:sz="4" w:space="0" w:color="auto"/>
              <w:left w:val="single" w:sz="4" w:space="0" w:color="auto"/>
              <w:bottom w:val="single" w:sz="4" w:space="0" w:color="auto"/>
              <w:right w:val="single" w:sz="4" w:space="0" w:color="auto"/>
            </w:tcBorders>
            <w:vAlign w:val="center"/>
          </w:tcPr>
          <w:p w14:paraId="71228568" w14:textId="77777777" w:rsidR="005636C7" w:rsidRPr="0041262C" w:rsidRDefault="005636C7" w:rsidP="005636C7">
            <w:pPr>
              <w:pStyle w:val="E3tabletext1"/>
              <w:rPr>
                <w:rFonts w:ascii="Helvetica" w:hAnsi="Helvetica" w:cs="Helvetica"/>
              </w:rPr>
            </w:pPr>
            <w:r>
              <w:rPr>
                <w:rFonts w:ascii="Helvetica" w:hAnsi="Helvetica" w:cs="Helvetica"/>
              </w:rPr>
              <w:t>33%</w:t>
            </w:r>
          </w:p>
        </w:tc>
        <w:tc>
          <w:tcPr>
            <w:tcW w:w="856" w:type="dxa"/>
            <w:tcBorders>
              <w:top w:val="single" w:sz="4" w:space="0" w:color="auto"/>
              <w:left w:val="single" w:sz="4" w:space="0" w:color="auto"/>
              <w:bottom w:val="single" w:sz="4" w:space="0" w:color="auto"/>
              <w:right w:val="single" w:sz="4" w:space="0" w:color="auto"/>
            </w:tcBorders>
            <w:vAlign w:val="center"/>
          </w:tcPr>
          <w:p w14:paraId="5464E230" w14:textId="77777777" w:rsidR="005636C7" w:rsidRPr="0041262C" w:rsidRDefault="005636C7" w:rsidP="005636C7">
            <w:pPr>
              <w:pStyle w:val="E3tabletext1"/>
              <w:rPr>
                <w:rFonts w:ascii="Helvetica" w:hAnsi="Helvetica" w:cs="Helvetica"/>
              </w:rPr>
            </w:pPr>
            <w:r w:rsidRPr="0041262C">
              <w:rPr>
                <w:rFonts w:ascii="Helvetica" w:hAnsi="Helvetica" w:cs="Helvetica"/>
              </w:rPr>
              <w:t>35%</w:t>
            </w:r>
          </w:p>
        </w:tc>
      </w:tr>
      <w:tr w:rsidR="005636C7" w14:paraId="52EDD247"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8025B9A" w14:textId="77777777" w:rsidR="005636C7" w:rsidRPr="0041262C" w:rsidRDefault="005636C7" w:rsidP="005636C7">
            <w:pPr>
              <w:pStyle w:val="E3tabletext1"/>
              <w:rPr>
                <w:rFonts w:ascii="Helvetica" w:hAnsi="Helvetica" w:cs="Helvetica"/>
              </w:rPr>
            </w:pPr>
            <w:r w:rsidRPr="0041262C">
              <w:rPr>
                <w:rFonts w:ascii="Helvetica" w:hAnsi="Helvetica" w:cs="Helvetica"/>
              </w:rPr>
              <w:t>7</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80FB70" w14:textId="77777777" w:rsidR="005636C7" w:rsidRPr="0041262C" w:rsidRDefault="005636C7" w:rsidP="005636C7">
            <w:pPr>
              <w:pStyle w:val="E3tabletext1"/>
              <w:rPr>
                <w:rFonts w:ascii="Helvetica" w:hAnsi="Helvetica" w:cs="Helvetica"/>
              </w:rPr>
            </w:pPr>
            <w:r w:rsidRPr="0041262C">
              <w:rPr>
                <w:rFonts w:ascii="Helvetica" w:hAnsi="Helvetica" w:cs="Helvetica"/>
              </w:rPr>
              <w:t>RRH</w:t>
            </w:r>
          </w:p>
          <w:p w14:paraId="783ABF04" w14:textId="77777777" w:rsidR="005636C7" w:rsidRPr="0041262C" w:rsidRDefault="005636C7" w:rsidP="005636C7">
            <w:pPr>
              <w:pStyle w:val="E3tabletext1"/>
              <w:rPr>
                <w:rFonts w:ascii="Helvetica" w:hAnsi="Helvetica" w:cs="Helvetica"/>
              </w:rPr>
            </w:pPr>
            <w:r w:rsidRPr="0041262C">
              <w:rPr>
                <w:rFonts w:ascii="Helvetica" w:hAnsi="Helvetica" w:cs="Helvetica"/>
              </w:rPr>
              <w:t>Remote Refrigerated Horizontal Cabinets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BEF9AA"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Remote Refrigerated Display Cabinets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7C8FF4" w14:textId="77777777" w:rsidR="005636C7" w:rsidRPr="0041262C" w:rsidRDefault="005636C7" w:rsidP="005636C7">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7AAB4906"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81D5821" w14:textId="77777777" w:rsidR="005636C7" w:rsidRPr="0041262C" w:rsidRDefault="005636C7" w:rsidP="005636C7">
            <w:pPr>
              <w:pStyle w:val="E3tabletext1"/>
              <w:rPr>
                <w:rFonts w:ascii="Helvetica" w:hAnsi="Helvetica" w:cs="Helvetica"/>
              </w:rPr>
            </w:pPr>
            <w:r w:rsidRPr="0041262C">
              <w:rPr>
                <w:rFonts w:ascii="Helvetica" w:hAnsi="Helvetica" w:cs="Helvetica"/>
              </w:rPr>
              <w:t>RS6, RS7, RS8, RS9</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8CAA1A9" w14:textId="77777777" w:rsidR="005636C7" w:rsidRPr="0041262C" w:rsidRDefault="005636C7" w:rsidP="005636C7">
            <w:pPr>
              <w:pStyle w:val="E3tabletext1"/>
              <w:rPr>
                <w:rFonts w:ascii="Helvetica" w:hAnsi="Helvetica" w:cs="Helvetica"/>
              </w:rPr>
            </w:pPr>
            <w:r w:rsidRPr="0041262C">
              <w:rPr>
                <w:rFonts w:ascii="Helvetica" w:hAnsi="Helvetica" w:cs="Helvetica"/>
              </w:rPr>
              <w:t>RHC1, RHC2, RHC3, RHC4, RHC5, RHC6, RHC7</w:t>
            </w:r>
          </w:p>
        </w:tc>
        <w:tc>
          <w:tcPr>
            <w:tcW w:w="850" w:type="dxa"/>
            <w:tcBorders>
              <w:top w:val="single" w:sz="4" w:space="0" w:color="auto"/>
              <w:left w:val="single" w:sz="4" w:space="0" w:color="auto"/>
              <w:bottom w:val="single" w:sz="4" w:space="0" w:color="auto"/>
              <w:right w:val="single" w:sz="4" w:space="0" w:color="auto"/>
            </w:tcBorders>
            <w:vAlign w:val="center"/>
          </w:tcPr>
          <w:p w14:paraId="50A8A8A9" w14:textId="77777777" w:rsidR="005636C7" w:rsidRPr="0041262C" w:rsidRDefault="005636C7" w:rsidP="005636C7">
            <w:pPr>
              <w:pStyle w:val="E3tabletext1"/>
              <w:rPr>
                <w:rFonts w:ascii="Helvetica" w:hAnsi="Helvetica" w:cs="Helvetica"/>
              </w:rPr>
            </w:pPr>
            <w:r>
              <w:rPr>
                <w:rFonts w:ascii="Helvetica" w:hAnsi="Helvetica" w:cs="Helvetica"/>
              </w:rPr>
              <w:t>44%</w:t>
            </w:r>
          </w:p>
        </w:tc>
        <w:tc>
          <w:tcPr>
            <w:tcW w:w="856" w:type="dxa"/>
            <w:tcBorders>
              <w:top w:val="single" w:sz="4" w:space="0" w:color="auto"/>
              <w:left w:val="single" w:sz="4" w:space="0" w:color="auto"/>
              <w:bottom w:val="single" w:sz="4" w:space="0" w:color="auto"/>
              <w:right w:val="single" w:sz="4" w:space="0" w:color="auto"/>
            </w:tcBorders>
            <w:vAlign w:val="center"/>
          </w:tcPr>
          <w:p w14:paraId="715B342F" w14:textId="77777777" w:rsidR="005636C7" w:rsidRPr="0041262C" w:rsidRDefault="005636C7" w:rsidP="005636C7">
            <w:pPr>
              <w:pStyle w:val="E3tabletext1"/>
              <w:rPr>
                <w:rFonts w:ascii="Helvetica" w:hAnsi="Helvetica" w:cs="Helvetica"/>
              </w:rPr>
            </w:pPr>
            <w:r w:rsidRPr="0041262C">
              <w:rPr>
                <w:rFonts w:ascii="Helvetica" w:hAnsi="Helvetica" w:cs="Helvetica"/>
              </w:rPr>
              <w:t>36%</w:t>
            </w:r>
          </w:p>
        </w:tc>
      </w:tr>
      <w:tr w:rsidR="005636C7" w14:paraId="0F63E009"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8A8DA85" w14:textId="77777777" w:rsidR="005636C7" w:rsidRPr="0041262C" w:rsidRDefault="005636C7" w:rsidP="005636C7">
            <w:pPr>
              <w:pStyle w:val="E3tabletext1"/>
              <w:rPr>
                <w:rFonts w:ascii="Helvetica" w:hAnsi="Helvetica" w:cs="Helvetica"/>
              </w:rPr>
            </w:pPr>
            <w:r w:rsidRPr="0041262C">
              <w:rPr>
                <w:rFonts w:ascii="Helvetica" w:hAnsi="Helvetica" w:cs="Helvetica"/>
              </w:rPr>
              <w:t>8</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0D3C2EF"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RRV </w:t>
            </w:r>
          </w:p>
          <w:p w14:paraId="66EA2184" w14:textId="77777777" w:rsidR="005636C7" w:rsidRPr="0041262C" w:rsidRDefault="005636C7" w:rsidP="005636C7">
            <w:pPr>
              <w:pStyle w:val="E3tabletext1"/>
              <w:rPr>
                <w:rFonts w:ascii="Helvetica" w:hAnsi="Helvetica" w:cs="Helvetica"/>
              </w:rPr>
            </w:pPr>
            <w:r w:rsidRPr="0041262C">
              <w:rPr>
                <w:rFonts w:ascii="Helvetica" w:hAnsi="Helvetica" w:cs="Helvetica"/>
              </w:rPr>
              <w:t>Remote Refrigerated Vertical Cabinets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14A4DD"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0578F2" w14:textId="77777777" w:rsidR="005636C7" w:rsidRPr="0041262C" w:rsidRDefault="005636C7" w:rsidP="005636C7">
            <w:pPr>
              <w:rPr>
                <w:rFonts w:ascii="Helvetica" w:hAnsi="Helvetica" w:cs="Helvetica"/>
                <w:sz w:val="14"/>
                <w:szCs w:val="14"/>
              </w:rPr>
            </w:pP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AFD9A67"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E194DFE" w14:textId="77777777" w:rsidR="005636C7" w:rsidRPr="0041262C" w:rsidRDefault="005636C7" w:rsidP="005636C7">
            <w:pPr>
              <w:pStyle w:val="E3tabletext1"/>
              <w:rPr>
                <w:rFonts w:ascii="Helvetica" w:hAnsi="Helvetica" w:cs="Helvetica"/>
              </w:rPr>
            </w:pPr>
            <w:r w:rsidRPr="0041262C">
              <w:rPr>
                <w:rFonts w:ascii="Helvetica" w:hAnsi="Helvetica" w:cs="Helvetica"/>
              </w:rPr>
              <w:t>RS1, RS3, RS4, RS5, RS10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BD1C464" w14:textId="77777777" w:rsidR="005636C7" w:rsidRPr="0041262C" w:rsidRDefault="005636C7" w:rsidP="005636C7">
            <w:pPr>
              <w:pStyle w:val="E3tabletext1"/>
              <w:rPr>
                <w:rFonts w:ascii="Helvetica" w:hAnsi="Helvetica" w:cs="Helvetica"/>
              </w:rPr>
            </w:pPr>
            <w:r w:rsidRPr="0041262C">
              <w:rPr>
                <w:rFonts w:ascii="Helvetica" w:hAnsi="Helvetica" w:cs="Helvetica"/>
              </w:rPr>
              <w:t>RVC1, RVC3, RVC4, RYC1, RYC2, RYC3, RYC4</w:t>
            </w:r>
          </w:p>
        </w:tc>
        <w:tc>
          <w:tcPr>
            <w:tcW w:w="850" w:type="dxa"/>
            <w:tcBorders>
              <w:top w:val="single" w:sz="4" w:space="0" w:color="auto"/>
              <w:left w:val="single" w:sz="4" w:space="0" w:color="auto"/>
              <w:bottom w:val="single" w:sz="4" w:space="0" w:color="auto"/>
              <w:right w:val="single" w:sz="4" w:space="0" w:color="auto"/>
            </w:tcBorders>
            <w:vAlign w:val="center"/>
          </w:tcPr>
          <w:p w14:paraId="4968163B" w14:textId="77777777" w:rsidR="005636C7" w:rsidRPr="0041262C" w:rsidRDefault="005636C7" w:rsidP="005636C7">
            <w:pPr>
              <w:pStyle w:val="E3tabletext1"/>
              <w:rPr>
                <w:rFonts w:ascii="Helvetica" w:hAnsi="Helvetica" w:cs="Helvetica"/>
              </w:rPr>
            </w:pPr>
            <w:r>
              <w:rPr>
                <w:rFonts w:ascii="Helvetica" w:hAnsi="Helvetica" w:cs="Helvetica"/>
              </w:rPr>
              <w:t>11%</w:t>
            </w:r>
          </w:p>
        </w:tc>
        <w:tc>
          <w:tcPr>
            <w:tcW w:w="856" w:type="dxa"/>
            <w:tcBorders>
              <w:top w:val="single" w:sz="4" w:space="0" w:color="auto"/>
              <w:left w:val="single" w:sz="4" w:space="0" w:color="auto"/>
              <w:bottom w:val="single" w:sz="4" w:space="0" w:color="auto"/>
              <w:right w:val="single" w:sz="4" w:space="0" w:color="auto"/>
            </w:tcBorders>
            <w:vAlign w:val="center"/>
          </w:tcPr>
          <w:p w14:paraId="3929B079" w14:textId="77777777" w:rsidR="005636C7" w:rsidRPr="0041262C" w:rsidRDefault="005636C7" w:rsidP="005636C7">
            <w:pPr>
              <w:pStyle w:val="E3tabletext1"/>
              <w:rPr>
                <w:rFonts w:ascii="Helvetica" w:hAnsi="Helvetica" w:cs="Helvetica"/>
              </w:rPr>
            </w:pPr>
            <w:r w:rsidRPr="0041262C">
              <w:rPr>
                <w:rFonts w:ascii="Helvetica" w:hAnsi="Helvetica" w:cs="Helvetica"/>
              </w:rPr>
              <w:t>0%</w:t>
            </w:r>
          </w:p>
        </w:tc>
      </w:tr>
      <w:tr w:rsidR="005636C7" w14:paraId="65FB43D6"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5967717" w14:textId="77777777" w:rsidR="005636C7" w:rsidRPr="0041262C" w:rsidRDefault="005636C7" w:rsidP="005636C7">
            <w:pPr>
              <w:pStyle w:val="E3tabletext1"/>
              <w:rPr>
                <w:rFonts w:ascii="Helvetica" w:hAnsi="Helvetica" w:cs="Helvetica"/>
              </w:rPr>
            </w:pPr>
            <w:r w:rsidRPr="0041262C">
              <w:rPr>
                <w:rFonts w:ascii="Helvetica" w:hAnsi="Helvetica" w:cs="Helvetica"/>
              </w:rPr>
              <w:t>9</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8635B35" w14:textId="77777777" w:rsidR="005636C7" w:rsidRPr="0041262C" w:rsidRDefault="005636C7" w:rsidP="005636C7">
            <w:pPr>
              <w:pStyle w:val="E3tabletext1"/>
              <w:rPr>
                <w:rFonts w:ascii="Helvetica" w:hAnsi="Helvetica" w:cs="Helvetica"/>
              </w:rPr>
            </w:pPr>
            <w:r w:rsidRPr="0041262C">
              <w:rPr>
                <w:rFonts w:ascii="Helvetica" w:hAnsi="Helvetica" w:cs="Helvetica"/>
              </w:rPr>
              <w:t>RRV-2</w:t>
            </w:r>
          </w:p>
          <w:p w14:paraId="16AF06C1" w14:textId="77777777" w:rsidR="005636C7" w:rsidRPr="0041262C" w:rsidRDefault="005636C7" w:rsidP="005636C7">
            <w:pPr>
              <w:pStyle w:val="E3tabletext1"/>
              <w:rPr>
                <w:rFonts w:ascii="Helvetica" w:hAnsi="Helvetica" w:cs="Helvetica"/>
              </w:rPr>
            </w:pPr>
            <w:r w:rsidRPr="0041262C">
              <w:rPr>
                <w:rFonts w:ascii="Helvetica" w:hAnsi="Helvetica" w:cs="Helvetica"/>
              </w:rPr>
              <w:t>Remote Refrigerated Vertical Cabinet, open, medium  temp</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2CF63"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FAE86D" w14:textId="77777777" w:rsidR="005636C7" w:rsidRPr="0041262C" w:rsidRDefault="005636C7" w:rsidP="005636C7">
            <w:pPr>
              <w:rPr>
                <w:rFonts w:ascii="Helvetica" w:hAnsi="Helvetica" w:cs="Helvetica"/>
                <w:sz w:val="14"/>
                <w:szCs w:val="14"/>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5FB360CF" w14:textId="77777777" w:rsidR="005636C7" w:rsidRPr="0041262C" w:rsidRDefault="005636C7" w:rsidP="005636C7">
            <w:pPr>
              <w:rPr>
                <w:rFonts w:ascii="Helvetica" w:hAnsi="Helvetica" w:cs="Helvetica"/>
                <w:sz w:val="14"/>
                <w:szCs w:val="1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F95BC6A" w14:textId="77777777" w:rsidR="005636C7" w:rsidRPr="0041262C" w:rsidRDefault="005636C7" w:rsidP="005636C7">
            <w:pPr>
              <w:pStyle w:val="E3tabletext1"/>
              <w:rPr>
                <w:rFonts w:ascii="Helvetica" w:hAnsi="Helvetica" w:cs="Helvetica"/>
              </w:rPr>
            </w:pPr>
            <w:r w:rsidRPr="0041262C">
              <w:rPr>
                <w:rFonts w:ascii="Helvetica" w:hAnsi="Helvetica" w:cs="Helvetica"/>
              </w:rPr>
              <w:t>RS2</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E6A18D5" w14:textId="77777777" w:rsidR="005636C7" w:rsidRPr="0041262C" w:rsidRDefault="005636C7" w:rsidP="005636C7">
            <w:pPr>
              <w:pStyle w:val="E3tabletext1"/>
              <w:rPr>
                <w:rFonts w:ascii="Helvetica" w:hAnsi="Helvetica" w:cs="Helvetica"/>
              </w:rPr>
            </w:pPr>
            <w:r w:rsidRPr="0041262C">
              <w:rPr>
                <w:rFonts w:ascii="Helvetica" w:hAnsi="Helvetica" w:cs="Helvetica"/>
              </w:rPr>
              <w:t>RVC2</w:t>
            </w:r>
          </w:p>
        </w:tc>
        <w:tc>
          <w:tcPr>
            <w:tcW w:w="850" w:type="dxa"/>
            <w:tcBorders>
              <w:top w:val="single" w:sz="4" w:space="0" w:color="auto"/>
              <w:left w:val="single" w:sz="4" w:space="0" w:color="auto"/>
              <w:bottom w:val="single" w:sz="4" w:space="0" w:color="auto"/>
              <w:right w:val="single" w:sz="4" w:space="0" w:color="auto"/>
            </w:tcBorders>
            <w:vAlign w:val="center"/>
          </w:tcPr>
          <w:p w14:paraId="374773A1" w14:textId="77777777" w:rsidR="005636C7" w:rsidRPr="0041262C" w:rsidRDefault="005636C7" w:rsidP="005636C7">
            <w:pPr>
              <w:pStyle w:val="E3tabletext1"/>
              <w:rPr>
                <w:rFonts w:ascii="Helvetica" w:hAnsi="Helvetica" w:cs="Helvetica"/>
              </w:rPr>
            </w:pPr>
            <w:r>
              <w:rPr>
                <w:rFonts w:ascii="Helvetica" w:hAnsi="Helvetica" w:cs="Helvetica"/>
              </w:rPr>
              <w:t>6%</w:t>
            </w:r>
          </w:p>
        </w:tc>
        <w:tc>
          <w:tcPr>
            <w:tcW w:w="856" w:type="dxa"/>
            <w:tcBorders>
              <w:top w:val="single" w:sz="4" w:space="0" w:color="auto"/>
              <w:left w:val="single" w:sz="4" w:space="0" w:color="auto"/>
              <w:bottom w:val="single" w:sz="4" w:space="0" w:color="auto"/>
              <w:right w:val="single" w:sz="4" w:space="0" w:color="auto"/>
            </w:tcBorders>
            <w:vAlign w:val="center"/>
          </w:tcPr>
          <w:p w14:paraId="4B2BAF92" w14:textId="77777777" w:rsidR="005636C7" w:rsidRPr="0041262C" w:rsidRDefault="005636C7" w:rsidP="005636C7">
            <w:pPr>
              <w:pStyle w:val="E3tabletext1"/>
              <w:rPr>
                <w:rFonts w:ascii="Helvetica" w:hAnsi="Helvetica" w:cs="Helvetica"/>
              </w:rPr>
            </w:pPr>
            <w:r w:rsidRPr="0041262C">
              <w:rPr>
                <w:rFonts w:ascii="Helvetica" w:hAnsi="Helvetica" w:cs="Helvetica"/>
              </w:rPr>
              <w:t>0%</w:t>
            </w:r>
          </w:p>
        </w:tc>
      </w:tr>
      <w:tr w:rsidR="005636C7" w14:paraId="541B40CE"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736653BD" w14:textId="77777777" w:rsidR="005636C7" w:rsidRPr="0041262C" w:rsidRDefault="005636C7" w:rsidP="005636C7">
            <w:pPr>
              <w:pStyle w:val="E3tabletext1"/>
              <w:rPr>
                <w:rFonts w:ascii="Helvetica" w:hAnsi="Helvetica" w:cs="Helvetica"/>
              </w:rPr>
            </w:pPr>
            <w:r w:rsidRPr="0041262C">
              <w:rPr>
                <w:rFonts w:ascii="Helvetica" w:hAnsi="Helvetica" w:cs="Helvetica"/>
              </w:rPr>
              <w:t>10</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7A76230" w14:textId="77777777" w:rsidR="005636C7" w:rsidRPr="0041262C" w:rsidRDefault="005636C7" w:rsidP="005636C7">
            <w:pPr>
              <w:pStyle w:val="E3tabletext1"/>
              <w:rPr>
                <w:rFonts w:ascii="Helvetica" w:hAnsi="Helvetica" w:cs="Helvetica"/>
              </w:rPr>
            </w:pPr>
            <w:r w:rsidRPr="0041262C">
              <w:rPr>
                <w:rFonts w:ascii="Helvetica" w:hAnsi="Helvetica" w:cs="Helvetica"/>
              </w:rPr>
              <w:t>RFH</w:t>
            </w:r>
          </w:p>
          <w:p w14:paraId="2B6E8DE7" w14:textId="77777777" w:rsidR="005636C7" w:rsidRPr="0041262C" w:rsidRDefault="005636C7" w:rsidP="005636C7">
            <w:pPr>
              <w:pStyle w:val="E3tabletext1"/>
              <w:rPr>
                <w:rFonts w:ascii="Helvetica" w:hAnsi="Helvetica" w:cs="Helvetica"/>
              </w:rPr>
            </w:pPr>
            <w:r w:rsidRPr="0041262C">
              <w:rPr>
                <w:rFonts w:ascii="Helvetica" w:hAnsi="Helvetica" w:cs="Helvetica"/>
              </w:rPr>
              <w:t>Remote Freezer Horizontal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468ED0" w14:textId="77777777" w:rsidR="005636C7" w:rsidRPr="0041262C" w:rsidRDefault="005636C7" w:rsidP="005636C7">
            <w:pPr>
              <w:rPr>
                <w:rFonts w:ascii="Helvetica" w:hAnsi="Helvetica" w:cs="Helvetica"/>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CE1AEBB" w14:textId="77777777" w:rsidR="005636C7" w:rsidRPr="0041262C" w:rsidRDefault="005636C7" w:rsidP="005636C7">
            <w:pPr>
              <w:pStyle w:val="E3tabletext1"/>
              <w:rPr>
                <w:rFonts w:ascii="Helvetica" w:hAnsi="Helvetica" w:cs="Helvetica"/>
              </w:rPr>
            </w:pPr>
            <w:r w:rsidRPr="0041262C">
              <w:rPr>
                <w:rFonts w:ascii="Helvetica" w:hAnsi="Helvetica" w:cs="Helvetica"/>
              </w:rPr>
              <w:t>Freezer</w:t>
            </w:r>
          </w:p>
        </w:tc>
        <w:tc>
          <w:tcPr>
            <w:tcW w:w="987" w:type="dxa"/>
            <w:tcBorders>
              <w:top w:val="single" w:sz="4" w:space="0" w:color="auto"/>
              <w:left w:val="single" w:sz="4" w:space="0" w:color="auto"/>
              <w:bottom w:val="single" w:sz="4" w:space="0" w:color="auto"/>
              <w:right w:val="single" w:sz="4" w:space="0" w:color="auto"/>
            </w:tcBorders>
            <w:vAlign w:val="center"/>
            <w:hideMark/>
          </w:tcPr>
          <w:p w14:paraId="28F92EBA" w14:textId="77777777" w:rsidR="005636C7" w:rsidRPr="0041262C" w:rsidRDefault="005636C7" w:rsidP="005636C7">
            <w:pPr>
              <w:pStyle w:val="E3tabletext1"/>
              <w:rPr>
                <w:rFonts w:ascii="Helvetica" w:hAnsi="Helvetica" w:cs="Helvetica"/>
              </w:rPr>
            </w:pPr>
            <w:r w:rsidRPr="0041262C">
              <w:rPr>
                <w:rFonts w:ascii="Helvetica" w:hAnsi="Helvetica" w:cs="Helvetica"/>
              </w:rPr>
              <w:t>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A825388" w14:textId="77777777" w:rsidR="005636C7" w:rsidRPr="0041262C" w:rsidRDefault="005636C7" w:rsidP="005636C7">
            <w:pPr>
              <w:pStyle w:val="E3tabletext1"/>
              <w:rPr>
                <w:rFonts w:ascii="Helvetica" w:hAnsi="Helvetica" w:cs="Helvetica"/>
              </w:rPr>
            </w:pPr>
            <w:r w:rsidRPr="0041262C">
              <w:rPr>
                <w:rFonts w:ascii="Helvetica" w:hAnsi="Helvetica" w:cs="Helvetica"/>
              </w:rPr>
              <w:t>RS13, RS14,</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4CB90EC" w14:textId="77777777" w:rsidR="005636C7" w:rsidRPr="0041262C" w:rsidRDefault="005636C7" w:rsidP="005636C7">
            <w:pPr>
              <w:pStyle w:val="E3tabletext1"/>
              <w:rPr>
                <w:rFonts w:ascii="Helvetica" w:hAnsi="Helvetica" w:cs="Helvetica"/>
              </w:rPr>
            </w:pPr>
            <w:r w:rsidRPr="0041262C">
              <w:rPr>
                <w:rFonts w:ascii="Helvetica" w:hAnsi="Helvetica" w:cs="Helvetica"/>
              </w:rPr>
              <w:t>RHF1, RHF3, RHF4, RHF5, RHF6, RHF7</w:t>
            </w:r>
          </w:p>
        </w:tc>
        <w:tc>
          <w:tcPr>
            <w:tcW w:w="850" w:type="dxa"/>
            <w:tcBorders>
              <w:top w:val="single" w:sz="4" w:space="0" w:color="auto"/>
              <w:left w:val="single" w:sz="4" w:space="0" w:color="auto"/>
              <w:bottom w:val="single" w:sz="4" w:space="0" w:color="auto"/>
              <w:right w:val="single" w:sz="4" w:space="0" w:color="auto"/>
            </w:tcBorders>
            <w:vAlign w:val="center"/>
          </w:tcPr>
          <w:p w14:paraId="4083AC24" w14:textId="77777777" w:rsidR="005636C7" w:rsidRPr="0041262C" w:rsidRDefault="005636C7" w:rsidP="005636C7">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tcPr>
          <w:p w14:paraId="166FA50A" w14:textId="77777777" w:rsidR="005636C7" w:rsidRPr="0041262C" w:rsidRDefault="005636C7" w:rsidP="005636C7">
            <w:pPr>
              <w:pStyle w:val="E3tabletext1"/>
              <w:rPr>
                <w:rFonts w:ascii="Helvetica" w:hAnsi="Helvetica" w:cs="Helvetica"/>
              </w:rPr>
            </w:pPr>
            <w:r w:rsidRPr="0041262C">
              <w:rPr>
                <w:rFonts w:ascii="Helvetica" w:hAnsi="Helvetica" w:cs="Helvetica"/>
              </w:rPr>
              <w:t>11%</w:t>
            </w:r>
          </w:p>
        </w:tc>
      </w:tr>
      <w:tr w:rsidR="005636C7" w14:paraId="08549BB2"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4920650" w14:textId="77777777" w:rsidR="005636C7" w:rsidRPr="0041262C" w:rsidRDefault="005636C7" w:rsidP="005636C7">
            <w:pPr>
              <w:pStyle w:val="E3tabletext1"/>
              <w:rPr>
                <w:rFonts w:ascii="Helvetica" w:hAnsi="Helvetica" w:cs="Helvetica"/>
              </w:rPr>
            </w:pPr>
            <w:r w:rsidRPr="0041262C">
              <w:rPr>
                <w:rFonts w:ascii="Helvetica" w:hAnsi="Helvetica" w:cs="Helvetica"/>
              </w:rPr>
              <w:t>11</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08FEFB" w14:textId="77777777" w:rsidR="005636C7" w:rsidRPr="0041262C" w:rsidRDefault="005636C7" w:rsidP="005636C7">
            <w:pPr>
              <w:pStyle w:val="E3tabletext1"/>
              <w:rPr>
                <w:rFonts w:ascii="Helvetica" w:hAnsi="Helvetica" w:cs="Helvetica"/>
              </w:rPr>
            </w:pPr>
            <w:r w:rsidRPr="0041262C">
              <w:rPr>
                <w:rFonts w:ascii="Helvetica" w:hAnsi="Helvetica" w:cs="Helvetica"/>
              </w:rPr>
              <w:t>RFV</w:t>
            </w:r>
          </w:p>
          <w:p w14:paraId="312ACDCF" w14:textId="77777777" w:rsidR="005636C7" w:rsidRPr="0041262C" w:rsidRDefault="005636C7" w:rsidP="005636C7">
            <w:pPr>
              <w:pStyle w:val="E3tabletext1"/>
              <w:rPr>
                <w:rFonts w:ascii="Helvetica" w:hAnsi="Helvetica" w:cs="Helvetica"/>
              </w:rPr>
            </w:pPr>
            <w:r w:rsidRPr="0041262C">
              <w:rPr>
                <w:rFonts w:ascii="Helvetica" w:hAnsi="Helvetica" w:cs="Helvetica"/>
              </w:rPr>
              <w:t>Remote Freezer Vertical</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2643E2"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070C18"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2667CA24"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6C27D40" w14:textId="77777777" w:rsidR="005636C7" w:rsidRPr="0041262C" w:rsidRDefault="005636C7" w:rsidP="005636C7">
            <w:pPr>
              <w:pStyle w:val="E3tabletext1"/>
              <w:rPr>
                <w:rFonts w:ascii="Helvetica" w:hAnsi="Helvetica" w:cs="Helvetica"/>
              </w:rPr>
            </w:pPr>
            <w:r w:rsidRPr="0041262C">
              <w:rPr>
                <w:rFonts w:ascii="Helvetica" w:hAnsi="Helvetica" w:cs="Helvetica"/>
              </w:rPr>
              <w:t>RS11, RS12, RS15, RS16, RS17, RS18, RS19, RS20</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E4BE69B" w14:textId="77777777" w:rsidR="005636C7" w:rsidRPr="0041262C" w:rsidRDefault="005636C7" w:rsidP="005636C7">
            <w:pPr>
              <w:pStyle w:val="E3tabletext1"/>
              <w:rPr>
                <w:rFonts w:ascii="Helvetica" w:hAnsi="Helvetica" w:cs="Helvetica"/>
              </w:rPr>
            </w:pPr>
            <w:r w:rsidRPr="0041262C">
              <w:rPr>
                <w:rFonts w:ascii="Helvetica" w:hAnsi="Helvetica" w:cs="Helvetica"/>
              </w:rPr>
              <w:t>RVF1, RVF2, RVF4, RYF1, RYF2, RYF3, RYF4</w:t>
            </w:r>
          </w:p>
        </w:tc>
        <w:tc>
          <w:tcPr>
            <w:tcW w:w="850" w:type="dxa"/>
            <w:tcBorders>
              <w:top w:val="single" w:sz="4" w:space="0" w:color="auto"/>
              <w:left w:val="single" w:sz="4" w:space="0" w:color="auto"/>
              <w:bottom w:val="single" w:sz="4" w:space="0" w:color="auto"/>
              <w:right w:val="single" w:sz="4" w:space="0" w:color="auto"/>
            </w:tcBorders>
            <w:vAlign w:val="center"/>
          </w:tcPr>
          <w:p w14:paraId="60DA8094" w14:textId="77777777" w:rsidR="005636C7" w:rsidRPr="0041262C" w:rsidRDefault="005636C7" w:rsidP="005636C7">
            <w:pPr>
              <w:pStyle w:val="E3tabletext1"/>
              <w:rPr>
                <w:rFonts w:ascii="Helvetica" w:hAnsi="Helvetica" w:cs="Helvetica"/>
              </w:rPr>
            </w:pPr>
            <w:r>
              <w:rPr>
                <w:rFonts w:ascii="Helvetica" w:hAnsi="Helvetica" w:cs="Helvetica"/>
              </w:rPr>
              <w:t>29%</w:t>
            </w:r>
          </w:p>
        </w:tc>
        <w:tc>
          <w:tcPr>
            <w:tcW w:w="856" w:type="dxa"/>
            <w:tcBorders>
              <w:top w:val="single" w:sz="4" w:space="0" w:color="auto"/>
              <w:left w:val="single" w:sz="4" w:space="0" w:color="auto"/>
              <w:bottom w:val="single" w:sz="4" w:space="0" w:color="auto"/>
              <w:right w:val="single" w:sz="4" w:space="0" w:color="auto"/>
            </w:tcBorders>
            <w:vAlign w:val="center"/>
          </w:tcPr>
          <w:p w14:paraId="3983976A" w14:textId="77777777" w:rsidR="005636C7" w:rsidRPr="0041262C" w:rsidRDefault="005636C7" w:rsidP="005636C7">
            <w:pPr>
              <w:pStyle w:val="E3tabletext1"/>
              <w:rPr>
                <w:rFonts w:ascii="Helvetica" w:hAnsi="Helvetica" w:cs="Helvetica"/>
              </w:rPr>
            </w:pPr>
            <w:r w:rsidRPr="0041262C">
              <w:rPr>
                <w:rFonts w:ascii="Helvetica" w:hAnsi="Helvetica" w:cs="Helvetica"/>
              </w:rPr>
              <w:t>3%</w:t>
            </w:r>
          </w:p>
        </w:tc>
      </w:tr>
      <w:tr w:rsidR="005636C7" w14:paraId="03AF1B78"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0E5BB81" w14:textId="77777777" w:rsidR="005636C7" w:rsidRPr="0041262C" w:rsidRDefault="005636C7" w:rsidP="005636C7">
            <w:pPr>
              <w:pStyle w:val="E3tabletext1"/>
              <w:rPr>
                <w:rFonts w:ascii="Helvetica" w:hAnsi="Helvetica" w:cs="Helvetica"/>
              </w:rPr>
            </w:pPr>
            <w:r w:rsidRPr="0041262C">
              <w:rPr>
                <w:rFonts w:ascii="Helvetica" w:hAnsi="Helvetica" w:cs="Helvetica"/>
              </w:rPr>
              <w:t>12</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8571468" w14:textId="77777777" w:rsidR="005636C7" w:rsidRPr="0041262C" w:rsidRDefault="005636C7" w:rsidP="005636C7">
            <w:pPr>
              <w:pStyle w:val="E3tabletext1"/>
              <w:rPr>
                <w:rFonts w:ascii="Helvetica" w:hAnsi="Helvetica" w:cs="Helvetica"/>
              </w:rPr>
            </w:pPr>
            <w:r w:rsidRPr="0041262C">
              <w:rPr>
                <w:rFonts w:ascii="Helvetica" w:hAnsi="Helvetica" w:cs="Helvetica"/>
              </w:rPr>
              <w:t>SRH</w:t>
            </w:r>
          </w:p>
          <w:p w14:paraId="3FB6E419"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refrigerated Horizontal with solid door</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65978E8"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Integral Refrigerated Storage cabinet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18056B8" w14:textId="77777777" w:rsidR="005636C7" w:rsidRPr="0041262C" w:rsidRDefault="005636C7" w:rsidP="005636C7">
            <w:pPr>
              <w:pStyle w:val="E3tabletext1"/>
              <w:rPr>
                <w:rFonts w:ascii="Helvetica" w:hAnsi="Helvetica" w:cs="Helvetica"/>
              </w:rPr>
            </w:pPr>
            <w:r w:rsidRPr="0041262C">
              <w:rPr>
                <w:rFonts w:ascii="Helvetica" w:hAnsi="Helvetica" w:cs="Helvetica"/>
              </w:rPr>
              <w:t>Refrigerator</w:t>
            </w:r>
          </w:p>
        </w:tc>
        <w:tc>
          <w:tcPr>
            <w:tcW w:w="987" w:type="dxa"/>
            <w:tcBorders>
              <w:top w:val="single" w:sz="4" w:space="0" w:color="auto"/>
              <w:left w:val="single" w:sz="4" w:space="0" w:color="auto"/>
              <w:bottom w:val="single" w:sz="4" w:space="0" w:color="auto"/>
              <w:right w:val="single" w:sz="4" w:space="0" w:color="auto"/>
            </w:tcBorders>
            <w:vAlign w:val="center"/>
            <w:hideMark/>
          </w:tcPr>
          <w:p w14:paraId="038B7CAE" w14:textId="77777777" w:rsidR="005636C7" w:rsidRPr="0041262C" w:rsidRDefault="005636C7" w:rsidP="005636C7">
            <w:pPr>
              <w:pStyle w:val="E3tabletext1"/>
              <w:rPr>
                <w:rFonts w:ascii="Helvetica" w:hAnsi="Helvetica" w:cs="Helvetica"/>
              </w:rPr>
            </w:pPr>
            <w:r w:rsidRPr="0041262C">
              <w:rPr>
                <w:rFonts w:ascii="Helvetica" w:hAnsi="Helvetica" w:cs="Helvetica"/>
              </w:rPr>
              <w:t>Counter (Horizontal)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93ADCA8" w14:textId="77777777" w:rsidR="005636C7" w:rsidRPr="0041262C" w:rsidRDefault="005636C7" w:rsidP="005636C7">
            <w:pPr>
              <w:pStyle w:val="E3tabletext1"/>
              <w:rPr>
                <w:rFonts w:ascii="Helvetica" w:hAnsi="Helvetica" w:cs="Helvetica"/>
              </w:rPr>
            </w:pPr>
            <w:r w:rsidRPr="0041262C">
              <w:rPr>
                <w:rFonts w:ascii="Helvetica" w:hAnsi="Helvetica" w:cs="Helvetica"/>
              </w:rPr>
              <w:t>No equivalent registered</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22FCA6A" w14:textId="77777777" w:rsidR="005636C7" w:rsidRPr="0041262C" w:rsidRDefault="005636C7" w:rsidP="005636C7">
            <w:pPr>
              <w:pStyle w:val="E3tabletext1"/>
              <w:rPr>
                <w:rFonts w:ascii="Helvetica" w:hAnsi="Helvetica" w:cs="Helvetica"/>
              </w:rPr>
            </w:pPr>
            <w:r w:rsidRPr="0041262C">
              <w:rPr>
                <w:rFonts w:ascii="Helvetica" w:hAnsi="Helvetica" w:cs="Helvetica"/>
              </w:rPr>
              <w:t>Storage cabinet types are defined into four categories (but not classified by the technical standards yet)</w:t>
            </w:r>
          </w:p>
        </w:tc>
        <w:tc>
          <w:tcPr>
            <w:tcW w:w="850" w:type="dxa"/>
            <w:tcBorders>
              <w:top w:val="single" w:sz="4" w:space="0" w:color="auto"/>
              <w:left w:val="single" w:sz="4" w:space="0" w:color="auto"/>
              <w:bottom w:val="single" w:sz="4" w:space="0" w:color="auto"/>
              <w:right w:val="single" w:sz="4" w:space="0" w:color="auto"/>
            </w:tcBorders>
            <w:vAlign w:val="center"/>
          </w:tcPr>
          <w:p w14:paraId="7E74EC84"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66A28402"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49F76331"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BD7CCB" w14:textId="77777777" w:rsidR="005636C7" w:rsidRPr="0041262C" w:rsidRDefault="005636C7" w:rsidP="005636C7">
            <w:pPr>
              <w:pStyle w:val="E3tabletext1"/>
              <w:rPr>
                <w:rFonts w:ascii="Helvetica" w:hAnsi="Helvetica" w:cs="Helvetica"/>
              </w:rPr>
            </w:pPr>
            <w:r w:rsidRPr="0041262C">
              <w:rPr>
                <w:rFonts w:ascii="Helvetica" w:hAnsi="Helvetica" w:cs="Helvetica"/>
              </w:rPr>
              <w:t>13</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3696C69" w14:textId="77777777" w:rsidR="005636C7" w:rsidRPr="0041262C" w:rsidRDefault="005636C7" w:rsidP="005636C7">
            <w:pPr>
              <w:pStyle w:val="E3tabletext1"/>
              <w:rPr>
                <w:rFonts w:ascii="Helvetica" w:hAnsi="Helvetica" w:cs="Helvetica"/>
              </w:rPr>
            </w:pPr>
            <w:r w:rsidRPr="0041262C">
              <w:rPr>
                <w:rFonts w:ascii="Helvetica" w:hAnsi="Helvetica" w:cs="Helvetica"/>
              </w:rPr>
              <w:t>SRV</w:t>
            </w:r>
          </w:p>
          <w:p w14:paraId="0E70CAF2"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Refrigerated,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264E61"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999604"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6F1CC276"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D5D0CBF"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IVC4 Solid door </w:t>
            </w:r>
            <w:r w:rsidRPr="0041262C">
              <w:rPr>
                <w:rFonts w:ascii="Helvetica" w:hAnsi="Helvetica" w:cs="Helvetica"/>
              </w:rPr>
              <w:br/>
              <w:t xml:space="preserve">M1 &amp; M2 </w:t>
            </w:r>
            <w:r w:rsidRPr="0041262C">
              <w:rPr>
                <w:rFonts w:ascii="Helvetica" w:hAnsi="Helvetica" w:cs="Helvetica"/>
              </w:rPr>
              <w:br/>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35BEDA2C" w14:textId="77777777" w:rsidR="005636C7" w:rsidRPr="0041262C" w:rsidRDefault="005636C7" w:rsidP="005636C7">
            <w:pPr>
              <w:rPr>
                <w:rFonts w:ascii="Helvetica" w:hAnsi="Helvetica" w:cs="Helvetica"/>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5C49B34"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12831633"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3F6E5204"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32A51F46" w14:textId="77777777" w:rsidR="005636C7" w:rsidRPr="0041262C" w:rsidRDefault="005636C7" w:rsidP="005636C7">
            <w:pPr>
              <w:pStyle w:val="E3tabletext1"/>
              <w:rPr>
                <w:rFonts w:ascii="Helvetica" w:hAnsi="Helvetica" w:cs="Helvetica"/>
              </w:rPr>
            </w:pPr>
            <w:r w:rsidRPr="0041262C">
              <w:rPr>
                <w:rFonts w:ascii="Helvetica" w:hAnsi="Helvetica" w:cs="Helvetica"/>
              </w:rPr>
              <w:t>14</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3AD9D6B" w14:textId="77777777" w:rsidR="005636C7" w:rsidRPr="0041262C" w:rsidRDefault="005636C7" w:rsidP="005636C7">
            <w:pPr>
              <w:pStyle w:val="E3tabletext1"/>
              <w:rPr>
                <w:rFonts w:ascii="Helvetica" w:hAnsi="Helvetica" w:cs="Helvetica"/>
              </w:rPr>
            </w:pPr>
            <w:r w:rsidRPr="0041262C">
              <w:rPr>
                <w:rFonts w:ascii="Helvetica" w:hAnsi="Helvetica" w:cs="Helvetica"/>
              </w:rPr>
              <w:t>SFH</w:t>
            </w:r>
          </w:p>
          <w:p w14:paraId="367CD54F"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Freezer, Horizontal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0FFD74" w14:textId="77777777" w:rsidR="005636C7" w:rsidRPr="0041262C" w:rsidRDefault="005636C7" w:rsidP="005636C7">
            <w:pPr>
              <w:rPr>
                <w:rFonts w:ascii="Helvetica" w:hAnsi="Helvetica" w:cs="Helvetica"/>
                <w:sz w:val="14"/>
                <w:szCs w:val="1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67B4F76" w14:textId="77777777" w:rsidR="005636C7" w:rsidRPr="0041262C" w:rsidRDefault="005636C7" w:rsidP="005636C7">
            <w:pPr>
              <w:pStyle w:val="E3tabletext1"/>
              <w:rPr>
                <w:rFonts w:ascii="Helvetica" w:hAnsi="Helvetica" w:cs="Helvetica"/>
              </w:rPr>
            </w:pPr>
            <w:r w:rsidRPr="0041262C">
              <w:rPr>
                <w:rFonts w:ascii="Helvetica" w:hAnsi="Helvetica" w:cs="Helvetica"/>
              </w:rPr>
              <w:t>Freezer</w:t>
            </w:r>
          </w:p>
        </w:tc>
        <w:tc>
          <w:tcPr>
            <w:tcW w:w="987" w:type="dxa"/>
            <w:tcBorders>
              <w:top w:val="single" w:sz="4" w:space="0" w:color="auto"/>
              <w:left w:val="single" w:sz="4" w:space="0" w:color="auto"/>
              <w:bottom w:val="single" w:sz="4" w:space="0" w:color="auto"/>
              <w:right w:val="single" w:sz="4" w:space="0" w:color="auto"/>
            </w:tcBorders>
            <w:vAlign w:val="center"/>
            <w:hideMark/>
          </w:tcPr>
          <w:p w14:paraId="73A459AD" w14:textId="77777777" w:rsidR="005636C7" w:rsidRPr="0041262C" w:rsidRDefault="005636C7" w:rsidP="005636C7">
            <w:pPr>
              <w:pStyle w:val="E3tabletext1"/>
              <w:rPr>
                <w:rFonts w:ascii="Helvetica" w:hAnsi="Helvetica" w:cs="Helvetica"/>
              </w:rPr>
            </w:pPr>
            <w:r w:rsidRPr="0041262C">
              <w:rPr>
                <w:rFonts w:ascii="Helvetica" w:hAnsi="Helvetica" w:cs="Helvetica"/>
              </w:rPr>
              <w:t>Counter (Horizontal)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3112CC6" w14:textId="77777777" w:rsidR="005636C7" w:rsidRPr="0041262C" w:rsidRDefault="005636C7" w:rsidP="005636C7">
            <w:pPr>
              <w:pStyle w:val="E3tabletext1"/>
              <w:rPr>
                <w:rFonts w:ascii="Helvetica" w:hAnsi="Helvetica" w:cs="Helvetica"/>
              </w:rPr>
            </w:pPr>
            <w:r w:rsidRPr="0041262C">
              <w:rPr>
                <w:rFonts w:ascii="Helvetica" w:hAnsi="Helvetica" w:cs="Helvetica"/>
              </w:rPr>
              <w:t>No equivalent registered</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44EF6333" w14:textId="77777777" w:rsidR="005636C7" w:rsidRPr="0041262C" w:rsidRDefault="005636C7" w:rsidP="005636C7">
            <w:pPr>
              <w:rPr>
                <w:rFonts w:ascii="Helvetica" w:hAnsi="Helvetica" w:cs="Helvetica"/>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EBD6902"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3372352A"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31157EAE" w14:textId="77777777" w:rsidTr="005636C7">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64D416B" w14:textId="77777777" w:rsidR="005636C7" w:rsidRPr="0041262C" w:rsidRDefault="005636C7" w:rsidP="005636C7">
            <w:pPr>
              <w:pStyle w:val="E3tabletext1"/>
              <w:rPr>
                <w:rFonts w:ascii="Helvetica" w:hAnsi="Helvetica" w:cs="Helvetica"/>
              </w:rPr>
            </w:pPr>
            <w:r w:rsidRPr="0041262C">
              <w:rPr>
                <w:rFonts w:ascii="Helvetica" w:hAnsi="Helvetica" w:cs="Helvetica"/>
              </w:rPr>
              <w:t>15</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CD350CE" w14:textId="77777777" w:rsidR="005636C7" w:rsidRPr="0041262C" w:rsidRDefault="005636C7" w:rsidP="005636C7">
            <w:pPr>
              <w:pStyle w:val="E3tabletext1"/>
              <w:rPr>
                <w:rFonts w:ascii="Helvetica" w:hAnsi="Helvetica" w:cs="Helvetica"/>
              </w:rPr>
            </w:pPr>
            <w:r w:rsidRPr="0041262C">
              <w:rPr>
                <w:rFonts w:ascii="Helvetica" w:hAnsi="Helvetica" w:cs="Helvetica"/>
              </w:rPr>
              <w:t>SFV</w:t>
            </w:r>
          </w:p>
          <w:p w14:paraId="31CFCBC0" w14:textId="77777777" w:rsidR="005636C7" w:rsidRPr="0041262C" w:rsidRDefault="005636C7" w:rsidP="005636C7">
            <w:pPr>
              <w:pStyle w:val="E3tabletext1"/>
              <w:rPr>
                <w:rFonts w:ascii="Helvetica" w:hAnsi="Helvetica" w:cs="Helvetica"/>
              </w:rPr>
            </w:pPr>
            <w:r w:rsidRPr="0041262C">
              <w:rPr>
                <w:rFonts w:ascii="Helvetica" w:hAnsi="Helvetica" w:cs="Helvetica"/>
              </w:rPr>
              <w:t>Service Cabinet Freezer, Vertical with solid door</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C84138" w14:textId="77777777" w:rsidR="005636C7" w:rsidRPr="0041262C" w:rsidRDefault="005636C7" w:rsidP="005636C7">
            <w:pPr>
              <w:rPr>
                <w:rFonts w:ascii="Helvetica" w:hAnsi="Helvetica" w:cs="Helvetica"/>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C7ACB3A" w14:textId="77777777" w:rsidR="005636C7" w:rsidRPr="0041262C" w:rsidRDefault="005636C7" w:rsidP="005636C7">
            <w:pPr>
              <w:rPr>
                <w:rFonts w:ascii="Helvetica" w:hAnsi="Helvetica" w:cs="Helvetica"/>
                <w:sz w:val="14"/>
                <w:szCs w:val="14"/>
              </w:rPr>
            </w:pPr>
          </w:p>
        </w:tc>
        <w:tc>
          <w:tcPr>
            <w:tcW w:w="987" w:type="dxa"/>
            <w:tcBorders>
              <w:top w:val="single" w:sz="4" w:space="0" w:color="auto"/>
              <w:left w:val="single" w:sz="4" w:space="0" w:color="auto"/>
              <w:bottom w:val="single" w:sz="4" w:space="0" w:color="auto"/>
              <w:right w:val="single" w:sz="4" w:space="0" w:color="auto"/>
            </w:tcBorders>
            <w:vAlign w:val="center"/>
            <w:hideMark/>
          </w:tcPr>
          <w:p w14:paraId="2DD3274B" w14:textId="77777777" w:rsidR="005636C7" w:rsidRPr="0041262C" w:rsidRDefault="005636C7" w:rsidP="005636C7">
            <w:pPr>
              <w:pStyle w:val="E3tabletext1"/>
              <w:rPr>
                <w:rFonts w:ascii="Helvetica" w:hAnsi="Helvetica" w:cs="Helvetica"/>
              </w:rPr>
            </w:pPr>
            <w:r w:rsidRPr="0041262C">
              <w:rPr>
                <w:rFonts w:ascii="Helvetica" w:hAnsi="Helvetica" w:cs="Helvetica"/>
              </w:rPr>
              <w:t>Vertical</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8973D11" w14:textId="77777777" w:rsidR="005636C7" w:rsidRPr="0041262C" w:rsidRDefault="005636C7" w:rsidP="005636C7">
            <w:pPr>
              <w:pStyle w:val="E3tabletext1"/>
              <w:rPr>
                <w:rFonts w:ascii="Helvetica" w:hAnsi="Helvetica" w:cs="Helvetica"/>
              </w:rPr>
            </w:pPr>
            <w:r w:rsidRPr="0041262C">
              <w:rPr>
                <w:rFonts w:ascii="Helvetica" w:hAnsi="Helvetica" w:cs="Helvetica"/>
              </w:rPr>
              <w:t xml:space="preserve">IVF4 Solid doors </w:t>
            </w:r>
            <w:r w:rsidRPr="0041262C">
              <w:rPr>
                <w:rFonts w:ascii="Helvetica" w:hAnsi="Helvetica" w:cs="Helvetica"/>
              </w:rPr>
              <w:br/>
              <w:t>L1 &amp; L2</w:t>
            </w:r>
            <w:r w:rsidRPr="0041262C">
              <w:rPr>
                <w:rFonts w:ascii="Helvetica" w:hAnsi="Helvetica" w:cs="Helvetica"/>
              </w:rPr>
              <w:br/>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D0E8053" w14:textId="77777777" w:rsidR="005636C7" w:rsidRPr="0041262C" w:rsidRDefault="005636C7" w:rsidP="005636C7">
            <w:pPr>
              <w:rPr>
                <w:rFonts w:ascii="Helvetica" w:hAnsi="Helvetica" w:cs="Helvetica"/>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305DF779" w14:textId="77777777" w:rsidR="005636C7" w:rsidRPr="0041262C" w:rsidRDefault="005636C7" w:rsidP="005636C7">
            <w:pPr>
              <w:pStyle w:val="E3tabletext1"/>
              <w:rPr>
                <w:rFonts w:ascii="Helvetica" w:hAnsi="Helvetica" w:cs="Helvetica"/>
              </w:rPr>
            </w:pPr>
            <w:r>
              <w:rPr>
                <w:rFonts w:ascii="Helvetica" w:hAnsi="Helvetica" w:cs="Helvetica"/>
              </w:rPr>
              <w:t>NA</w:t>
            </w:r>
          </w:p>
        </w:tc>
        <w:tc>
          <w:tcPr>
            <w:tcW w:w="856" w:type="dxa"/>
            <w:tcBorders>
              <w:top w:val="single" w:sz="4" w:space="0" w:color="auto"/>
              <w:left w:val="single" w:sz="4" w:space="0" w:color="auto"/>
              <w:bottom w:val="single" w:sz="4" w:space="0" w:color="auto"/>
              <w:right w:val="single" w:sz="4" w:space="0" w:color="auto"/>
            </w:tcBorders>
            <w:vAlign w:val="center"/>
          </w:tcPr>
          <w:p w14:paraId="1FEBB899" w14:textId="77777777" w:rsidR="005636C7" w:rsidRPr="0041262C" w:rsidRDefault="005636C7" w:rsidP="005636C7">
            <w:pPr>
              <w:pStyle w:val="E3tabletext1"/>
              <w:rPr>
                <w:rFonts w:ascii="Helvetica" w:hAnsi="Helvetica" w:cs="Helvetica"/>
              </w:rPr>
            </w:pPr>
            <w:r w:rsidRPr="0041262C">
              <w:rPr>
                <w:rFonts w:ascii="Helvetica" w:hAnsi="Helvetica" w:cs="Helvetica"/>
              </w:rPr>
              <w:t>NA</w:t>
            </w:r>
          </w:p>
        </w:tc>
      </w:tr>
      <w:tr w:rsidR="005636C7" w14:paraId="5910459E" w14:textId="77777777" w:rsidTr="005636C7">
        <w:trPr>
          <w:jc w:val="center"/>
        </w:trPr>
        <w:tc>
          <w:tcPr>
            <w:tcW w:w="7650" w:type="dxa"/>
            <w:gridSpan w:val="9"/>
            <w:tcBorders>
              <w:top w:val="single" w:sz="4" w:space="0" w:color="auto"/>
              <w:left w:val="single" w:sz="4" w:space="0" w:color="auto"/>
              <w:bottom w:val="single" w:sz="4" w:space="0" w:color="auto"/>
              <w:right w:val="single" w:sz="4" w:space="0" w:color="auto"/>
            </w:tcBorders>
            <w:vAlign w:val="center"/>
            <w:hideMark/>
          </w:tcPr>
          <w:p w14:paraId="20A99C6D" w14:textId="77777777" w:rsidR="005636C7" w:rsidRPr="0041262C" w:rsidRDefault="005636C7" w:rsidP="005636C7">
            <w:pPr>
              <w:pStyle w:val="E3tabletext1"/>
              <w:rPr>
                <w:rFonts w:ascii="Helvetica" w:hAnsi="Helvetica" w:cs="Helvetica"/>
              </w:rPr>
            </w:pPr>
            <w:r w:rsidRPr="0041262C">
              <w:rPr>
                <w:rFonts w:ascii="Helvetica" w:hAnsi="Helvetica" w:cs="Helvetica"/>
              </w:rPr>
              <w:t>Overall effect (Groups 1 to 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E2B274" w14:textId="77777777" w:rsidR="005636C7" w:rsidRPr="0041262C" w:rsidRDefault="005636C7" w:rsidP="005636C7">
            <w:pPr>
              <w:pStyle w:val="E3tabletext1"/>
              <w:rPr>
                <w:rFonts w:ascii="Helvetica" w:hAnsi="Helvetica" w:cs="Helvetica"/>
              </w:rPr>
            </w:pPr>
            <w:r>
              <w:rPr>
                <w:rFonts w:ascii="Helvetica" w:hAnsi="Helvetica" w:cs="Helvetica"/>
              </w:rPr>
              <w:t>25%</w:t>
            </w:r>
          </w:p>
        </w:tc>
        <w:tc>
          <w:tcPr>
            <w:tcW w:w="856" w:type="dxa"/>
            <w:tcBorders>
              <w:top w:val="single" w:sz="4" w:space="0" w:color="auto"/>
              <w:left w:val="single" w:sz="4" w:space="0" w:color="auto"/>
              <w:bottom w:val="single" w:sz="4" w:space="0" w:color="auto"/>
              <w:right w:val="single" w:sz="4" w:space="0" w:color="auto"/>
            </w:tcBorders>
            <w:vAlign w:val="center"/>
            <w:hideMark/>
          </w:tcPr>
          <w:p w14:paraId="04E4D01B" w14:textId="77777777" w:rsidR="005636C7" w:rsidRPr="0041262C" w:rsidRDefault="005636C7" w:rsidP="005636C7">
            <w:pPr>
              <w:pStyle w:val="E3tabletext1"/>
              <w:rPr>
                <w:rFonts w:ascii="Helvetica" w:hAnsi="Helvetica" w:cs="Helvetica"/>
              </w:rPr>
            </w:pPr>
            <w:r>
              <w:rPr>
                <w:rFonts w:ascii="Helvetica" w:hAnsi="Helvetica" w:cs="Helvetica"/>
              </w:rPr>
              <w:t>19.5%</w:t>
            </w:r>
          </w:p>
        </w:tc>
      </w:tr>
    </w:tbl>
    <w:p w14:paraId="604BA5DF" w14:textId="77777777" w:rsidR="005636C7" w:rsidRDefault="005636C7" w:rsidP="005636C7">
      <w:pPr>
        <w:pStyle w:val="E3BodyText"/>
      </w:pPr>
    </w:p>
    <w:p w14:paraId="5127564B" w14:textId="77777777" w:rsidR="005636C7" w:rsidRPr="00CF127B" w:rsidRDefault="005636C7" w:rsidP="005636C7">
      <w:pPr>
        <w:pStyle w:val="E3Heading4"/>
      </w:pPr>
      <w:r w:rsidRPr="00CF127B">
        <w:t xml:space="preserve">Costs and Benefits </w:t>
      </w:r>
    </w:p>
    <w:p w14:paraId="6D2665DE" w14:textId="77777777" w:rsidR="005636C7" w:rsidRDefault="005636C7" w:rsidP="005636C7">
      <w:pPr>
        <w:pStyle w:val="E3Bullets"/>
        <w:spacing w:before="240" w:line="276" w:lineRule="auto"/>
        <w:contextualSpacing w:val="0"/>
        <w:jc w:val="both"/>
      </w:pPr>
      <w:r>
        <w:rPr>
          <w:b/>
        </w:rPr>
        <w:t>Figure 16</w:t>
      </w:r>
      <w:r w:rsidRPr="00F0477C">
        <w:rPr>
          <w:b/>
        </w:rPr>
        <w:t xml:space="preserve"> </w:t>
      </w:r>
      <w:r>
        <w:t>shows the reduction in energy consumption over time due to Option 4, there is also a corresponding greenhouse gas emissions when compared with BAU. Option 4 provides the highest net present value of all options considered and is the preferred option.</w:t>
      </w:r>
    </w:p>
    <w:p w14:paraId="751EE1B1" w14:textId="77777777" w:rsidR="005636C7" w:rsidRPr="00A929F6" w:rsidRDefault="005636C7" w:rsidP="005636C7">
      <w:pPr>
        <w:pStyle w:val="E3Figuretitles"/>
      </w:pPr>
      <w:r w:rsidRPr="00A929F6">
        <w:t>Figure 16: Annual energy consumption from Option 4.</w:t>
      </w:r>
    </w:p>
    <w:p w14:paraId="3CC540CE" w14:textId="77777777" w:rsidR="005636C7" w:rsidRDefault="005636C7" w:rsidP="005636C7">
      <w:pPr>
        <w:pStyle w:val="E3BodyText"/>
      </w:pPr>
      <w:r>
        <w:rPr>
          <w:noProof/>
          <w:lang w:val="en-AU" w:eastAsia="en-AU"/>
        </w:rPr>
        <w:drawing>
          <wp:inline distT="0" distB="0" distL="0" distR="0" wp14:anchorId="13D39ADD" wp14:editId="37E8C2DD">
            <wp:extent cx="5905500" cy="4007633"/>
            <wp:effectExtent l="0" t="0" r="0" b="0"/>
            <wp:docPr id="25" name="Picture 25" descr="Option 4 is the same as options 2 and 3 but would align Australian and New Zealand MEPS with European levels. This would affect different models to different degrees. This is the recomeended option." title="Forecast annual energy consumption under o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0165" cy="4010799"/>
                    </a:xfrm>
                    <a:prstGeom prst="rect">
                      <a:avLst/>
                    </a:prstGeom>
                    <a:noFill/>
                    <a:ln>
                      <a:noFill/>
                    </a:ln>
                  </pic:spPr>
                </pic:pic>
              </a:graphicData>
            </a:graphic>
          </wp:inline>
        </w:drawing>
      </w:r>
    </w:p>
    <w:p w14:paraId="76540243" w14:textId="77777777" w:rsidR="005636C7" w:rsidRDefault="005636C7" w:rsidP="005636C7">
      <w:pPr>
        <w:pStyle w:val="E3Bullets"/>
        <w:spacing w:before="120" w:line="276" w:lineRule="auto"/>
        <w:jc w:val="both"/>
      </w:pPr>
      <w:r w:rsidRPr="00FF4799">
        <w:rPr>
          <w:b/>
        </w:rPr>
        <w:t xml:space="preserve">Table </w:t>
      </w:r>
      <w:r>
        <w:rPr>
          <w:b/>
        </w:rPr>
        <w:t>16</w:t>
      </w:r>
      <w:r>
        <w:t xml:space="preserve"> shows the modelled impacts of Option 4 and indicates the net benefits to Australia of AU $1340 million and to New Zealand of NZ$87 million and the benefit to cost ratios are 7.9:1 and 4.7:1 respectively. </w:t>
      </w:r>
    </w:p>
    <w:p w14:paraId="0FE7C5F8" w14:textId="77777777" w:rsidR="005636C7" w:rsidRPr="00594069" w:rsidRDefault="005636C7" w:rsidP="005636C7">
      <w:pPr>
        <w:pStyle w:val="E3TableTitles"/>
        <w:spacing w:before="120"/>
      </w:pPr>
      <w:bookmarkStart w:id="242" w:name="_Toc500159667"/>
      <w:r w:rsidRPr="00594069">
        <w:t>Table 16 Evaluation of impacts – Option 4</w:t>
      </w:r>
      <w:r>
        <w:t>.</w:t>
      </w:r>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550871F3" w14:textId="77777777" w:rsidTr="00445E56">
        <w:tc>
          <w:tcPr>
            <w:tcW w:w="3209" w:type="dxa"/>
            <w:vAlign w:val="center"/>
          </w:tcPr>
          <w:p w14:paraId="49A277DC"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Indicator</w:t>
            </w:r>
          </w:p>
        </w:tc>
        <w:tc>
          <w:tcPr>
            <w:tcW w:w="6420" w:type="dxa"/>
            <w:gridSpan w:val="2"/>
            <w:vAlign w:val="center"/>
          </w:tcPr>
          <w:p w14:paraId="78DD18AC"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Appliances installed 2017 - 2035</w:t>
            </w:r>
          </w:p>
        </w:tc>
      </w:tr>
      <w:tr w:rsidR="005636C7" w14:paraId="41B9D7DC" w14:textId="77777777" w:rsidTr="00445E56">
        <w:tc>
          <w:tcPr>
            <w:tcW w:w="3209" w:type="dxa"/>
            <w:vAlign w:val="center"/>
          </w:tcPr>
          <w:p w14:paraId="40084DAC"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p>
        </w:tc>
        <w:tc>
          <w:tcPr>
            <w:tcW w:w="3210" w:type="dxa"/>
            <w:vAlign w:val="center"/>
          </w:tcPr>
          <w:p w14:paraId="19988386"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Australia</w:t>
            </w:r>
          </w:p>
        </w:tc>
        <w:tc>
          <w:tcPr>
            <w:tcW w:w="3210" w:type="dxa"/>
            <w:vAlign w:val="center"/>
          </w:tcPr>
          <w:p w14:paraId="0AFA5C76" w14:textId="77777777" w:rsidR="005636C7" w:rsidRPr="00594069" w:rsidRDefault="005636C7" w:rsidP="005636C7">
            <w:pPr>
              <w:pStyle w:val="E3Bullets"/>
              <w:spacing w:before="60" w:after="60" w:line="276" w:lineRule="auto"/>
              <w:contextualSpacing w:val="0"/>
              <w:jc w:val="center"/>
              <w:rPr>
                <w:rFonts w:ascii="Helvetica" w:hAnsi="Helvetica" w:cs="Helvetica"/>
                <w:b/>
                <w:sz w:val="16"/>
              </w:rPr>
            </w:pPr>
            <w:r w:rsidRPr="00594069">
              <w:rPr>
                <w:rFonts w:ascii="Helvetica" w:hAnsi="Helvetica" w:cs="Helvetica"/>
                <w:b/>
                <w:sz w:val="16"/>
              </w:rPr>
              <w:t>New Zealand</w:t>
            </w:r>
          </w:p>
        </w:tc>
      </w:tr>
      <w:tr w:rsidR="005636C7" w14:paraId="0BD6047C" w14:textId="77777777" w:rsidTr="00445E56">
        <w:tc>
          <w:tcPr>
            <w:tcW w:w="3209" w:type="dxa"/>
            <w:vAlign w:val="center"/>
          </w:tcPr>
          <w:p w14:paraId="119AE738"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Energy Savings</w:t>
            </w:r>
          </w:p>
        </w:tc>
        <w:tc>
          <w:tcPr>
            <w:tcW w:w="3210" w:type="dxa"/>
            <w:vAlign w:val="center"/>
          </w:tcPr>
          <w:p w14:paraId="7EA51014"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11,099GWh</w:t>
            </w:r>
          </w:p>
        </w:tc>
        <w:tc>
          <w:tcPr>
            <w:tcW w:w="3210" w:type="dxa"/>
            <w:vAlign w:val="center"/>
          </w:tcPr>
          <w:p w14:paraId="1D66CD13"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1,986GWh</w:t>
            </w:r>
          </w:p>
        </w:tc>
      </w:tr>
      <w:tr w:rsidR="005636C7" w14:paraId="0B4EA177" w14:textId="77777777" w:rsidTr="00445E56">
        <w:tc>
          <w:tcPr>
            <w:tcW w:w="3209" w:type="dxa"/>
            <w:vAlign w:val="center"/>
          </w:tcPr>
          <w:p w14:paraId="2C76AD77"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Emissions savings (CO2-e cumulative)</w:t>
            </w:r>
          </w:p>
        </w:tc>
        <w:tc>
          <w:tcPr>
            <w:tcW w:w="3210" w:type="dxa"/>
            <w:vAlign w:val="center"/>
          </w:tcPr>
          <w:p w14:paraId="5FE96C58"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8.26MtMt</w:t>
            </w:r>
          </w:p>
        </w:tc>
        <w:tc>
          <w:tcPr>
            <w:tcW w:w="3210" w:type="dxa"/>
            <w:vAlign w:val="center"/>
          </w:tcPr>
          <w:p w14:paraId="18EE5C10"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256kt</w:t>
            </w:r>
          </w:p>
        </w:tc>
      </w:tr>
      <w:tr w:rsidR="005636C7" w14:paraId="6D8C38DA" w14:textId="77777777" w:rsidTr="00445E56">
        <w:tc>
          <w:tcPr>
            <w:tcW w:w="3209" w:type="dxa"/>
            <w:vAlign w:val="center"/>
          </w:tcPr>
          <w:p w14:paraId="629508ED"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Benefits</w:t>
            </w:r>
          </w:p>
        </w:tc>
        <w:tc>
          <w:tcPr>
            <w:tcW w:w="3210" w:type="dxa"/>
            <w:vAlign w:val="center"/>
          </w:tcPr>
          <w:p w14:paraId="0A845CDE"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$AU1,532 million</w:t>
            </w:r>
          </w:p>
        </w:tc>
        <w:tc>
          <w:tcPr>
            <w:tcW w:w="3210" w:type="dxa"/>
            <w:vAlign w:val="center"/>
          </w:tcPr>
          <w:p w14:paraId="12EB724A"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$NZ111 million</w:t>
            </w:r>
          </w:p>
        </w:tc>
      </w:tr>
      <w:tr w:rsidR="005636C7" w14:paraId="3C9B5FBB" w14:textId="77777777" w:rsidTr="00445E56">
        <w:tc>
          <w:tcPr>
            <w:tcW w:w="3209" w:type="dxa"/>
            <w:vAlign w:val="center"/>
          </w:tcPr>
          <w:p w14:paraId="376DF756"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Costs</w:t>
            </w:r>
          </w:p>
        </w:tc>
        <w:tc>
          <w:tcPr>
            <w:tcW w:w="3210" w:type="dxa"/>
            <w:vAlign w:val="center"/>
          </w:tcPr>
          <w:p w14:paraId="10B666B3"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$AU193 million</w:t>
            </w:r>
          </w:p>
        </w:tc>
        <w:tc>
          <w:tcPr>
            <w:tcW w:w="3210" w:type="dxa"/>
            <w:vAlign w:val="center"/>
          </w:tcPr>
          <w:p w14:paraId="408EAD4E"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$NZ24 million</w:t>
            </w:r>
          </w:p>
        </w:tc>
      </w:tr>
      <w:tr w:rsidR="005636C7" w14:paraId="2350AE77" w14:textId="77777777" w:rsidTr="00445E56">
        <w:tc>
          <w:tcPr>
            <w:tcW w:w="3209" w:type="dxa"/>
            <w:vAlign w:val="center"/>
          </w:tcPr>
          <w:p w14:paraId="2FB44CF8"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Net Present Value</w:t>
            </w:r>
          </w:p>
        </w:tc>
        <w:tc>
          <w:tcPr>
            <w:tcW w:w="3210" w:type="dxa"/>
            <w:vAlign w:val="center"/>
          </w:tcPr>
          <w:p w14:paraId="32F99D3D"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$AU1,339 million</w:t>
            </w:r>
          </w:p>
        </w:tc>
        <w:tc>
          <w:tcPr>
            <w:tcW w:w="3210" w:type="dxa"/>
            <w:vAlign w:val="center"/>
          </w:tcPr>
          <w:p w14:paraId="2D11EA27"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$NZ87 million</w:t>
            </w:r>
            <w:r w:rsidRPr="00594069">
              <w:rPr>
                <w:rStyle w:val="FootnoteReference"/>
                <w:rFonts w:ascii="Helvetica" w:hAnsi="Helvetica" w:cs="Helvetica"/>
                <w:sz w:val="16"/>
              </w:rPr>
              <w:footnoteReference w:id="43"/>
            </w:r>
          </w:p>
        </w:tc>
      </w:tr>
      <w:tr w:rsidR="005636C7" w14:paraId="3465D107" w14:textId="77777777" w:rsidTr="00445E56">
        <w:tc>
          <w:tcPr>
            <w:tcW w:w="3209" w:type="dxa"/>
            <w:vAlign w:val="center"/>
          </w:tcPr>
          <w:p w14:paraId="6941CBF7"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Benefit cost ratio</w:t>
            </w:r>
          </w:p>
        </w:tc>
        <w:tc>
          <w:tcPr>
            <w:tcW w:w="3210" w:type="dxa"/>
            <w:vAlign w:val="center"/>
          </w:tcPr>
          <w:p w14:paraId="1C3AC08A"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7.9:1</w:t>
            </w:r>
          </w:p>
        </w:tc>
        <w:tc>
          <w:tcPr>
            <w:tcW w:w="3210" w:type="dxa"/>
            <w:vAlign w:val="center"/>
          </w:tcPr>
          <w:p w14:paraId="14F920A3" w14:textId="77777777" w:rsidR="005636C7" w:rsidRPr="00594069" w:rsidRDefault="005636C7" w:rsidP="005636C7">
            <w:pPr>
              <w:pStyle w:val="E3Bullets"/>
              <w:spacing w:before="60" w:after="60" w:line="276" w:lineRule="auto"/>
              <w:contextualSpacing w:val="0"/>
              <w:jc w:val="center"/>
              <w:rPr>
                <w:rFonts w:ascii="Helvetica" w:hAnsi="Helvetica" w:cs="Helvetica"/>
                <w:sz w:val="16"/>
              </w:rPr>
            </w:pPr>
            <w:r w:rsidRPr="00594069">
              <w:rPr>
                <w:rFonts w:ascii="Helvetica" w:hAnsi="Helvetica" w:cs="Helvetica"/>
                <w:sz w:val="16"/>
              </w:rPr>
              <w:t>4.7:1</w:t>
            </w:r>
          </w:p>
        </w:tc>
      </w:tr>
    </w:tbl>
    <w:p w14:paraId="4110BBC8" w14:textId="77777777" w:rsidR="005636C7" w:rsidRDefault="005636C7" w:rsidP="005636C7">
      <w:pPr>
        <w:pStyle w:val="E3Bullets"/>
        <w:spacing w:before="120" w:line="276" w:lineRule="auto"/>
        <w:jc w:val="both"/>
      </w:pPr>
      <w:r>
        <w:t xml:space="preserve">Further details of the modelling and assumptions are at </w:t>
      </w:r>
      <w:r>
        <w:rPr>
          <w:b/>
        </w:rPr>
        <w:t>Attachment C</w:t>
      </w:r>
      <w:r>
        <w:t>.</w:t>
      </w:r>
    </w:p>
    <w:p w14:paraId="3A00B103" w14:textId="77777777" w:rsidR="005636C7" w:rsidRPr="001A43CF" w:rsidRDefault="005636C7" w:rsidP="005636C7">
      <w:pPr>
        <w:pStyle w:val="E3Heading2"/>
        <w:spacing w:line="360" w:lineRule="auto"/>
        <w:rPr>
          <w:rFonts w:ascii="Georgia" w:hAnsi="Georgia"/>
          <w:sz w:val="22"/>
        </w:rPr>
      </w:pPr>
      <w:bookmarkStart w:id="243" w:name="_Toc494897980"/>
      <w:bookmarkStart w:id="244" w:name="_Toc494955772"/>
      <w:bookmarkStart w:id="245" w:name="_Toc494959580"/>
      <w:bookmarkStart w:id="246" w:name="_Toc494972706"/>
      <w:bookmarkStart w:id="247" w:name="_Toc494973893"/>
      <w:bookmarkStart w:id="248" w:name="_Toc494974582"/>
      <w:bookmarkStart w:id="249" w:name="_Toc500151815"/>
      <w:r w:rsidRPr="001A43CF">
        <w:rPr>
          <w:rFonts w:ascii="Georgia" w:hAnsi="Georgia"/>
          <w:sz w:val="24"/>
          <w:szCs w:val="32"/>
        </w:rPr>
        <w:t>Value of online energy rating information</w:t>
      </w:r>
      <w:bookmarkEnd w:id="243"/>
      <w:bookmarkEnd w:id="244"/>
      <w:bookmarkEnd w:id="245"/>
      <w:bookmarkEnd w:id="246"/>
      <w:bookmarkEnd w:id="247"/>
      <w:bookmarkEnd w:id="248"/>
      <w:bookmarkEnd w:id="249"/>
    </w:p>
    <w:p w14:paraId="47939343" w14:textId="77777777" w:rsidR="005636C7" w:rsidRDefault="005636C7" w:rsidP="005636C7">
      <w:pPr>
        <w:pStyle w:val="E3Bullets"/>
        <w:jc w:val="both"/>
        <w:rPr>
          <w:lang w:val="en-NZ" w:eastAsia="en-NZ"/>
        </w:rPr>
      </w:pPr>
      <w:r>
        <w:rPr>
          <w:lang w:val="en-NZ" w:eastAsia="en-NZ"/>
        </w:rPr>
        <w:t>The original proposal was for mandatory labelling to be added to all regulatory options.  This proposal was modified following feedback on the Consultation RIS which provided support for online labelling rather than physical labelling.  Currently online labelling can only occur on a voluntary basis.</w:t>
      </w:r>
    </w:p>
    <w:p w14:paraId="03853CA6" w14:textId="77777777" w:rsidR="005636C7" w:rsidRDefault="005636C7" w:rsidP="005636C7">
      <w:pPr>
        <w:pStyle w:val="E3Bullets"/>
        <w:jc w:val="both"/>
        <w:rPr>
          <w:lang w:val="en-NZ" w:eastAsia="en-NZ"/>
        </w:rPr>
      </w:pPr>
    </w:p>
    <w:p w14:paraId="29744E79" w14:textId="77777777" w:rsidR="005636C7" w:rsidRDefault="005636C7" w:rsidP="005636C7">
      <w:pPr>
        <w:pStyle w:val="E3Bullets"/>
        <w:jc w:val="both"/>
      </w:pPr>
      <w:r>
        <w:rPr>
          <w:lang w:val="en-NZ" w:eastAsia="en-NZ"/>
        </w:rPr>
        <w:t>The benefit of online energy rating information is highlighted by identifying the percentage contribution that labelling makes to the overall cost-benefit analysis</w:t>
      </w:r>
      <w:r>
        <w:t>. Without labelling the energy use and greenhouse gas production increases by more than a fifth.</w:t>
      </w:r>
    </w:p>
    <w:p w14:paraId="6DF34B33" w14:textId="77777777" w:rsidR="005636C7" w:rsidRPr="00D252AB" w:rsidRDefault="005636C7" w:rsidP="005636C7">
      <w:pPr>
        <w:pStyle w:val="E3TableTitles"/>
        <w:spacing w:after="120"/>
      </w:pPr>
      <w:bookmarkStart w:id="250" w:name="_Toc500159668"/>
      <w:r w:rsidRPr="004C3E41">
        <w:t>Table 17: The percentage contribution to the overall cost-benefit analysis, that labelling makes. The scenario is for Option 4 EC MEPS from 2019</w:t>
      </w:r>
      <w:r>
        <w:t>.</w:t>
      </w:r>
      <w:bookmarkEnd w:id="25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5636C7" w14:paraId="6CC3627B" w14:textId="77777777" w:rsidTr="00445E56">
        <w:tc>
          <w:tcPr>
            <w:tcW w:w="3209" w:type="dxa"/>
            <w:vAlign w:val="center"/>
          </w:tcPr>
          <w:p w14:paraId="2998DC2A"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Indicator</w:t>
            </w:r>
          </w:p>
        </w:tc>
        <w:tc>
          <w:tcPr>
            <w:tcW w:w="6420" w:type="dxa"/>
            <w:gridSpan w:val="2"/>
            <w:vAlign w:val="center"/>
          </w:tcPr>
          <w:p w14:paraId="6842FBD1"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Appliances installed 2017 - 2035</w:t>
            </w:r>
          </w:p>
        </w:tc>
      </w:tr>
      <w:tr w:rsidR="005636C7" w14:paraId="38D3559D" w14:textId="77777777" w:rsidTr="00445E56">
        <w:tc>
          <w:tcPr>
            <w:tcW w:w="3209" w:type="dxa"/>
            <w:vAlign w:val="center"/>
          </w:tcPr>
          <w:p w14:paraId="1EA5F58F" w14:textId="77777777" w:rsidR="005636C7" w:rsidRPr="006D0D3C" w:rsidRDefault="005636C7" w:rsidP="005636C7">
            <w:pPr>
              <w:pStyle w:val="E3Bullets"/>
              <w:spacing w:before="60" w:after="60" w:line="276" w:lineRule="auto"/>
              <w:contextualSpacing w:val="0"/>
              <w:rPr>
                <w:rFonts w:ascii="Helvetica" w:hAnsi="Helvetica" w:cs="Helvetica"/>
                <w:b/>
                <w:sz w:val="16"/>
              </w:rPr>
            </w:pPr>
          </w:p>
        </w:tc>
        <w:tc>
          <w:tcPr>
            <w:tcW w:w="3210" w:type="dxa"/>
            <w:vAlign w:val="center"/>
          </w:tcPr>
          <w:p w14:paraId="5FCA1F93"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Australia</w:t>
            </w:r>
          </w:p>
        </w:tc>
        <w:tc>
          <w:tcPr>
            <w:tcW w:w="3210" w:type="dxa"/>
            <w:vAlign w:val="center"/>
          </w:tcPr>
          <w:p w14:paraId="682A462F" w14:textId="77777777" w:rsidR="005636C7" w:rsidRPr="006D0D3C" w:rsidRDefault="005636C7" w:rsidP="005636C7">
            <w:pPr>
              <w:pStyle w:val="E3Bullets"/>
              <w:spacing w:before="60" w:after="60" w:line="276" w:lineRule="auto"/>
              <w:contextualSpacing w:val="0"/>
              <w:jc w:val="center"/>
              <w:rPr>
                <w:rFonts w:ascii="Helvetica" w:hAnsi="Helvetica" w:cs="Helvetica"/>
                <w:b/>
                <w:sz w:val="16"/>
              </w:rPr>
            </w:pPr>
            <w:r w:rsidRPr="006D0D3C">
              <w:rPr>
                <w:rFonts w:ascii="Helvetica" w:hAnsi="Helvetica" w:cs="Helvetica"/>
                <w:b/>
                <w:sz w:val="16"/>
              </w:rPr>
              <w:t>New Zealand</w:t>
            </w:r>
          </w:p>
        </w:tc>
      </w:tr>
      <w:tr w:rsidR="005636C7" w14:paraId="3C156F05" w14:textId="77777777" w:rsidTr="00445E56">
        <w:tc>
          <w:tcPr>
            <w:tcW w:w="3209" w:type="dxa"/>
          </w:tcPr>
          <w:p w14:paraId="1E882807"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Energy Savings</w:t>
            </w:r>
          </w:p>
        </w:tc>
        <w:tc>
          <w:tcPr>
            <w:tcW w:w="3210" w:type="dxa"/>
            <w:vAlign w:val="center"/>
          </w:tcPr>
          <w:p w14:paraId="68744CAA"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c>
          <w:tcPr>
            <w:tcW w:w="3210" w:type="dxa"/>
            <w:vAlign w:val="center"/>
          </w:tcPr>
          <w:p w14:paraId="50ADF17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r>
      <w:tr w:rsidR="005636C7" w14:paraId="0F51AA50" w14:textId="77777777" w:rsidTr="00445E56">
        <w:tc>
          <w:tcPr>
            <w:tcW w:w="3209" w:type="dxa"/>
          </w:tcPr>
          <w:p w14:paraId="1D50F846"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Emissions savings (CO2-e cumulative)</w:t>
            </w:r>
          </w:p>
        </w:tc>
        <w:tc>
          <w:tcPr>
            <w:tcW w:w="3210" w:type="dxa"/>
            <w:vAlign w:val="center"/>
          </w:tcPr>
          <w:p w14:paraId="465146A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c>
          <w:tcPr>
            <w:tcW w:w="3210" w:type="dxa"/>
            <w:vAlign w:val="center"/>
          </w:tcPr>
          <w:p w14:paraId="371081D5"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9%</w:t>
            </w:r>
          </w:p>
        </w:tc>
      </w:tr>
      <w:tr w:rsidR="005636C7" w14:paraId="69192244" w14:textId="77777777" w:rsidTr="00445E56">
        <w:tc>
          <w:tcPr>
            <w:tcW w:w="3209" w:type="dxa"/>
          </w:tcPr>
          <w:p w14:paraId="4AFF820C"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Benefits</w:t>
            </w:r>
          </w:p>
        </w:tc>
        <w:tc>
          <w:tcPr>
            <w:tcW w:w="3210" w:type="dxa"/>
            <w:vAlign w:val="center"/>
          </w:tcPr>
          <w:p w14:paraId="472CEF09"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11%</w:t>
            </w:r>
          </w:p>
        </w:tc>
        <w:tc>
          <w:tcPr>
            <w:tcW w:w="3210" w:type="dxa"/>
            <w:vAlign w:val="center"/>
          </w:tcPr>
          <w:p w14:paraId="21DAFC9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11%</w:t>
            </w:r>
          </w:p>
        </w:tc>
      </w:tr>
      <w:tr w:rsidR="005636C7" w14:paraId="65E9FBCE" w14:textId="77777777" w:rsidTr="00445E56">
        <w:tc>
          <w:tcPr>
            <w:tcW w:w="3209" w:type="dxa"/>
          </w:tcPr>
          <w:p w14:paraId="04447CBF"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Costs</w:t>
            </w:r>
          </w:p>
        </w:tc>
        <w:tc>
          <w:tcPr>
            <w:tcW w:w="3210" w:type="dxa"/>
            <w:vAlign w:val="center"/>
          </w:tcPr>
          <w:p w14:paraId="52727065"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2%</w:t>
            </w:r>
          </w:p>
        </w:tc>
        <w:tc>
          <w:tcPr>
            <w:tcW w:w="3210" w:type="dxa"/>
            <w:vAlign w:val="center"/>
          </w:tcPr>
          <w:p w14:paraId="0B4EB7B3"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2%</w:t>
            </w:r>
          </w:p>
        </w:tc>
      </w:tr>
      <w:tr w:rsidR="005636C7" w14:paraId="0BDA7FF9" w14:textId="77777777" w:rsidTr="00445E56">
        <w:tc>
          <w:tcPr>
            <w:tcW w:w="3209" w:type="dxa"/>
          </w:tcPr>
          <w:p w14:paraId="5C6E0D5D"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Net Present Value</w:t>
            </w:r>
          </w:p>
        </w:tc>
        <w:tc>
          <w:tcPr>
            <w:tcW w:w="3210" w:type="dxa"/>
            <w:vAlign w:val="center"/>
          </w:tcPr>
          <w:p w14:paraId="05038879"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13%</w:t>
            </w:r>
          </w:p>
        </w:tc>
        <w:tc>
          <w:tcPr>
            <w:tcW w:w="3210" w:type="dxa"/>
            <w:vAlign w:val="center"/>
          </w:tcPr>
          <w:p w14:paraId="73973BB5"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13%</w:t>
            </w:r>
          </w:p>
        </w:tc>
      </w:tr>
      <w:tr w:rsidR="005636C7" w14:paraId="640BA61E" w14:textId="77777777" w:rsidTr="00445E56">
        <w:tc>
          <w:tcPr>
            <w:tcW w:w="3209" w:type="dxa"/>
          </w:tcPr>
          <w:p w14:paraId="586C389D" w14:textId="77777777" w:rsidR="005636C7" w:rsidRPr="006D0D3C" w:rsidRDefault="005636C7" w:rsidP="005636C7">
            <w:pPr>
              <w:pStyle w:val="E3Bullets"/>
              <w:spacing w:before="60" w:after="60" w:line="276" w:lineRule="auto"/>
              <w:contextualSpacing w:val="0"/>
              <w:rPr>
                <w:rFonts w:ascii="Helvetica" w:hAnsi="Helvetica" w:cs="Helvetica"/>
                <w:sz w:val="16"/>
              </w:rPr>
            </w:pPr>
            <w:r w:rsidRPr="006D0D3C">
              <w:rPr>
                <w:rFonts w:ascii="Helvetica" w:hAnsi="Helvetica" w:cs="Helvetica"/>
                <w:sz w:val="16"/>
              </w:rPr>
              <w:t>Benefit cost ratio</w:t>
            </w:r>
          </w:p>
        </w:tc>
        <w:tc>
          <w:tcPr>
            <w:tcW w:w="3210" w:type="dxa"/>
            <w:vAlign w:val="center"/>
          </w:tcPr>
          <w:p w14:paraId="4AC4D1FA"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8.8%</w:t>
            </w:r>
          </w:p>
        </w:tc>
        <w:tc>
          <w:tcPr>
            <w:tcW w:w="3210" w:type="dxa"/>
            <w:vAlign w:val="center"/>
          </w:tcPr>
          <w:p w14:paraId="7BB82FB8" w14:textId="77777777" w:rsidR="005636C7" w:rsidRPr="006D0D3C" w:rsidRDefault="005636C7" w:rsidP="005636C7">
            <w:pPr>
              <w:pStyle w:val="E3Bullets"/>
              <w:spacing w:before="60" w:after="60" w:line="276" w:lineRule="auto"/>
              <w:contextualSpacing w:val="0"/>
              <w:jc w:val="center"/>
              <w:rPr>
                <w:rFonts w:ascii="Helvetica" w:hAnsi="Helvetica" w:cs="Helvetica"/>
                <w:sz w:val="16"/>
              </w:rPr>
            </w:pPr>
            <w:r w:rsidRPr="006D0D3C">
              <w:rPr>
                <w:rFonts w:ascii="Helvetica" w:hAnsi="Helvetica" w:cs="Helvetica"/>
                <w:sz w:val="16"/>
              </w:rPr>
              <w:t>8.6%</w:t>
            </w:r>
          </w:p>
        </w:tc>
      </w:tr>
    </w:tbl>
    <w:p w14:paraId="2DF0CBE7" w14:textId="77777777" w:rsidR="005636C7" w:rsidRDefault="005636C7" w:rsidP="005636C7">
      <w:pPr>
        <w:pStyle w:val="E3Bullets"/>
        <w:spacing w:before="240" w:after="240"/>
        <w:jc w:val="both"/>
      </w:pPr>
      <w:r>
        <w:t>Although MEPS revision alone has a positive benefit, adding labelling to MEPS revision creates a greater, combined benefit –for a comparatively minimal cost, the benefits from the addition of labelling are significant. Labelling works best as an additional measure, supported by the regulatory structure that a MEPS scheme provides.</w:t>
      </w:r>
    </w:p>
    <w:p w14:paraId="09CB3231" w14:textId="77777777" w:rsidR="005636C7" w:rsidRDefault="005636C7" w:rsidP="005636C7">
      <w:pPr>
        <w:pStyle w:val="E3Bullets"/>
        <w:jc w:val="both"/>
      </w:pPr>
    </w:p>
    <w:p w14:paraId="53512A09" w14:textId="77777777" w:rsidR="005636C7" w:rsidRDefault="005636C7" w:rsidP="005636C7">
      <w:pPr>
        <w:pStyle w:val="E3Bullets"/>
        <w:spacing w:after="60"/>
        <w:contextualSpacing w:val="0"/>
        <w:jc w:val="both"/>
      </w:pPr>
      <w:r>
        <w:t>The value of online energy rating information, added to MEPS revision, includes:</w:t>
      </w:r>
    </w:p>
    <w:p w14:paraId="6BC689DD" w14:textId="77777777" w:rsidR="005636C7" w:rsidRPr="007868C4" w:rsidRDefault="005636C7" w:rsidP="007868C4">
      <w:pPr>
        <w:pStyle w:val="ListBullet"/>
        <w:spacing w:line="276" w:lineRule="auto"/>
        <w:rPr>
          <w:rFonts w:ascii="Georgia" w:hAnsi="Georgia"/>
        </w:rPr>
      </w:pPr>
      <w:r w:rsidRPr="007868C4">
        <w:rPr>
          <w:rFonts w:ascii="Georgia" w:hAnsi="Georgia"/>
        </w:rPr>
        <w:t>Adding another level of information about new and currently registered and approved models (which would apply to all cabinet models).</w:t>
      </w:r>
      <w:r w:rsidRPr="007868C4">
        <w:rPr>
          <w:rStyle w:val="FootnoteReference"/>
          <w:rFonts w:ascii="Georgia" w:hAnsi="Georgia"/>
        </w:rPr>
        <w:footnoteReference w:id="44"/>
      </w:r>
    </w:p>
    <w:p w14:paraId="3AA3C105" w14:textId="77777777" w:rsidR="005636C7" w:rsidRPr="007868C4" w:rsidRDefault="005636C7" w:rsidP="007868C4">
      <w:pPr>
        <w:pStyle w:val="ListBullet"/>
        <w:spacing w:line="276" w:lineRule="auto"/>
        <w:rPr>
          <w:rFonts w:ascii="Georgia" w:hAnsi="Georgia"/>
        </w:rPr>
      </w:pPr>
      <w:r w:rsidRPr="007868C4">
        <w:rPr>
          <w:rFonts w:ascii="Georgia" w:hAnsi="Georgia"/>
          <w:lang w:val="en-NZ" w:eastAsia="en-NZ"/>
        </w:rPr>
        <w:t>Addressing current information failures and barriers in the cabinet market which prevent buyers from obtaining information about the relative energy efficiency of different cabinet models.</w:t>
      </w:r>
      <w:r w:rsidRPr="007868C4">
        <w:rPr>
          <w:rFonts w:ascii="Georgia" w:hAnsi="Georgia"/>
        </w:rPr>
        <w:t xml:space="preserve"> Online energy rating information could assist buyers to make more informed choices where energy use is perceived as being important.  The star rating style label is already readily identifiable by consumers and would provide an effective means of assessing the energy efficiency of products.</w:t>
      </w:r>
    </w:p>
    <w:p w14:paraId="3730BFA6" w14:textId="77777777" w:rsidR="005636C7" w:rsidRDefault="005636C7" w:rsidP="007868C4">
      <w:pPr>
        <w:pStyle w:val="ListBullet"/>
        <w:spacing w:line="276" w:lineRule="auto"/>
      </w:pPr>
      <w:r w:rsidRPr="007868C4">
        <w:rPr>
          <w:rFonts w:ascii="Georgia" w:hAnsi="Georgia"/>
        </w:rPr>
        <w:t>Generating con</w:t>
      </w:r>
      <w:r w:rsidRPr="007868C4">
        <w:rPr>
          <w:rFonts w:ascii="Georgia" w:hAnsi="Georgia"/>
          <w:lang w:val="en-NZ" w:eastAsia="en-NZ"/>
        </w:rPr>
        <w:t>sumer awareness of energy efficiency.</w:t>
      </w:r>
      <w:r w:rsidRPr="007868C4">
        <w:rPr>
          <w:rFonts w:ascii="Georgia" w:hAnsi="Georgia"/>
        </w:rPr>
        <w:t xml:space="preserve"> Because of the way that cabinets are marketed (not through major retail on-floor comparisons), online energy rating</w:t>
      </w:r>
      <w:r>
        <w:t xml:space="preserve"> information would be an effective additional measure to drive efficiency improvements in commercial refrigerated cabinets. </w:t>
      </w:r>
    </w:p>
    <w:p w14:paraId="64350D2F"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Mandatory labelling was not supported by industry when consulted on the Consultation RIS proposals. The main industry concern was that physical labels added cost but were of little benefit when making a purchasing decision or product comparison about refrigerated commercial cabinets (which generally does not occur in a showroom).  The general opinion was best expressed by this submitter:</w:t>
      </w:r>
    </w:p>
    <w:p w14:paraId="6247A1A8" w14:textId="77777777" w:rsidR="005636C7" w:rsidRPr="00445E56" w:rsidRDefault="005636C7" w:rsidP="00445E56">
      <w:pPr>
        <w:spacing w:after="113" w:line="278" w:lineRule="auto"/>
        <w:jc w:val="both"/>
        <w:rPr>
          <w:rFonts w:ascii="Georgia" w:eastAsia="Cambria" w:hAnsi="Georgia"/>
          <w:i/>
          <w:lang w:eastAsia="en-US"/>
        </w:rPr>
      </w:pPr>
      <w:r w:rsidRPr="00445E56">
        <w:rPr>
          <w:rFonts w:ascii="Georgia" w:eastAsia="Cambria" w:hAnsi="Georgia"/>
          <w:i/>
          <w:lang w:eastAsia="en-US"/>
        </w:rPr>
        <w:t>“It is another cost and for a commercial product we see no benefit. It must be remembered that these cabinets are not purchased from a showroom.  The purchase order issuer generally never physically interacts with these cabinets, and once installed any label would be covered by the displayed merchandise products.”</w:t>
      </w:r>
    </w:p>
    <w:p w14:paraId="7111A536" w14:textId="77777777" w:rsidR="005636C7" w:rsidRPr="00445E56" w:rsidRDefault="005636C7" w:rsidP="005636C7">
      <w:pPr>
        <w:spacing w:before="240"/>
        <w:jc w:val="both"/>
        <w:rPr>
          <w:rFonts w:ascii="Georgia" w:eastAsia="Cambria" w:hAnsi="Georgia"/>
          <w:lang w:eastAsia="en-US"/>
        </w:rPr>
      </w:pPr>
      <w:r w:rsidRPr="00445E56">
        <w:rPr>
          <w:rFonts w:ascii="Georgia" w:eastAsia="Cambria" w:hAnsi="Georgia"/>
          <w:lang w:eastAsia="en-US"/>
        </w:rPr>
        <w:t>However, it was also acknowledged that:</w:t>
      </w:r>
    </w:p>
    <w:p w14:paraId="4CFBFA22" w14:textId="77777777" w:rsidR="005636C7" w:rsidRPr="00445E56" w:rsidRDefault="005636C7" w:rsidP="00445E56">
      <w:pPr>
        <w:spacing w:before="240" w:after="113" w:line="278" w:lineRule="auto"/>
        <w:jc w:val="both"/>
        <w:rPr>
          <w:rFonts w:ascii="Georgia" w:eastAsia="Cambria" w:hAnsi="Georgia"/>
          <w:i/>
          <w:lang w:eastAsia="en-US"/>
        </w:rPr>
      </w:pPr>
      <w:r w:rsidRPr="00445E56">
        <w:rPr>
          <w:rFonts w:ascii="Georgia" w:eastAsia="Cambria" w:hAnsi="Georgia"/>
          <w:i/>
          <w:lang w:eastAsia="en-US"/>
        </w:rPr>
        <w:t>“…labelling may bring cultural change in small scale buyers who can at least make a relative judgment using the label information when they are not prepared to make full engineering analysis of energy impact like the large scale buyers.”</w:t>
      </w:r>
    </w:p>
    <w:p w14:paraId="79B7CB61"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 xml:space="preserve">There was also acceptance that labelling could be approached differently depending on the circumstances.  If a product was on display in a showroom then a label must be fixed to the product to assist consumers in their selection.  However, with commercial products a developer may buy based on low upfront cost. Physically labelling an item in these circumstances will not reach the payer of the electricity bill, and the labels will likely be removed once the fridge is installed.  </w:t>
      </w:r>
    </w:p>
    <w:p w14:paraId="1B02510F"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 xml:space="preserve">Under the regulations that enact the MEPS and labelling requirements in both Australia and New Zealand, mandatory labelling is required on the appliance itself, or nearby.  </w:t>
      </w:r>
    </w:p>
    <w:p w14:paraId="42EC7A00" w14:textId="77777777" w:rsidR="005636C7" w:rsidRPr="00445E56" w:rsidRDefault="005636C7" w:rsidP="00445E56">
      <w:pPr>
        <w:spacing w:before="240" w:after="113" w:line="278" w:lineRule="auto"/>
        <w:jc w:val="both"/>
        <w:rPr>
          <w:rFonts w:ascii="Georgia" w:eastAsia="Cambria" w:hAnsi="Georgia"/>
          <w:lang w:eastAsia="en-US"/>
        </w:rPr>
      </w:pPr>
      <w:r w:rsidRPr="00445E56">
        <w:rPr>
          <w:rFonts w:ascii="Georgia" w:eastAsia="Cambria" w:hAnsi="Georgia"/>
          <w:lang w:eastAsia="en-US"/>
        </w:rPr>
        <w:t>Use of labels in literature, websites or apps, is voluntary, at this stage. A trial is underway in Australia for voluntary disclosure of labels in literature and online media, for domestic appliances such as TVs and whitegoods.   If the decision is made to add labelling to refrigerated display and storage cabinets, an option might be for companies to sign a partnership agreement with government. This would mean that the labels are voluntarily displayed online according to specifications set out in each agreement.</w:t>
      </w:r>
      <w:r w:rsidRPr="00445E56">
        <w:rPr>
          <w:rFonts w:ascii="Georgia" w:eastAsia="Cambria" w:hAnsi="Georgia"/>
          <w:lang w:eastAsia="en-US"/>
        </w:rPr>
        <w:footnoteReference w:id="45"/>
      </w:r>
      <w:r w:rsidRPr="00445E56">
        <w:rPr>
          <w:rFonts w:ascii="Georgia" w:eastAsia="Cambria" w:hAnsi="Georgia"/>
          <w:lang w:eastAsia="en-US"/>
        </w:rPr>
        <w:t xml:space="preserve"> </w:t>
      </w:r>
    </w:p>
    <w:p w14:paraId="05112BC5" w14:textId="77777777" w:rsidR="005636C7" w:rsidRDefault="005636C7" w:rsidP="005636C7">
      <w:pPr>
        <w:rPr>
          <w:rFonts w:ascii="Helvetica" w:eastAsia="Calibri" w:hAnsi="Helvetica" w:cs="Arial"/>
          <w:b/>
          <w:color w:val="000000" w:themeColor="text1"/>
          <w:sz w:val="32"/>
          <w:szCs w:val="26"/>
          <w:lang w:val="en-US"/>
        </w:rPr>
      </w:pPr>
      <w:r>
        <w:br w:type="page"/>
      </w:r>
    </w:p>
    <w:p w14:paraId="7EC8C8E7" w14:textId="77777777" w:rsidR="005636C7" w:rsidRPr="006D0D3C" w:rsidRDefault="005636C7" w:rsidP="005636C7">
      <w:pPr>
        <w:pStyle w:val="E3Heading2"/>
      </w:pPr>
      <w:bookmarkStart w:id="251" w:name="_Toc500151816"/>
      <w:r w:rsidRPr="006D0D3C">
        <w:t>Discussion of Non-Regulatory Options</w:t>
      </w:r>
      <w:bookmarkEnd w:id="251"/>
    </w:p>
    <w:p w14:paraId="77D049CA" w14:textId="77777777" w:rsidR="005636C7" w:rsidRDefault="005636C7" w:rsidP="005636C7">
      <w:pPr>
        <w:pStyle w:val="E3BodyText"/>
        <w:jc w:val="both"/>
      </w:pPr>
      <w:r>
        <w:t xml:space="preserve">In general, non-regulatory intervention is not considered to be effective enough in conjunction with existing MEPS regulations, to resolve all the issues that present themselves in the market. </w:t>
      </w:r>
    </w:p>
    <w:p w14:paraId="0CABBE9A" w14:textId="77777777" w:rsidR="005636C7" w:rsidRDefault="005636C7" w:rsidP="005636C7">
      <w:pPr>
        <w:pStyle w:val="E3BodyText"/>
        <w:jc w:val="both"/>
      </w:pPr>
      <w:r>
        <w:t xml:space="preserve">Voluntary codes for </w:t>
      </w:r>
      <w:r>
        <w:rPr>
          <w:i/>
        </w:rPr>
        <w:t>industry</w:t>
      </w:r>
      <w:r>
        <w:t xml:space="preserve"> will not change </w:t>
      </w:r>
      <w:r>
        <w:rPr>
          <w:i/>
        </w:rPr>
        <w:t>buyer</w:t>
      </w:r>
      <w:r>
        <w:t xml:space="preserve"> behaviour unless the whole of industry agrees to adopt them. As seen in other product markets, efficient models tend to be advertised with efficiency factors or qualities highlighted, but less efficient products tend to be advertised using other features.</w:t>
      </w:r>
    </w:p>
    <w:p w14:paraId="33BBC2EF" w14:textId="77777777" w:rsidR="005636C7" w:rsidRDefault="005636C7" w:rsidP="005636C7">
      <w:pPr>
        <w:pStyle w:val="E3BodyText"/>
        <w:jc w:val="both"/>
      </w:pPr>
      <w:r>
        <w:t>The European and Australian incentive schemes are underpinned by legislation, energy efficiency standards and/ or databases.  They are run by regulatory agencies with auditing programmes and are only as ‘good’ as the associated efficiency standards.</w:t>
      </w:r>
    </w:p>
    <w:p w14:paraId="45320C03" w14:textId="77777777" w:rsidR="005636C7" w:rsidRDefault="005636C7" w:rsidP="005636C7">
      <w:pPr>
        <w:pStyle w:val="E3BodyText"/>
        <w:jc w:val="both"/>
      </w:pPr>
      <w:r>
        <w:t>Improving the energy efficiency standard for refrigerated cabinets and assigning new HEPS levels would improve the Australian Emissions Reduction Fund scheme (for example) and overcome the existing deficiencies with AS 1731 – where approx. 20% of the market is ineligible to take part in the scheme because they are excluded from AS 1731.</w:t>
      </w:r>
    </w:p>
    <w:p w14:paraId="2C03A9FB" w14:textId="77777777" w:rsidR="005636C7" w:rsidRDefault="005636C7" w:rsidP="005636C7">
      <w:pPr>
        <w:pStyle w:val="E3BodyText"/>
        <w:jc w:val="both"/>
      </w:pPr>
      <w:r>
        <w:t xml:space="preserve">For the Australian scheme, there is typically a time lag (about a year) for applicants to learn of and appreciate the possible returns from upgrading equipment and being part of the scheme. Amalgamating many small returns could make it worthwhile for smaller companies to amalgamate their savings potential and sell within the scheme. Otherwise the scheme is likely to only attract larger companies who can justify the returns for their efforts to engage with the process. </w:t>
      </w:r>
    </w:p>
    <w:p w14:paraId="239CC253" w14:textId="77777777" w:rsidR="005636C7" w:rsidRDefault="005636C7" w:rsidP="005636C7">
      <w:pPr>
        <w:pStyle w:val="E3BodyText"/>
        <w:jc w:val="both"/>
      </w:pPr>
      <w:r>
        <w:t>New Zealand would have to update its processes to implement a similar scheme rather than focus on changing the existing MEPS regime and establishing eligibility criteria.</w:t>
      </w:r>
    </w:p>
    <w:p w14:paraId="4FD7B036" w14:textId="77777777" w:rsidR="005636C7" w:rsidRDefault="005636C7" w:rsidP="005636C7">
      <w:pPr>
        <w:pStyle w:val="E3BodyText"/>
        <w:jc w:val="both"/>
      </w:pPr>
      <w:r>
        <w:t>Voluntary codes could change buyer behaviour if there are sufficient incentives and if buyers could successfully be targeted by a buyer education campaign. It requires a robust compliance regime to be effective, with the potential for cost to members of the industry who choose to take part.</w:t>
      </w:r>
    </w:p>
    <w:p w14:paraId="208FDB17" w14:textId="77777777" w:rsidR="005636C7" w:rsidRDefault="005636C7" w:rsidP="005636C7">
      <w:pPr>
        <w:rPr>
          <w:rFonts w:ascii="Helvetica" w:eastAsia="Calibri" w:hAnsi="Helvetica" w:cs="Arial"/>
          <w:b/>
          <w:color w:val="000000" w:themeColor="text1"/>
          <w:sz w:val="32"/>
          <w:szCs w:val="26"/>
          <w:lang w:val="en-US"/>
        </w:rPr>
      </w:pPr>
      <w:r>
        <w:br w:type="page"/>
      </w:r>
    </w:p>
    <w:p w14:paraId="49D4C22B" w14:textId="77777777" w:rsidR="005636C7" w:rsidRPr="00CF127B" w:rsidRDefault="005636C7" w:rsidP="005636C7">
      <w:pPr>
        <w:pStyle w:val="E3Heading2"/>
      </w:pPr>
      <w:bookmarkStart w:id="252" w:name="_Toc500151817"/>
      <w:r w:rsidRPr="00CF127B">
        <w:t>Summary of impacts, costs and benefits</w:t>
      </w:r>
      <w:bookmarkEnd w:id="252"/>
    </w:p>
    <w:p w14:paraId="0229CA09" w14:textId="77777777" w:rsidR="005636C7" w:rsidRDefault="005636C7" w:rsidP="005636C7">
      <w:pPr>
        <w:pStyle w:val="E3BodyText"/>
        <w:jc w:val="both"/>
      </w:pPr>
      <w:r>
        <w:t>This Cost Benefit Analysis has considered the five policy options.</w:t>
      </w:r>
      <w:r>
        <w:rPr>
          <w:rStyle w:val="FootnoteReference"/>
        </w:rPr>
        <w:footnoteReference w:id="46"/>
      </w:r>
    </w:p>
    <w:p w14:paraId="183869A7" w14:textId="77777777" w:rsidR="005636C7" w:rsidRDefault="005636C7" w:rsidP="005636C7">
      <w:pPr>
        <w:pStyle w:val="E3BodyText"/>
        <w:jc w:val="both"/>
      </w:pPr>
      <w:r>
        <w:t xml:space="preserve">The first option is BAU. </w:t>
      </w:r>
    </w:p>
    <w:p w14:paraId="4739EFDB" w14:textId="77777777" w:rsidR="005636C7" w:rsidRDefault="005636C7" w:rsidP="005636C7">
      <w:pPr>
        <w:pStyle w:val="E3BodyText"/>
        <w:jc w:val="both"/>
      </w:pPr>
      <w:r>
        <w:t xml:space="preserve">Three regulatory options have been considered – options 2, 3 and 4, each of which include adopting the ISO 23953 for display cabinets and related standards for sub-sets of display types (and EN 16825 for storage cabinets but with different MEPS scenarios). </w:t>
      </w:r>
    </w:p>
    <w:p w14:paraId="14B37A48" w14:textId="77777777" w:rsidR="005636C7" w:rsidRDefault="005636C7" w:rsidP="005636C7">
      <w:pPr>
        <w:pStyle w:val="E3BodyText"/>
        <w:jc w:val="both"/>
      </w:pPr>
      <w:r>
        <w:t>Non-regulatory option 5 was also considered as a possible alternative to regulatory intervention.</w:t>
      </w:r>
    </w:p>
    <w:p w14:paraId="4466C7D7" w14:textId="77777777" w:rsidR="005636C7" w:rsidRDefault="005636C7" w:rsidP="005636C7">
      <w:pPr>
        <w:pStyle w:val="E3BodyText"/>
        <w:jc w:val="both"/>
      </w:pPr>
      <w:r>
        <w:t xml:space="preserve">The analysis compared the BAU scenario with three regulatory options, each of which showed gains in energy emissions when compared with existing regulation. </w:t>
      </w:r>
    </w:p>
    <w:p w14:paraId="360D58F9" w14:textId="77777777" w:rsidR="005636C7" w:rsidRDefault="005636C7" w:rsidP="005636C7">
      <w:pPr>
        <w:pStyle w:val="E3BodyText"/>
        <w:jc w:val="both"/>
      </w:pPr>
      <w:r>
        <w:t xml:space="preserve">The modelling was revised as a result of the consultation process to include the total compliance costs, including the cost of registration. </w:t>
      </w:r>
    </w:p>
    <w:p w14:paraId="391B2871" w14:textId="77777777" w:rsidR="005636C7" w:rsidRDefault="005636C7" w:rsidP="005636C7">
      <w:pPr>
        <w:pStyle w:val="E3BodyText"/>
        <w:jc w:val="both"/>
      </w:pPr>
      <w:r>
        <w:t>Each of the regulatory options analysed – starting with a 10% increase in Australasian MEPS levels in option 2 through to adopting EC MEPS in option 4 – achieved gains incrementally from the previous options.</w:t>
      </w:r>
    </w:p>
    <w:p w14:paraId="61EB44AD" w14:textId="77777777" w:rsidR="005636C7" w:rsidRDefault="005636C7" w:rsidP="005636C7">
      <w:pPr>
        <w:pStyle w:val="E3BodyText"/>
        <w:jc w:val="both"/>
      </w:pPr>
      <w:r>
        <w:t>The updated analysis indicates that options 3 and 4 would achieve the greatest overall net benefit, with option 4 resulting in the most significant improvements in energy savings and greenhouse gas deductions.</w:t>
      </w:r>
    </w:p>
    <w:p w14:paraId="19B68195" w14:textId="77777777" w:rsidR="005636C7" w:rsidRDefault="005636C7" w:rsidP="005636C7">
      <w:pPr>
        <w:pStyle w:val="E3BodyText"/>
        <w:jc w:val="both"/>
      </w:pPr>
      <w:r>
        <w:t xml:space="preserve">See </w:t>
      </w:r>
      <w:r>
        <w:rPr>
          <w:b/>
        </w:rPr>
        <w:t xml:space="preserve">Attachment C </w:t>
      </w:r>
      <w:r>
        <w:t>for further details as to the cost/benefit results and methodology, including stock modelling and assumptions and sensitivity tests.</w:t>
      </w:r>
    </w:p>
    <w:p w14:paraId="0995F7B7" w14:textId="77777777" w:rsidR="005636C7" w:rsidRDefault="005636C7" w:rsidP="005636C7">
      <w:pPr>
        <w:pStyle w:val="E3BodyText"/>
        <w:jc w:val="both"/>
      </w:pPr>
    </w:p>
    <w:p w14:paraId="594CDF00" w14:textId="77777777" w:rsidR="005636C7" w:rsidRDefault="005636C7" w:rsidP="005636C7">
      <w:pPr>
        <w:pStyle w:val="E3BodyText"/>
      </w:pPr>
      <w:r>
        <w:t xml:space="preserve">A summary of the estimated impacts of each policy option is shown in </w:t>
      </w:r>
      <w:r>
        <w:rPr>
          <w:b/>
          <w:sz w:val="22"/>
          <w:szCs w:val="22"/>
        </w:rPr>
        <w:t>Table 18</w:t>
      </w:r>
      <w:r>
        <w:t xml:space="preserve"> below.</w:t>
      </w:r>
    </w:p>
    <w:p w14:paraId="7513F3B0" w14:textId="77777777" w:rsidR="005636C7" w:rsidRDefault="005636C7" w:rsidP="005636C7">
      <w:pPr>
        <w:rPr>
          <w:rFonts w:eastAsia="Calibri" w:cs="Georgia"/>
          <w:color w:val="000000"/>
          <w:szCs w:val="19"/>
          <w:lang w:val="en-US"/>
        </w:rPr>
      </w:pPr>
      <w:r>
        <w:br w:type="page"/>
      </w:r>
    </w:p>
    <w:p w14:paraId="1978AE56" w14:textId="77777777" w:rsidR="005636C7" w:rsidRPr="004C3E41" w:rsidRDefault="005636C7" w:rsidP="005636C7">
      <w:pPr>
        <w:pStyle w:val="E3TableTitles"/>
      </w:pPr>
      <w:bookmarkStart w:id="253" w:name="_Toc500159669"/>
      <w:r w:rsidRPr="004C3E41">
        <w:t>Table 18: Summary of cost-benefit analysis of regulatory options for Australia and New Zealand (from 2019 to 2035).</w:t>
      </w:r>
      <w:bookmarkEnd w:id="253"/>
    </w:p>
    <w:tbl>
      <w:tblPr>
        <w:tblW w:w="10462" w:type="dxa"/>
        <w:tblInd w:w="-289" w:type="dxa"/>
        <w:tblLayout w:type="fixed"/>
        <w:tblLook w:val="04A0" w:firstRow="1" w:lastRow="0" w:firstColumn="1" w:lastColumn="0" w:noHBand="0" w:noVBand="1"/>
      </w:tblPr>
      <w:tblGrid>
        <w:gridCol w:w="1135"/>
        <w:gridCol w:w="709"/>
        <w:gridCol w:w="708"/>
        <w:gridCol w:w="709"/>
        <w:gridCol w:w="855"/>
        <w:gridCol w:w="676"/>
        <w:gridCol w:w="708"/>
        <w:gridCol w:w="993"/>
        <w:gridCol w:w="708"/>
        <w:gridCol w:w="567"/>
        <w:gridCol w:w="709"/>
        <w:gridCol w:w="738"/>
        <w:gridCol w:w="567"/>
        <w:gridCol w:w="680"/>
      </w:tblGrid>
      <w:tr w:rsidR="005636C7" w14:paraId="3627B879" w14:textId="77777777" w:rsidTr="005636C7">
        <w:trPr>
          <w:trHeight w:val="292"/>
        </w:trPr>
        <w:tc>
          <w:tcPr>
            <w:tcW w:w="1135" w:type="dxa"/>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5C4D569" w14:textId="77777777" w:rsidR="005636C7" w:rsidRPr="0041262C" w:rsidRDefault="005636C7" w:rsidP="005636C7">
            <w:pPr>
              <w:pStyle w:val="E3TableHeading"/>
              <w:spacing w:line="256" w:lineRule="auto"/>
              <w:rPr>
                <w:sz w:val="14"/>
              </w:rPr>
            </w:pPr>
            <w:r w:rsidRPr="0041262C">
              <w:rPr>
                <w:sz w:val="14"/>
              </w:rPr>
              <w:t>AUSTRALIA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B3BF184" w14:textId="77777777" w:rsidR="005636C7" w:rsidRPr="0041262C" w:rsidRDefault="005636C7" w:rsidP="005636C7">
            <w:pPr>
              <w:pStyle w:val="E3TableHeading"/>
              <w:spacing w:line="256" w:lineRule="auto"/>
              <w:jc w:val="center"/>
              <w:rPr>
                <w:sz w:val="14"/>
              </w:rPr>
            </w:pPr>
            <w:r w:rsidRPr="0041262C">
              <w:rPr>
                <w:sz w:val="14"/>
              </w:rPr>
              <w:t>Option 2</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35AD1CA9" w14:textId="77777777" w:rsidR="005636C7" w:rsidRPr="0041262C" w:rsidRDefault="005636C7" w:rsidP="005636C7">
            <w:pPr>
              <w:pStyle w:val="E3TableHeading"/>
              <w:spacing w:line="256" w:lineRule="auto"/>
              <w:jc w:val="center"/>
              <w:rPr>
                <w:sz w:val="14"/>
              </w:rPr>
            </w:pPr>
            <w:r w:rsidRPr="0041262C">
              <w:rPr>
                <w:sz w:val="14"/>
              </w:rPr>
              <w:t>3</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D3152B7" w14:textId="77777777" w:rsidR="005636C7" w:rsidRPr="0041262C" w:rsidRDefault="005636C7" w:rsidP="005636C7">
            <w:pPr>
              <w:pStyle w:val="E3TableHeading"/>
              <w:spacing w:line="256" w:lineRule="auto"/>
              <w:jc w:val="center"/>
              <w:rPr>
                <w:sz w:val="14"/>
              </w:rPr>
            </w:pPr>
            <w:r w:rsidRPr="0041262C">
              <w:rPr>
                <w:sz w:val="14"/>
              </w:rPr>
              <w:t>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783F0FB8" w14:textId="77777777" w:rsidR="005636C7" w:rsidRPr="0041262C" w:rsidRDefault="005636C7" w:rsidP="005636C7">
            <w:pPr>
              <w:pStyle w:val="E3TableHeading"/>
              <w:spacing w:line="256" w:lineRule="auto"/>
              <w:rPr>
                <w:sz w:val="14"/>
              </w:rPr>
            </w:pPr>
            <w:r w:rsidRPr="0041262C">
              <w:rPr>
                <w:sz w:val="14"/>
              </w:rPr>
              <w:t>NEW ZEALAND</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64AEC7F" w14:textId="77777777" w:rsidR="005636C7" w:rsidRPr="0041262C" w:rsidRDefault="005636C7" w:rsidP="005636C7">
            <w:pPr>
              <w:pStyle w:val="E3TableHeading"/>
              <w:spacing w:line="256" w:lineRule="auto"/>
              <w:jc w:val="center"/>
              <w:rPr>
                <w:sz w:val="14"/>
              </w:rPr>
            </w:pPr>
            <w:r w:rsidRPr="0041262C">
              <w:rPr>
                <w:sz w:val="14"/>
              </w:rPr>
              <w:t>2</w:t>
            </w:r>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35F9849" w14:textId="77777777" w:rsidR="005636C7" w:rsidRPr="0041262C" w:rsidRDefault="005636C7" w:rsidP="005636C7">
            <w:pPr>
              <w:pStyle w:val="E3TableHeading"/>
              <w:spacing w:line="256" w:lineRule="auto"/>
              <w:jc w:val="center"/>
              <w:rPr>
                <w:sz w:val="14"/>
              </w:rPr>
            </w:pPr>
            <w:r w:rsidRPr="0041262C">
              <w:rPr>
                <w:sz w:val="14"/>
              </w:rPr>
              <w:t>3</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2561DB53" w14:textId="77777777" w:rsidR="005636C7" w:rsidRPr="0041262C" w:rsidRDefault="005636C7" w:rsidP="005636C7">
            <w:pPr>
              <w:pStyle w:val="E3TableHeading"/>
              <w:spacing w:line="256" w:lineRule="auto"/>
              <w:jc w:val="center"/>
              <w:rPr>
                <w:sz w:val="14"/>
              </w:rPr>
            </w:pPr>
            <w:r w:rsidRPr="0041262C">
              <w:rPr>
                <w:sz w:val="14"/>
              </w:rPr>
              <w:t>4</w:t>
            </w:r>
          </w:p>
        </w:tc>
      </w:tr>
      <w:tr w:rsidR="005636C7" w14:paraId="1EEB3E96" w14:textId="77777777" w:rsidTr="005636C7">
        <w:trPr>
          <w:trHeight w:val="48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CDCD213" w14:textId="77777777" w:rsidR="005636C7" w:rsidRPr="0041262C" w:rsidRDefault="005636C7" w:rsidP="005636C7">
            <w:pPr>
              <w:spacing w:line="256" w:lineRule="auto"/>
              <w:rPr>
                <w:rFonts w:ascii="Helvetica" w:hAnsi="Helvetica" w:cs="Helvetica"/>
                <w:b/>
                <w:sz w:val="14"/>
                <w:szCs w:val="14"/>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2E73EDC2" w14:textId="77777777" w:rsidR="005636C7" w:rsidRPr="0041262C" w:rsidRDefault="005636C7" w:rsidP="005636C7">
            <w:pPr>
              <w:spacing w:line="256" w:lineRule="auto"/>
              <w:rPr>
                <w:rFonts w:ascii="Helvetica" w:hAnsi="Helvetica" w:cs="Helvetica"/>
                <w:b/>
                <w:sz w:val="14"/>
                <w:szCs w:val="14"/>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14:paraId="3074F090" w14:textId="77777777" w:rsidR="005636C7" w:rsidRPr="0041262C" w:rsidRDefault="005636C7" w:rsidP="005636C7">
            <w:pPr>
              <w:spacing w:line="256" w:lineRule="auto"/>
              <w:rPr>
                <w:rFonts w:ascii="Helvetica" w:hAnsi="Helvetica" w:cs="Helvetica"/>
                <w:b/>
                <w:sz w:val="14"/>
                <w:szCs w:val="14"/>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hideMark/>
          </w:tcPr>
          <w:p w14:paraId="113D89ED" w14:textId="77777777" w:rsidR="005636C7" w:rsidRPr="0041262C" w:rsidRDefault="005636C7" w:rsidP="005636C7">
            <w:pPr>
              <w:spacing w:line="256" w:lineRule="auto"/>
              <w:rPr>
                <w:rFonts w:ascii="Helvetica" w:hAnsi="Helvetica" w:cs="Helvetica"/>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0E0F2C3" w14:textId="77777777" w:rsidR="005636C7" w:rsidRPr="0041262C" w:rsidRDefault="005636C7" w:rsidP="005636C7">
            <w:pPr>
              <w:spacing w:line="256" w:lineRule="auto"/>
              <w:rPr>
                <w:rFonts w:ascii="Helvetica" w:hAnsi="Helvetica" w:cs="Helvetica"/>
                <w:b/>
                <w:sz w:val="14"/>
                <w:szCs w:val="1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50CDD604" w14:textId="77777777" w:rsidR="005636C7" w:rsidRPr="0041262C" w:rsidRDefault="005636C7" w:rsidP="005636C7">
            <w:pPr>
              <w:spacing w:line="256" w:lineRule="auto"/>
              <w:rPr>
                <w:rFonts w:ascii="Helvetica" w:hAnsi="Helvetica" w:cs="Helvetica"/>
                <w:b/>
                <w:sz w:val="14"/>
                <w:szCs w:val="14"/>
              </w:rPr>
            </w:pPr>
          </w:p>
        </w:tc>
        <w:tc>
          <w:tcPr>
            <w:tcW w:w="1447" w:type="dxa"/>
            <w:gridSpan w:val="2"/>
            <w:vMerge/>
            <w:tcBorders>
              <w:top w:val="single" w:sz="4" w:space="0" w:color="auto"/>
              <w:left w:val="single" w:sz="4" w:space="0" w:color="auto"/>
              <w:bottom w:val="single" w:sz="4" w:space="0" w:color="auto"/>
              <w:right w:val="single" w:sz="4" w:space="0" w:color="auto"/>
            </w:tcBorders>
            <w:vAlign w:val="center"/>
            <w:hideMark/>
          </w:tcPr>
          <w:p w14:paraId="0398339F" w14:textId="77777777" w:rsidR="005636C7" w:rsidRPr="0041262C" w:rsidRDefault="005636C7" w:rsidP="005636C7">
            <w:pPr>
              <w:spacing w:line="256" w:lineRule="auto"/>
              <w:rPr>
                <w:rFonts w:ascii="Helvetica" w:hAnsi="Helvetica" w:cs="Helvetica"/>
                <w:b/>
                <w:sz w:val="14"/>
                <w:szCs w:val="14"/>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01010361" w14:textId="77777777" w:rsidR="005636C7" w:rsidRPr="0041262C" w:rsidRDefault="005636C7" w:rsidP="005636C7">
            <w:pPr>
              <w:spacing w:line="256" w:lineRule="auto"/>
              <w:rPr>
                <w:rFonts w:ascii="Helvetica" w:hAnsi="Helvetica" w:cs="Helvetica"/>
                <w:b/>
                <w:sz w:val="14"/>
                <w:szCs w:val="14"/>
              </w:rPr>
            </w:pPr>
          </w:p>
        </w:tc>
      </w:tr>
      <w:tr w:rsidR="005636C7" w14:paraId="21292EBE" w14:textId="77777777" w:rsidTr="005636C7">
        <w:trPr>
          <w:trHeight w:val="304"/>
        </w:trPr>
        <w:tc>
          <w:tcPr>
            <w:tcW w:w="1135" w:type="dxa"/>
            <w:vMerge w:val="restart"/>
            <w:tcBorders>
              <w:top w:val="single" w:sz="4" w:space="0" w:color="auto"/>
              <w:left w:val="single" w:sz="4" w:space="0" w:color="auto"/>
              <w:bottom w:val="single" w:sz="4" w:space="0" w:color="auto"/>
              <w:right w:val="single" w:sz="4" w:space="0" w:color="auto"/>
            </w:tcBorders>
            <w:shd w:val="clear" w:color="auto" w:fill="0C0C0C"/>
            <w:vAlign w:val="center"/>
          </w:tcPr>
          <w:p w14:paraId="41CCC9A0" w14:textId="77777777" w:rsidR="005636C7" w:rsidRPr="0041262C" w:rsidRDefault="005636C7" w:rsidP="005636C7">
            <w:pPr>
              <w:pStyle w:val="E3TableHeading"/>
              <w:spacing w:line="256" w:lineRule="auto"/>
              <w:rPr>
                <w:sz w:val="14"/>
              </w:rPr>
            </w:pP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685FC8E4" w14:textId="77777777" w:rsidR="005636C7" w:rsidRPr="0041262C" w:rsidRDefault="005636C7" w:rsidP="005636C7">
            <w:pPr>
              <w:pStyle w:val="E3TableHeading"/>
              <w:spacing w:line="256" w:lineRule="auto"/>
              <w:rPr>
                <w:sz w:val="14"/>
              </w:rPr>
            </w:pPr>
            <w:r w:rsidRPr="0041262C">
              <w:rPr>
                <w:sz w:val="14"/>
              </w:rPr>
              <w:t>10% + vol labelling from 2019</w:t>
            </w:r>
          </w:p>
        </w:tc>
        <w:tc>
          <w:tcPr>
            <w:tcW w:w="156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3DAAB92E" w14:textId="77777777" w:rsidR="005636C7" w:rsidRPr="0041262C" w:rsidRDefault="005636C7" w:rsidP="005636C7">
            <w:pPr>
              <w:pStyle w:val="E3TableHeading"/>
              <w:spacing w:line="256" w:lineRule="auto"/>
              <w:rPr>
                <w:sz w:val="14"/>
              </w:rPr>
            </w:pPr>
            <w:r w:rsidRPr="0041262C">
              <w:rPr>
                <w:sz w:val="14"/>
              </w:rPr>
              <w:t>Au/NZ MEPS 30% + vol labelling from 2019</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598EF832" w14:textId="77777777" w:rsidR="005636C7" w:rsidRPr="0041262C" w:rsidRDefault="005636C7" w:rsidP="005636C7">
            <w:pPr>
              <w:pStyle w:val="E3TableHeading"/>
              <w:spacing w:line="256" w:lineRule="auto"/>
              <w:rPr>
                <w:sz w:val="14"/>
              </w:rPr>
            </w:pPr>
            <w:r w:rsidRPr="0041262C">
              <w:rPr>
                <w:sz w:val="14"/>
              </w:rPr>
              <w:t>EC from 2019+ vol labelling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0C0C0C"/>
            <w:vAlign w:val="center"/>
          </w:tcPr>
          <w:p w14:paraId="5CD471E0" w14:textId="77777777" w:rsidR="005636C7" w:rsidRPr="0041262C" w:rsidRDefault="005636C7" w:rsidP="005636C7">
            <w:pPr>
              <w:pStyle w:val="E3TableHeading"/>
              <w:spacing w:line="256" w:lineRule="auto"/>
              <w:rPr>
                <w:sz w:val="14"/>
              </w:rPr>
            </w:pP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5D2184CD" w14:textId="77777777" w:rsidR="005636C7" w:rsidRPr="0041262C" w:rsidRDefault="005636C7" w:rsidP="005636C7">
            <w:pPr>
              <w:pStyle w:val="E3TableHeading"/>
              <w:spacing w:line="256" w:lineRule="auto"/>
              <w:rPr>
                <w:sz w:val="14"/>
              </w:rPr>
            </w:pPr>
            <w:r w:rsidRPr="0041262C">
              <w:rPr>
                <w:sz w:val="14"/>
              </w:rPr>
              <w:t>10% + vol labelling from 2019</w:t>
            </w:r>
          </w:p>
        </w:tc>
        <w:tc>
          <w:tcPr>
            <w:tcW w:w="14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69F091EC" w14:textId="77777777" w:rsidR="005636C7" w:rsidRPr="0041262C" w:rsidRDefault="005636C7" w:rsidP="005636C7">
            <w:pPr>
              <w:pStyle w:val="E3TableHeading"/>
              <w:spacing w:line="256" w:lineRule="auto"/>
              <w:rPr>
                <w:sz w:val="14"/>
              </w:rPr>
            </w:pPr>
            <w:r w:rsidRPr="0041262C">
              <w:rPr>
                <w:sz w:val="14"/>
              </w:rPr>
              <w:t>Au/NZ MEPS 30% + vol labelling from 2019</w:t>
            </w:r>
          </w:p>
        </w:tc>
        <w:tc>
          <w:tcPr>
            <w:tcW w:w="1247" w:type="dxa"/>
            <w:gridSpan w:val="2"/>
            <w:vMerge w:val="restart"/>
            <w:tcBorders>
              <w:top w:val="single" w:sz="4" w:space="0" w:color="auto"/>
              <w:left w:val="single" w:sz="4" w:space="0" w:color="auto"/>
              <w:bottom w:val="single" w:sz="4" w:space="0" w:color="auto"/>
              <w:right w:val="single" w:sz="4" w:space="0" w:color="auto"/>
            </w:tcBorders>
            <w:shd w:val="clear" w:color="auto" w:fill="0C0C0C"/>
            <w:vAlign w:val="center"/>
            <w:hideMark/>
          </w:tcPr>
          <w:p w14:paraId="4D1B08B0" w14:textId="77777777" w:rsidR="005636C7" w:rsidRPr="0041262C" w:rsidRDefault="005636C7" w:rsidP="005636C7">
            <w:pPr>
              <w:pStyle w:val="E3TableHeading"/>
              <w:spacing w:line="256" w:lineRule="auto"/>
              <w:rPr>
                <w:sz w:val="14"/>
              </w:rPr>
            </w:pPr>
            <w:r w:rsidRPr="0041262C">
              <w:rPr>
                <w:sz w:val="14"/>
              </w:rPr>
              <w:t>EC from 2019+ vol labelling</w:t>
            </w:r>
          </w:p>
        </w:tc>
      </w:tr>
      <w:tr w:rsidR="005636C7" w14:paraId="21E4794B" w14:textId="77777777" w:rsidTr="005636C7">
        <w:trPr>
          <w:trHeight w:val="48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3F2EA97" w14:textId="77777777" w:rsidR="005636C7" w:rsidRPr="0041262C" w:rsidRDefault="005636C7" w:rsidP="005636C7">
            <w:pPr>
              <w:spacing w:line="256" w:lineRule="auto"/>
              <w:rPr>
                <w:rFonts w:ascii="Helvetica" w:hAnsi="Helvetica" w:cs="Helvetica"/>
                <w:b/>
                <w:sz w:val="14"/>
                <w:szCs w:val="14"/>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14:paraId="591E8C34" w14:textId="77777777" w:rsidR="005636C7" w:rsidRPr="0041262C" w:rsidRDefault="005636C7" w:rsidP="005636C7">
            <w:pPr>
              <w:spacing w:line="256" w:lineRule="auto"/>
              <w:rPr>
                <w:rFonts w:ascii="Helvetica" w:hAnsi="Helvetica" w:cs="Helvetica"/>
                <w:b/>
                <w:sz w:val="14"/>
                <w:szCs w:val="14"/>
              </w:rPr>
            </w:pPr>
          </w:p>
        </w:tc>
        <w:tc>
          <w:tcPr>
            <w:tcW w:w="1564" w:type="dxa"/>
            <w:gridSpan w:val="2"/>
            <w:vMerge/>
            <w:tcBorders>
              <w:top w:val="single" w:sz="4" w:space="0" w:color="auto"/>
              <w:left w:val="single" w:sz="4" w:space="0" w:color="auto"/>
              <w:bottom w:val="single" w:sz="4" w:space="0" w:color="auto"/>
              <w:right w:val="single" w:sz="4" w:space="0" w:color="auto"/>
            </w:tcBorders>
            <w:vAlign w:val="center"/>
            <w:hideMark/>
          </w:tcPr>
          <w:p w14:paraId="03F58F92" w14:textId="77777777" w:rsidR="005636C7" w:rsidRPr="0041262C" w:rsidRDefault="005636C7" w:rsidP="005636C7">
            <w:pPr>
              <w:spacing w:line="256" w:lineRule="auto"/>
              <w:rPr>
                <w:rFonts w:ascii="Helvetica" w:hAnsi="Helvetica" w:cs="Helvetica"/>
                <w:b/>
                <w:sz w:val="14"/>
                <w:szCs w:val="14"/>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hideMark/>
          </w:tcPr>
          <w:p w14:paraId="7E917DFF" w14:textId="77777777" w:rsidR="005636C7" w:rsidRPr="0041262C" w:rsidRDefault="005636C7" w:rsidP="005636C7">
            <w:pPr>
              <w:spacing w:line="256" w:lineRule="auto"/>
              <w:rPr>
                <w:rFonts w:ascii="Helvetica" w:hAnsi="Helvetica" w:cs="Helvetica"/>
                <w:b/>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9B950D" w14:textId="77777777" w:rsidR="005636C7" w:rsidRPr="0041262C" w:rsidRDefault="005636C7" w:rsidP="005636C7">
            <w:pPr>
              <w:spacing w:line="256" w:lineRule="auto"/>
              <w:rPr>
                <w:rFonts w:ascii="Helvetica" w:hAnsi="Helvetica" w:cs="Helvetica"/>
                <w:b/>
                <w:sz w:val="14"/>
                <w:szCs w:val="1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21B1DF7A" w14:textId="77777777" w:rsidR="005636C7" w:rsidRPr="0041262C" w:rsidRDefault="005636C7" w:rsidP="005636C7">
            <w:pPr>
              <w:spacing w:line="256" w:lineRule="auto"/>
              <w:rPr>
                <w:rFonts w:ascii="Helvetica" w:hAnsi="Helvetica" w:cs="Helvetica"/>
                <w:b/>
                <w:sz w:val="14"/>
                <w:szCs w:val="14"/>
              </w:rPr>
            </w:pPr>
          </w:p>
        </w:tc>
        <w:tc>
          <w:tcPr>
            <w:tcW w:w="1447" w:type="dxa"/>
            <w:gridSpan w:val="2"/>
            <w:vMerge/>
            <w:tcBorders>
              <w:top w:val="single" w:sz="4" w:space="0" w:color="auto"/>
              <w:left w:val="single" w:sz="4" w:space="0" w:color="auto"/>
              <w:bottom w:val="single" w:sz="4" w:space="0" w:color="auto"/>
              <w:right w:val="single" w:sz="4" w:space="0" w:color="auto"/>
            </w:tcBorders>
            <w:vAlign w:val="center"/>
            <w:hideMark/>
          </w:tcPr>
          <w:p w14:paraId="3FD7174C" w14:textId="77777777" w:rsidR="005636C7" w:rsidRPr="0041262C" w:rsidRDefault="005636C7" w:rsidP="005636C7">
            <w:pPr>
              <w:spacing w:line="256" w:lineRule="auto"/>
              <w:rPr>
                <w:rFonts w:ascii="Helvetica" w:hAnsi="Helvetica" w:cs="Helvetica"/>
                <w:b/>
                <w:sz w:val="14"/>
                <w:szCs w:val="14"/>
              </w:rPr>
            </w:pPr>
          </w:p>
        </w:tc>
        <w:tc>
          <w:tcPr>
            <w:tcW w:w="1247" w:type="dxa"/>
            <w:gridSpan w:val="2"/>
            <w:vMerge/>
            <w:tcBorders>
              <w:top w:val="single" w:sz="4" w:space="0" w:color="auto"/>
              <w:left w:val="single" w:sz="4" w:space="0" w:color="auto"/>
              <w:bottom w:val="single" w:sz="4" w:space="0" w:color="auto"/>
              <w:right w:val="single" w:sz="4" w:space="0" w:color="auto"/>
            </w:tcBorders>
            <w:vAlign w:val="center"/>
            <w:hideMark/>
          </w:tcPr>
          <w:p w14:paraId="39A59F7E" w14:textId="77777777" w:rsidR="005636C7" w:rsidRPr="0041262C" w:rsidRDefault="005636C7" w:rsidP="005636C7">
            <w:pPr>
              <w:spacing w:line="256" w:lineRule="auto"/>
              <w:rPr>
                <w:rFonts w:ascii="Helvetica" w:hAnsi="Helvetica" w:cs="Helvetica"/>
                <w:b/>
                <w:sz w:val="14"/>
                <w:szCs w:val="14"/>
              </w:rPr>
            </w:pPr>
          </w:p>
        </w:tc>
      </w:tr>
      <w:tr w:rsidR="005636C7" w14:paraId="4F66A995"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550E07E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Costs ($M)</w:t>
            </w:r>
            <w:r w:rsidRPr="0041262C">
              <w:rPr>
                <w:rStyle w:val="FootnoteReference"/>
                <w:rFonts w:ascii="Helvetica" w:hAnsi="Helvetica" w:cs="Helvetica"/>
                <w:color w:val="000000"/>
                <w:lang w:val="en-NZ"/>
              </w:rPr>
              <w:footnoteReference w:id="47"/>
            </w:r>
          </w:p>
        </w:tc>
        <w:tc>
          <w:tcPr>
            <w:tcW w:w="1417" w:type="dxa"/>
            <w:gridSpan w:val="2"/>
            <w:tcBorders>
              <w:top w:val="single" w:sz="8" w:space="0" w:color="auto"/>
              <w:left w:val="nil"/>
              <w:bottom w:val="single" w:sz="8" w:space="0" w:color="auto"/>
              <w:right w:val="double" w:sz="6" w:space="0" w:color="000000"/>
            </w:tcBorders>
            <w:hideMark/>
          </w:tcPr>
          <w:p w14:paraId="165180E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$31</w:t>
            </w:r>
          </w:p>
        </w:tc>
        <w:tc>
          <w:tcPr>
            <w:tcW w:w="1564" w:type="dxa"/>
            <w:gridSpan w:val="2"/>
            <w:tcBorders>
              <w:top w:val="single" w:sz="8" w:space="0" w:color="auto"/>
              <w:left w:val="nil"/>
              <w:bottom w:val="single" w:sz="8" w:space="0" w:color="auto"/>
              <w:right w:val="double" w:sz="6" w:space="0" w:color="000000"/>
            </w:tcBorders>
            <w:vAlign w:val="center"/>
            <w:hideMark/>
          </w:tcPr>
          <w:p w14:paraId="4FCB1E4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$115</w:t>
            </w:r>
          </w:p>
        </w:tc>
        <w:tc>
          <w:tcPr>
            <w:tcW w:w="1384" w:type="dxa"/>
            <w:gridSpan w:val="2"/>
            <w:tcBorders>
              <w:top w:val="single" w:sz="8" w:space="0" w:color="auto"/>
              <w:left w:val="nil"/>
              <w:bottom w:val="single" w:sz="8" w:space="0" w:color="auto"/>
              <w:right w:val="double" w:sz="6" w:space="0" w:color="000000"/>
            </w:tcBorders>
            <w:vAlign w:val="center"/>
            <w:hideMark/>
          </w:tcPr>
          <w:p w14:paraId="3E551CA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$193</w:t>
            </w:r>
          </w:p>
        </w:tc>
        <w:tc>
          <w:tcPr>
            <w:tcW w:w="993" w:type="dxa"/>
            <w:tcBorders>
              <w:top w:val="nil"/>
              <w:left w:val="single" w:sz="8" w:space="0" w:color="auto"/>
              <w:bottom w:val="single" w:sz="8" w:space="0" w:color="auto"/>
              <w:right w:val="double" w:sz="6" w:space="0" w:color="auto"/>
            </w:tcBorders>
            <w:vAlign w:val="center"/>
            <w:hideMark/>
          </w:tcPr>
          <w:p w14:paraId="6239E9F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Costs ($M)</w:t>
            </w:r>
          </w:p>
        </w:tc>
        <w:tc>
          <w:tcPr>
            <w:tcW w:w="1275" w:type="dxa"/>
            <w:gridSpan w:val="2"/>
            <w:tcBorders>
              <w:top w:val="single" w:sz="8" w:space="0" w:color="auto"/>
              <w:left w:val="nil"/>
              <w:bottom w:val="single" w:sz="8" w:space="0" w:color="auto"/>
              <w:right w:val="double" w:sz="6" w:space="0" w:color="000000"/>
            </w:tcBorders>
            <w:vAlign w:val="center"/>
            <w:hideMark/>
          </w:tcPr>
          <w:p w14:paraId="62D2AA9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$4.9</w:t>
            </w:r>
          </w:p>
        </w:tc>
        <w:tc>
          <w:tcPr>
            <w:tcW w:w="1447" w:type="dxa"/>
            <w:gridSpan w:val="2"/>
            <w:tcBorders>
              <w:top w:val="single" w:sz="8" w:space="0" w:color="auto"/>
              <w:left w:val="nil"/>
              <w:bottom w:val="single" w:sz="8" w:space="0" w:color="auto"/>
              <w:right w:val="double" w:sz="6" w:space="0" w:color="000000"/>
            </w:tcBorders>
            <w:vAlign w:val="center"/>
            <w:hideMark/>
          </w:tcPr>
          <w:p w14:paraId="46E80DB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$14.6</w:t>
            </w:r>
          </w:p>
        </w:tc>
        <w:tc>
          <w:tcPr>
            <w:tcW w:w="1247" w:type="dxa"/>
            <w:gridSpan w:val="2"/>
            <w:tcBorders>
              <w:top w:val="single" w:sz="8" w:space="0" w:color="auto"/>
              <w:left w:val="nil"/>
              <w:bottom w:val="single" w:sz="8" w:space="0" w:color="auto"/>
              <w:right w:val="double" w:sz="6" w:space="0" w:color="000000"/>
            </w:tcBorders>
            <w:vAlign w:val="center"/>
            <w:hideMark/>
          </w:tcPr>
          <w:p w14:paraId="4F64218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$23.7</w:t>
            </w:r>
          </w:p>
        </w:tc>
      </w:tr>
      <w:tr w:rsidR="005636C7" w14:paraId="1964D426"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308490C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Benefits ($M)</w:t>
            </w:r>
          </w:p>
        </w:tc>
        <w:tc>
          <w:tcPr>
            <w:tcW w:w="1417" w:type="dxa"/>
            <w:gridSpan w:val="2"/>
            <w:tcBorders>
              <w:top w:val="single" w:sz="8" w:space="0" w:color="auto"/>
              <w:left w:val="nil"/>
              <w:bottom w:val="single" w:sz="8" w:space="0" w:color="auto"/>
              <w:right w:val="double" w:sz="6" w:space="0" w:color="000000"/>
            </w:tcBorders>
            <w:hideMark/>
          </w:tcPr>
          <w:p w14:paraId="68B3A98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$340</w:t>
            </w:r>
          </w:p>
        </w:tc>
        <w:tc>
          <w:tcPr>
            <w:tcW w:w="1564" w:type="dxa"/>
            <w:gridSpan w:val="2"/>
            <w:tcBorders>
              <w:top w:val="single" w:sz="8" w:space="0" w:color="auto"/>
              <w:left w:val="nil"/>
              <w:bottom w:val="single" w:sz="8" w:space="0" w:color="auto"/>
              <w:right w:val="double" w:sz="6" w:space="0" w:color="000000"/>
            </w:tcBorders>
            <w:vAlign w:val="center"/>
            <w:hideMark/>
          </w:tcPr>
          <w:p w14:paraId="4F7B0AC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$912</w:t>
            </w:r>
          </w:p>
        </w:tc>
        <w:tc>
          <w:tcPr>
            <w:tcW w:w="1384" w:type="dxa"/>
            <w:gridSpan w:val="2"/>
            <w:tcBorders>
              <w:top w:val="single" w:sz="8" w:space="0" w:color="auto"/>
              <w:left w:val="nil"/>
              <w:bottom w:val="single" w:sz="8" w:space="0" w:color="auto"/>
              <w:right w:val="double" w:sz="6" w:space="0" w:color="000000"/>
            </w:tcBorders>
            <w:vAlign w:val="center"/>
            <w:hideMark/>
          </w:tcPr>
          <w:p w14:paraId="3E58C49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$1,532</w:t>
            </w:r>
          </w:p>
        </w:tc>
        <w:tc>
          <w:tcPr>
            <w:tcW w:w="993" w:type="dxa"/>
            <w:tcBorders>
              <w:top w:val="nil"/>
              <w:left w:val="single" w:sz="8" w:space="0" w:color="auto"/>
              <w:bottom w:val="single" w:sz="8" w:space="0" w:color="auto"/>
              <w:right w:val="double" w:sz="6" w:space="0" w:color="auto"/>
            </w:tcBorders>
            <w:vAlign w:val="center"/>
            <w:hideMark/>
          </w:tcPr>
          <w:p w14:paraId="6E79AD7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Benefits ($M)</w:t>
            </w:r>
          </w:p>
        </w:tc>
        <w:tc>
          <w:tcPr>
            <w:tcW w:w="1275" w:type="dxa"/>
            <w:gridSpan w:val="2"/>
            <w:tcBorders>
              <w:top w:val="single" w:sz="8" w:space="0" w:color="auto"/>
              <w:left w:val="nil"/>
              <w:bottom w:val="single" w:sz="8" w:space="0" w:color="auto"/>
              <w:right w:val="double" w:sz="6" w:space="0" w:color="000000"/>
            </w:tcBorders>
            <w:vAlign w:val="center"/>
            <w:hideMark/>
          </w:tcPr>
          <w:p w14:paraId="4D00905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$24.5</w:t>
            </w:r>
          </w:p>
        </w:tc>
        <w:tc>
          <w:tcPr>
            <w:tcW w:w="1447" w:type="dxa"/>
            <w:gridSpan w:val="2"/>
            <w:tcBorders>
              <w:top w:val="single" w:sz="8" w:space="0" w:color="auto"/>
              <w:left w:val="nil"/>
              <w:bottom w:val="single" w:sz="8" w:space="0" w:color="auto"/>
              <w:right w:val="double" w:sz="6" w:space="0" w:color="000000"/>
            </w:tcBorders>
            <w:vAlign w:val="center"/>
            <w:hideMark/>
          </w:tcPr>
          <w:p w14:paraId="29AD1E1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$65.9</w:t>
            </w:r>
          </w:p>
        </w:tc>
        <w:tc>
          <w:tcPr>
            <w:tcW w:w="1247" w:type="dxa"/>
            <w:gridSpan w:val="2"/>
            <w:tcBorders>
              <w:top w:val="single" w:sz="8" w:space="0" w:color="auto"/>
              <w:left w:val="nil"/>
              <w:bottom w:val="single" w:sz="8" w:space="0" w:color="auto"/>
              <w:right w:val="double" w:sz="6" w:space="0" w:color="000000"/>
            </w:tcBorders>
            <w:vAlign w:val="center"/>
            <w:hideMark/>
          </w:tcPr>
          <w:p w14:paraId="71670CD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$111.1</w:t>
            </w:r>
          </w:p>
        </w:tc>
      </w:tr>
      <w:tr w:rsidR="005636C7" w14:paraId="711C624C"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4C2B7E4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NPV ($M)</w:t>
            </w:r>
          </w:p>
        </w:tc>
        <w:tc>
          <w:tcPr>
            <w:tcW w:w="1417" w:type="dxa"/>
            <w:gridSpan w:val="2"/>
            <w:tcBorders>
              <w:top w:val="single" w:sz="8" w:space="0" w:color="auto"/>
              <w:left w:val="nil"/>
              <w:bottom w:val="single" w:sz="8" w:space="0" w:color="auto"/>
              <w:right w:val="double" w:sz="6" w:space="0" w:color="000000"/>
            </w:tcBorders>
            <w:hideMark/>
          </w:tcPr>
          <w:p w14:paraId="3B979C9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$309</w:t>
            </w:r>
          </w:p>
        </w:tc>
        <w:tc>
          <w:tcPr>
            <w:tcW w:w="1564" w:type="dxa"/>
            <w:gridSpan w:val="2"/>
            <w:tcBorders>
              <w:top w:val="single" w:sz="8" w:space="0" w:color="auto"/>
              <w:left w:val="nil"/>
              <w:bottom w:val="single" w:sz="8" w:space="0" w:color="auto"/>
              <w:right w:val="double" w:sz="6" w:space="0" w:color="000000"/>
            </w:tcBorders>
            <w:vAlign w:val="center"/>
            <w:hideMark/>
          </w:tcPr>
          <w:p w14:paraId="42602FC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$798</w:t>
            </w:r>
          </w:p>
        </w:tc>
        <w:tc>
          <w:tcPr>
            <w:tcW w:w="1384" w:type="dxa"/>
            <w:gridSpan w:val="2"/>
            <w:tcBorders>
              <w:top w:val="single" w:sz="8" w:space="0" w:color="auto"/>
              <w:left w:val="nil"/>
              <w:bottom w:val="single" w:sz="8" w:space="0" w:color="auto"/>
              <w:right w:val="double" w:sz="6" w:space="0" w:color="000000"/>
            </w:tcBorders>
            <w:vAlign w:val="center"/>
            <w:hideMark/>
          </w:tcPr>
          <w:p w14:paraId="7F1642C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$1,339</w:t>
            </w:r>
          </w:p>
        </w:tc>
        <w:tc>
          <w:tcPr>
            <w:tcW w:w="993" w:type="dxa"/>
            <w:tcBorders>
              <w:top w:val="nil"/>
              <w:left w:val="single" w:sz="8" w:space="0" w:color="auto"/>
              <w:bottom w:val="single" w:sz="8" w:space="0" w:color="auto"/>
              <w:right w:val="double" w:sz="6" w:space="0" w:color="auto"/>
            </w:tcBorders>
            <w:vAlign w:val="center"/>
            <w:hideMark/>
          </w:tcPr>
          <w:p w14:paraId="140CC9C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NPV ($M)</w:t>
            </w:r>
          </w:p>
        </w:tc>
        <w:tc>
          <w:tcPr>
            <w:tcW w:w="1275" w:type="dxa"/>
            <w:gridSpan w:val="2"/>
            <w:tcBorders>
              <w:top w:val="single" w:sz="8" w:space="0" w:color="auto"/>
              <w:left w:val="nil"/>
              <w:bottom w:val="single" w:sz="8" w:space="0" w:color="auto"/>
              <w:right w:val="double" w:sz="6" w:space="0" w:color="000000"/>
            </w:tcBorders>
            <w:vAlign w:val="center"/>
            <w:hideMark/>
          </w:tcPr>
          <w:p w14:paraId="49A67A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$19.6</w:t>
            </w:r>
          </w:p>
        </w:tc>
        <w:tc>
          <w:tcPr>
            <w:tcW w:w="1447" w:type="dxa"/>
            <w:gridSpan w:val="2"/>
            <w:tcBorders>
              <w:top w:val="single" w:sz="8" w:space="0" w:color="auto"/>
              <w:left w:val="nil"/>
              <w:bottom w:val="single" w:sz="8" w:space="0" w:color="auto"/>
              <w:right w:val="double" w:sz="6" w:space="0" w:color="000000"/>
            </w:tcBorders>
            <w:vAlign w:val="center"/>
            <w:hideMark/>
          </w:tcPr>
          <w:p w14:paraId="12B7DB6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$51.3</w:t>
            </w:r>
          </w:p>
        </w:tc>
        <w:tc>
          <w:tcPr>
            <w:tcW w:w="1247" w:type="dxa"/>
            <w:gridSpan w:val="2"/>
            <w:tcBorders>
              <w:top w:val="single" w:sz="8" w:space="0" w:color="auto"/>
              <w:left w:val="nil"/>
              <w:bottom w:val="single" w:sz="8" w:space="0" w:color="auto"/>
              <w:right w:val="double" w:sz="6" w:space="0" w:color="000000"/>
            </w:tcBorders>
            <w:vAlign w:val="center"/>
            <w:hideMark/>
          </w:tcPr>
          <w:p w14:paraId="326894A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$87.4</w:t>
            </w:r>
          </w:p>
        </w:tc>
      </w:tr>
      <w:tr w:rsidR="005636C7" w14:paraId="67AEF257"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68F3F95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BCR</w:t>
            </w:r>
          </w:p>
        </w:tc>
        <w:tc>
          <w:tcPr>
            <w:tcW w:w="1417" w:type="dxa"/>
            <w:gridSpan w:val="2"/>
            <w:tcBorders>
              <w:top w:val="single" w:sz="8" w:space="0" w:color="auto"/>
              <w:left w:val="nil"/>
              <w:bottom w:val="single" w:sz="8" w:space="0" w:color="auto"/>
              <w:right w:val="double" w:sz="6" w:space="0" w:color="000000"/>
            </w:tcBorders>
            <w:hideMark/>
          </w:tcPr>
          <w:p w14:paraId="72B06E1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rPr>
              <w:t>11.0</w:t>
            </w:r>
          </w:p>
        </w:tc>
        <w:tc>
          <w:tcPr>
            <w:tcW w:w="1564" w:type="dxa"/>
            <w:gridSpan w:val="2"/>
            <w:tcBorders>
              <w:top w:val="single" w:sz="8" w:space="0" w:color="auto"/>
              <w:left w:val="nil"/>
              <w:bottom w:val="single" w:sz="8" w:space="0" w:color="auto"/>
              <w:right w:val="double" w:sz="6" w:space="0" w:color="000000"/>
            </w:tcBorders>
            <w:vAlign w:val="center"/>
            <w:hideMark/>
          </w:tcPr>
          <w:p w14:paraId="757B739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8.0</w:t>
            </w:r>
          </w:p>
        </w:tc>
        <w:tc>
          <w:tcPr>
            <w:tcW w:w="1384" w:type="dxa"/>
            <w:gridSpan w:val="2"/>
            <w:tcBorders>
              <w:top w:val="single" w:sz="8" w:space="0" w:color="auto"/>
              <w:left w:val="nil"/>
              <w:bottom w:val="single" w:sz="8" w:space="0" w:color="auto"/>
              <w:right w:val="double" w:sz="6" w:space="0" w:color="000000"/>
            </w:tcBorders>
            <w:vAlign w:val="center"/>
            <w:hideMark/>
          </w:tcPr>
          <w:p w14:paraId="1C0F4E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7.9</w:t>
            </w:r>
          </w:p>
        </w:tc>
        <w:tc>
          <w:tcPr>
            <w:tcW w:w="993" w:type="dxa"/>
            <w:tcBorders>
              <w:top w:val="nil"/>
              <w:left w:val="single" w:sz="8" w:space="0" w:color="auto"/>
              <w:bottom w:val="single" w:sz="8" w:space="0" w:color="auto"/>
              <w:right w:val="double" w:sz="6" w:space="0" w:color="auto"/>
            </w:tcBorders>
            <w:vAlign w:val="center"/>
            <w:hideMark/>
          </w:tcPr>
          <w:p w14:paraId="1244CB6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BCR</w:t>
            </w:r>
          </w:p>
        </w:tc>
        <w:tc>
          <w:tcPr>
            <w:tcW w:w="1275" w:type="dxa"/>
            <w:gridSpan w:val="2"/>
            <w:tcBorders>
              <w:top w:val="single" w:sz="8" w:space="0" w:color="auto"/>
              <w:left w:val="nil"/>
              <w:bottom w:val="single" w:sz="8" w:space="0" w:color="auto"/>
              <w:right w:val="double" w:sz="6" w:space="0" w:color="000000"/>
            </w:tcBorders>
            <w:vAlign w:val="center"/>
            <w:hideMark/>
          </w:tcPr>
          <w:p w14:paraId="743B8B3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5.0</w:t>
            </w:r>
          </w:p>
        </w:tc>
        <w:tc>
          <w:tcPr>
            <w:tcW w:w="1447" w:type="dxa"/>
            <w:gridSpan w:val="2"/>
            <w:tcBorders>
              <w:top w:val="single" w:sz="8" w:space="0" w:color="auto"/>
              <w:left w:val="nil"/>
              <w:bottom w:val="single" w:sz="8" w:space="0" w:color="auto"/>
              <w:right w:val="double" w:sz="6" w:space="0" w:color="000000"/>
            </w:tcBorders>
            <w:vAlign w:val="center"/>
            <w:hideMark/>
          </w:tcPr>
          <w:p w14:paraId="2B58157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4.5</w:t>
            </w:r>
          </w:p>
        </w:tc>
        <w:tc>
          <w:tcPr>
            <w:tcW w:w="1247" w:type="dxa"/>
            <w:gridSpan w:val="2"/>
            <w:tcBorders>
              <w:top w:val="single" w:sz="8" w:space="0" w:color="auto"/>
              <w:left w:val="nil"/>
              <w:bottom w:val="single" w:sz="8" w:space="0" w:color="auto"/>
              <w:right w:val="double" w:sz="6" w:space="0" w:color="000000"/>
            </w:tcBorders>
            <w:vAlign w:val="center"/>
            <w:hideMark/>
          </w:tcPr>
          <w:p w14:paraId="6D3D674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4.7</w:t>
            </w:r>
          </w:p>
        </w:tc>
      </w:tr>
      <w:tr w:rsidR="005636C7" w14:paraId="7294683F"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3D93E99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417" w:type="dxa"/>
            <w:gridSpan w:val="2"/>
            <w:tcBorders>
              <w:top w:val="single" w:sz="8" w:space="0" w:color="auto"/>
              <w:left w:val="nil"/>
              <w:bottom w:val="single" w:sz="8" w:space="0" w:color="auto"/>
              <w:right w:val="double" w:sz="6" w:space="0" w:color="000000"/>
            </w:tcBorders>
            <w:hideMark/>
          </w:tcPr>
          <w:p w14:paraId="6E762F75" w14:textId="77777777" w:rsidR="005636C7" w:rsidRDefault="005636C7" w:rsidP="005636C7">
            <w:pPr>
              <w:pStyle w:val="E3tabletext1"/>
              <w:spacing w:line="256" w:lineRule="auto"/>
              <w:rPr>
                <w:rFonts w:ascii="Helvetica" w:hAnsi="Helvetica" w:cs="Helvetica"/>
              </w:rPr>
            </w:pPr>
          </w:p>
          <w:p w14:paraId="47078C45" w14:textId="77777777" w:rsidR="005636C7" w:rsidRPr="0041262C" w:rsidRDefault="005636C7" w:rsidP="005636C7">
            <w:pPr>
              <w:pStyle w:val="E3tabletext1"/>
              <w:spacing w:line="256" w:lineRule="auto"/>
              <w:rPr>
                <w:rFonts w:ascii="Helvetica" w:hAnsi="Helvetica" w:cs="Helvetica"/>
                <w:color w:val="000000"/>
                <w:lang w:val="en-NZ"/>
              </w:rPr>
            </w:pPr>
            <w:r w:rsidRPr="00AF174C">
              <w:rPr>
                <w:rFonts w:ascii="Helvetica" w:hAnsi="Helvetica" w:cs="Helvetica"/>
                <w:color w:val="FF0000"/>
              </w:rPr>
              <w:t>-$98</w:t>
            </w:r>
          </w:p>
        </w:tc>
        <w:tc>
          <w:tcPr>
            <w:tcW w:w="1564" w:type="dxa"/>
            <w:gridSpan w:val="2"/>
            <w:tcBorders>
              <w:top w:val="single" w:sz="8" w:space="0" w:color="auto"/>
              <w:left w:val="nil"/>
              <w:bottom w:val="single" w:sz="8" w:space="0" w:color="auto"/>
              <w:right w:val="double" w:sz="6" w:space="0" w:color="000000"/>
            </w:tcBorders>
            <w:vAlign w:val="center"/>
            <w:hideMark/>
          </w:tcPr>
          <w:p w14:paraId="079D1B2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-$97</w:t>
            </w:r>
          </w:p>
        </w:tc>
        <w:tc>
          <w:tcPr>
            <w:tcW w:w="1384" w:type="dxa"/>
            <w:gridSpan w:val="2"/>
            <w:tcBorders>
              <w:top w:val="single" w:sz="8" w:space="0" w:color="auto"/>
              <w:left w:val="nil"/>
              <w:bottom w:val="single" w:sz="8" w:space="0" w:color="auto"/>
              <w:right w:val="double" w:sz="6" w:space="0" w:color="000000"/>
            </w:tcBorders>
            <w:vAlign w:val="center"/>
            <w:hideMark/>
          </w:tcPr>
          <w:p w14:paraId="3127196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-$100</w:t>
            </w:r>
          </w:p>
        </w:tc>
        <w:tc>
          <w:tcPr>
            <w:tcW w:w="993" w:type="dxa"/>
            <w:tcBorders>
              <w:top w:val="nil"/>
              <w:left w:val="single" w:sz="8" w:space="0" w:color="auto"/>
              <w:bottom w:val="single" w:sz="8" w:space="0" w:color="auto"/>
              <w:right w:val="double" w:sz="6" w:space="0" w:color="auto"/>
            </w:tcBorders>
            <w:vAlign w:val="center"/>
            <w:hideMark/>
          </w:tcPr>
          <w:p w14:paraId="44058E4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Abatement Cost ($/t CO</w:t>
            </w:r>
            <w:r w:rsidRPr="0041262C">
              <w:rPr>
                <w:rFonts w:ascii="Helvetica" w:hAnsi="Helvetica" w:cs="Helvetica"/>
                <w:color w:val="000000"/>
                <w:vertAlign w:val="subscript"/>
                <w:lang w:val="en-NZ"/>
              </w:rPr>
              <w:t>2</w:t>
            </w:r>
            <w:r w:rsidRPr="0041262C">
              <w:rPr>
                <w:rFonts w:ascii="Helvetica" w:hAnsi="Helvetica" w:cs="Helvetica"/>
                <w:color w:val="000000"/>
                <w:lang w:val="en-NZ"/>
              </w:rPr>
              <w:t>-e )</w:t>
            </w:r>
          </w:p>
        </w:tc>
        <w:tc>
          <w:tcPr>
            <w:tcW w:w="1275" w:type="dxa"/>
            <w:gridSpan w:val="2"/>
            <w:tcBorders>
              <w:top w:val="single" w:sz="8" w:space="0" w:color="auto"/>
              <w:left w:val="nil"/>
              <w:bottom w:val="single" w:sz="8" w:space="0" w:color="auto"/>
              <w:right w:val="double" w:sz="6" w:space="0" w:color="000000"/>
            </w:tcBorders>
            <w:vAlign w:val="center"/>
            <w:hideMark/>
          </w:tcPr>
          <w:p w14:paraId="242F42A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-$235</w:t>
            </w:r>
          </w:p>
        </w:tc>
        <w:tc>
          <w:tcPr>
            <w:tcW w:w="1447" w:type="dxa"/>
            <w:gridSpan w:val="2"/>
            <w:tcBorders>
              <w:top w:val="single" w:sz="8" w:space="0" w:color="auto"/>
              <w:left w:val="nil"/>
              <w:bottom w:val="single" w:sz="8" w:space="0" w:color="auto"/>
              <w:right w:val="double" w:sz="6" w:space="0" w:color="000000"/>
            </w:tcBorders>
            <w:vAlign w:val="center"/>
            <w:hideMark/>
          </w:tcPr>
          <w:p w14:paraId="441D083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-$239</w:t>
            </w:r>
          </w:p>
        </w:tc>
        <w:tc>
          <w:tcPr>
            <w:tcW w:w="1247" w:type="dxa"/>
            <w:gridSpan w:val="2"/>
            <w:tcBorders>
              <w:top w:val="single" w:sz="8" w:space="0" w:color="auto"/>
              <w:left w:val="nil"/>
              <w:bottom w:val="single" w:sz="8" w:space="0" w:color="auto"/>
              <w:right w:val="double" w:sz="6" w:space="0" w:color="000000"/>
            </w:tcBorders>
            <w:vAlign w:val="center"/>
            <w:hideMark/>
          </w:tcPr>
          <w:p w14:paraId="28D0F00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FF0000"/>
              </w:rPr>
              <w:t>-$238</w:t>
            </w:r>
          </w:p>
        </w:tc>
      </w:tr>
      <w:tr w:rsidR="005636C7" w14:paraId="2696E407" w14:textId="77777777" w:rsidTr="005636C7">
        <w:trPr>
          <w:trHeight w:val="557"/>
        </w:trPr>
        <w:tc>
          <w:tcPr>
            <w:tcW w:w="5500" w:type="dxa"/>
            <w:gridSpan w:val="7"/>
            <w:tcBorders>
              <w:top w:val="nil"/>
              <w:left w:val="single" w:sz="8" w:space="0" w:color="auto"/>
              <w:bottom w:val="single" w:sz="8" w:space="0" w:color="auto"/>
              <w:right w:val="double" w:sz="6" w:space="0" w:color="auto"/>
            </w:tcBorders>
            <w:vAlign w:val="center"/>
            <w:hideMark/>
          </w:tcPr>
          <w:p w14:paraId="42702BD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Energy savings (GWh) </w:t>
            </w:r>
          </w:p>
        </w:tc>
        <w:tc>
          <w:tcPr>
            <w:tcW w:w="4962" w:type="dxa"/>
            <w:gridSpan w:val="7"/>
            <w:tcBorders>
              <w:top w:val="nil"/>
              <w:left w:val="single" w:sz="8" w:space="0" w:color="auto"/>
              <w:bottom w:val="single" w:sz="8" w:space="0" w:color="auto"/>
              <w:right w:val="double" w:sz="6" w:space="0" w:color="auto"/>
            </w:tcBorders>
            <w:vAlign w:val="center"/>
            <w:hideMark/>
          </w:tcPr>
          <w:p w14:paraId="644E301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Energy savings (GWh) </w:t>
            </w:r>
          </w:p>
        </w:tc>
      </w:tr>
      <w:tr w:rsidR="005636C7" w14:paraId="3F80120A"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05B6B0F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9" w:type="dxa"/>
            <w:tcBorders>
              <w:top w:val="nil"/>
              <w:left w:val="nil"/>
              <w:bottom w:val="single" w:sz="8" w:space="0" w:color="auto"/>
              <w:right w:val="single" w:sz="8" w:space="0" w:color="auto"/>
            </w:tcBorders>
            <w:vAlign w:val="center"/>
            <w:hideMark/>
          </w:tcPr>
          <w:p w14:paraId="4CAEE39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6C5D1F9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4B91F5F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855" w:type="dxa"/>
            <w:tcBorders>
              <w:top w:val="nil"/>
              <w:left w:val="nil"/>
              <w:bottom w:val="single" w:sz="8" w:space="0" w:color="auto"/>
              <w:right w:val="double" w:sz="6" w:space="0" w:color="auto"/>
            </w:tcBorders>
            <w:vAlign w:val="center"/>
            <w:hideMark/>
          </w:tcPr>
          <w:p w14:paraId="3995E65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676" w:type="dxa"/>
            <w:tcBorders>
              <w:top w:val="nil"/>
              <w:left w:val="nil"/>
              <w:bottom w:val="single" w:sz="8" w:space="0" w:color="auto"/>
              <w:right w:val="single" w:sz="8" w:space="0" w:color="auto"/>
            </w:tcBorders>
            <w:vAlign w:val="center"/>
            <w:hideMark/>
          </w:tcPr>
          <w:p w14:paraId="46B34B4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675B1C2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993" w:type="dxa"/>
            <w:tcBorders>
              <w:top w:val="nil"/>
              <w:left w:val="single" w:sz="8" w:space="0" w:color="auto"/>
              <w:bottom w:val="single" w:sz="8" w:space="0" w:color="auto"/>
              <w:right w:val="double" w:sz="6" w:space="0" w:color="auto"/>
            </w:tcBorders>
            <w:vAlign w:val="center"/>
            <w:hideMark/>
          </w:tcPr>
          <w:p w14:paraId="2D5339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8" w:type="dxa"/>
            <w:tcBorders>
              <w:top w:val="nil"/>
              <w:left w:val="nil"/>
              <w:bottom w:val="single" w:sz="8" w:space="0" w:color="auto"/>
              <w:right w:val="single" w:sz="8" w:space="0" w:color="auto"/>
            </w:tcBorders>
            <w:vAlign w:val="center"/>
            <w:hideMark/>
          </w:tcPr>
          <w:p w14:paraId="6CD3404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vAlign w:val="center"/>
            <w:hideMark/>
          </w:tcPr>
          <w:p w14:paraId="7F55686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0A9474B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38" w:type="dxa"/>
            <w:tcBorders>
              <w:top w:val="nil"/>
              <w:left w:val="nil"/>
              <w:bottom w:val="single" w:sz="8" w:space="0" w:color="auto"/>
              <w:right w:val="double" w:sz="6" w:space="0" w:color="auto"/>
            </w:tcBorders>
            <w:vAlign w:val="center"/>
            <w:hideMark/>
          </w:tcPr>
          <w:p w14:paraId="7C4E7D3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567" w:type="dxa"/>
            <w:tcBorders>
              <w:top w:val="nil"/>
              <w:left w:val="nil"/>
              <w:bottom w:val="single" w:sz="8" w:space="0" w:color="auto"/>
              <w:right w:val="single" w:sz="8" w:space="0" w:color="auto"/>
            </w:tcBorders>
            <w:vAlign w:val="center"/>
            <w:hideMark/>
          </w:tcPr>
          <w:p w14:paraId="6A25FCD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vAlign w:val="center"/>
            <w:hideMark/>
          </w:tcPr>
          <w:p w14:paraId="4E62CDD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r>
      <w:tr w:rsidR="005636C7" w14:paraId="54B34E2D"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2F40EE6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9" w:type="dxa"/>
            <w:tcBorders>
              <w:top w:val="nil"/>
              <w:left w:val="nil"/>
              <w:bottom w:val="single" w:sz="8" w:space="0" w:color="auto"/>
              <w:right w:val="single" w:sz="8" w:space="0" w:color="auto"/>
            </w:tcBorders>
            <w:vAlign w:val="center"/>
            <w:hideMark/>
          </w:tcPr>
          <w:p w14:paraId="690717B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86</w:t>
            </w:r>
          </w:p>
        </w:tc>
        <w:tc>
          <w:tcPr>
            <w:tcW w:w="708" w:type="dxa"/>
            <w:tcBorders>
              <w:top w:val="nil"/>
              <w:left w:val="nil"/>
              <w:bottom w:val="single" w:sz="8" w:space="0" w:color="auto"/>
              <w:right w:val="double" w:sz="6" w:space="0" w:color="auto"/>
            </w:tcBorders>
            <w:vAlign w:val="center"/>
            <w:hideMark/>
          </w:tcPr>
          <w:p w14:paraId="5026DFE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293</w:t>
            </w:r>
          </w:p>
        </w:tc>
        <w:tc>
          <w:tcPr>
            <w:tcW w:w="709" w:type="dxa"/>
            <w:tcBorders>
              <w:top w:val="nil"/>
              <w:left w:val="nil"/>
              <w:bottom w:val="single" w:sz="8" w:space="0" w:color="auto"/>
              <w:right w:val="single" w:sz="8" w:space="0" w:color="auto"/>
            </w:tcBorders>
            <w:vAlign w:val="center"/>
            <w:hideMark/>
          </w:tcPr>
          <w:p w14:paraId="7E68F29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283</w:t>
            </w:r>
          </w:p>
        </w:tc>
        <w:tc>
          <w:tcPr>
            <w:tcW w:w="855" w:type="dxa"/>
            <w:tcBorders>
              <w:top w:val="nil"/>
              <w:left w:val="nil"/>
              <w:bottom w:val="single" w:sz="8" w:space="0" w:color="auto"/>
              <w:right w:val="double" w:sz="6" w:space="0" w:color="auto"/>
            </w:tcBorders>
            <w:vAlign w:val="center"/>
            <w:hideMark/>
          </w:tcPr>
          <w:p w14:paraId="1B2E875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711</w:t>
            </w:r>
          </w:p>
        </w:tc>
        <w:tc>
          <w:tcPr>
            <w:tcW w:w="676" w:type="dxa"/>
            <w:tcBorders>
              <w:top w:val="nil"/>
              <w:left w:val="nil"/>
              <w:bottom w:val="single" w:sz="8" w:space="0" w:color="auto"/>
              <w:right w:val="single" w:sz="8" w:space="0" w:color="auto"/>
            </w:tcBorders>
            <w:vAlign w:val="center"/>
            <w:hideMark/>
          </w:tcPr>
          <w:p w14:paraId="630B907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517</w:t>
            </w:r>
          </w:p>
        </w:tc>
        <w:tc>
          <w:tcPr>
            <w:tcW w:w="708" w:type="dxa"/>
            <w:tcBorders>
              <w:top w:val="nil"/>
              <w:left w:val="nil"/>
              <w:bottom w:val="single" w:sz="8" w:space="0" w:color="auto"/>
              <w:right w:val="double" w:sz="6" w:space="0" w:color="auto"/>
            </w:tcBorders>
            <w:vAlign w:val="center"/>
            <w:hideMark/>
          </w:tcPr>
          <w:p w14:paraId="4DB1057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1,156</w:t>
            </w:r>
          </w:p>
        </w:tc>
        <w:tc>
          <w:tcPr>
            <w:tcW w:w="993" w:type="dxa"/>
            <w:tcBorders>
              <w:top w:val="nil"/>
              <w:left w:val="single" w:sz="8" w:space="0" w:color="auto"/>
              <w:bottom w:val="single" w:sz="8" w:space="0" w:color="auto"/>
              <w:right w:val="double" w:sz="6" w:space="0" w:color="auto"/>
            </w:tcBorders>
            <w:vAlign w:val="center"/>
            <w:hideMark/>
          </w:tcPr>
          <w:p w14:paraId="1B2C35F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8" w:type="dxa"/>
            <w:tcBorders>
              <w:top w:val="nil"/>
              <w:left w:val="nil"/>
              <w:bottom w:val="single" w:sz="8" w:space="0" w:color="auto"/>
              <w:right w:val="single" w:sz="8" w:space="0" w:color="auto"/>
            </w:tcBorders>
            <w:vAlign w:val="center"/>
            <w:hideMark/>
          </w:tcPr>
          <w:p w14:paraId="0A204A3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15</w:t>
            </w:r>
          </w:p>
        </w:tc>
        <w:tc>
          <w:tcPr>
            <w:tcW w:w="567" w:type="dxa"/>
            <w:tcBorders>
              <w:top w:val="nil"/>
              <w:left w:val="nil"/>
              <w:bottom w:val="single" w:sz="8" w:space="0" w:color="auto"/>
              <w:right w:val="double" w:sz="6" w:space="0" w:color="auto"/>
            </w:tcBorders>
            <w:vAlign w:val="center"/>
            <w:hideMark/>
          </w:tcPr>
          <w:p w14:paraId="13CBB38A"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52</w:t>
            </w:r>
          </w:p>
        </w:tc>
        <w:tc>
          <w:tcPr>
            <w:tcW w:w="709" w:type="dxa"/>
            <w:tcBorders>
              <w:top w:val="nil"/>
              <w:left w:val="nil"/>
              <w:bottom w:val="single" w:sz="8" w:space="0" w:color="auto"/>
              <w:right w:val="single" w:sz="8" w:space="0" w:color="auto"/>
            </w:tcBorders>
            <w:vAlign w:val="center"/>
            <w:hideMark/>
          </w:tcPr>
          <w:p w14:paraId="08B3784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51</w:t>
            </w:r>
          </w:p>
        </w:tc>
        <w:tc>
          <w:tcPr>
            <w:tcW w:w="738" w:type="dxa"/>
            <w:tcBorders>
              <w:top w:val="nil"/>
              <w:left w:val="nil"/>
              <w:bottom w:val="single" w:sz="8" w:space="0" w:color="auto"/>
              <w:right w:val="double" w:sz="6" w:space="0" w:color="auto"/>
            </w:tcBorders>
            <w:vAlign w:val="center"/>
            <w:hideMark/>
          </w:tcPr>
          <w:p w14:paraId="6819BF5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126</w:t>
            </w:r>
          </w:p>
        </w:tc>
        <w:tc>
          <w:tcPr>
            <w:tcW w:w="567" w:type="dxa"/>
            <w:tcBorders>
              <w:top w:val="nil"/>
              <w:left w:val="nil"/>
              <w:bottom w:val="single" w:sz="8" w:space="0" w:color="auto"/>
              <w:right w:val="single" w:sz="8" w:space="0" w:color="auto"/>
            </w:tcBorders>
            <w:vAlign w:val="center"/>
            <w:hideMark/>
          </w:tcPr>
          <w:p w14:paraId="3ECD4E8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93</w:t>
            </w:r>
          </w:p>
        </w:tc>
        <w:tc>
          <w:tcPr>
            <w:tcW w:w="680" w:type="dxa"/>
            <w:tcBorders>
              <w:top w:val="nil"/>
              <w:left w:val="nil"/>
              <w:bottom w:val="single" w:sz="8" w:space="0" w:color="auto"/>
              <w:right w:val="double" w:sz="6" w:space="0" w:color="auto"/>
            </w:tcBorders>
            <w:vAlign w:val="center"/>
            <w:hideMark/>
          </w:tcPr>
          <w:p w14:paraId="6549A10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205</w:t>
            </w:r>
          </w:p>
        </w:tc>
      </w:tr>
      <w:tr w:rsidR="005636C7" w14:paraId="356EDD49"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7DCAFCD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9" w:type="dxa"/>
            <w:tcBorders>
              <w:top w:val="nil"/>
              <w:left w:val="nil"/>
              <w:bottom w:val="single" w:sz="8" w:space="0" w:color="auto"/>
              <w:right w:val="single" w:sz="8" w:space="0" w:color="auto"/>
            </w:tcBorders>
            <w:vAlign w:val="center"/>
            <w:hideMark/>
          </w:tcPr>
          <w:p w14:paraId="6F53DFC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270</w:t>
            </w:r>
          </w:p>
        </w:tc>
        <w:tc>
          <w:tcPr>
            <w:tcW w:w="708" w:type="dxa"/>
            <w:tcBorders>
              <w:top w:val="nil"/>
              <w:left w:val="nil"/>
              <w:bottom w:val="single" w:sz="8" w:space="0" w:color="auto"/>
              <w:right w:val="double" w:sz="6" w:space="0" w:color="auto"/>
            </w:tcBorders>
            <w:vAlign w:val="center"/>
            <w:hideMark/>
          </w:tcPr>
          <w:p w14:paraId="7FBC134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2,278</w:t>
            </w:r>
          </w:p>
        </w:tc>
        <w:tc>
          <w:tcPr>
            <w:tcW w:w="709" w:type="dxa"/>
            <w:tcBorders>
              <w:top w:val="nil"/>
              <w:left w:val="nil"/>
              <w:bottom w:val="single" w:sz="8" w:space="0" w:color="auto"/>
              <w:right w:val="single" w:sz="8" w:space="0" w:color="auto"/>
            </w:tcBorders>
            <w:vAlign w:val="center"/>
            <w:hideMark/>
          </w:tcPr>
          <w:p w14:paraId="6D3C8A1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957</w:t>
            </w:r>
          </w:p>
        </w:tc>
        <w:tc>
          <w:tcPr>
            <w:tcW w:w="855" w:type="dxa"/>
            <w:tcBorders>
              <w:top w:val="nil"/>
              <w:left w:val="nil"/>
              <w:bottom w:val="single" w:sz="8" w:space="0" w:color="auto"/>
              <w:right w:val="double" w:sz="6" w:space="0" w:color="auto"/>
            </w:tcBorders>
            <w:vAlign w:val="center"/>
            <w:hideMark/>
          </w:tcPr>
          <w:p w14:paraId="468AABE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6,406</w:t>
            </w:r>
          </w:p>
        </w:tc>
        <w:tc>
          <w:tcPr>
            <w:tcW w:w="676" w:type="dxa"/>
            <w:tcBorders>
              <w:top w:val="nil"/>
              <w:left w:val="nil"/>
              <w:bottom w:val="single" w:sz="8" w:space="0" w:color="auto"/>
              <w:right w:val="single" w:sz="8" w:space="0" w:color="auto"/>
            </w:tcBorders>
            <w:vAlign w:val="center"/>
            <w:hideMark/>
          </w:tcPr>
          <w:p w14:paraId="50F2DB5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1,774</w:t>
            </w:r>
          </w:p>
        </w:tc>
        <w:tc>
          <w:tcPr>
            <w:tcW w:w="708" w:type="dxa"/>
            <w:tcBorders>
              <w:top w:val="nil"/>
              <w:left w:val="nil"/>
              <w:bottom w:val="single" w:sz="8" w:space="0" w:color="auto"/>
              <w:right w:val="double" w:sz="6" w:space="0" w:color="auto"/>
            </w:tcBorders>
            <w:vAlign w:val="center"/>
            <w:hideMark/>
          </w:tcPr>
          <w:p w14:paraId="0FD5B1E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11,099</w:t>
            </w:r>
          </w:p>
        </w:tc>
        <w:tc>
          <w:tcPr>
            <w:tcW w:w="993" w:type="dxa"/>
            <w:tcBorders>
              <w:top w:val="nil"/>
              <w:left w:val="single" w:sz="8" w:space="0" w:color="auto"/>
              <w:bottom w:val="single" w:sz="8" w:space="0" w:color="auto"/>
              <w:right w:val="double" w:sz="6" w:space="0" w:color="auto"/>
            </w:tcBorders>
            <w:vAlign w:val="center"/>
            <w:hideMark/>
          </w:tcPr>
          <w:p w14:paraId="1417038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8" w:type="dxa"/>
            <w:tcBorders>
              <w:top w:val="nil"/>
              <w:left w:val="nil"/>
              <w:bottom w:val="single" w:sz="8" w:space="0" w:color="auto"/>
              <w:right w:val="single" w:sz="8" w:space="0" w:color="auto"/>
            </w:tcBorders>
            <w:vAlign w:val="center"/>
            <w:hideMark/>
          </w:tcPr>
          <w:p w14:paraId="51EFEBC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49</w:t>
            </w:r>
          </w:p>
        </w:tc>
        <w:tc>
          <w:tcPr>
            <w:tcW w:w="567" w:type="dxa"/>
            <w:tcBorders>
              <w:top w:val="nil"/>
              <w:left w:val="nil"/>
              <w:bottom w:val="single" w:sz="8" w:space="0" w:color="auto"/>
              <w:right w:val="double" w:sz="6" w:space="0" w:color="auto"/>
            </w:tcBorders>
            <w:vAlign w:val="center"/>
            <w:hideMark/>
          </w:tcPr>
          <w:p w14:paraId="7C34E39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404</w:t>
            </w:r>
          </w:p>
        </w:tc>
        <w:tc>
          <w:tcPr>
            <w:tcW w:w="709" w:type="dxa"/>
            <w:tcBorders>
              <w:top w:val="nil"/>
              <w:left w:val="nil"/>
              <w:bottom w:val="single" w:sz="8" w:space="0" w:color="auto"/>
              <w:right w:val="single" w:sz="8" w:space="0" w:color="auto"/>
            </w:tcBorders>
            <w:vAlign w:val="center"/>
            <w:hideMark/>
          </w:tcPr>
          <w:p w14:paraId="140B2D4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173</w:t>
            </w:r>
          </w:p>
        </w:tc>
        <w:tc>
          <w:tcPr>
            <w:tcW w:w="738" w:type="dxa"/>
            <w:tcBorders>
              <w:top w:val="nil"/>
              <w:left w:val="nil"/>
              <w:bottom w:val="single" w:sz="8" w:space="0" w:color="auto"/>
              <w:right w:val="double" w:sz="6" w:space="0" w:color="auto"/>
            </w:tcBorders>
            <w:vAlign w:val="center"/>
            <w:hideMark/>
          </w:tcPr>
          <w:p w14:paraId="0BD5FE7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1,142</w:t>
            </w:r>
          </w:p>
        </w:tc>
        <w:tc>
          <w:tcPr>
            <w:tcW w:w="567" w:type="dxa"/>
            <w:tcBorders>
              <w:top w:val="nil"/>
              <w:left w:val="nil"/>
              <w:bottom w:val="single" w:sz="8" w:space="0" w:color="auto"/>
              <w:right w:val="single" w:sz="8" w:space="0" w:color="auto"/>
            </w:tcBorders>
            <w:vAlign w:val="center"/>
            <w:hideMark/>
          </w:tcPr>
          <w:p w14:paraId="2B8F57F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322</w:t>
            </w:r>
          </w:p>
        </w:tc>
        <w:tc>
          <w:tcPr>
            <w:tcW w:w="680" w:type="dxa"/>
            <w:tcBorders>
              <w:top w:val="nil"/>
              <w:left w:val="nil"/>
              <w:bottom w:val="single" w:sz="8" w:space="0" w:color="auto"/>
              <w:right w:val="double" w:sz="6" w:space="0" w:color="auto"/>
            </w:tcBorders>
            <w:vAlign w:val="center"/>
            <w:hideMark/>
          </w:tcPr>
          <w:p w14:paraId="352DB46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1,986</w:t>
            </w:r>
          </w:p>
        </w:tc>
      </w:tr>
      <w:tr w:rsidR="005636C7" w14:paraId="002D0004" w14:textId="77777777" w:rsidTr="005636C7">
        <w:trPr>
          <w:trHeight w:val="497"/>
        </w:trPr>
        <w:tc>
          <w:tcPr>
            <w:tcW w:w="5500" w:type="dxa"/>
            <w:gridSpan w:val="7"/>
            <w:tcBorders>
              <w:top w:val="nil"/>
              <w:left w:val="single" w:sz="8" w:space="0" w:color="auto"/>
              <w:bottom w:val="single" w:sz="8" w:space="0" w:color="auto"/>
              <w:right w:val="double" w:sz="6" w:space="0" w:color="auto"/>
            </w:tcBorders>
            <w:vAlign w:val="center"/>
            <w:hideMark/>
          </w:tcPr>
          <w:p w14:paraId="792C1BB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  </w:t>
            </w:r>
          </w:p>
        </w:tc>
        <w:tc>
          <w:tcPr>
            <w:tcW w:w="4962" w:type="dxa"/>
            <w:gridSpan w:val="7"/>
            <w:tcBorders>
              <w:top w:val="nil"/>
              <w:left w:val="single" w:sz="8" w:space="0" w:color="auto"/>
              <w:bottom w:val="single" w:sz="8" w:space="0" w:color="auto"/>
              <w:right w:val="double" w:sz="6" w:space="0" w:color="auto"/>
            </w:tcBorders>
            <w:vAlign w:val="center"/>
            <w:hideMark/>
          </w:tcPr>
          <w:p w14:paraId="2C31739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GHG Emission reduction (kt CO</w:t>
            </w:r>
            <w:r w:rsidRPr="0041262C">
              <w:rPr>
                <w:rFonts w:ascii="Helvetica" w:hAnsi="Helvetica" w:cs="Helvetica"/>
                <w:color w:val="000000"/>
                <w:vertAlign w:val="subscript"/>
                <w:lang w:val="en-NZ"/>
              </w:rPr>
              <w:t>2-e</w:t>
            </w:r>
            <w:r w:rsidRPr="0041262C">
              <w:rPr>
                <w:rFonts w:ascii="Helvetica" w:hAnsi="Helvetica" w:cs="Helvetica"/>
                <w:color w:val="000000"/>
                <w:lang w:val="en-NZ"/>
              </w:rPr>
              <w:t>) </w:t>
            </w:r>
          </w:p>
        </w:tc>
      </w:tr>
      <w:tr w:rsidR="005636C7" w14:paraId="392DD871"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596652D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9" w:type="dxa"/>
            <w:tcBorders>
              <w:top w:val="nil"/>
              <w:left w:val="nil"/>
              <w:bottom w:val="single" w:sz="8" w:space="0" w:color="auto"/>
              <w:right w:val="single" w:sz="8" w:space="0" w:color="auto"/>
            </w:tcBorders>
            <w:vAlign w:val="center"/>
            <w:hideMark/>
          </w:tcPr>
          <w:p w14:paraId="45852DE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213F657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1825537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855" w:type="dxa"/>
            <w:tcBorders>
              <w:top w:val="nil"/>
              <w:left w:val="nil"/>
              <w:bottom w:val="single" w:sz="8" w:space="0" w:color="auto"/>
              <w:right w:val="double" w:sz="6" w:space="0" w:color="auto"/>
            </w:tcBorders>
            <w:vAlign w:val="center"/>
            <w:hideMark/>
          </w:tcPr>
          <w:p w14:paraId="6AFEC02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676" w:type="dxa"/>
            <w:tcBorders>
              <w:top w:val="nil"/>
              <w:left w:val="nil"/>
              <w:bottom w:val="single" w:sz="8" w:space="0" w:color="auto"/>
              <w:right w:val="single" w:sz="8" w:space="0" w:color="auto"/>
            </w:tcBorders>
            <w:vAlign w:val="center"/>
            <w:hideMark/>
          </w:tcPr>
          <w:p w14:paraId="4A1EC1E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08" w:type="dxa"/>
            <w:tcBorders>
              <w:top w:val="nil"/>
              <w:left w:val="nil"/>
              <w:bottom w:val="single" w:sz="8" w:space="0" w:color="auto"/>
              <w:right w:val="double" w:sz="6" w:space="0" w:color="auto"/>
            </w:tcBorders>
            <w:vAlign w:val="center"/>
            <w:hideMark/>
          </w:tcPr>
          <w:p w14:paraId="1900BE9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993" w:type="dxa"/>
            <w:tcBorders>
              <w:top w:val="nil"/>
              <w:left w:val="single" w:sz="8" w:space="0" w:color="auto"/>
              <w:bottom w:val="single" w:sz="8" w:space="0" w:color="auto"/>
              <w:right w:val="double" w:sz="6" w:space="0" w:color="auto"/>
            </w:tcBorders>
            <w:vAlign w:val="center"/>
            <w:hideMark/>
          </w:tcPr>
          <w:p w14:paraId="4C9D59C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Year</w:t>
            </w:r>
          </w:p>
        </w:tc>
        <w:tc>
          <w:tcPr>
            <w:tcW w:w="708" w:type="dxa"/>
            <w:tcBorders>
              <w:top w:val="nil"/>
              <w:left w:val="nil"/>
              <w:bottom w:val="single" w:sz="8" w:space="0" w:color="auto"/>
              <w:right w:val="single" w:sz="8" w:space="0" w:color="auto"/>
            </w:tcBorders>
            <w:vAlign w:val="center"/>
            <w:hideMark/>
          </w:tcPr>
          <w:p w14:paraId="4B8967A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567" w:type="dxa"/>
            <w:tcBorders>
              <w:top w:val="nil"/>
              <w:left w:val="nil"/>
              <w:bottom w:val="single" w:sz="8" w:space="0" w:color="auto"/>
              <w:right w:val="double" w:sz="6" w:space="0" w:color="auto"/>
            </w:tcBorders>
            <w:vAlign w:val="center"/>
            <w:hideMark/>
          </w:tcPr>
          <w:p w14:paraId="715B4FE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709" w:type="dxa"/>
            <w:tcBorders>
              <w:top w:val="nil"/>
              <w:left w:val="nil"/>
              <w:bottom w:val="single" w:sz="8" w:space="0" w:color="auto"/>
              <w:right w:val="single" w:sz="8" w:space="0" w:color="auto"/>
            </w:tcBorders>
            <w:vAlign w:val="center"/>
            <w:hideMark/>
          </w:tcPr>
          <w:p w14:paraId="57146A7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738" w:type="dxa"/>
            <w:tcBorders>
              <w:top w:val="nil"/>
              <w:left w:val="nil"/>
              <w:bottom w:val="single" w:sz="8" w:space="0" w:color="auto"/>
              <w:right w:val="double" w:sz="6" w:space="0" w:color="auto"/>
            </w:tcBorders>
            <w:vAlign w:val="center"/>
            <w:hideMark/>
          </w:tcPr>
          <w:p w14:paraId="4546321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c>
          <w:tcPr>
            <w:tcW w:w="567" w:type="dxa"/>
            <w:tcBorders>
              <w:top w:val="nil"/>
              <w:left w:val="nil"/>
              <w:bottom w:val="single" w:sz="8" w:space="0" w:color="auto"/>
              <w:right w:val="single" w:sz="8" w:space="0" w:color="auto"/>
            </w:tcBorders>
            <w:vAlign w:val="center"/>
            <w:hideMark/>
          </w:tcPr>
          <w:p w14:paraId="30FBD5A0"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2025</w:t>
            </w:r>
          </w:p>
        </w:tc>
        <w:tc>
          <w:tcPr>
            <w:tcW w:w="680" w:type="dxa"/>
            <w:tcBorders>
              <w:top w:val="nil"/>
              <w:left w:val="nil"/>
              <w:bottom w:val="single" w:sz="8" w:space="0" w:color="auto"/>
              <w:right w:val="double" w:sz="6" w:space="0" w:color="auto"/>
            </w:tcBorders>
            <w:vAlign w:val="center"/>
            <w:hideMark/>
          </w:tcPr>
          <w:p w14:paraId="483F22F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2035</w:t>
            </w:r>
          </w:p>
        </w:tc>
      </w:tr>
      <w:tr w:rsidR="005636C7" w14:paraId="2943783A" w14:textId="77777777" w:rsidTr="005636C7">
        <w:trPr>
          <w:trHeight w:val="317"/>
        </w:trPr>
        <w:tc>
          <w:tcPr>
            <w:tcW w:w="1135" w:type="dxa"/>
            <w:tcBorders>
              <w:top w:val="nil"/>
              <w:left w:val="single" w:sz="8" w:space="0" w:color="auto"/>
              <w:bottom w:val="single" w:sz="8" w:space="0" w:color="auto"/>
              <w:right w:val="double" w:sz="6" w:space="0" w:color="auto"/>
            </w:tcBorders>
            <w:vAlign w:val="center"/>
            <w:hideMark/>
          </w:tcPr>
          <w:p w14:paraId="2ED5380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9" w:type="dxa"/>
            <w:tcBorders>
              <w:top w:val="nil"/>
              <w:left w:val="nil"/>
              <w:bottom w:val="single" w:sz="8" w:space="0" w:color="auto"/>
              <w:right w:val="single" w:sz="8" w:space="0" w:color="auto"/>
            </w:tcBorders>
            <w:vAlign w:val="center"/>
            <w:hideMark/>
          </w:tcPr>
          <w:p w14:paraId="44D40BC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65</w:t>
            </w:r>
          </w:p>
        </w:tc>
        <w:tc>
          <w:tcPr>
            <w:tcW w:w="708" w:type="dxa"/>
            <w:tcBorders>
              <w:top w:val="nil"/>
              <w:left w:val="nil"/>
              <w:bottom w:val="single" w:sz="8" w:space="0" w:color="auto"/>
              <w:right w:val="double" w:sz="6" w:space="0" w:color="auto"/>
            </w:tcBorders>
            <w:vAlign w:val="center"/>
            <w:hideMark/>
          </w:tcPr>
          <w:p w14:paraId="15D404C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216</w:t>
            </w:r>
          </w:p>
        </w:tc>
        <w:tc>
          <w:tcPr>
            <w:tcW w:w="709" w:type="dxa"/>
            <w:tcBorders>
              <w:top w:val="nil"/>
              <w:left w:val="nil"/>
              <w:bottom w:val="single" w:sz="8" w:space="0" w:color="auto"/>
              <w:right w:val="single" w:sz="8" w:space="0" w:color="auto"/>
            </w:tcBorders>
            <w:vAlign w:val="center"/>
            <w:hideMark/>
          </w:tcPr>
          <w:p w14:paraId="01C8A82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214</w:t>
            </w:r>
          </w:p>
        </w:tc>
        <w:tc>
          <w:tcPr>
            <w:tcW w:w="855" w:type="dxa"/>
            <w:tcBorders>
              <w:top w:val="nil"/>
              <w:left w:val="nil"/>
              <w:bottom w:val="single" w:sz="8" w:space="0" w:color="auto"/>
              <w:right w:val="double" w:sz="6" w:space="0" w:color="auto"/>
            </w:tcBorders>
            <w:vAlign w:val="center"/>
            <w:hideMark/>
          </w:tcPr>
          <w:p w14:paraId="09E6BF4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524</w:t>
            </w:r>
          </w:p>
        </w:tc>
        <w:tc>
          <w:tcPr>
            <w:tcW w:w="676" w:type="dxa"/>
            <w:tcBorders>
              <w:top w:val="nil"/>
              <w:left w:val="nil"/>
              <w:bottom w:val="single" w:sz="8" w:space="0" w:color="auto"/>
              <w:right w:val="single" w:sz="8" w:space="0" w:color="auto"/>
            </w:tcBorders>
            <w:vAlign w:val="center"/>
            <w:hideMark/>
          </w:tcPr>
          <w:p w14:paraId="7445A11F"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391</w:t>
            </w:r>
          </w:p>
        </w:tc>
        <w:tc>
          <w:tcPr>
            <w:tcW w:w="708" w:type="dxa"/>
            <w:tcBorders>
              <w:top w:val="nil"/>
              <w:left w:val="nil"/>
              <w:bottom w:val="single" w:sz="8" w:space="0" w:color="auto"/>
              <w:right w:val="double" w:sz="6" w:space="0" w:color="auto"/>
            </w:tcBorders>
            <w:vAlign w:val="center"/>
            <w:hideMark/>
          </w:tcPr>
          <w:p w14:paraId="2E43234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853</w:t>
            </w:r>
          </w:p>
        </w:tc>
        <w:tc>
          <w:tcPr>
            <w:tcW w:w="993" w:type="dxa"/>
            <w:tcBorders>
              <w:top w:val="nil"/>
              <w:left w:val="single" w:sz="8" w:space="0" w:color="auto"/>
              <w:bottom w:val="single" w:sz="8" w:space="0" w:color="auto"/>
              <w:right w:val="double" w:sz="6" w:space="0" w:color="auto"/>
            </w:tcBorders>
            <w:vAlign w:val="center"/>
            <w:hideMark/>
          </w:tcPr>
          <w:p w14:paraId="60AD439E"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Annual</w:t>
            </w:r>
          </w:p>
        </w:tc>
        <w:tc>
          <w:tcPr>
            <w:tcW w:w="708" w:type="dxa"/>
            <w:tcBorders>
              <w:top w:val="nil"/>
              <w:left w:val="nil"/>
              <w:bottom w:val="single" w:sz="8" w:space="0" w:color="auto"/>
              <w:right w:val="single" w:sz="8" w:space="0" w:color="auto"/>
            </w:tcBorders>
            <w:vAlign w:val="center"/>
            <w:hideMark/>
          </w:tcPr>
          <w:p w14:paraId="7207E2A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w:t>
            </w:r>
          </w:p>
        </w:tc>
        <w:tc>
          <w:tcPr>
            <w:tcW w:w="567" w:type="dxa"/>
            <w:tcBorders>
              <w:top w:val="nil"/>
              <w:left w:val="nil"/>
              <w:bottom w:val="single" w:sz="8" w:space="0" w:color="auto"/>
              <w:right w:val="double" w:sz="6" w:space="0" w:color="auto"/>
            </w:tcBorders>
            <w:vAlign w:val="center"/>
            <w:hideMark/>
          </w:tcPr>
          <w:p w14:paraId="338F3434"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w:t>
            </w:r>
          </w:p>
        </w:tc>
        <w:tc>
          <w:tcPr>
            <w:tcW w:w="709" w:type="dxa"/>
            <w:tcBorders>
              <w:top w:val="nil"/>
              <w:left w:val="nil"/>
              <w:bottom w:val="single" w:sz="8" w:space="0" w:color="auto"/>
              <w:right w:val="single" w:sz="8" w:space="0" w:color="auto"/>
            </w:tcBorders>
            <w:vAlign w:val="center"/>
            <w:hideMark/>
          </w:tcPr>
          <w:p w14:paraId="17D27B65"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w:t>
            </w:r>
          </w:p>
        </w:tc>
        <w:tc>
          <w:tcPr>
            <w:tcW w:w="738" w:type="dxa"/>
            <w:tcBorders>
              <w:top w:val="nil"/>
              <w:left w:val="nil"/>
              <w:bottom w:val="single" w:sz="8" w:space="0" w:color="auto"/>
              <w:right w:val="double" w:sz="6" w:space="0" w:color="auto"/>
            </w:tcBorders>
            <w:vAlign w:val="center"/>
            <w:hideMark/>
          </w:tcPr>
          <w:p w14:paraId="00D496A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16</w:t>
            </w:r>
          </w:p>
        </w:tc>
        <w:tc>
          <w:tcPr>
            <w:tcW w:w="567" w:type="dxa"/>
            <w:tcBorders>
              <w:top w:val="nil"/>
              <w:left w:val="nil"/>
              <w:bottom w:val="single" w:sz="8" w:space="0" w:color="auto"/>
              <w:right w:val="single" w:sz="8" w:space="0" w:color="auto"/>
            </w:tcBorders>
            <w:vAlign w:val="center"/>
            <w:hideMark/>
          </w:tcPr>
          <w:p w14:paraId="76A3562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12</w:t>
            </w:r>
          </w:p>
        </w:tc>
        <w:tc>
          <w:tcPr>
            <w:tcW w:w="680" w:type="dxa"/>
            <w:tcBorders>
              <w:top w:val="nil"/>
              <w:left w:val="nil"/>
              <w:bottom w:val="single" w:sz="8" w:space="0" w:color="auto"/>
              <w:right w:val="double" w:sz="6" w:space="0" w:color="auto"/>
            </w:tcBorders>
            <w:vAlign w:val="center"/>
            <w:hideMark/>
          </w:tcPr>
          <w:p w14:paraId="732D3B29"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26</w:t>
            </w:r>
          </w:p>
        </w:tc>
      </w:tr>
      <w:tr w:rsidR="005636C7" w14:paraId="42E16474" w14:textId="77777777" w:rsidTr="005636C7">
        <w:trPr>
          <w:trHeight w:val="376"/>
        </w:trPr>
        <w:tc>
          <w:tcPr>
            <w:tcW w:w="1135" w:type="dxa"/>
            <w:tcBorders>
              <w:top w:val="nil"/>
              <w:left w:val="single" w:sz="8" w:space="0" w:color="auto"/>
              <w:bottom w:val="single" w:sz="8" w:space="0" w:color="auto"/>
              <w:right w:val="double" w:sz="6" w:space="0" w:color="auto"/>
            </w:tcBorders>
            <w:vAlign w:val="center"/>
            <w:hideMark/>
          </w:tcPr>
          <w:p w14:paraId="1C6804F1"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9" w:type="dxa"/>
            <w:tcBorders>
              <w:top w:val="nil"/>
              <w:left w:val="nil"/>
              <w:bottom w:val="single" w:sz="8" w:space="0" w:color="auto"/>
              <w:right w:val="single" w:sz="8" w:space="0" w:color="auto"/>
            </w:tcBorders>
            <w:vAlign w:val="center"/>
            <w:hideMark/>
          </w:tcPr>
          <w:p w14:paraId="5D924A0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207</w:t>
            </w:r>
          </w:p>
        </w:tc>
        <w:tc>
          <w:tcPr>
            <w:tcW w:w="708" w:type="dxa"/>
            <w:tcBorders>
              <w:top w:val="nil"/>
              <w:left w:val="nil"/>
              <w:bottom w:val="single" w:sz="8" w:space="0" w:color="auto"/>
              <w:right w:val="double" w:sz="6" w:space="0" w:color="auto"/>
            </w:tcBorders>
            <w:vAlign w:val="center"/>
            <w:hideMark/>
          </w:tcPr>
          <w:p w14:paraId="502F868D"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1,692</w:t>
            </w:r>
          </w:p>
        </w:tc>
        <w:tc>
          <w:tcPr>
            <w:tcW w:w="709" w:type="dxa"/>
            <w:tcBorders>
              <w:top w:val="nil"/>
              <w:left w:val="nil"/>
              <w:bottom w:val="single" w:sz="8" w:space="0" w:color="auto"/>
              <w:right w:val="single" w:sz="8" w:space="0" w:color="auto"/>
            </w:tcBorders>
            <w:vAlign w:val="center"/>
            <w:hideMark/>
          </w:tcPr>
          <w:p w14:paraId="4A49A10B"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734</w:t>
            </w:r>
          </w:p>
        </w:tc>
        <w:tc>
          <w:tcPr>
            <w:tcW w:w="855" w:type="dxa"/>
            <w:tcBorders>
              <w:top w:val="nil"/>
              <w:left w:val="nil"/>
              <w:bottom w:val="single" w:sz="8" w:space="0" w:color="auto"/>
              <w:right w:val="double" w:sz="6" w:space="0" w:color="auto"/>
            </w:tcBorders>
            <w:vAlign w:val="center"/>
            <w:hideMark/>
          </w:tcPr>
          <w:p w14:paraId="05B40A5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4,767</w:t>
            </w:r>
          </w:p>
        </w:tc>
        <w:tc>
          <w:tcPr>
            <w:tcW w:w="676" w:type="dxa"/>
            <w:tcBorders>
              <w:top w:val="nil"/>
              <w:left w:val="nil"/>
              <w:bottom w:val="single" w:sz="8" w:space="0" w:color="auto"/>
              <w:right w:val="single" w:sz="8" w:space="0" w:color="auto"/>
            </w:tcBorders>
            <w:vAlign w:val="center"/>
            <w:hideMark/>
          </w:tcPr>
          <w:p w14:paraId="66FCD822"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1,360</w:t>
            </w:r>
          </w:p>
        </w:tc>
        <w:tc>
          <w:tcPr>
            <w:tcW w:w="708" w:type="dxa"/>
            <w:tcBorders>
              <w:top w:val="nil"/>
              <w:left w:val="nil"/>
              <w:bottom w:val="single" w:sz="8" w:space="0" w:color="auto"/>
              <w:right w:val="double" w:sz="6" w:space="0" w:color="auto"/>
            </w:tcBorders>
            <w:vAlign w:val="center"/>
            <w:hideMark/>
          </w:tcPr>
          <w:p w14:paraId="0CFC833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8,263</w:t>
            </w:r>
          </w:p>
        </w:tc>
        <w:tc>
          <w:tcPr>
            <w:tcW w:w="993" w:type="dxa"/>
            <w:tcBorders>
              <w:top w:val="nil"/>
              <w:left w:val="single" w:sz="8" w:space="0" w:color="auto"/>
              <w:bottom w:val="single" w:sz="8" w:space="0" w:color="auto"/>
              <w:right w:val="double" w:sz="6" w:space="0" w:color="auto"/>
            </w:tcBorders>
            <w:vAlign w:val="center"/>
            <w:hideMark/>
          </w:tcPr>
          <w:p w14:paraId="4E42C04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lang w:val="en-NZ"/>
              </w:rPr>
              <w:t>Cumulative</w:t>
            </w:r>
          </w:p>
        </w:tc>
        <w:tc>
          <w:tcPr>
            <w:tcW w:w="708" w:type="dxa"/>
            <w:tcBorders>
              <w:top w:val="nil"/>
              <w:left w:val="nil"/>
              <w:bottom w:val="single" w:sz="8" w:space="0" w:color="auto"/>
              <w:right w:val="single" w:sz="8" w:space="0" w:color="auto"/>
            </w:tcBorders>
            <w:vAlign w:val="center"/>
            <w:hideMark/>
          </w:tcPr>
          <w:p w14:paraId="71D741D3"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6</w:t>
            </w:r>
          </w:p>
        </w:tc>
        <w:tc>
          <w:tcPr>
            <w:tcW w:w="567" w:type="dxa"/>
            <w:tcBorders>
              <w:top w:val="nil"/>
              <w:left w:val="nil"/>
              <w:bottom w:val="single" w:sz="8" w:space="0" w:color="auto"/>
              <w:right w:val="double" w:sz="6" w:space="0" w:color="auto"/>
            </w:tcBorders>
            <w:vAlign w:val="center"/>
            <w:hideMark/>
          </w:tcPr>
          <w:p w14:paraId="6A053A4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52</w:t>
            </w:r>
          </w:p>
        </w:tc>
        <w:tc>
          <w:tcPr>
            <w:tcW w:w="709" w:type="dxa"/>
            <w:tcBorders>
              <w:top w:val="nil"/>
              <w:left w:val="nil"/>
              <w:bottom w:val="single" w:sz="8" w:space="0" w:color="auto"/>
              <w:right w:val="single" w:sz="8" w:space="0" w:color="auto"/>
            </w:tcBorders>
            <w:vAlign w:val="center"/>
            <w:hideMark/>
          </w:tcPr>
          <w:p w14:paraId="6599B518"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22</w:t>
            </w:r>
          </w:p>
        </w:tc>
        <w:tc>
          <w:tcPr>
            <w:tcW w:w="738" w:type="dxa"/>
            <w:tcBorders>
              <w:top w:val="nil"/>
              <w:left w:val="nil"/>
              <w:bottom w:val="single" w:sz="8" w:space="0" w:color="auto"/>
              <w:right w:val="double" w:sz="6" w:space="0" w:color="auto"/>
            </w:tcBorders>
            <w:vAlign w:val="center"/>
            <w:hideMark/>
          </w:tcPr>
          <w:p w14:paraId="54C54ADC"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147</w:t>
            </w:r>
          </w:p>
        </w:tc>
        <w:tc>
          <w:tcPr>
            <w:tcW w:w="567" w:type="dxa"/>
            <w:tcBorders>
              <w:top w:val="nil"/>
              <w:left w:val="nil"/>
              <w:bottom w:val="single" w:sz="8" w:space="0" w:color="auto"/>
              <w:right w:val="single" w:sz="8" w:space="0" w:color="auto"/>
            </w:tcBorders>
            <w:vAlign w:val="center"/>
            <w:hideMark/>
          </w:tcPr>
          <w:p w14:paraId="2FD5BE67"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41</w:t>
            </w:r>
          </w:p>
        </w:tc>
        <w:tc>
          <w:tcPr>
            <w:tcW w:w="680" w:type="dxa"/>
            <w:tcBorders>
              <w:top w:val="nil"/>
              <w:left w:val="nil"/>
              <w:bottom w:val="single" w:sz="8" w:space="0" w:color="auto"/>
              <w:right w:val="double" w:sz="6" w:space="0" w:color="auto"/>
            </w:tcBorders>
            <w:vAlign w:val="center"/>
            <w:hideMark/>
          </w:tcPr>
          <w:p w14:paraId="35F63F26" w14:textId="77777777" w:rsidR="005636C7" w:rsidRPr="0041262C" w:rsidRDefault="005636C7" w:rsidP="005636C7">
            <w:pPr>
              <w:pStyle w:val="E3tabletext1"/>
              <w:spacing w:line="256" w:lineRule="auto"/>
              <w:rPr>
                <w:rFonts w:ascii="Helvetica" w:hAnsi="Helvetica" w:cs="Helvetica"/>
                <w:color w:val="000000"/>
                <w:lang w:val="en-NZ"/>
              </w:rPr>
            </w:pPr>
            <w:r w:rsidRPr="0041262C">
              <w:rPr>
                <w:rFonts w:ascii="Helvetica" w:hAnsi="Helvetica" w:cs="Helvetica"/>
                <w:color w:val="000000"/>
              </w:rPr>
              <w:t>256</w:t>
            </w:r>
          </w:p>
        </w:tc>
      </w:tr>
    </w:tbl>
    <w:p w14:paraId="5BD79333" w14:textId="77777777" w:rsidR="005636C7" w:rsidRDefault="005636C7" w:rsidP="005636C7">
      <w:pPr>
        <w:pStyle w:val="E3TableTitles"/>
      </w:pPr>
    </w:p>
    <w:p w14:paraId="7836FC4B" w14:textId="77777777" w:rsidR="005636C7" w:rsidRDefault="005636C7" w:rsidP="005636C7">
      <w:pPr>
        <w:pStyle w:val="E3BodyText"/>
        <w:jc w:val="both"/>
      </w:pPr>
      <w:r>
        <w:t>The analysis</w:t>
      </w:r>
      <w:r>
        <w:rPr>
          <w:b/>
        </w:rPr>
        <w:t xml:space="preserve"> </w:t>
      </w:r>
      <w:r>
        <w:t>shows that in both Australia and New Zealand, option 4 has the greatest overall Net Present Value (total benefits less the total costs). In Australia the NPV is estimated to be $1,340 million for option 4, compared with $ 798 million from option 3. The long term energy savings and emission reductions from option 4 in both countries is significant when compared with the other options.</w:t>
      </w:r>
    </w:p>
    <w:p w14:paraId="7079B13E" w14:textId="77777777" w:rsidR="005636C7" w:rsidRDefault="005636C7" w:rsidP="005636C7">
      <w:pPr>
        <w:pStyle w:val="E3BodyText"/>
        <w:jc w:val="both"/>
      </w:pPr>
      <w:r>
        <w:t xml:space="preserve">As </w:t>
      </w:r>
      <w:r w:rsidRPr="0041262C">
        <w:rPr>
          <w:b/>
        </w:rPr>
        <w:t xml:space="preserve">Table </w:t>
      </w:r>
      <w:r>
        <w:rPr>
          <w:b/>
        </w:rPr>
        <w:t>18</w:t>
      </w:r>
      <w:r>
        <w:t xml:space="preserve"> shows, the BCR for option 4 is similar to option 3. While the costs of option 4 are higher the overall benefits from this option are significant and far outweigh the other options.  The NPV for option 4 is far greater than for the other options.</w:t>
      </w:r>
    </w:p>
    <w:p w14:paraId="07919C3A" w14:textId="77777777" w:rsidR="005636C7" w:rsidRDefault="005636C7" w:rsidP="005636C7">
      <w:pPr>
        <w:pStyle w:val="E3BodyText"/>
        <w:jc w:val="both"/>
      </w:pPr>
      <w:r>
        <w:t>The inputs for this analysis have been revised since the Consultation RIS:</w:t>
      </w:r>
    </w:p>
    <w:p w14:paraId="7823048E" w14:textId="77777777" w:rsidR="005636C7" w:rsidRPr="007868C4" w:rsidRDefault="005636C7" w:rsidP="007868C4">
      <w:pPr>
        <w:pStyle w:val="ListBullet"/>
        <w:spacing w:line="276" w:lineRule="auto"/>
        <w:rPr>
          <w:rFonts w:ascii="Georgia" w:hAnsi="Georgia"/>
        </w:rPr>
      </w:pPr>
      <w:r w:rsidRPr="007868C4">
        <w:rPr>
          <w:rFonts w:ascii="Georgia" w:hAnsi="Georgia"/>
        </w:rPr>
        <w:t>The current analysis is for the period 2017 – 2035 (rather than 2014 – 2035).</w:t>
      </w:r>
    </w:p>
    <w:p w14:paraId="7272B138" w14:textId="77777777" w:rsidR="005636C7" w:rsidRPr="007868C4" w:rsidRDefault="005636C7" w:rsidP="007868C4">
      <w:pPr>
        <w:pStyle w:val="ListBullet"/>
        <w:spacing w:line="276" w:lineRule="auto"/>
        <w:rPr>
          <w:rFonts w:ascii="Georgia" w:hAnsi="Georgia"/>
        </w:rPr>
      </w:pPr>
      <w:r w:rsidRPr="007868C4">
        <w:rPr>
          <w:rFonts w:ascii="Georgia" w:hAnsi="Georgia"/>
        </w:rPr>
        <w:t>The efficiency, sales and stock estimates have been updated to 2016 using current data and trends</w:t>
      </w:r>
    </w:p>
    <w:p w14:paraId="3505B871" w14:textId="77777777" w:rsidR="005636C7" w:rsidRPr="007868C4" w:rsidRDefault="005636C7" w:rsidP="007868C4">
      <w:pPr>
        <w:pStyle w:val="ListBullet"/>
        <w:spacing w:line="276" w:lineRule="auto"/>
        <w:rPr>
          <w:rFonts w:ascii="Georgia" w:hAnsi="Georgia"/>
        </w:rPr>
      </w:pPr>
      <w:r w:rsidRPr="007868C4">
        <w:rPr>
          <w:rFonts w:ascii="Georgia" w:hAnsi="Georgia"/>
        </w:rPr>
        <w:t>It takes into account a three year delay in capturing savings – from 2020 (resulting in three years less accumulated savings).</w:t>
      </w:r>
    </w:p>
    <w:p w14:paraId="37818DB6" w14:textId="77777777" w:rsidR="005636C7" w:rsidRPr="007868C4" w:rsidRDefault="005636C7" w:rsidP="007868C4">
      <w:pPr>
        <w:pStyle w:val="ListBullet"/>
        <w:spacing w:line="276" w:lineRule="auto"/>
        <w:rPr>
          <w:rFonts w:ascii="Georgia" w:hAnsi="Georgia"/>
        </w:rPr>
      </w:pPr>
      <w:r w:rsidRPr="007868C4">
        <w:rPr>
          <w:rFonts w:ascii="Georgia" w:hAnsi="Georgia"/>
        </w:rPr>
        <w:t>It now uses the LRMC and wholesale costs of electricity (with the NZ costs assessed at ½ the retail price compared with the whole retail price for Australia).</w:t>
      </w:r>
    </w:p>
    <w:p w14:paraId="00263D9D" w14:textId="77777777" w:rsidR="005636C7" w:rsidRDefault="005636C7" w:rsidP="005636C7">
      <w:pPr>
        <w:pStyle w:val="E3Bullets"/>
        <w:autoSpaceDE/>
        <w:autoSpaceDN/>
        <w:adjustRightInd/>
        <w:spacing w:after="113" w:line="276" w:lineRule="auto"/>
        <w:jc w:val="both"/>
      </w:pPr>
    </w:p>
    <w:p w14:paraId="56164FE1" w14:textId="77777777" w:rsidR="005636C7" w:rsidRDefault="005636C7" w:rsidP="005636C7">
      <w:pPr>
        <w:pStyle w:val="E3Bullets"/>
        <w:autoSpaceDE/>
        <w:autoSpaceDN/>
        <w:adjustRightInd/>
        <w:spacing w:after="40" w:line="276" w:lineRule="auto"/>
        <w:contextualSpacing w:val="0"/>
        <w:jc w:val="both"/>
      </w:pPr>
      <w:r>
        <w:t>In summary, while the BAU and non-regulatory options have been considered, there are benefits to be gained from the regulatory action in options 2, 3 and 4 (including online energy rating information) – in particular, from options 3 and 4:</w:t>
      </w:r>
    </w:p>
    <w:p w14:paraId="31034C26" w14:textId="77777777" w:rsidR="005636C7" w:rsidRPr="007868C4" w:rsidRDefault="005636C7" w:rsidP="007868C4">
      <w:pPr>
        <w:pStyle w:val="ListBullet"/>
        <w:spacing w:line="276" w:lineRule="auto"/>
        <w:rPr>
          <w:rFonts w:ascii="Georgia" w:hAnsi="Georgia"/>
        </w:rPr>
      </w:pPr>
      <w:r w:rsidRPr="007868C4">
        <w:rPr>
          <w:rFonts w:ascii="Georgia" w:hAnsi="Georgia"/>
        </w:rPr>
        <w:t xml:space="preserve">Lowering of energy use and greenhouse emissions. </w:t>
      </w:r>
    </w:p>
    <w:p w14:paraId="668D14C2" w14:textId="77777777" w:rsidR="005636C7" w:rsidRPr="007868C4" w:rsidRDefault="005636C7" w:rsidP="007868C4">
      <w:pPr>
        <w:pStyle w:val="ListBullet"/>
        <w:spacing w:line="276" w:lineRule="auto"/>
        <w:rPr>
          <w:rFonts w:ascii="Georgia" w:hAnsi="Georgia"/>
        </w:rPr>
      </w:pPr>
      <w:r w:rsidRPr="007868C4">
        <w:rPr>
          <w:rFonts w:ascii="Georgia" w:hAnsi="Georgia"/>
        </w:rPr>
        <w:t>Benefits to society from reduced emissions.</w:t>
      </w:r>
    </w:p>
    <w:p w14:paraId="4D625734" w14:textId="77777777" w:rsidR="005636C7" w:rsidRPr="007868C4" w:rsidRDefault="005636C7" w:rsidP="007868C4">
      <w:pPr>
        <w:pStyle w:val="ListBullet"/>
        <w:spacing w:line="276" w:lineRule="auto"/>
        <w:rPr>
          <w:rFonts w:ascii="Georgia" w:hAnsi="Georgia"/>
        </w:rPr>
      </w:pPr>
      <w:r w:rsidRPr="007868C4">
        <w:rPr>
          <w:rFonts w:ascii="Georgia" w:hAnsi="Georgia"/>
        </w:rPr>
        <w:t>Long-term benefits to cabinet users from lower running costs and more efficient cabinets.</w:t>
      </w:r>
    </w:p>
    <w:p w14:paraId="50B841FA" w14:textId="77777777" w:rsidR="005636C7" w:rsidRPr="007868C4" w:rsidRDefault="005636C7" w:rsidP="007868C4">
      <w:pPr>
        <w:pStyle w:val="ListBullet"/>
        <w:spacing w:line="276" w:lineRule="auto"/>
        <w:rPr>
          <w:rFonts w:ascii="Georgia" w:hAnsi="Georgia"/>
        </w:rPr>
      </w:pPr>
      <w:r w:rsidRPr="007868C4">
        <w:rPr>
          <w:rFonts w:ascii="Georgia" w:hAnsi="Georgia"/>
        </w:rPr>
        <w:t>Increased upfront costs (if at all) from improved components will be outweighed by the benefit of increased efficiency.</w:t>
      </w:r>
    </w:p>
    <w:p w14:paraId="47C7F6BA" w14:textId="77777777" w:rsidR="005636C7" w:rsidRPr="007868C4" w:rsidRDefault="005636C7" w:rsidP="007868C4">
      <w:pPr>
        <w:pStyle w:val="ListBullet"/>
        <w:spacing w:line="276" w:lineRule="auto"/>
        <w:rPr>
          <w:rFonts w:ascii="Georgia" w:hAnsi="Georgia"/>
        </w:rPr>
      </w:pPr>
      <w:r w:rsidRPr="007868C4">
        <w:rPr>
          <w:rFonts w:ascii="Georgia" w:hAnsi="Georgia"/>
        </w:rPr>
        <w:t>Labelling to assist buyers to identify and choose more efficient cabinets (and stimulate competition between suppliers).</w:t>
      </w:r>
    </w:p>
    <w:p w14:paraId="09A2F857" w14:textId="77777777" w:rsidR="005636C7" w:rsidRDefault="005636C7" w:rsidP="007868C4">
      <w:pPr>
        <w:pStyle w:val="E3Bullets"/>
        <w:spacing w:before="240" w:after="40"/>
        <w:contextualSpacing w:val="0"/>
        <w:jc w:val="both"/>
      </w:pPr>
      <w:r>
        <w:t>Option 4 (EC MEPS) is the preferred option based on this analysis. Considerable consumer benefits would be gained from:</w:t>
      </w:r>
    </w:p>
    <w:p w14:paraId="4C1DD06F" w14:textId="77777777" w:rsidR="005636C7" w:rsidRPr="007868C4" w:rsidRDefault="005636C7" w:rsidP="007868C4">
      <w:pPr>
        <w:pStyle w:val="ListBullet"/>
        <w:spacing w:line="276" w:lineRule="auto"/>
        <w:rPr>
          <w:rFonts w:ascii="Georgia" w:hAnsi="Georgia"/>
        </w:rPr>
      </w:pPr>
      <w:r w:rsidRPr="007868C4">
        <w:rPr>
          <w:rFonts w:ascii="Georgia" w:hAnsi="Georgia"/>
        </w:rPr>
        <w:t>Addressing the current problems with AS 1731</w:t>
      </w:r>
    </w:p>
    <w:p w14:paraId="2ED22052" w14:textId="77777777" w:rsidR="005636C7" w:rsidRPr="007868C4" w:rsidRDefault="005636C7" w:rsidP="007868C4">
      <w:pPr>
        <w:pStyle w:val="ListBullet"/>
        <w:spacing w:line="276" w:lineRule="auto"/>
        <w:rPr>
          <w:rFonts w:ascii="Georgia" w:hAnsi="Georgia"/>
        </w:rPr>
      </w:pPr>
      <w:r w:rsidRPr="007868C4">
        <w:rPr>
          <w:rFonts w:ascii="Georgia" w:hAnsi="Georgia"/>
        </w:rPr>
        <w:t>Adopting the European test methods, and adopting European MEPS will provide a simpler regime that will be relatively easy to transition to.</w:t>
      </w:r>
    </w:p>
    <w:p w14:paraId="4E2EB624" w14:textId="77777777" w:rsidR="005636C7" w:rsidRPr="007868C4" w:rsidRDefault="005636C7" w:rsidP="007868C4">
      <w:pPr>
        <w:pStyle w:val="ListBullet"/>
        <w:spacing w:line="276" w:lineRule="auto"/>
        <w:rPr>
          <w:rFonts w:ascii="Georgia" w:hAnsi="Georgia"/>
        </w:rPr>
      </w:pPr>
      <w:r w:rsidRPr="007868C4">
        <w:rPr>
          <w:rFonts w:ascii="Georgia" w:hAnsi="Georgia"/>
        </w:rPr>
        <w:t>Resolve issues with scope and compliance and assist market participants to make informed choices as to energy use outcomes.</w:t>
      </w:r>
    </w:p>
    <w:p w14:paraId="710E6070" w14:textId="77777777" w:rsidR="005636C7" w:rsidRDefault="005636C7" w:rsidP="007868C4">
      <w:pPr>
        <w:pStyle w:val="E3BodyText"/>
        <w:spacing w:before="240"/>
        <w:jc w:val="both"/>
      </w:pPr>
      <w:r>
        <w:t>Under option 4, it may cost more to supply models with better components. However, the costs can be spread amongst all types supplied by the importer rather than directed at one model only. The cost to register appliances in Australia may be an initial pressure but once cabinets are registered a different supplier may import the same model without having to re-test and re-register that model.</w:t>
      </w:r>
    </w:p>
    <w:p w14:paraId="4F968EF7" w14:textId="77777777" w:rsidR="005636C7" w:rsidRDefault="005636C7" w:rsidP="005636C7">
      <w:pPr>
        <w:pStyle w:val="E3Heading4"/>
      </w:pPr>
      <w:r>
        <w:t>Local manufacturers</w:t>
      </w:r>
    </w:p>
    <w:p w14:paraId="5DF77152" w14:textId="77777777" w:rsidR="005636C7" w:rsidRDefault="005636C7" w:rsidP="005636C7">
      <w:pPr>
        <w:pStyle w:val="E3Bullets"/>
        <w:spacing w:before="240"/>
        <w:jc w:val="both"/>
      </w:pPr>
      <w:r>
        <w:t>There is a risk that the proposed regulatory changes will result in local manufacturers facing higher compliance costs.  As one stakeholder put it:</w:t>
      </w:r>
    </w:p>
    <w:p w14:paraId="78C33D96" w14:textId="77777777" w:rsidR="005636C7" w:rsidRDefault="005636C7" w:rsidP="005636C7">
      <w:pPr>
        <w:pStyle w:val="E3Bullets"/>
        <w:spacing w:before="240"/>
        <w:jc w:val="both"/>
      </w:pPr>
    </w:p>
    <w:p w14:paraId="751EABC9" w14:textId="77777777" w:rsidR="005636C7" w:rsidRDefault="005636C7" w:rsidP="005636C7">
      <w:pPr>
        <w:pStyle w:val="E3Bullets"/>
        <w:spacing w:before="120"/>
        <w:jc w:val="both"/>
        <w:rPr>
          <w:i/>
        </w:rPr>
      </w:pPr>
      <w:r>
        <w:rPr>
          <w:i/>
        </w:rPr>
        <w:t xml:space="preserve">“…some 97.5% of unit sales are for imported equipment.  Compliance costs for these imported units will be minimal as many of these units are sourced from high volume manufacturers already selling into the Euro market (and therefore already complying with the proposed changes).  The compliance cost for one (our) company alone has been estimated at ($3M).  This massive cost will threaten the future viability of local manufacturing unless significant exemptions are also adopted….” </w:t>
      </w:r>
    </w:p>
    <w:p w14:paraId="34B12772" w14:textId="77777777" w:rsidR="005636C7" w:rsidRDefault="005636C7" w:rsidP="005636C7">
      <w:pPr>
        <w:pStyle w:val="E3Bullets"/>
        <w:spacing w:before="120"/>
        <w:jc w:val="both"/>
        <w:rPr>
          <w:i/>
        </w:rPr>
      </w:pPr>
    </w:p>
    <w:p w14:paraId="0B4309C6" w14:textId="77777777" w:rsidR="005636C7" w:rsidRDefault="005636C7" w:rsidP="005636C7">
      <w:pPr>
        <w:pStyle w:val="E3Bullets"/>
        <w:spacing w:before="120"/>
        <w:jc w:val="both"/>
      </w:pPr>
      <w:r>
        <w:t>When consulted on the Consultation RIS, local manufacturers supported a ‘deemed to comply’ solution as a means of reducing compliance costs.</w:t>
      </w:r>
      <w:r>
        <w:rPr>
          <w:rFonts w:cs="Helvetica"/>
        </w:rPr>
        <w:t xml:space="preserve"> </w:t>
      </w:r>
    </w:p>
    <w:p w14:paraId="25DA9DBD" w14:textId="77777777" w:rsidR="005636C7" w:rsidRDefault="005636C7" w:rsidP="005636C7">
      <w:pPr>
        <w:pStyle w:val="E3Bullets"/>
        <w:spacing w:before="120"/>
        <w:jc w:val="both"/>
      </w:pPr>
      <w:r>
        <w:t>Despite the higher compliance costs involved, local manufacturers support the move to align with international standards in recognition of the comparative benefits involved.  Compliance costs have been factored into the cost benefit analysis.</w:t>
      </w:r>
    </w:p>
    <w:p w14:paraId="4EE226F6" w14:textId="77777777" w:rsidR="005636C7" w:rsidRDefault="005636C7" w:rsidP="005636C7">
      <w:pPr>
        <w:pStyle w:val="E3Bullets"/>
        <w:spacing w:before="120"/>
        <w:jc w:val="both"/>
      </w:pPr>
      <w:r>
        <w:t xml:space="preserve">In response to the concern by local manufacturers at compliance costs, a deemed to comply provision forms part of these regulatory changes.  This will </w:t>
      </w:r>
      <w:r>
        <w:rPr>
          <w:rFonts w:cs="Helvetica"/>
        </w:rPr>
        <w:t xml:space="preserve">help to reduce the cost impacts of the proposal on smaller manufacturers.  It will also assist smaller suppliers to continue to compete based on their ability to serve specific requirements within the commercial cabinet market. See </w:t>
      </w:r>
      <w:r>
        <w:rPr>
          <w:rFonts w:cs="Helvetica"/>
          <w:b/>
        </w:rPr>
        <w:t>Attachment F</w:t>
      </w:r>
      <w:r>
        <w:rPr>
          <w:rFonts w:cs="Helvetica"/>
        </w:rPr>
        <w:t xml:space="preserve"> as to the recommendations made by the Technical Working Group about deemed to comply and other alternative registration channels under these proposals.</w:t>
      </w:r>
    </w:p>
    <w:p w14:paraId="54FD9A43" w14:textId="77777777" w:rsidR="005636C7" w:rsidRDefault="005636C7" w:rsidP="005636C7">
      <w:pPr>
        <w:pStyle w:val="E3Heading4"/>
      </w:pPr>
    </w:p>
    <w:p w14:paraId="2013CF96" w14:textId="77777777" w:rsidR="005636C7" w:rsidRDefault="005636C7" w:rsidP="005636C7">
      <w:pPr>
        <w:pStyle w:val="E3Heading4"/>
      </w:pPr>
      <w:r w:rsidRPr="00AC017B">
        <w:t>Sensitivity analysis – what if costs increase?</w:t>
      </w:r>
    </w:p>
    <w:p w14:paraId="330F7FC4" w14:textId="77777777" w:rsidR="005636C7" w:rsidRDefault="005636C7" w:rsidP="005636C7">
      <w:pPr>
        <w:pStyle w:val="E3BodyText"/>
      </w:pPr>
      <w:r>
        <w:t xml:space="preserve">Various sensitivity analyses were undertaken to show the impact of changing costs on the modelling outcomes. See </w:t>
      </w:r>
      <w:r>
        <w:rPr>
          <w:b/>
        </w:rPr>
        <w:t xml:space="preserve">Attachment C </w:t>
      </w:r>
      <w:r>
        <w:t>for further details as to the cost/benefit results and methodology, including stock modelling and assumptions and sensitivity tests.</w:t>
      </w:r>
    </w:p>
    <w:p w14:paraId="74A5469C" w14:textId="77777777" w:rsidR="005636C7" w:rsidRDefault="005636C7" w:rsidP="005636C7">
      <w:pPr>
        <w:pStyle w:val="E3BodyText"/>
      </w:pPr>
      <w:r>
        <w:t>The sensitivity analysis of option 4 (EC MEPS + online energy rating information from 2019) is representative of all the policy options modelled. It shows that:</w:t>
      </w:r>
    </w:p>
    <w:p w14:paraId="0392C8A9" w14:textId="77777777" w:rsidR="005636C7" w:rsidRPr="007868C4" w:rsidRDefault="005636C7" w:rsidP="007868C4">
      <w:pPr>
        <w:pStyle w:val="ListBullet"/>
        <w:spacing w:line="276" w:lineRule="auto"/>
        <w:rPr>
          <w:rFonts w:ascii="Georgia" w:hAnsi="Georgia"/>
        </w:rPr>
      </w:pPr>
      <w:r w:rsidRPr="007868C4">
        <w:rPr>
          <w:rFonts w:ascii="Georgia" w:hAnsi="Georgia"/>
        </w:rPr>
        <w:t xml:space="preserve">Even if the costs were increased, there is still a substantial national benefit to be gained from reduced running costs for every user, reduced energy use and reductions in greenhouse gas emissions – despite the cost-burden to the number of companies that intervention may affect. </w:t>
      </w:r>
    </w:p>
    <w:p w14:paraId="3128A3C8" w14:textId="77777777" w:rsidR="005636C7" w:rsidRPr="007868C4" w:rsidRDefault="005636C7" w:rsidP="007868C4">
      <w:pPr>
        <w:pStyle w:val="ListBullet"/>
        <w:spacing w:line="276" w:lineRule="auto"/>
        <w:rPr>
          <w:rFonts w:ascii="Georgia" w:hAnsi="Georgia"/>
        </w:rPr>
      </w:pPr>
      <w:r w:rsidRPr="007868C4">
        <w:rPr>
          <w:rFonts w:ascii="Georgia" w:hAnsi="Georgia"/>
        </w:rPr>
        <w:t xml:space="preserve">The return that the government could make if the money were invested instead is far less than that created for society by reduced running costs for every user, reduced energy use, and greenhouse gas reduction. </w:t>
      </w:r>
    </w:p>
    <w:p w14:paraId="7F2005D2" w14:textId="77777777" w:rsidR="005636C7" w:rsidRDefault="005636C7" w:rsidP="007868C4">
      <w:pPr>
        <w:pStyle w:val="E3BodyText"/>
        <w:spacing w:before="240"/>
      </w:pPr>
      <w:r>
        <w:t xml:space="preserve">In the most extreme test situation, where the costs increase by 20% for a 10% increase in efficiency, it is still cost effective to regulate – with a Benefit Cost Ratio of 2.1 in Australia and 1.3 in New Zealand. </w:t>
      </w:r>
    </w:p>
    <w:p w14:paraId="0A8C4526" w14:textId="77777777" w:rsidR="005636C7" w:rsidRDefault="005636C7" w:rsidP="005636C7">
      <w:pPr>
        <w:pStyle w:val="E3BodyText"/>
      </w:pPr>
      <w:r>
        <w:t>The sensitivity of the results was tested under the following cases:</w:t>
      </w:r>
    </w:p>
    <w:p w14:paraId="42458005" w14:textId="77777777" w:rsidR="005636C7" w:rsidRPr="007868C4" w:rsidRDefault="005636C7" w:rsidP="007868C4">
      <w:pPr>
        <w:pStyle w:val="ListBullet"/>
        <w:rPr>
          <w:rFonts w:ascii="Georgia" w:hAnsi="Georgia"/>
        </w:rPr>
      </w:pPr>
      <w:r w:rsidRPr="007868C4">
        <w:rPr>
          <w:rFonts w:ascii="Georgia" w:hAnsi="Georgia"/>
        </w:rPr>
        <w:t xml:space="preserve">Discount rates – </w:t>
      </w:r>
    </w:p>
    <w:p w14:paraId="7F4D2903" w14:textId="77777777" w:rsidR="005636C7" w:rsidRDefault="005636C7" w:rsidP="005636C7">
      <w:pPr>
        <w:pStyle w:val="E3Bullets"/>
        <w:ind w:left="720"/>
      </w:pPr>
      <w:r>
        <w:t>Australia = 0%, 3%, 7%, 11%</w:t>
      </w:r>
    </w:p>
    <w:p w14:paraId="4E2B5931" w14:textId="77777777" w:rsidR="005636C7" w:rsidRDefault="005636C7" w:rsidP="005636C7">
      <w:pPr>
        <w:pStyle w:val="E3Bullets"/>
        <w:ind w:left="720"/>
      </w:pPr>
      <w:r>
        <w:t>New Zealand = 0%, 3%, 6%, 8%</w:t>
      </w:r>
    </w:p>
    <w:p w14:paraId="70098570" w14:textId="77777777" w:rsidR="005636C7" w:rsidRPr="007868C4" w:rsidRDefault="005636C7" w:rsidP="007868C4">
      <w:pPr>
        <w:pStyle w:val="ListBullet"/>
        <w:rPr>
          <w:rFonts w:ascii="Georgia" w:hAnsi="Georgia"/>
        </w:rPr>
      </w:pPr>
      <w:r w:rsidRPr="007868C4">
        <w:rPr>
          <w:rFonts w:ascii="Georgia" w:hAnsi="Georgia"/>
        </w:rPr>
        <w:t>Price efficiency ratios – 0.5, 1.0, 1.5, 2.0</w:t>
      </w:r>
    </w:p>
    <w:p w14:paraId="38511552" w14:textId="77777777" w:rsidR="005636C7" w:rsidRPr="007868C4" w:rsidRDefault="005636C7" w:rsidP="007868C4">
      <w:pPr>
        <w:pStyle w:val="ListBullet"/>
        <w:rPr>
          <w:rFonts w:ascii="Georgia" w:hAnsi="Georgia"/>
        </w:rPr>
      </w:pPr>
      <w:r w:rsidRPr="007868C4">
        <w:rPr>
          <w:rFonts w:ascii="Georgia" w:hAnsi="Georgia"/>
        </w:rPr>
        <w:t xml:space="preserve">Carbon price – </w:t>
      </w:r>
    </w:p>
    <w:p w14:paraId="19ABB98B" w14:textId="77777777" w:rsidR="005636C7" w:rsidRDefault="005636C7" w:rsidP="005636C7">
      <w:pPr>
        <w:pStyle w:val="E3Bullets"/>
        <w:ind w:left="720"/>
      </w:pPr>
      <w:r>
        <w:t>Australia = $0, $11.82, $35</w:t>
      </w:r>
    </w:p>
    <w:p w14:paraId="6BF9B94C" w14:textId="77777777" w:rsidR="005636C7" w:rsidRDefault="005636C7" w:rsidP="005636C7">
      <w:pPr>
        <w:pStyle w:val="E3Bullets"/>
        <w:ind w:left="720"/>
      </w:pPr>
      <w:r>
        <w:t>New Zealand = $0, $25, $50</w:t>
      </w:r>
    </w:p>
    <w:p w14:paraId="66469477" w14:textId="77777777" w:rsidR="005636C7" w:rsidRDefault="005636C7" w:rsidP="005636C7">
      <w:pPr>
        <w:pStyle w:val="E3Bullets"/>
        <w:ind w:left="720"/>
        <w:jc w:val="both"/>
      </w:pPr>
    </w:p>
    <w:p w14:paraId="3CBA7CD0" w14:textId="77777777" w:rsidR="005636C7" w:rsidRDefault="005636C7" w:rsidP="005636C7">
      <w:pPr>
        <w:pStyle w:val="E3Bullets"/>
        <w:ind w:left="720"/>
        <w:jc w:val="both"/>
      </w:pPr>
    </w:p>
    <w:p w14:paraId="1788424B" w14:textId="77777777" w:rsidR="00445E56" w:rsidRDefault="00445E56" w:rsidP="005636C7">
      <w:pPr>
        <w:pStyle w:val="E3Bullets"/>
        <w:ind w:left="720"/>
        <w:jc w:val="both"/>
      </w:pPr>
    </w:p>
    <w:p w14:paraId="5952FA66" w14:textId="77777777" w:rsidR="005636C7" w:rsidRPr="00AC017B" w:rsidRDefault="005636C7" w:rsidP="005636C7">
      <w:pPr>
        <w:pStyle w:val="E3Bullets"/>
        <w:ind w:left="720"/>
        <w:jc w:val="both"/>
      </w:pPr>
      <w:r>
        <w:rPr>
          <w:noProof/>
          <w:lang w:val="en-AU" w:eastAsia="en-AU"/>
        </w:rPr>
        <w:drawing>
          <wp:anchor distT="0" distB="0" distL="114300" distR="114300" simplePos="0" relativeHeight="251665408" behindDoc="1" locked="1" layoutInCell="1" allowOverlap="1" wp14:anchorId="7788630F" wp14:editId="464D414B">
            <wp:simplePos x="0" y="0"/>
            <wp:positionH relativeFrom="margin">
              <wp:align>left</wp:align>
            </wp:positionH>
            <wp:positionV relativeFrom="margin">
              <wp:align>top</wp:align>
            </wp:positionV>
            <wp:extent cx="6124575" cy="1800225"/>
            <wp:effectExtent l="0" t="0" r="9525" b="9525"/>
            <wp:wrapNone/>
            <wp:docPr id="26"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p>
    <w:p w14:paraId="5F5CF5CB" w14:textId="77777777" w:rsidR="005636C7" w:rsidRDefault="005636C7" w:rsidP="005636C7"/>
    <w:p w14:paraId="0C4E4551" w14:textId="77777777" w:rsidR="005636C7" w:rsidRDefault="005636C7" w:rsidP="000F6ACF">
      <w:pPr>
        <w:pStyle w:val="E3ChapterTitle"/>
        <w:numPr>
          <w:ilvl w:val="0"/>
          <w:numId w:val="28"/>
        </w:numPr>
      </w:pPr>
      <w:bookmarkStart w:id="254" w:name="_Toc500151818"/>
      <w:r>
        <w:t>Consultation</w:t>
      </w:r>
      <w:bookmarkEnd w:id="254"/>
    </w:p>
    <w:p w14:paraId="31C5DC5D" w14:textId="77777777" w:rsidR="005636C7" w:rsidRPr="001161F1" w:rsidRDefault="005636C7" w:rsidP="005636C7">
      <w:pPr>
        <w:pStyle w:val="E3BodyText"/>
      </w:pPr>
      <w:r w:rsidRPr="00EA5189">
        <w:t xml:space="preserve">There has been ongoing engagement with industry and stakeholders to obtain feedback on and develop the proposed policy options in relation to commercial refrigeration.  </w:t>
      </w:r>
    </w:p>
    <w:p w14:paraId="0EA3AE82" w14:textId="77777777" w:rsidR="005636C7" w:rsidRPr="0041262C" w:rsidRDefault="005636C7" w:rsidP="005636C7">
      <w:pPr>
        <w:pStyle w:val="E3Heading2"/>
      </w:pPr>
      <w:bookmarkStart w:id="255" w:name="_Toc500151819"/>
      <w:r>
        <w:t>Market Research</w:t>
      </w:r>
      <w:bookmarkEnd w:id="255"/>
    </w:p>
    <w:p w14:paraId="386A7915" w14:textId="77777777" w:rsidR="005636C7" w:rsidRPr="00445E56" w:rsidRDefault="005636C7" w:rsidP="00445E56">
      <w:pPr>
        <w:spacing w:after="113" w:line="278" w:lineRule="auto"/>
        <w:jc w:val="both"/>
        <w:rPr>
          <w:rFonts w:ascii="Georgia" w:eastAsia="Cambria" w:hAnsi="Georgia"/>
          <w:lang w:val="en-US" w:eastAsia="en-US"/>
        </w:rPr>
      </w:pPr>
      <w:r w:rsidRPr="00445E56">
        <w:rPr>
          <w:rFonts w:ascii="Georgia" w:eastAsia="Cambria" w:hAnsi="Georgia"/>
          <w:lang w:val="en-US" w:eastAsia="en-US"/>
        </w:rPr>
        <w:t>A range of market research was carried out by the Australian based consultancy firm, Expert Group in 2013 for the purposes of the Consultation Regulation Impact Statement (Consultation RIS) in both Australia and New Zealand. This included conducting interviews with market participants, desk top research and research obtained from consultants in their previous assignments. The market participants who were interviewed included industry associations, beverage companies, manufacturers, importers and large companies purchasing products for their own use. This process informed the cost benefit analysis by identifying data inputs and assisting with the development of assumptions relevant to the cost benefit analysis.</w:t>
      </w:r>
    </w:p>
    <w:p w14:paraId="67B3FBE2" w14:textId="77777777" w:rsidR="005636C7" w:rsidRPr="00445E56" w:rsidRDefault="005636C7" w:rsidP="00445E56">
      <w:pPr>
        <w:spacing w:after="113" w:line="278" w:lineRule="auto"/>
        <w:jc w:val="both"/>
        <w:rPr>
          <w:rFonts w:ascii="Georgia" w:eastAsia="Cambria" w:hAnsi="Georgia"/>
          <w:lang w:val="en-US" w:eastAsia="en-US"/>
        </w:rPr>
      </w:pPr>
      <w:r w:rsidRPr="00445E56">
        <w:rPr>
          <w:rFonts w:ascii="Georgia" w:eastAsia="Cambria" w:hAnsi="Georgia"/>
          <w:lang w:val="en-US" w:eastAsia="en-US"/>
        </w:rPr>
        <w:t>Market research on product costs involved reviewing online information (i.e. specification and prices) for approximately 30 suppliers across both countries to establish who controlled which products/brands and were importers, manufacturers or both. Further online research involved dissecting other data sources such as MEPS registrations.</w:t>
      </w:r>
      <w:r w:rsidRPr="00445E56">
        <w:rPr>
          <w:rFonts w:ascii="Georgia" w:eastAsia="Cambria" w:hAnsi="Georgia"/>
          <w:lang w:eastAsia="en-US"/>
        </w:rPr>
        <w:footnoteReference w:id="48"/>
      </w:r>
      <w:r w:rsidRPr="00445E56">
        <w:rPr>
          <w:rFonts w:ascii="Georgia" w:eastAsia="Cambria" w:hAnsi="Georgia"/>
          <w:lang w:val="en-US" w:eastAsia="en-US"/>
        </w:rPr>
        <w:t xml:space="preserve"> </w:t>
      </w:r>
    </w:p>
    <w:p w14:paraId="7ED30475" w14:textId="77777777" w:rsidR="005636C7" w:rsidRPr="00DE6ECF" w:rsidRDefault="005636C7" w:rsidP="005636C7">
      <w:pPr>
        <w:pStyle w:val="E3Heading2"/>
        <w:jc w:val="both"/>
      </w:pPr>
      <w:bookmarkStart w:id="256" w:name="_Toc500151820"/>
      <w:r>
        <w:t>Public consultation on the product profile</w:t>
      </w:r>
      <w:bookmarkEnd w:id="256"/>
    </w:p>
    <w:p w14:paraId="005F0A46" w14:textId="77777777" w:rsidR="005636C7" w:rsidRPr="00445E56" w:rsidRDefault="005636C7" w:rsidP="00445E56">
      <w:pPr>
        <w:spacing w:after="113" w:line="278" w:lineRule="auto"/>
        <w:jc w:val="both"/>
        <w:rPr>
          <w:rFonts w:ascii="Georgia" w:eastAsia="Cambria" w:hAnsi="Georgia"/>
          <w:lang w:val="en-US" w:eastAsia="en-US"/>
        </w:rPr>
      </w:pPr>
      <w:r w:rsidRPr="00445E56">
        <w:rPr>
          <w:rFonts w:ascii="Georgia" w:eastAsia="Cambria" w:hAnsi="Georgia"/>
          <w:lang w:val="en-US" w:eastAsia="en-US"/>
        </w:rPr>
        <w:t>Industry feedback and submissions in relation to the product profile supported the proposed regulatory changes:</w:t>
      </w:r>
    </w:p>
    <w:p w14:paraId="5919C604" w14:textId="77777777" w:rsidR="005636C7" w:rsidRPr="00CA6FCF" w:rsidRDefault="005636C7" w:rsidP="00445E56">
      <w:pPr>
        <w:pStyle w:val="E3Bullets"/>
        <w:numPr>
          <w:ilvl w:val="0"/>
          <w:numId w:val="9"/>
        </w:numPr>
        <w:ind w:left="227" w:hanging="227"/>
        <w:jc w:val="both"/>
      </w:pPr>
      <w:r w:rsidRPr="00CA6FCF">
        <w:t>There was consensus that Australia and New Zealand Standards should align with the international test method ISO 23953 for display cabinets, while retaining the option for local standards to be amended.</w:t>
      </w:r>
    </w:p>
    <w:p w14:paraId="4CCE7633" w14:textId="77777777" w:rsidR="005636C7" w:rsidRPr="00CA6FCF" w:rsidRDefault="005636C7" w:rsidP="00445E56">
      <w:pPr>
        <w:pStyle w:val="E3Bullets"/>
        <w:numPr>
          <w:ilvl w:val="0"/>
          <w:numId w:val="9"/>
        </w:numPr>
        <w:ind w:left="227" w:hanging="227"/>
        <w:jc w:val="both"/>
      </w:pPr>
      <w:r w:rsidRPr="00CA6FCF">
        <w:t>All submitters offered support for a ‘deemed to comply’ provision for low volume production of cabinets (which would apply to small production runs and custom made cabinets under the EN approach).</w:t>
      </w:r>
      <w:r w:rsidRPr="00445E56">
        <w:footnoteReference w:id="49"/>
      </w:r>
      <w:r w:rsidRPr="00CA6FCF">
        <w:t xml:space="preserve"> If a ‘deemed to comply’ pathway could be formulated, it would demonstrate compliance with MEPS where testing in a laboratory setting may be too difficult or expensive.  </w:t>
      </w:r>
    </w:p>
    <w:p w14:paraId="27995639" w14:textId="77777777" w:rsidR="005636C7" w:rsidRPr="00CA6FCF" w:rsidRDefault="005636C7" w:rsidP="00445E56">
      <w:pPr>
        <w:pStyle w:val="E3Bullets"/>
        <w:numPr>
          <w:ilvl w:val="0"/>
          <w:numId w:val="9"/>
        </w:numPr>
        <w:ind w:left="227" w:hanging="227"/>
        <w:jc w:val="both"/>
      </w:pPr>
      <w:r w:rsidRPr="00CA6FCF">
        <w:t>There was also support for simplification of the Australasian Standards, with 50-70% of submitters wanting the Standards to be simpler, to align with international standards where practical and to apply to more types of cabinets on the market (without impacting unduly on small-medium enterprises).</w:t>
      </w:r>
    </w:p>
    <w:p w14:paraId="408D9E6D" w14:textId="77777777" w:rsidR="005636C7" w:rsidRPr="00CA6FCF" w:rsidRDefault="005636C7" w:rsidP="00445E56">
      <w:pPr>
        <w:pStyle w:val="E3Bullets"/>
        <w:numPr>
          <w:ilvl w:val="0"/>
          <w:numId w:val="9"/>
        </w:numPr>
        <w:ind w:left="227" w:hanging="227"/>
        <w:jc w:val="both"/>
      </w:pPr>
      <w:r w:rsidRPr="00CA6FCF">
        <w:t>The feedback showed a vast amount of technical knowledge by some manufacturers, who outlined several in</w:t>
      </w:r>
      <w:r>
        <w:t>consistencies with the current s</w:t>
      </w:r>
      <w:r w:rsidRPr="00CA6FCF">
        <w:t>tandard and its interpretation.</w:t>
      </w:r>
    </w:p>
    <w:p w14:paraId="14038DA6" w14:textId="77777777" w:rsidR="005636C7" w:rsidRPr="00CA6FCF" w:rsidRDefault="005636C7" w:rsidP="00445E56">
      <w:pPr>
        <w:pStyle w:val="E3Bullets"/>
        <w:numPr>
          <w:ilvl w:val="0"/>
          <w:numId w:val="9"/>
        </w:numPr>
        <w:ind w:left="227" w:hanging="227"/>
        <w:jc w:val="both"/>
      </w:pPr>
      <w:r w:rsidRPr="00CA6FCF">
        <w:t>All submitters (with the exception of one small company) supported an expansion of measures to cover storage cabinets, including</w:t>
      </w:r>
      <w:r>
        <w:t xml:space="preserve"> MEPS (and therefore the local s</w:t>
      </w:r>
      <w:r w:rsidRPr="00CA6FCF">
        <w:t>tandards), provided there was sufficient lead in time to adapt and find compliant models.</w:t>
      </w:r>
    </w:p>
    <w:p w14:paraId="675DC8CF" w14:textId="77777777" w:rsidR="005636C7" w:rsidRPr="00CA6FCF" w:rsidRDefault="005636C7" w:rsidP="00445E56">
      <w:pPr>
        <w:pStyle w:val="E3Bullets"/>
        <w:numPr>
          <w:ilvl w:val="0"/>
          <w:numId w:val="9"/>
        </w:numPr>
        <w:ind w:left="227" w:hanging="227"/>
        <w:jc w:val="both"/>
      </w:pPr>
      <w:r w:rsidRPr="00CA6FCF">
        <w:t>There was strong support for the need to update and rationalise MEPS. Although there were mixed comments as to what the MEPS levels should be, the industry felt overall  that increased policing of products would make the most difference to cabinet performance (and th</w:t>
      </w:r>
      <w:r>
        <w:t>at to do this effectively, the s</w:t>
      </w:r>
      <w:r w:rsidRPr="00CA6FCF">
        <w:t>tandards needed to be robust).</w:t>
      </w:r>
    </w:p>
    <w:p w14:paraId="13ED8D2F" w14:textId="77777777" w:rsidR="005636C7" w:rsidRPr="00CA6FCF" w:rsidRDefault="005636C7" w:rsidP="00445E56">
      <w:pPr>
        <w:pStyle w:val="E3Bullets"/>
        <w:numPr>
          <w:ilvl w:val="0"/>
          <w:numId w:val="9"/>
        </w:numPr>
        <w:ind w:left="227" w:hanging="227"/>
        <w:jc w:val="both"/>
      </w:pPr>
      <w:r w:rsidRPr="00CA6FCF">
        <w:t>There was broad support for an energy rating label of some kind (preferably in electronic form on-line or in the literature).  No interest was expressed in a mandatory labelling scheme, until issues with the current MEPS or HEPS (High Efficiency Performance Specifications) levels were resolved.</w:t>
      </w:r>
    </w:p>
    <w:p w14:paraId="1B4E11B4" w14:textId="77777777" w:rsidR="005636C7" w:rsidRPr="00CA6FCF" w:rsidRDefault="005636C7" w:rsidP="00445E56">
      <w:pPr>
        <w:pStyle w:val="E3Bullets"/>
        <w:numPr>
          <w:ilvl w:val="0"/>
          <w:numId w:val="9"/>
        </w:numPr>
        <w:ind w:left="227" w:hanging="227"/>
        <w:jc w:val="both"/>
      </w:pPr>
      <w:r w:rsidRPr="00CA6FCF">
        <w:t xml:space="preserve">Suppliers wanted HEPS to relate to MEPS as a fixed proportion. If European MEPS levels and labelling were adopted, HEPS could easily be defined as the top two or three levels on the label. HEPS levels need to cater for different methods of achieving high efficiency. The simplistic labelling method proposed in Europe was likely to be very useful in distinguishing between better performing models and those which are less efficient. </w:t>
      </w:r>
    </w:p>
    <w:p w14:paraId="1D09E0C3" w14:textId="77777777" w:rsidR="005636C7" w:rsidRPr="00CA6FCF" w:rsidRDefault="005636C7" w:rsidP="00445E56">
      <w:pPr>
        <w:pStyle w:val="E3Bullets"/>
        <w:numPr>
          <w:ilvl w:val="0"/>
          <w:numId w:val="9"/>
        </w:numPr>
        <w:ind w:left="227" w:hanging="227"/>
        <w:jc w:val="both"/>
      </w:pPr>
      <w:r w:rsidRPr="00CA6FCF">
        <w:t xml:space="preserve">Labelling needed to be accompanied with education of buyers so they did not simply buy the unit that was labelled as more efficient when a different class (due to temperature of operation, configuration) would use far less electricity. </w:t>
      </w:r>
    </w:p>
    <w:p w14:paraId="1F005F6D" w14:textId="77777777" w:rsidR="005636C7" w:rsidRPr="0046124E" w:rsidRDefault="005636C7" w:rsidP="00445E56">
      <w:pPr>
        <w:pStyle w:val="E3Bullets"/>
        <w:numPr>
          <w:ilvl w:val="0"/>
          <w:numId w:val="9"/>
        </w:numPr>
        <w:ind w:left="227" w:hanging="227"/>
        <w:jc w:val="both"/>
      </w:pPr>
      <w:r w:rsidRPr="00CA6FCF">
        <w:t>Label metrics should be thought through so most models could be compared to each other.</w:t>
      </w:r>
      <w:r w:rsidRPr="0046124E">
        <w:t xml:space="preserve"> There was mixed feeling about the benefit of high efficiency</w:t>
      </w:r>
      <w:r>
        <w:t xml:space="preserve"> </w:t>
      </w:r>
      <w:r w:rsidRPr="0046124E">
        <w:t>endorsement labelling, given the apparent lack of attention by buyers to energy use.</w:t>
      </w:r>
    </w:p>
    <w:p w14:paraId="6C59901E" w14:textId="77777777" w:rsidR="005636C7" w:rsidRDefault="005636C7" w:rsidP="005636C7">
      <w:pPr>
        <w:pStyle w:val="E3BodyText"/>
        <w:jc w:val="both"/>
        <w:rPr>
          <w:sz w:val="28"/>
          <w:szCs w:val="28"/>
        </w:rPr>
      </w:pPr>
      <w:r w:rsidRPr="00AC7259">
        <w:t xml:space="preserve">Several suppliers commented that they wanted beverage vending machines to be investigated for MEPS. </w:t>
      </w:r>
      <w:r>
        <w:t>T</w:t>
      </w:r>
      <w:r w:rsidRPr="00AC7259">
        <w:t xml:space="preserve">hese </w:t>
      </w:r>
      <w:r>
        <w:t xml:space="preserve">products </w:t>
      </w:r>
      <w:r w:rsidRPr="00AC7259">
        <w:t>are out</w:t>
      </w:r>
      <w:r>
        <w:t>side</w:t>
      </w:r>
      <w:r w:rsidRPr="00AC7259">
        <w:t xml:space="preserve"> </w:t>
      </w:r>
      <w:r>
        <w:t xml:space="preserve">the </w:t>
      </w:r>
      <w:r w:rsidRPr="00AC7259">
        <w:t xml:space="preserve">scope </w:t>
      </w:r>
      <w:r>
        <w:t xml:space="preserve">of </w:t>
      </w:r>
      <w:r w:rsidRPr="00AC7259">
        <w:t>this RIS, although they are included</w:t>
      </w:r>
      <w:r>
        <w:t xml:space="preserve"> in the EC MEPS levels and ISO S</w:t>
      </w:r>
      <w:r w:rsidRPr="00AC7259">
        <w:t xml:space="preserve">tandard for display cabinets. This is because previous investigation in Australia and New Zealand showed that the fleet was dominated by efficient models, through excellent industry initiatives. </w:t>
      </w:r>
      <w:r>
        <w:t>T</w:t>
      </w:r>
      <w:r w:rsidRPr="00AC7259">
        <w:t xml:space="preserve">he need for </w:t>
      </w:r>
      <w:r w:rsidRPr="00AC7259">
        <w:rPr>
          <w:i/>
        </w:rPr>
        <w:t>regulatory</w:t>
      </w:r>
      <w:r w:rsidRPr="00AC7259">
        <w:t xml:space="preserve"> intervention was </w:t>
      </w:r>
      <w:r>
        <w:t xml:space="preserve">therefore </w:t>
      </w:r>
      <w:r w:rsidRPr="00AC7259">
        <w:t xml:space="preserve">comparatively low. </w:t>
      </w:r>
      <w:r>
        <w:t xml:space="preserve">The need to implement </w:t>
      </w:r>
      <w:r w:rsidRPr="00AC7259">
        <w:t xml:space="preserve">MEPS for </w:t>
      </w:r>
      <w:r>
        <w:t xml:space="preserve">beverage vending machines may be investigated </w:t>
      </w:r>
      <w:r w:rsidRPr="00AC7259">
        <w:t xml:space="preserve">at a later date if </w:t>
      </w:r>
      <w:r>
        <w:t xml:space="preserve">it becomes clear </w:t>
      </w:r>
      <w:r w:rsidRPr="00AC7259">
        <w:t>that industry is no longer driving the need for highly efficient models.</w:t>
      </w:r>
    </w:p>
    <w:p w14:paraId="42FABF97" w14:textId="77777777" w:rsidR="005636C7" w:rsidRPr="000F7C92" w:rsidRDefault="005636C7" w:rsidP="005636C7">
      <w:pPr>
        <w:pStyle w:val="E3BodyText"/>
        <w:spacing w:before="360"/>
        <w:jc w:val="both"/>
        <w:rPr>
          <w:rFonts w:ascii="Helvetica" w:hAnsi="Helvetica" w:cs="Arial"/>
          <w:b/>
          <w:color w:val="000000" w:themeColor="text1"/>
          <w:sz w:val="32"/>
          <w:szCs w:val="26"/>
        </w:rPr>
      </w:pPr>
      <w:r w:rsidRPr="000F7C92">
        <w:rPr>
          <w:rFonts w:ascii="Helvetica" w:hAnsi="Helvetica" w:cs="Arial"/>
          <w:b/>
          <w:color w:val="000000" w:themeColor="text1"/>
          <w:sz w:val="32"/>
          <w:szCs w:val="26"/>
        </w:rPr>
        <w:t>Consultation RIS: submissions and consultation meetings</w:t>
      </w:r>
    </w:p>
    <w:p w14:paraId="2894E4E4" w14:textId="77777777" w:rsidR="005636C7" w:rsidRDefault="005636C7" w:rsidP="005636C7">
      <w:pPr>
        <w:pStyle w:val="E3BodyText"/>
        <w:jc w:val="both"/>
      </w:pPr>
      <w:r>
        <w:t>In July 2016 the Equipment Efficiency Committee (E3) released the Consultation RIS in relation to Refrigerated display and storage cabinets.</w:t>
      </w:r>
      <w:r w:rsidRPr="00B75722">
        <w:t xml:space="preserve"> </w:t>
      </w:r>
      <w:r>
        <w:t>Consultation meetings were held on 9 August 2016 in Melbourne, 10 August in Sydney and 11 August in Brisbane. A further meeting was held in Auckland on 19 August.  A phone conference involving one Australian company and one regulator also took place on 24 August.</w:t>
      </w:r>
      <w:r w:rsidRPr="00B75722">
        <w:t xml:space="preserve"> </w:t>
      </w:r>
    </w:p>
    <w:p w14:paraId="731DBAEB" w14:textId="34842EBD" w:rsidR="005636C7" w:rsidRDefault="005636C7" w:rsidP="005636C7">
      <w:pPr>
        <w:pStyle w:val="E3Bullets"/>
        <w:spacing w:before="120"/>
        <w:contextualSpacing w:val="0"/>
        <w:jc w:val="both"/>
      </w:pPr>
      <w:r>
        <w:t>The consultation meetings were attended by 44 companies and 57 industry representatives, comprising local and national energy regulators and electrical safety regulators from Australia and New Zealand. There were 21 submissions in total, ranging from very comprehensive submiss</w:t>
      </w:r>
      <w:r w:rsidR="008A758E">
        <w:t>ions to those that focu</w:t>
      </w:r>
      <w:r>
        <w:t>sed on key issues for the submitter.</w:t>
      </w:r>
      <w:r>
        <w:rPr>
          <w:rStyle w:val="FootnoteReference"/>
        </w:rPr>
        <w:footnoteReference w:id="50"/>
      </w:r>
      <w:r>
        <w:t xml:space="preserve">  </w:t>
      </w:r>
    </w:p>
    <w:p w14:paraId="5698BD22" w14:textId="77777777" w:rsidR="005636C7" w:rsidRDefault="005636C7" w:rsidP="005636C7">
      <w:pPr>
        <w:pStyle w:val="E3Bullets"/>
        <w:spacing w:before="240" w:after="240"/>
        <w:contextualSpacing w:val="0"/>
        <w:jc w:val="both"/>
      </w:pPr>
      <w:r>
        <w:t xml:space="preserve">The E3 committee conducted the consultations and sought formal submissions on the modelling and assumptions used to determine energy use in the sector.  The committee also invited feedback on the policy options presented in the Consultation RIS to improve existing levels of energy efficiency and performance and to reduce greenhouse gas emissions. </w:t>
      </w:r>
    </w:p>
    <w:p w14:paraId="3C9CB39E" w14:textId="77777777" w:rsidR="005636C7" w:rsidRDefault="005636C7" w:rsidP="005636C7">
      <w:pPr>
        <w:pStyle w:val="E3Bullets"/>
        <w:spacing w:before="120"/>
        <w:contextualSpacing w:val="0"/>
        <w:jc w:val="both"/>
      </w:pPr>
      <w:r>
        <w:t>Overall the feedback obtained from the consultation meetings and submissions was supportive of the key aspects of the policy proposals and reflected earlier feedback:</w:t>
      </w:r>
    </w:p>
    <w:p w14:paraId="62A38E50" w14:textId="77777777" w:rsidR="005636C7" w:rsidRPr="008A758E" w:rsidRDefault="005636C7" w:rsidP="008A758E">
      <w:pPr>
        <w:pStyle w:val="ListBullet"/>
        <w:spacing w:line="360" w:lineRule="auto"/>
        <w:rPr>
          <w:rFonts w:ascii="Georgia" w:hAnsi="Georgia"/>
        </w:rPr>
      </w:pPr>
      <w:r w:rsidRPr="008A758E">
        <w:rPr>
          <w:rFonts w:ascii="Georgia" w:hAnsi="Georgia"/>
        </w:rPr>
        <w:t>There was almost unanimous industry support for aligning with ISO 23953.  There was also general industry support for adopting the EN test methods, subject to local variations and further time to review them.</w:t>
      </w:r>
    </w:p>
    <w:p w14:paraId="37976BB4" w14:textId="77777777" w:rsidR="005636C7" w:rsidRPr="008A758E" w:rsidRDefault="005636C7" w:rsidP="008A758E">
      <w:pPr>
        <w:pStyle w:val="ListBullet"/>
        <w:spacing w:before="240" w:line="360" w:lineRule="auto"/>
        <w:rPr>
          <w:rFonts w:ascii="Georgia" w:hAnsi="Georgia"/>
        </w:rPr>
      </w:pPr>
      <w:r w:rsidRPr="008A758E">
        <w:rPr>
          <w:rFonts w:ascii="Georgia" w:hAnsi="Georgia"/>
        </w:rPr>
        <w:t>Many commented that they supported option 4 in the Consultation RIS (adopting the ISO and EN test methods, and the EC MEPS levels posed per group, with online energy rating information added), as the best policy proposal to achieve this.</w:t>
      </w:r>
      <w:r w:rsidRPr="008A758E">
        <w:rPr>
          <w:rStyle w:val="FootnoteReference"/>
          <w:rFonts w:ascii="Georgia" w:hAnsi="Georgia"/>
        </w:rPr>
        <w:footnoteReference w:id="51"/>
      </w:r>
    </w:p>
    <w:p w14:paraId="470BADA9" w14:textId="77777777" w:rsidR="005636C7" w:rsidRPr="008A758E" w:rsidRDefault="005636C7" w:rsidP="008A758E">
      <w:pPr>
        <w:pStyle w:val="ListBullet"/>
        <w:spacing w:before="240" w:line="360" w:lineRule="auto"/>
        <w:rPr>
          <w:rFonts w:ascii="Georgia" w:hAnsi="Georgia"/>
        </w:rPr>
      </w:pPr>
      <w:r w:rsidRPr="008A758E">
        <w:rPr>
          <w:rFonts w:ascii="Georgia" w:hAnsi="Georgia"/>
        </w:rPr>
        <w:t>All submitters (with the exception of one small company) supported the extension of the proposed regulatory measures to cover storage cabinets.</w:t>
      </w:r>
    </w:p>
    <w:p w14:paraId="2611FAFF" w14:textId="77777777" w:rsidR="005636C7" w:rsidRPr="008A758E" w:rsidRDefault="005636C7" w:rsidP="008A758E">
      <w:pPr>
        <w:pStyle w:val="ListBullet"/>
        <w:spacing w:line="360" w:lineRule="auto"/>
        <w:rPr>
          <w:rFonts w:ascii="Georgia" w:hAnsi="Georgia"/>
        </w:rPr>
      </w:pPr>
      <w:r w:rsidRPr="008A758E">
        <w:rPr>
          <w:rFonts w:ascii="Georgia" w:hAnsi="Georgia"/>
        </w:rPr>
        <w:t>The majority supported a move to harmonise with EU efficiency levels, with industry requiring staggered implementation dates and 3 years notice to prepare for any major design changes.</w:t>
      </w:r>
      <w:r w:rsidRPr="008A758E">
        <w:rPr>
          <w:rStyle w:val="FootnoteReference"/>
          <w:rFonts w:ascii="Georgia" w:hAnsi="Georgia"/>
        </w:rPr>
        <w:footnoteReference w:id="52"/>
      </w:r>
    </w:p>
    <w:p w14:paraId="1AD6D0DF"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All of the key industry associations and large local manufacturers supported a deemed to comply option. This option was regarded as particularly important for local manufacturers. A Deemed to Comply path to compliance required a clear definition of the specific types of product covered and the maximum quantity permitted. </w:t>
      </w:r>
    </w:p>
    <w:p w14:paraId="3E17B262" w14:textId="77777777" w:rsidR="005636C7" w:rsidRPr="008A758E" w:rsidRDefault="005636C7" w:rsidP="008A758E">
      <w:pPr>
        <w:pStyle w:val="ListBullet"/>
        <w:spacing w:line="360" w:lineRule="auto"/>
        <w:rPr>
          <w:rFonts w:ascii="Georgia" w:hAnsi="Georgia"/>
        </w:rPr>
      </w:pPr>
      <w:r w:rsidRPr="008A758E">
        <w:rPr>
          <w:rFonts w:ascii="Georgia" w:hAnsi="Georgia"/>
        </w:rPr>
        <w:t>Local manufacturers submitted that a revised registration and compliance regime was required to reduce costs and enable them to compete in the market. The modelling and Cost Benefit Analysis should be revised to take into account these factors. It was further submitted that E3 should consider a review of the testing, compliance and registration process to address these issues, in conjunction with the associated Deemed to Comply option.</w:t>
      </w:r>
    </w:p>
    <w:p w14:paraId="2E233C5C"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While feedback in 2013 had indicated support for a mandatory energy rating label (preferably online or in the literature), submitters expressed concern at the additional cost of physical labels.  These were considered to have minimal benefit given the purchasing decision or product comparison is not made in the showroom.  There was support for voluntary online labelling (through product literature and websites) and for EU labelling. In addition to labelling, submitters considered an ongoing education and information campaign would assist buyers to optimise their ownership costs. </w:t>
      </w:r>
    </w:p>
    <w:p w14:paraId="18CF5856" w14:textId="77777777" w:rsidR="005636C7" w:rsidRPr="008A758E" w:rsidRDefault="005636C7" w:rsidP="008A758E">
      <w:pPr>
        <w:pStyle w:val="ListBullet"/>
        <w:spacing w:line="360" w:lineRule="auto"/>
        <w:rPr>
          <w:rFonts w:ascii="Georgia" w:hAnsi="Georgia"/>
        </w:rPr>
      </w:pPr>
      <w:r w:rsidRPr="008A758E">
        <w:rPr>
          <w:rFonts w:ascii="Georgia" w:hAnsi="Georgia"/>
        </w:rPr>
        <w:t>More generally, there was concern at the significant number of free riders within the market that are avoiding meeting regulatory requirements. There is a need for a reduction in compliance costs and an increase in incentives for products who find testing and registration costs prohibitive. There should also be increased monitoring and enforcement to ensure compliance. Increased compliance would result from modified test methods and facilities, including software simulation which assist with low volume models, and large products that cannot fit in a test room.</w:t>
      </w:r>
    </w:p>
    <w:p w14:paraId="657C9695" w14:textId="77777777" w:rsidR="005636C7" w:rsidRPr="00CA6FCF" w:rsidRDefault="005636C7" w:rsidP="005636C7">
      <w:pPr>
        <w:pStyle w:val="E3Bullets"/>
        <w:spacing w:before="160" w:after="80"/>
        <w:contextualSpacing w:val="0"/>
        <w:jc w:val="both"/>
      </w:pPr>
      <w:r w:rsidRPr="00CA6FCF">
        <w:t>Common themes were raised in the consultation discussions:</w:t>
      </w:r>
    </w:p>
    <w:p w14:paraId="77A9CCEF" w14:textId="77777777" w:rsidR="005636C7" w:rsidRPr="008A758E" w:rsidRDefault="005636C7" w:rsidP="008A758E">
      <w:pPr>
        <w:pStyle w:val="ListBullet"/>
        <w:spacing w:line="360" w:lineRule="auto"/>
        <w:rPr>
          <w:rFonts w:ascii="Georgia" w:hAnsi="Georgia"/>
        </w:rPr>
      </w:pPr>
      <w:r w:rsidRPr="008A758E">
        <w:rPr>
          <w:rFonts w:ascii="Georgia" w:hAnsi="Georgia"/>
        </w:rPr>
        <w:t>There was provisional support for aligning with ISO/EN Standards, pending standards comparison.</w:t>
      </w:r>
    </w:p>
    <w:p w14:paraId="4827E1DD" w14:textId="77777777" w:rsidR="005636C7" w:rsidRPr="008A758E" w:rsidRDefault="005636C7" w:rsidP="008A758E">
      <w:pPr>
        <w:pStyle w:val="ListBullet"/>
        <w:spacing w:line="360" w:lineRule="auto"/>
        <w:rPr>
          <w:rFonts w:ascii="Georgia" w:hAnsi="Georgia"/>
        </w:rPr>
      </w:pPr>
      <w:r w:rsidRPr="008A758E">
        <w:rPr>
          <w:rFonts w:ascii="Georgia" w:hAnsi="Georgia"/>
        </w:rPr>
        <w:t>It was agreed that physical labels are impractical and voluntary/electronic “online” labelling and auto-population of the Energy rating website is preferable. The European label could be useful to differentiate the appliance from a domestic fridge but would need to include extra information such as annual running cost.</w:t>
      </w:r>
    </w:p>
    <w:p w14:paraId="3D10AAA2"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There was support for the Deemed to Comply option, with suggestions made as to how this may operate in practice. </w:t>
      </w:r>
    </w:p>
    <w:p w14:paraId="436EF067" w14:textId="77777777" w:rsidR="005636C7" w:rsidRPr="008A758E" w:rsidRDefault="005636C7" w:rsidP="008A758E">
      <w:pPr>
        <w:pStyle w:val="ListBullet"/>
        <w:spacing w:line="360" w:lineRule="auto"/>
        <w:rPr>
          <w:rFonts w:ascii="Georgia" w:hAnsi="Georgia"/>
        </w:rPr>
      </w:pPr>
      <w:r w:rsidRPr="008A758E">
        <w:rPr>
          <w:rFonts w:ascii="Georgia" w:hAnsi="Georgia"/>
        </w:rPr>
        <w:t>There was concern about the current level of compliance and enforcement, including a lack of registrations and the availability of products that do not comply with MEPS.  Australian and New Zealand stakeholders encouraged more visibility and action in this area by government.</w:t>
      </w:r>
    </w:p>
    <w:p w14:paraId="12097A4F" w14:textId="77777777" w:rsidR="005636C7" w:rsidRDefault="005636C7" w:rsidP="005636C7">
      <w:pPr>
        <w:pStyle w:val="E3Bullets"/>
        <w:autoSpaceDE/>
        <w:autoSpaceDN/>
        <w:adjustRightInd/>
        <w:spacing w:before="160" w:after="80" w:line="278" w:lineRule="auto"/>
        <w:ind w:left="227" w:hanging="227"/>
        <w:contextualSpacing w:val="0"/>
        <w:jc w:val="both"/>
      </w:pPr>
      <w:r>
        <w:t>Other points discussed at the sessions were:</w:t>
      </w:r>
    </w:p>
    <w:p w14:paraId="10A5E8D7" w14:textId="77777777" w:rsidR="005636C7" w:rsidRPr="008A758E" w:rsidRDefault="005636C7" w:rsidP="008A758E">
      <w:pPr>
        <w:pStyle w:val="ListBullet"/>
        <w:spacing w:line="360" w:lineRule="auto"/>
        <w:rPr>
          <w:rFonts w:ascii="Georgia" w:hAnsi="Georgia"/>
        </w:rPr>
      </w:pPr>
      <w:r w:rsidRPr="008A758E">
        <w:rPr>
          <w:rFonts w:ascii="Georgia" w:hAnsi="Georgia"/>
        </w:rPr>
        <w:t xml:space="preserve">Redefining a ‘family’ of cabinets would simplify compliance and permit multiple individual energy performance registrations under one fee.  This would also alleviate some of the current compliance issues, including the high GEMS registration fee per model in Australia which is a significant barrier to registration. </w:t>
      </w:r>
    </w:p>
    <w:p w14:paraId="47E2462A" w14:textId="77777777" w:rsidR="005636C7" w:rsidRPr="00CA6FCF" w:rsidRDefault="005636C7" w:rsidP="008A758E">
      <w:pPr>
        <w:pStyle w:val="ListBullet"/>
        <w:spacing w:line="360" w:lineRule="auto"/>
      </w:pPr>
      <w:r w:rsidRPr="008A758E">
        <w:rPr>
          <w:rFonts w:ascii="Georgia" w:hAnsi="Georgia"/>
        </w:rPr>
        <w:t>There was a need for definitions which clearly distinguish between commercial display and domestic fridges, as the boundaries between them are confusing</w:t>
      </w:r>
      <w:r w:rsidRPr="00CA6FCF">
        <w:t>.</w:t>
      </w:r>
      <w:r w:rsidRPr="00CA6FCF">
        <w:rPr>
          <w:rStyle w:val="FootnoteReference"/>
        </w:rPr>
        <w:footnoteReference w:id="53"/>
      </w:r>
    </w:p>
    <w:p w14:paraId="4EAA8CBA" w14:textId="77777777" w:rsidR="005636C7" w:rsidRPr="00DF4AEC" w:rsidRDefault="005636C7" w:rsidP="005636C7">
      <w:pPr>
        <w:pStyle w:val="E3Bullets"/>
        <w:ind w:left="717"/>
        <w:jc w:val="both"/>
      </w:pPr>
    </w:p>
    <w:p w14:paraId="7FE5A2BE" w14:textId="77777777" w:rsidR="005636C7" w:rsidRDefault="005636C7" w:rsidP="005636C7">
      <w:pPr>
        <w:pStyle w:val="E3Heading2"/>
        <w:jc w:val="both"/>
      </w:pPr>
      <w:bookmarkStart w:id="257" w:name="_Toc500151821"/>
      <w:r w:rsidRPr="0041262C">
        <w:t>Technical</w:t>
      </w:r>
      <w:r>
        <w:t xml:space="preserve"> </w:t>
      </w:r>
      <w:r w:rsidRPr="0041262C">
        <w:t>Working Group: recommendations</w:t>
      </w:r>
      <w:bookmarkEnd w:id="257"/>
    </w:p>
    <w:p w14:paraId="27A157CC" w14:textId="77777777" w:rsidR="005636C7" w:rsidRDefault="005636C7" w:rsidP="005636C7">
      <w:pPr>
        <w:pStyle w:val="E3Bullets"/>
        <w:spacing w:before="240"/>
        <w:contextualSpacing w:val="0"/>
        <w:jc w:val="both"/>
      </w:pPr>
      <w:r>
        <w:t>A trans-Tasman Technical Working Group (TWG) was convened following consultation on the Consultation RIS, comprised of experienced industry members, regulators and independent experts from Australia and New Zealand</w:t>
      </w:r>
      <w:r w:rsidRPr="001D6F0C">
        <w:t xml:space="preserve"> </w:t>
      </w:r>
      <w:r>
        <w:t xml:space="preserve">.The group has considered the changes that are needed to the proposed standards to implement the proposals in this RIS.  The TWG has identified the steps required to adapt test standards and EU regulations for the Australasian market. </w:t>
      </w:r>
    </w:p>
    <w:p w14:paraId="73B201DA" w14:textId="77777777" w:rsidR="005636C7" w:rsidRDefault="005636C7" w:rsidP="005636C7">
      <w:pPr>
        <w:pStyle w:val="E3Bullets"/>
        <w:spacing w:before="240"/>
        <w:contextualSpacing w:val="0"/>
        <w:jc w:val="both"/>
      </w:pPr>
      <w:r>
        <w:t xml:space="preserve">The group has also considered other technical issues raised by the consultation process, including product definitions and the alternative registration pathways of Deemed to Comply and families of cabinet. </w:t>
      </w:r>
    </w:p>
    <w:p w14:paraId="0EFDF2BF" w14:textId="77777777" w:rsidR="005636C7" w:rsidRDefault="005636C7" w:rsidP="005636C7">
      <w:pPr>
        <w:pStyle w:val="E3Bullets"/>
        <w:spacing w:before="240"/>
        <w:contextualSpacing w:val="0"/>
        <w:jc w:val="both"/>
      </w:pPr>
      <w:r>
        <w:t xml:space="preserve">The TWG has made a number of recommendations as to the steps required to adopt or align with the European Standards and EU MEPS levels. See </w:t>
      </w:r>
      <w:r>
        <w:rPr>
          <w:b/>
        </w:rPr>
        <w:t xml:space="preserve">Attachment F </w:t>
      </w:r>
      <w:r>
        <w:t>for more information about the TWG and a summary of their recommendations.</w:t>
      </w:r>
    </w:p>
    <w:p w14:paraId="3F564840" w14:textId="77777777" w:rsidR="005636C7" w:rsidRDefault="005636C7" w:rsidP="005636C7">
      <w:pPr>
        <w:pStyle w:val="E3Bullets"/>
        <w:spacing w:before="240"/>
        <w:contextualSpacing w:val="0"/>
        <w:jc w:val="both"/>
      </w:pPr>
      <w:r>
        <w:t xml:space="preserve">Feedback was sought from industry in relation to the summary of recommendations made by the technical working group. Two submissions were received from one large and one small supplier. The first of these was broadly in agreement with the proposals with points of clarification raised around the ‘families’ definition, and the deemed to comply methodology. EECA and E3 will clarify these technical matters as part of the implementation process.   </w:t>
      </w:r>
    </w:p>
    <w:p w14:paraId="6C1EA84C" w14:textId="77777777" w:rsidR="005636C7" w:rsidRDefault="005636C7" w:rsidP="005636C7">
      <w:pPr>
        <w:tabs>
          <w:tab w:val="left" w:pos="1680"/>
        </w:tabs>
      </w:pPr>
    </w:p>
    <w:p w14:paraId="6F2B5EC6" w14:textId="77777777" w:rsidR="005636C7" w:rsidRDefault="005636C7" w:rsidP="000F6ACF">
      <w:pPr>
        <w:pStyle w:val="E3ChapterTitle"/>
        <w:numPr>
          <w:ilvl w:val="0"/>
          <w:numId w:val="28"/>
        </w:numPr>
      </w:pPr>
      <w:bookmarkStart w:id="258" w:name="_Toc500151822"/>
      <w:r w:rsidRPr="00CC1A0A">
        <w:rPr>
          <w:noProof/>
          <w:lang w:eastAsia="en-AU"/>
        </w:rPr>
        <w:drawing>
          <wp:anchor distT="0" distB="0" distL="114300" distR="114300" simplePos="0" relativeHeight="251666432" behindDoc="1" locked="1" layoutInCell="1" allowOverlap="1" wp14:anchorId="1CCEA40E" wp14:editId="3E785D57">
            <wp:simplePos x="0" y="0"/>
            <wp:positionH relativeFrom="margin">
              <wp:posOffset>-285750</wp:posOffset>
            </wp:positionH>
            <wp:positionV relativeFrom="margin">
              <wp:posOffset>-610235</wp:posOffset>
            </wp:positionV>
            <wp:extent cx="6124575" cy="1800225"/>
            <wp:effectExtent l="0" t="0" r="9525" b="9525"/>
            <wp:wrapNone/>
            <wp:docPr id="2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rsidRPr="00CC1A0A">
        <w:t>Conclu</w:t>
      </w:r>
      <w:r>
        <w:t>sion</w:t>
      </w:r>
      <w:bookmarkEnd w:id="258"/>
    </w:p>
    <w:p w14:paraId="6DDFB2CF" w14:textId="77777777" w:rsidR="005636C7" w:rsidRPr="006D0D3C" w:rsidRDefault="005636C7" w:rsidP="005636C7">
      <w:pPr>
        <w:pStyle w:val="E3Heading2"/>
      </w:pPr>
      <w:bookmarkStart w:id="259" w:name="_Toc500151823"/>
      <w:r w:rsidRPr="006D0D3C">
        <w:t>Recommended option</w:t>
      </w:r>
      <w:bookmarkEnd w:id="259"/>
    </w:p>
    <w:p w14:paraId="39DBAA28" w14:textId="77777777" w:rsidR="005636C7" w:rsidRPr="003F6F57" w:rsidRDefault="005636C7" w:rsidP="005636C7">
      <w:pPr>
        <w:pStyle w:val="E3BodyText"/>
        <w:jc w:val="both"/>
      </w:pPr>
      <w:r>
        <w:t xml:space="preserve">Option 4 is the recommended policy option. </w:t>
      </w:r>
      <w:r w:rsidRPr="003F6F57">
        <w:t xml:space="preserve">This option involves </w:t>
      </w:r>
      <w:r>
        <w:t xml:space="preserve">aligning with the European approach by </w:t>
      </w:r>
      <w:r w:rsidRPr="003F6F57">
        <w:t xml:space="preserve">adopting the </w:t>
      </w:r>
      <w:r>
        <w:t xml:space="preserve">European Standard </w:t>
      </w:r>
      <w:r w:rsidRPr="003F6F57">
        <w:t xml:space="preserve">ISO 23953 </w:t>
      </w:r>
      <w:r>
        <w:t xml:space="preserve">(with minor local variations) </w:t>
      </w:r>
      <w:r w:rsidRPr="003F6F57">
        <w:t xml:space="preserve">for refrigerated display cabinets </w:t>
      </w:r>
      <w:r>
        <w:t xml:space="preserve">and beverage cabinets </w:t>
      </w:r>
      <w:r w:rsidRPr="003F6F57">
        <w:t xml:space="preserve">and EN 16825 </w:t>
      </w:r>
      <w:r>
        <w:t xml:space="preserve">test method </w:t>
      </w:r>
      <w:r w:rsidRPr="003F6F57">
        <w:t>for refrigerated s</w:t>
      </w:r>
      <w:r>
        <w:t>torage cabinets, from 1 December 2019. It also proposes the adoption of</w:t>
      </w:r>
      <w:r w:rsidRPr="003F6F57">
        <w:t xml:space="preserve"> related standards for gelato cabinets and small ice-cream cabinets. It involves adopting the European Commission’s MEPS levels for </w:t>
      </w:r>
      <w:r>
        <w:t xml:space="preserve">all of </w:t>
      </w:r>
      <w:r w:rsidRPr="003F6F57">
        <w:t xml:space="preserve">these cabinet types (developed by groups) and the introduction of </w:t>
      </w:r>
      <w:r>
        <w:t xml:space="preserve">voluntary </w:t>
      </w:r>
      <w:r w:rsidRPr="003F6F57">
        <w:t>star rated labelling</w:t>
      </w:r>
      <w:r>
        <w:t xml:space="preserve">. It is noted that some of these test methods are still in draft from. Any minor and non-consequential variations to these methods that are published during the period before the Determination is finalised will be incorporated, to enable the aim of aligning with European MEPS to be achieved.  </w:t>
      </w:r>
    </w:p>
    <w:p w14:paraId="3B1B9D38" w14:textId="77777777" w:rsidR="005636C7" w:rsidRPr="006D0D3C" w:rsidRDefault="005636C7" w:rsidP="005636C7">
      <w:pPr>
        <w:pStyle w:val="E3Heading1"/>
        <w:jc w:val="both"/>
        <w:rPr>
          <w:rFonts w:ascii="Georgia" w:hAnsi="Georgia"/>
          <w:sz w:val="24"/>
          <w:szCs w:val="24"/>
        </w:rPr>
      </w:pPr>
      <w:bookmarkStart w:id="260" w:name="_Toc500151824"/>
      <w:r w:rsidRPr="006D0D3C">
        <w:rPr>
          <w:rFonts w:ascii="Georgia" w:hAnsi="Georgia"/>
          <w:sz w:val="24"/>
          <w:szCs w:val="24"/>
        </w:rPr>
        <w:t>Option 4</w:t>
      </w:r>
      <w:bookmarkEnd w:id="260"/>
    </w:p>
    <w:p w14:paraId="2D6B3B45" w14:textId="77777777" w:rsidR="005636C7" w:rsidRDefault="005636C7" w:rsidP="005636C7">
      <w:pPr>
        <w:pStyle w:val="E3BodyText"/>
        <w:jc w:val="both"/>
      </w:pPr>
      <w:r w:rsidRPr="003F6F57">
        <w:t>This option offers the greatest net benefit to both the Australian and New Zealand communities</w:t>
      </w:r>
      <w:r>
        <w:t xml:space="preserve">: </w:t>
      </w:r>
      <w:r w:rsidRPr="003F6F57">
        <w:t xml:space="preserve">in Australia </w:t>
      </w:r>
      <w:r w:rsidRPr="009E4772">
        <w:t xml:space="preserve">the estimated Net Present Value (total benefits less the total costs) of option 4 (EC MEPS) would </w:t>
      </w:r>
      <w:r w:rsidRPr="00173408">
        <w:t>be $</w:t>
      </w:r>
      <w:r w:rsidRPr="00CD25DF">
        <w:t>1</w:t>
      </w:r>
      <w:r>
        <w:t>$1,340</w:t>
      </w:r>
      <w:r w:rsidRPr="00173408">
        <w:t>million</w:t>
      </w:r>
      <w:r w:rsidRPr="009E4772">
        <w:t xml:space="preserve">. In New Zealand, the estimated Net Present Value </w:t>
      </w:r>
      <w:r>
        <w:t xml:space="preserve">from </w:t>
      </w:r>
      <w:r w:rsidRPr="009E4772">
        <w:t>option 4 would be $</w:t>
      </w:r>
      <w:r>
        <w:t xml:space="preserve">87 </w:t>
      </w:r>
      <w:r w:rsidRPr="009E4772">
        <w:t>million</w:t>
      </w:r>
      <w:r>
        <w:t>.</w:t>
      </w:r>
    </w:p>
    <w:p w14:paraId="05CD9C50" w14:textId="77777777" w:rsidR="005636C7" w:rsidRPr="003F6F57" w:rsidRDefault="005636C7" w:rsidP="005636C7">
      <w:pPr>
        <w:pStyle w:val="E3BodyText"/>
        <w:jc w:val="both"/>
      </w:pPr>
      <w:r w:rsidRPr="003F6F57">
        <w:t xml:space="preserve">In addition to achieving significant </w:t>
      </w:r>
      <w:r>
        <w:t xml:space="preserve">long term </w:t>
      </w:r>
      <w:r w:rsidRPr="003F6F57">
        <w:t xml:space="preserve">gains in energy savings and greenhouse gas reductions for both governments, option 4 is the best option to address the </w:t>
      </w:r>
      <w:r>
        <w:t xml:space="preserve">regulatory </w:t>
      </w:r>
      <w:r w:rsidRPr="003F6F57">
        <w:t>problems identified in this RIS</w:t>
      </w:r>
      <w:r>
        <w:t xml:space="preserve">: the </w:t>
      </w:r>
      <w:r w:rsidRPr="003F6F57">
        <w:t>complexity and inad</w:t>
      </w:r>
      <w:r>
        <w:t>equate coverage of the current s</w:t>
      </w:r>
      <w:r w:rsidRPr="003F6F57">
        <w:t xml:space="preserve">tandard, outdated MEPS and high efficiency specifications </w:t>
      </w:r>
      <w:r>
        <w:t xml:space="preserve">which </w:t>
      </w:r>
      <w:r w:rsidRPr="003F6F57">
        <w:t>require revision</w:t>
      </w:r>
      <w:r>
        <w:t xml:space="preserve"> to remain relevant</w:t>
      </w:r>
      <w:r w:rsidRPr="003F6F57">
        <w:t xml:space="preserve">, information and other market barriers that are preventing </w:t>
      </w:r>
      <w:r>
        <w:t xml:space="preserve">buyers from purchasing </w:t>
      </w:r>
      <w:r w:rsidRPr="003F6F57">
        <w:t>the most energy efficient cabinets.</w:t>
      </w:r>
      <w:r>
        <w:t xml:space="preserve"> </w:t>
      </w:r>
    </w:p>
    <w:p w14:paraId="3BF25F29" w14:textId="77777777" w:rsidR="005636C7" w:rsidRDefault="005636C7" w:rsidP="005636C7">
      <w:pPr>
        <w:pStyle w:val="E3BodyText"/>
        <w:jc w:val="both"/>
      </w:pPr>
      <w:r w:rsidRPr="003F6F57">
        <w:t>The adoption of EC MEPS will achieve consistency in approach, allowing for a simpler compliance regime</w:t>
      </w:r>
      <w:r>
        <w:t>.</w:t>
      </w:r>
      <w:r w:rsidRPr="003F6F57">
        <w:t xml:space="preserve"> </w:t>
      </w:r>
      <w:r>
        <w:t xml:space="preserve">It </w:t>
      </w:r>
      <w:r w:rsidRPr="003F6F57">
        <w:t xml:space="preserve">will </w:t>
      </w:r>
      <w:r>
        <w:t xml:space="preserve">also </w:t>
      </w:r>
      <w:r w:rsidRPr="003F6F57">
        <w:t xml:space="preserve">avoid current inequalities in approach to different products. </w:t>
      </w:r>
      <w:r>
        <w:t xml:space="preserve">The move to adopt </w:t>
      </w:r>
      <w:r w:rsidRPr="003F6F57">
        <w:t xml:space="preserve">EC MEPS has </w:t>
      </w:r>
      <w:r>
        <w:t xml:space="preserve">industry </w:t>
      </w:r>
      <w:r w:rsidRPr="003F6F57">
        <w:t>support due to inconsistencies with the current requirements</w:t>
      </w:r>
      <w:r>
        <w:t>.</w:t>
      </w:r>
      <w:r w:rsidRPr="003F6F57">
        <w:t xml:space="preserve"> </w:t>
      </w:r>
    </w:p>
    <w:p w14:paraId="5C398747" w14:textId="77777777" w:rsidR="005636C7" w:rsidRPr="003F6F57" w:rsidRDefault="005636C7" w:rsidP="005636C7">
      <w:pPr>
        <w:pStyle w:val="E3BodyText"/>
        <w:jc w:val="both"/>
      </w:pPr>
      <w:r w:rsidRPr="003F6F57">
        <w:t xml:space="preserve">The addition of </w:t>
      </w:r>
      <w:r>
        <w:t xml:space="preserve">online </w:t>
      </w:r>
      <w:r w:rsidRPr="003F6F57">
        <w:t xml:space="preserve">labelling </w:t>
      </w:r>
      <w:r>
        <w:t xml:space="preserve">of refrigerated commercial cabinets </w:t>
      </w:r>
      <w:r w:rsidRPr="003F6F57">
        <w:t>will enhance the ability of purchasers to compare the relative energy efficien</w:t>
      </w:r>
      <w:r>
        <w:t>cy</w:t>
      </w:r>
      <w:r w:rsidRPr="003F6F57">
        <w:t xml:space="preserve"> of different cabinet models.</w:t>
      </w:r>
      <w:r>
        <w:t xml:space="preserve">  Labelling contributes to the overall cost-benefit analysis, with energy use and greenhouse gas production increasing by more than a fifth without labelling. </w:t>
      </w:r>
    </w:p>
    <w:p w14:paraId="26079167" w14:textId="77777777" w:rsidR="005636C7" w:rsidRDefault="005636C7" w:rsidP="005636C7">
      <w:pPr>
        <w:pStyle w:val="E3BodyText"/>
        <w:jc w:val="both"/>
      </w:pPr>
      <w:r>
        <w:t>The current regulatory position in Australia and New Zealand is that mandatory labels must be affixed on or nearby the product. Physical labelling does not have industry support. Option 4 has therefore been modified to incorporate voluntary online labelling.</w:t>
      </w:r>
    </w:p>
    <w:p w14:paraId="0B61D165" w14:textId="77777777" w:rsidR="005636C7" w:rsidRDefault="005636C7" w:rsidP="000F6ACF">
      <w:pPr>
        <w:pStyle w:val="E3ChapterTitle"/>
        <w:numPr>
          <w:ilvl w:val="0"/>
          <w:numId w:val="28"/>
        </w:numPr>
      </w:pPr>
      <w:bookmarkStart w:id="261" w:name="_Toc500151825"/>
      <w:r>
        <w:rPr>
          <w:noProof/>
          <w:lang w:eastAsia="en-AU"/>
        </w:rPr>
        <w:drawing>
          <wp:anchor distT="0" distB="0" distL="114300" distR="114300" simplePos="0" relativeHeight="251673600" behindDoc="1" locked="1" layoutInCell="1" allowOverlap="1" wp14:anchorId="2AA1AB8C" wp14:editId="173EE4A4">
            <wp:simplePos x="0" y="0"/>
            <wp:positionH relativeFrom="margin">
              <wp:align>right</wp:align>
            </wp:positionH>
            <wp:positionV relativeFrom="margin">
              <wp:posOffset>-473075</wp:posOffset>
            </wp:positionV>
            <wp:extent cx="6124575" cy="1800225"/>
            <wp:effectExtent l="0" t="0" r="9525" b="9525"/>
            <wp:wrapNone/>
            <wp:docPr id="6"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Implementation</w:t>
      </w:r>
      <w:bookmarkEnd w:id="261"/>
      <w:r>
        <w:t xml:space="preserve"> </w:t>
      </w:r>
    </w:p>
    <w:p w14:paraId="42AAD347" w14:textId="77777777" w:rsidR="005636C7" w:rsidRDefault="005636C7" w:rsidP="005636C7"/>
    <w:p w14:paraId="2E781E7D" w14:textId="77777777" w:rsidR="005636C7" w:rsidRPr="004F039B" w:rsidRDefault="005636C7" w:rsidP="004F039B">
      <w:pPr>
        <w:spacing w:before="240" w:line="276" w:lineRule="auto"/>
        <w:jc w:val="both"/>
        <w:rPr>
          <w:rFonts w:ascii="Georgia" w:hAnsi="Georgia"/>
        </w:rPr>
      </w:pPr>
      <w:r w:rsidRPr="004F039B">
        <w:rPr>
          <w:rFonts w:ascii="Georgia" w:hAnsi="Georgia"/>
        </w:rPr>
        <w:t>Implementation of policy option 4, if approved, would require the new MEPS requirements for commercial refrigerators to be amended in regulations in Australia and New Zealand. It is anticipated the new regulations would take effect on 1 December 2019. Transitional arrangements would apply to products that are already registered.</w:t>
      </w:r>
    </w:p>
    <w:p w14:paraId="51367721" w14:textId="77777777" w:rsidR="005636C7" w:rsidRPr="006D0D3C" w:rsidRDefault="005636C7" w:rsidP="004F039B">
      <w:pPr>
        <w:pStyle w:val="E3Heading2"/>
        <w:spacing w:before="240"/>
        <w:rPr>
          <w:rFonts w:cstheme="minorBidi"/>
        </w:rPr>
      </w:pPr>
      <w:bookmarkStart w:id="262" w:name="_Toc500151826"/>
      <w:r w:rsidRPr="006D0D3C">
        <w:t>Implementing regulatory changes</w:t>
      </w:r>
      <w:bookmarkEnd w:id="262"/>
    </w:p>
    <w:p w14:paraId="3184FF09" w14:textId="77777777" w:rsidR="005636C7" w:rsidRPr="004F039B" w:rsidRDefault="005636C7" w:rsidP="005636C7">
      <w:pPr>
        <w:spacing w:before="240"/>
        <w:jc w:val="both"/>
        <w:rPr>
          <w:rFonts w:ascii="Georgia" w:hAnsi="Georgia"/>
        </w:rPr>
      </w:pPr>
      <w:r w:rsidRPr="004F039B">
        <w:rPr>
          <w:rFonts w:ascii="Georgia" w:hAnsi="Georgia"/>
        </w:rPr>
        <w:t>The policy proposals in this RIS would be subject to analysis and ministerial scrutiny in both countries.</w:t>
      </w:r>
    </w:p>
    <w:p w14:paraId="5638D223" w14:textId="77777777" w:rsidR="005636C7" w:rsidRPr="004F039B" w:rsidRDefault="005636C7" w:rsidP="004F039B">
      <w:pPr>
        <w:spacing w:before="240" w:line="276" w:lineRule="auto"/>
        <w:jc w:val="both"/>
        <w:rPr>
          <w:rFonts w:ascii="Georgia" w:hAnsi="Georgia"/>
        </w:rPr>
      </w:pPr>
      <w:r w:rsidRPr="004F039B">
        <w:rPr>
          <w:rFonts w:ascii="Georgia" w:hAnsi="Georgia"/>
        </w:rPr>
        <w:t>The technical requirements that suppliers would need to comply with would be written into a Determination in Australia and this content would be referenced in New Zealand. The Determination would reference the various ISO and EN test methodologies, with variations as agreed by the technical working group. Details of the technical working group outputs can be found in Attachment F. The MEPS levels, which are based on European levels, would be directly written into the Determination.</w:t>
      </w:r>
    </w:p>
    <w:p w14:paraId="5CE268B2" w14:textId="77777777" w:rsidR="005636C7" w:rsidRPr="00BC6AD1" w:rsidRDefault="005636C7" w:rsidP="005636C7">
      <w:pPr>
        <w:pStyle w:val="E3Heading4"/>
      </w:pPr>
      <w:bookmarkStart w:id="263" w:name="_Toc494897983"/>
      <w:bookmarkStart w:id="264" w:name="_Toc494955775"/>
      <w:bookmarkStart w:id="265" w:name="_Toc494959583"/>
      <w:bookmarkStart w:id="266" w:name="_Toc494972709"/>
      <w:bookmarkStart w:id="267" w:name="_Toc494973896"/>
      <w:bookmarkStart w:id="268" w:name="_Toc494974585"/>
      <w:r w:rsidRPr="00BC6AD1">
        <w:t>Australia</w:t>
      </w:r>
      <w:bookmarkEnd w:id="263"/>
      <w:bookmarkEnd w:id="264"/>
      <w:bookmarkEnd w:id="265"/>
      <w:bookmarkEnd w:id="266"/>
      <w:bookmarkEnd w:id="267"/>
      <w:bookmarkEnd w:id="268"/>
    </w:p>
    <w:p w14:paraId="74D768A6" w14:textId="77777777" w:rsidR="005636C7" w:rsidRDefault="005636C7" w:rsidP="005636C7">
      <w:pPr>
        <w:pStyle w:val="E3SubSubBullets"/>
        <w:tabs>
          <w:tab w:val="clear" w:pos="720"/>
        </w:tabs>
        <w:ind w:left="964"/>
      </w:pPr>
      <w:r>
        <w:t xml:space="preserve">If Option 4 in this RIS is approved by the COAG Energy Council, a replacement for the current </w:t>
      </w:r>
      <w:r>
        <w:rPr>
          <w:i/>
        </w:rPr>
        <w:t>Greenhouse and Energy Minimum Standards (Refrigerated Display Cabinets) Determination 2012</w:t>
      </w:r>
      <w:r>
        <w:t xml:space="preserve"> would be prepared for approval by the Commonwealth Minister for the Environment and Energy.</w:t>
      </w:r>
    </w:p>
    <w:p w14:paraId="06D6AF67" w14:textId="77777777" w:rsidR="005636C7" w:rsidRDefault="005636C7" w:rsidP="005636C7">
      <w:pPr>
        <w:pStyle w:val="E3SubSubBullets"/>
        <w:tabs>
          <w:tab w:val="clear" w:pos="720"/>
        </w:tabs>
        <w:ind w:left="964"/>
      </w:pPr>
      <w:r>
        <w:t>Once Ministerial approval is provided for the replacement Determination, the policy change would come into force no earlier than 1 December 2019.</w:t>
      </w:r>
      <w:r w:rsidDel="00CF6B33">
        <w:t xml:space="preserve"> </w:t>
      </w:r>
      <w:r>
        <w:t xml:space="preserve"> The current Determination would be revoked when the replacement Determination comes into force.</w:t>
      </w:r>
    </w:p>
    <w:p w14:paraId="7513C913" w14:textId="77777777" w:rsidR="005636C7" w:rsidRPr="00BC6AD1" w:rsidRDefault="005636C7" w:rsidP="005636C7">
      <w:pPr>
        <w:pStyle w:val="E3Heading4"/>
      </w:pPr>
      <w:bookmarkStart w:id="269" w:name="_Toc494897984"/>
      <w:bookmarkStart w:id="270" w:name="_Toc494955776"/>
      <w:bookmarkStart w:id="271" w:name="_Toc494959584"/>
      <w:bookmarkStart w:id="272" w:name="_Toc494972710"/>
      <w:bookmarkStart w:id="273" w:name="_Toc494973897"/>
      <w:bookmarkStart w:id="274" w:name="_Toc494974586"/>
      <w:r w:rsidRPr="00BC6AD1">
        <w:t>New Zealand</w:t>
      </w:r>
      <w:bookmarkEnd w:id="269"/>
      <w:bookmarkEnd w:id="270"/>
      <w:bookmarkEnd w:id="271"/>
      <w:bookmarkEnd w:id="272"/>
      <w:bookmarkEnd w:id="273"/>
      <w:bookmarkEnd w:id="274"/>
    </w:p>
    <w:p w14:paraId="1315C2C2" w14:textId="77777777" w:rsidR="005636C7" w:rsidRDefault="005636C7" w:rsidP="005636C7">
      <w:pPr>
        <w:pStyle w:val="E3SubSubBullets"/>
        <w:tabs>
          <w:tab w:val="clear" w:pos="720"/>
        </w:tabs>
        <w:ind w:left="964"/>
      </w:pPr>
      <w:r>
        <w:t xml:space="preserve">Any policy proposals would need to be approved by Cabinet before they can be adopted under the </w:t>
      </w:r>
      <w:r>
        <w:rPr>
          <w:i/>
        </w:rPr>
        <w:t>Energy Efficiency (Energy Using Products) Regulations 2002</w:t>
      </w:r>
      <w:r>
        <w:t>.</w:t>
      </w:r>
    </w:p>
    <w:p w14:paraId="44DD52D6" w14:textId="77777777" w:rsidR="005636C7" w:rsidRDefault="005636C7" w:rsidP="005636C7">
      <w:pPr>
        <w:pStyle w:val="E3SubSubBullets"/>
        <w:tabs>
          <w:tab w:val="clear" w:pos="720"/>
        </w:tabs>
        <w:ind w:left="964"/>
      </w:pPr>
      <w:r>
        <w:t>In New Zealand, approval of Cabinet is required for any proposed regulatory option. Following Cabinet approval, there would be at least 6 months’ notice period, before the regulatory amendments would come into force.</w:t>
      </w:r>
    </w:p>
    <w:p w14:paraId="79BFA4B8" w14:textId="77777777" w:rsidR="005636C7" w:rsidRDefault="005636C7" w:rsidP="005636C7">
      <w:pPr>
        <w:pStyle w:val="E3SubSubBullets"/>
        <w:tabs>
          <w:tab w:val="clear" w:pos="720"/>
        </w:tabs>
        <w:ind w:left="964"/>
      </w:pPr>
      <w:r>
        <w:t>The final implementation date should coincide with the determination coming into force in Australia.</w:t>
      </w:r>
    </w:p>
    <w:p w14:paraId="481F23E6" w14:textId="77777777" w:rsidR="005636C7" w:rsidRDefault="005636C7" w:rsidP="005636C7">
      <w:pPr>
        <w:jc w:val="both"/>
      </w:pPr>
      <w:r>
        <w:t xml:space="preserve">Industry would be kept informed in the lead up to the expected implementation dates. </w:t>
      </w:r>
    </w:p>
    <w:p w14:paraId="6DB10E89" w14:textId="77777777" w:rsidR="005636C7" w:rsidRPr="006D0D3C" w:rsidRDefault="005636C7" w:rsidP="005636C7">
      <w:pPr>
        <w:jc w:val="both"/>
      </w:pPr>
    </w:p>
    <w:p w14:paraId="3C8791C2" w14:textId="77777777" w:rsidR="005636C7" w:rsidRPr="006D0D3C" w:rsidRDefault="005636C7" w:rsidP="005636C7">
      <w:pPr>
        <w:spacing w:before="240"/>
        <w:jc w:val="both"/>
        <w:rPr>
          <w:rFonts w:cstheme="minorBidi"/>
          <w:b/>
        </w:rPr>
      </w:pPr>
      <w:r w:rsidRPr="004F039B">
        <w:rPr>
          <w:rFonts w:ascii="Georgia" w:hAnsi="Georgia"/>
          <w:b/>
        </w:rPr>
        <w:t>Timeframes and transitional</w:t>
      </w:r>
      <w:r w:rsidRPr="006D0D3C">
        <w:rPr>
          <w:b/>
        </w:rPr>
        <w:t xml:space="preserve"> </w:t>
      </w:r>
      <w:r w:rsidRPr="004F039B">
        <w:rPr>
          <w:rFonts w:ascii="Georgia" w:hAnsi="Georgia"/>
          <w:b/>
        </w:rPr>
        <w:t>arrangements</w:t>
      </w:r>
    </w:p>
    <w:p w14:paraId="37EFA036" w14:textId="77777777" w:rsidR="005636C7" w:rsidRPr="004F039B" w:rsidRDefault="005636C7" w:rsidP="005636C7">
      <w:pPr>
        <w:spacing w:before="240"/>
        <w:jc w:val="both"/>
        <w:rPr>
          <w:rFonts w:ascii="Georgia" w:hAnsi="Georgia" w:cs="Helvetica"/>
        </w:rPr>
      </w:pPr>
      <w:r w:rsidRPr="004F039B">
        <w:rPr>
          <w:rFonts w:ascii="Georgia" w:hAnsi="Georgia" w:cs="Helvetica"/>
        </w:rPr>
        <w:t>A similar approach would be taken to transitional arrangements in Australia and New Zealand, given the agreed implementation date of no earlier than 1 December 2019. This is considered to provide sufficient lead in time for compliance with the new requirements. All classes of cabinet would be required to comply by that date, with no exceptions. It is anticipated that at least six months prior to this date, suppliers would be able to voluntarily register compliant products to the new test standards.  Test reports using the new test methods would be required in order to register cabinets from the implementation date. Fees for registrations are under review with a view to making GEMS fully cost-recoverable, however it is likely to remain approximately $700 - $800 for this product class.</w:t>
      </w:r>
      <w:r w:rsidRPr="004F039B" w:rsidDel="009C523B">
        <w:rPr>
          <w:rFonts w:ascii="Georgia" w:hAnsi="Georgia" w:cs="Helvetica"/>
        </w:rPr>
        <w:t xml:space="preserve"> </w:t>
      </w:r>
    </w:p>
    <w:p w14:paraId="7EE1FE32"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Products that are registered under the existing test methodology, would be able to vary their registrations at a reduced cost ($250) in Australia, provided that the products are able to meet the new MEPS. Suppliers would be required to show evidence that the product is compliant, and upgraded registrations would be valid until the original expiry date of the registration (a maximum of five years). </w:t>
      </w:r>
    </w:p>
    <w:p w14:paraId="3EE1C86A"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In New Zealand, suppliers would be able to update existing registrations until 1 December 2019, if they wish to demonstrate performance under the new rating system. After this point, a test report to the new test method would be required. No fee is charged for registrations in New Zealand. </w:t>
      </w:r>
    </w:p>
    <w:p w14:paraId="76D254E9"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Upgraded registrations will be clearly identified on the energy rating database as having been tested under the old system. </w:t>
      </w:r>
    </w:p>
    <w:p w14:paraId="7E1056A4" w14:textId="77777777" w:rsidR="005636C7" w:rsidRPr="004F039B" w:rsidRDefault="005636C7" w:rsidP="005636C7">
      <w:pPr>
        <w:spacing w:before="240"/>
        <w:jc w:val="both"/>
        <w:rPr>
          <w:rFonts w:ascii="Georgia" w:hAnsi="Georgia" w:cs="Helvetica"/>
        </w:rPr>
      </w:pPr>
      <w:r w:rsidRPr="004F039B">
        <w:rPr>
          <w:rFonts w:ascii="Georgia" w:hAnsi="Georgia" w:cs="Helvetica"/>
        </w:rPr>
        <w:t xml:space="preserve">Overall, it is expected that 1,485 display cabinet models currently registered for Australia and New Zealand, around 425 – 440 of these will not meet the new standard (approximately 25%), all others would be eligible for upgrading. All storage cabinets would require a new registration, and it has been estimated that a similar proportion of these products would meet the requirements. A total of 200 – 220 new registrations may be required for storage cabinets. </w:t>
      </w:r>
    </w:p>
    <w:p w14:paraId="53D8D646" w14:textId="77777777" w:rsidR="005636C7" w:rsidRPr="004F039B" w:rsidRDefault="005636C7" w:rsidP="005636C7">
      <w:pPr>
        <w:spacing w:before="240"/>
        <w:jc w:val="both"/>
        <w:rPr>
          <w:rFonts w:ascii="Georgia" w:hAnsi="Georgia" w:cstheme="minorBidi"/>
          <w:b/>
          <w:lang w:val="en-US"/>
        </w:rPr>
      </w:pPr>
      <w:r w:rsidRPr="004F039B">
        <w:rPr>
          <w:rFonts w:ascii="Georgia" w:hAnsi="Georgia"/>
          <w:b/>
        </w:rPr>
        <w:t>Implementation risks</w:t>
      </w:r>
    </w:p>
    <w:p w14:paraId="40A12FA5" w14:textId="77777777" w:rsidR="005636C7" w:rsidRPr="004F039B" w:rsidRDefault="005636C7" w:rsidP="005636C7">
      <w:pPr>
        <w:spacing w:before="240" w:after="240"/>
        <w:jc w:val="both"/>
        <w:rPr>
          <w:rFonts w:ascii="Georgia" w:hAnsi="Georgia"/>
        </w:rPr>
      </w:pPr>
      <w:r w:rsidRPr="004F039B">
        <w:rPr>
          <w:rFonts w:ascii="Georgia" w:hAnsi="Georgia"/>
        </w:rPr>
        <w:t>Implementation risks which may arise from the proposed regulatory changes are:</w:t>
      </w:r>
    </w:p>
    <w:p w14:paraId="02AD9C38" w14:textId="77777777" w:rsidR="005636C7" w:rsidRPr="004F039B" w:rsidRDefault="005636C7" w:rsidP="004F039B">
      <w:pPr>
        <w:pStyle w:val="ListBullet"/>
        <w:spacing w:line="360" w:lineRule="auto"/>
        <w:rPr>
          <w:rFonts w:ascii="Georgia" w:hAnsi="Georgia"/>
        </w:rPr>
      </w:pPr>
      <w:r w:rsidRPr="004F039B">
        <w:rPr>
          <w:rFonts w:ascii="Georgia" w:hAnsi="Georgia"/>
        </w:rPr>
        <w:t>Insufficient time for industry to adjust to the new testing, labelling and MEPS requirements. This could affect product availability, market competition and compliance with the regulations.</w:t>
      </w:r>
    </w:p>
    <w:p w14:paraId="594ECA90"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A lack of familiarity with new star rating system may create potential for non-compliance. It is anticipated that this will be used mainly in sales literature. While this is voluntary, use of energy rating information still needs to be correct to maintain integrity in the overall system. </w:t>
      </w:r>
    </w:p>
    <w:p w14:paraId="3EBDD553" w14:textId="77777777" w:rsidR="005636C7" w:rsidRPr="004F039B" w:rsidRDefault="005636C7" w:rsidP="004F039B">
      <w:pPr>
        <w:pStyle w:val="ListBullet"/>
        <w:spacing w:line="360" w:lineRule="auto"/>
        <w:rPr>
          <w:rFonts w:ascii="Georgia" w:hAnsi="Georgia"/>
        </w:rPr>
      </w:pPr>
      <w:r w:rsidRPr="004F039B">
        <w:rPr>
          <w:rFonts w:ascii="Georgia" w:hAnsi="Georgia"/>
        </w:rPr>
        <w:t>The proposal is to align with the EU approach. There is some uncertainty caused by proposed alignment with EN Standards that are yet to be finalised and published: commercial beverage coolers (draft EN 16902) and small ice-cream freezers (draft EN 16901) and refrigerated display scooping cabinets for gelato, soft scoop (draft EN 16838).</w:t>
      </w:r>
    </w:p>
    <w:p w14:paraId="13ADA7EC" w14:textId="77777777" w:rsidR="005636C7" w:rsidRPr="004F039B" w:rsidRDefault="005636C7" w:rsidP="004F039B">
      <w:pPr>
        <w:pStyle w:val="ListBullet"/>
        <w:spacing w:line="360" w:lineRule="auto"/>
        <w:rPr>
          <w:rFonts w:ascii="Georgia" w:hAnsi="Georgia"/>
        </w:rPr>
      </w:pPr>
      <w:r w:rsidRPr="004F039B">
        <w:rPr>
          <w:rFonts w:ascii="Georgia" w:hAnsi="Georgia"/>
        </w:rPr>
        <w:t>Delays in implementing the MEPS levels of the published standards in Europe.</w:t>
      </w:r>
    </w:p>
    <w:p w14:paraId="080FC940" w14:textId="77777777" w:rsidR="005636C7" w:rsidRPr="004F039B" w:rsidRDefault="005636C7" w:rsidP="004F039B">
      <w:pPr>
        <w:pStyle w:val="ListBullet"/>
        <w:spacing w:line="360" w:lineRule="auto"/>
      </w:pPr>
      <w:r w:rsidRPr="004F039B">
        <w:rPr>
          <w:rFonts w:ascii="Georgia" w:hAnsi="Georgia"/>
        </w:rPr>
        <w:t>Increased compliance costs from meeting new regulatory requirements (in particular, to local manufacturers).</w:t>
      </w:r>
    </w:p>
    <w:p w14:paraId="60A85EC9" w14:textId="77777777" w:rsidR="005636C7" w:rsidRPr="004F039B" w:rsidRDefault="005636C7" w:rsidP="005636C7">
      <w:pPr>
        <w:spacing w:before="240" w:after="240"/>
        <w:jc w:val="both"/>
        <w:rPr>
          <w:rFonts w:ascii="Georgia" w:hAnsi="Georgia"/>
        </w:rPr>
      </w:pPr>
      <w:r w:rsidRPr="004F039B">
        <w:rPr>
          <w:rFonts w:ascii="Georgia" w:hAnsi="Georgia"/>
        </w:rPr>
        <w:t>These risks would be reduced by:</w:t>
      </w:r>
    </w:p>
    <w:p w14:paraId="36492A40" w14:textId="77777777" w:rsidR="005636C7" w:rsidRPr="004F039B" w:rsidRDefault="005636C7" w:rsidP="004F039B">
      <w:pPr>
        <w:pStyle w:val="ListBullet"/>
        <w:spacing w:line="360" w:lineRule="auto"/>
        <w:rPr>
          <w:rFonts w:ascii="Georgia" w:hAnsi="Georgia"/>
        </w:rPr>
      </w:pPr>
      <w:r w:rsidRPr="004F039B">
        <w:rPr>
          <w:rFonts w:ascii="Georgia" w:hAnsi="Georgia"/>
        </w:rPr>
        <w:t>Keeping industry updated and informed of the proposed regulatory changes and any associated changes to Standards, compliance or labelling requirements.</w:t>
      </w:r>
    </w:p>
    <w:p w14:paraId="2FE69BF0" w14:textId="77777777" w:rsidR="005636C7" w:rsidRPr="004F039B" w:rsidRDefault="005636C7" w:rsidP="004F039B">
      <w:pPr>
        <w:pStyle w:val="ListBullet"/>
        <w:spacing w:line="360" w:lineRule="auto"/>
        <w:rPr>
          <w:rFonts w:ascii="Georgia" w:hAnsi="Georgia"/>
        </w:rPr>
      </w:pPr>
      <w:r w:rsidRPr="004F039B">
        <w:rPr>
          <w:rFonts w:ascii="Georgia" w:hAnsi="Georgia"/>
        </w:rPr>
        <w:t>Setting a timeframe that allows industry to adapt to any changes.</w:t>
      </w:r>
    </w:p>
    <w:p w14:paraId="3CF912FD"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Extending the timeframe, if there are any issues or delays at any point. The implementation date will not be prior to 1 December 2019, but may be later than this if issues arise. </w:t>
      </w:r>
    </w:p>
    <w:p w14:paraId="3A5A54B8"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Adopting small technical differences that arise between any published EU test methods, and the published drafts up where practical. Any changes would be communicated to industry. </w:t>
      </w:r>
    </w:p>
    <w:p w14:paraId="3670E465" w14:textId="77777777" w:rsidR="005636C7" w:rsidRPr="004F039B" w:rsidRDefault="005636C7" w:rsidP="004F039B">
      <w:pPr>
        <w:pStyle w:val="ListBullet"/>
        <w:spacing w:line="360" w:lineRule="auto"/>
        <w:rPr>
          <w:rFonts w:ascii="Georgia" w:hAnsi="Georgia"/>
        </w:rPr>
      </w:pPr>
      <w:r w:rsidRPr="004F039B">
        <w:rPr>
          <w:rFonts w:ascii="Georgia" w:hAnsi="Georgia"/>
        </w:rPr>
        <w:t>Guidelines for use of energy rating information will be developed during the implementation phase to insure any use of labels or rating information, such as the energy rating icon is correctly applied.</w:t>
      </w:r>
    </w:p>
    <w:p w14:paraId="23F6D075" w14:textId="77777777" w:rsidR="005636C7" w:rsidRPr="004F039B" w:rsidRDefault="005636C7" w:rsidP="005636C7">
      <w:pPr>
        <w:spacing w:after="240"/>
        <w:jc w:val="both"/>
        <w:rPr>
          <w:rFonts w:ascii="Georgia" w:hAnsi="Georgia"/>
        </w:rPr>
      </w:pPr>
      <w:r w:rsidRPr="004F039B">
        <w:rPr>
          <w:rFonts w:ascii="Georgia" w:hAnsi="Georgia"/>
        </w:rPr>
        <w:t>Given the E3 program’s experience with implementing or revising energy efficiency requirements, the risks associated with implementation are low. The membership of the TWG represented circa 70% of industry by volume and consensus was reached on the proposed implementation timeline.</w:t>
      </w:r>
    </w:p>
    <w:p w14:paraId="4EA7E335" w14:textId="77777777" w:rsidR="005636C7" w:rsidRPr="004F039B" w:rsidRDefault="005636C7" w:rsidP="005636C7">
      <w:pPr>
        <w:spacing w:after="240"/>
        <w:jc w:val="both"/>
        <w:rPr>
          <w:rFonts w:ascii="Georgia" w:hAnsi="Georgia"/>
        </w:rPr>
      </w:pPr>
      <w:r w:rsidRPr="004F039B">
        <w:rPr>
          <w:rFonts w:ascii="Georgia" w:hAnsi="Georgia"/>
        </w:rPr>
        <w:t>The main implementation risk is that there may be delays with the implementation of the new MEPS levels in Europe, but this has been mitigated by introducing the EU 2015 (announced) MEPS levels in 2019. The proposed timeframe provides sufficient time for trans-Tasman industry to improve product supply, prior to future alignment with EU MEPS, when they become available.</w:t>
      </w:r>
    </w:p>
    <w:p w14:paraId="19C445C4" w14:textId="77777777" w:rsidR="005636C7" w:rsidRPr="004F039B" w:rsidRDefault="005636C7" w:rsidP="005636C7">
      <w:pPr>
        <w:spacing w:after="240"/>
        <w:jc w:val="both"/>
        <w:rPr>
          <w:rFonts w:ascii="Georgia" w:hAnsi="Georgia"/>
        </w:rPr>
      </w:pPr>
      <w:r w:rsidRPr="004F039B">
        <w:rPr>
          <w:rFonts w:ascii="Georgia" w:hAnsi="Georgia"/>
        </w:rPr>
        <w:t>Our lowest scenario modelled (local MEPS level to affect the least efficient 10%, adding labelling and storage cabinet regulation) shows that improved energy efficiency regulation is cost-effective, even if low level, local MEPS levels are developed.</w:t>
      </w:r>
    </w:p>
    <w:p w14:paraId="19B53E0E" w14:textId="77777777" w:rsidR="005636C7" w:rsidRPr="004F039B" w:rsidRDefault="005636C7" w:rsidP="005636C7">
      <w:pPr>
        <w:contextualSpacing/>
        <w:jc w:val="both"/>
        <w:rPr>
          <w:rFonts w:ascii="Georgia" w:hAnsi="Georgia"/>
        </w:rPr>
      </w:pPr>
      <w:r w:rsidRPr="004F039B">
        <w:rPr>
          <w:rFonts w:ascii="Georgia" w:hAnsi="Georgia"/>
        </w:rPr>
        <w:t>The transitional arrangements proposed have been developed in consultation with the industry. E3 would also assist by consulting with industry through the process to ensure that parties understand the new regulations and what is expected of them.</w:t>
      </w:r>
    </w:p>
    <w:p w14:paraId="591A6E5C" w14:textId="77777777" w:rsidR="005636C7" w:rsidRPr="004F039B" w:rsidRDefault="005636C7" w:rsidP="005636C7">
      <w:pPr>
        <w:spacing w:before="240"/>
        <w:jc w:val="both"/>
        <w:rPr>
          <w:rFonts w:ascii="Georgia" w:hAnsi="Georgia"/>
        </w:rPr>
      </w:pPr>
      <w:r w:rsidRPr="004F039B">
        <w:rPr>
          <w:rFonts w:ascii="Georgia" w:hAnsi="Georgia"/>
        </w:rPr>
        <w:t>The timeframe may need to be extended, if there are issues or delays at any point.  If there are any delays in Europe with implementing MEPS levels and publishing standards, the estimates used for this RIS could be updated and re-analysed. Different options are available to the governments to accommodate European delays – such as delaying implementation or setting localised MEPS, as an interim measure, until alignment is possible (if favoured). Our lowest scenario modelled (local MEPS level to affect the least efficient 10%, adding labelling and storage cabinet regulation) shows that improved energy efficiency regulation is cost-effective, even if local MEPS levels are developed.</w:t>
      </w:r>
    </w:p>
    <w:p w14:paraId="6608A001" w14:textId="77777777" w:rsidR="005636C7" w:rsidRPr="004F039B" w:rsidRDefault="005636C7" w:rsidP="005636C7">
      <w:pPr>
        <w:spacing w:before="240" w:after="240"/>
        <w:rPr>
          <w:rFonts w:ascii="Georgia" w:hAnsi="Georgia" w:cstheme="minorBidi"/>
          <w:b/>
        </w:rPr>
      </w:pPr>
      <w:r w:rsidRPr="004F039B">
        <w:rPr>
          <w:rFonts w:ascii="Georgia" w:hAnsi="Georgia"/>
          <w:b/>
        </w:rPr>
        <w:t>Review</w:t>
      </w:r>
    </w:p>
    <w:p w14:paraId="73EF255F" w14:textId="77777777" w:rsidR="005636C7" w:rsidRDefault="005636C7" w:rsidP="005636C7">
      <w:pPr>
        <w:pStyle w:val="E3Bullets"/>
        <w:ind w:left="227" w:hanging="227"/>
      </w:pPr>
      <w:r>
        <w:t>In Australia, once the changes are in force:</w:t>
      </w:r>
    </w:p>
    <w:p w14:paraId="387993A4"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do</w:t>
      </w:r>
      <w:r w:rsidRPr="004F039B">
        <w:rPr>
          <w:rFonts w:ascii="Georgia" w:hAnsi="Georgia"/>
        </w:rPr>
        <w:t xml:space="preserve"> </w:t>
      </w:r>
      <w:r w:rsidRPr="004F039B">
        <w:rPr>
          <w:rFonts w:ascii="Georgia" w:hAnsi="Georgia"/>
          <w:u w:val="single"/>
        </w:rPr>
        <w:t>not</w:t>
      </w:r>
      <w:r w:rsidRPr="004F039B">
        <w:rPr>
          <w:rFonts w:ascii="Georgia" w:hAnsi="Georgia"/>
        </w:rPr>
        <w:t xml:space="preserve"> meet the new requirements may still be supplied until stock is depleted. Their registrations would be grandfathered (status changed to “Superseded” in the registration system). Import or manufacture of these cabinets from the date of the law change would not be permitted.</w:t>
      </w:r>
    </w:p>
    <w:p w14:paraId="2B21C43C"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already</w:t>
      </w:r>
      <w:r w:rsidRPr="004F039B">
        <w:rPr>
          <w:rFonts w:ascii="Georgia" w:hAnsi="Georgia"/>
        </w:rPr>
        <w:t xml:space="preserve"> meet the new requirements, may continue to be supplied. Their registrations would be re-validated and updated to the new GEMS determination, as described in the section above on transitional arrangements.</w:t>
      </w:r>
    </w:p>
    <w:p w14:paraId="4971FA7A" w14:textId="77777777" w:rsidR="005636C7" w:rsidRPr="004F039B" w:rsidRDefault="005636C7" w:rsidP="004F039B">
      <w:pPr>
        <w:pStyle w:val="ListBullet"/>
        <w:spacing w:line="360" w:lineRule="auto"/>
        <w:rPr>
          <w:rFonts w:ascii="Georgia" w:hAnsi="Georgia"/>
        </w:rPr>
      </w:pPr>
      <w:r w:rsidRPr="004F039B">
        <w:rPr>
          <w:rFonts w:ascii="Georgia" w:hAnsi="Georgia"/>
        </w:rPr>
        <w:t>Suppliers wishing to import or manufacture models that are not already registered, but meet the new requirements, would need to complete a registration application, pay the registration fee and lodge the application with the GEMS Regulator.</w:t>
      </w:r>
    </w:p>
    <w:p w14:paraId="34A2FB81" w14:textId="77777777" w:rsidR="005636C7" w:rsidRPr="004F039B" w:rsidRDefault="005636C7" w:rsidP="004F039B">
      <w:pPr>
        <w:spacing w:before="240" w:after="240"/>
        <w:jc w:val="both"/>
        <w:rPr>
          <w:rFonts w:ascii="Georgia" w:hAnsi="Georgia"/>
        </w:rPr>
      </w:pPr>
      <w:r w:rsidRPr="004F039B">
        <w:rPr>
          <w:rFonts w:ascii="Georgia" w:hAnsi="Georgia"/>
        </w:rPr>
        <w:t>In New Zealand, once the changes are in force:</w:t>
      </w:r>
    </w:p>
    <w:p w14:paraId="6B974DE4"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do not</w:t>
      </w:r>
      <w:r w:rsidRPr="004F039B">
        <w:rPr>
          <w:rFonts w:ascii="Georgia" w:hAnsi="Georgia"/>
        </w:rPr>
        <w:t xml:space="preserve"> meet the new requirements may only be sold until stock is depleted. New import or manufacture of these cabinets would not be permitted.</w:t>
      </w:r>
    </w:p>
    <w:p w14:paraId="26940F5A" w14:textId="77777777" w:rsidR="005636C7" w:rsidRPr="004F039B" w:rsidRDefault="005636C7" w:rsidP="004F039B">
      <w:pPr>
        <w:pStyle w:val="ListBullet"/>
        <w:spacing w:line="360" w:lineRule="auto"/>
        <w:rPr>
          <w:rFonts w:ascii="Georgia" w:hAnsi="Georgia"/>
        </w:rPr>
      </w:pPr>
      <w:r w:rsidRPr="004F039B">
        <w:rPr>
          <w:rFonts w:ascii="Georgia" w:hAnsi="Georgia"/>
        </w:rPr>
        <w:t xml:space="preserve">Registered cabinets imported or manufactured prior to the law change that </w:t>
      </w:r>
      <w:r w:rsidRPr="004F039B">
        <w:rPr>
          <w:rFonts w:ascii="Georgia" w:hAnsi="Georgia"/>
          <w:u w:val="single"/>
        </w:rPr>
        <w:t>already</w:t>
      </w:r>
      <w:r w:rsidRPr="004F039B">
        <w:rPr>
          <w:rFonts w:ascii="Georgia" w:hAnsi="Georgia"/>
        </w:rPr>
        <w:t xml:space="preserve"> meet the new requirements, may continue to be supplied. Their registrations would be re-validated and updated. A new test report would be required.</w:t>
      </w:r>
    </w:p>
    <w:p w14:paraId="191DBC5A" w14:textId="77777777" w:rsidR="005636C7" w:rsidRPr="004F039B" w:rsidRDefault="005636C7" w:rsidP="004F039B">
      <w:pPr>
        <w:pStyle w:val="ListBullet"/>
        <w:spacing w:line="360" w:lineRule="auto"/>
        <w:rPr>
          <w:rFonts w:ascii="Georgia" w:hAnsi="Georgia"/>
        </w:rPr>
      </w:pPr>
      <w:r w:rsidRPr="004F039B">
        <w:rPr>
          <w:rFonts w:ascii="Georgia" w:hAnsi="Georgia"/>
        </w:rPr>
        <w:t>Suppliers wishing to import or manufacture models that are not already registered, but meet the new requirements, would need to complete a registration application and lodge it with the New Zealand Regulator (EECA).</w:t>
      </w:r>
    </w:p>
    <w:p w14:paraId="24CF7534" w14:textId="77777777" w:rsidR="005636C7" w:rsidRPr="004F039B" w:rsidRDefault="005636C7" w:rsidP="004F039B">
      <w:pPr>
        <w:pStyle w:val="ListBullet"/>
        <w:spacing w:line="360" w:lineRule="auto"/>
        <w:rPr>
          <w:rFonts w:ascii="Georgia" w:hAnsi="Georgia"/>
        </w:rPr>
      </w:pPr>
      <w:r w:rsidRPr="004F039B">
        <w:rPr>
          <w:rFonts w:ascii="Georgia" w:hAnsi="Georgia"/>
        </w:rPr>
        <w:t>Unregistered cabinets that fall within the scope of the law, are not permitted to be supplied, or used for any commercial purpose at any time.</w:t>
      </w:r>
    </w:p>
    <w:p w14:paraId="45D021AF" w14:textId="77777777" w:rsidR="005636C7" w:rsidRPr="004F039B" w:rsidRDefault="005636C7" w:rsidP="004F039B">
      <w:pPr>
        <w:spacing w:before="240" w:line="276" w:lineRule="auto"/>
        <w:jc w:val="both"/>
        <w:rPr>
          <w:rFonts w:ascii="Georgia" w:hAnsi="Georgia"/>
        </w:rPr>
      </w:pPr>
      <w:r w:rsidRPr="004F039B">
        <w:rPr>
          <w:rFonts w:ascii="Georgia" w:hAnsi="Georgia"/>
        </w:rPr>
        <w:t>Australian and New Zealand regulators undertake compliance activities, involving education, surveys, store inspections and checking claims in media. They also purchase cabinets, using a risk based approach, for the purpose of laboratory check testing, to assess whether efficiency claims made</w:t>
      </w:r>
      <w:bookmarkStart w:id="275" w:name="_Toc494897985"/>
      <w:bookmarkStart w:id="276" w:name="_Toc494955777"/>
      <w:bookmarkStart w:id="277" w:name="_Toc494959585"/>
      <w:bookmarkStart w:id="278" w:name="_Toc494972711"/>
      <w:bookmarkStart w:id="279" w:name="_Toc494973898"/>
      <w:bookmarkStart w:id="280" w:name="_Toc494974587"/>
      <w:r w:rsidRPr="004F039B">
        <w:rPr>
          <w:rFonts w:ascii="Georgia" w:hAnsi="Georgia"/>
        </w:rPr>
        <w:t xml:space="preserve"> in registrations are accurate.</w:t>
      </w:r>
    </w:p>
    <w:p w14:paraId="7BC0254D" w14:textId="77777777" w:rsidR="005636C7" w:rsidRPr="004F039B" w:rsidRDefault="005636C7" w:rsidP="004F039B">
      <w:pPr>
        <w:pStyle w:val="E3Heading4"/>
        <w:spacing w:line="276" w:lineRule="auto"/>
      </w:pPr>
    </w:p>
    <w:p w14:paraId="1563EB71" w14:textId="77777777" w:rsidR="005636C7" w:rsidRPr="004F039B" w:rsidRDefault="005636C7" w:rsidP="004F039B">
      <w:pPr>
        <w:pStyle w:val="E3Heading4"/>
        <w:spacing w:line="276" w:lineRule="auto"/>
      </w:pPr>
      <w:r w:rsidRPr="004F039B">
        <w:t>Evaluation</w:t>
      </w:r>
      <w:bookmarkEnd w:id="275"/>
      <w:bookmarkEnd w:id="276"/>
      <w:bookmarkEnd w:id="277"/>
      <w:bookmarkEnd w:id="278"/>
      <w:bookmarkEnd w:id="279"/>
      <w:bookmarkEnd w:id="280"/>
    </w:p>
    <w:p w14:paraId="354C1A41" w14:textId="77777777" w:rsidR="005636C7" w:rsidRPr="004F039B" w:rsidRDefault="005636C7" w:rsidP="004F039B">
      <w:pPr>
        <w:spacing w:line="276" w:lineRule="auto"/>
        <w:jc w:val="both"/>
        <w:rPr>
          <w:rFonts w:ascii="Georgia" w:hAnsi="Georgia"/>
        </w:rPr>
      </w:pPr>
      <w:r w:rsidRPr="004F039B">
        <w:rPr>
          <w:rFonts w:ascii="Georgia" w:hAnsi="Georgia"/>
        </w:rPr>
        <w:t>In New Zealand, after a year of trading under the new regulations, cabinet suppliers would be requested to provide sales data on how many cabinets they sold and comparable energy efficiencies, so that energy savings can be tracked against predictions.</w:t>
      </w:r>
    </w:p>
    <w:p w14:paraId="4397FF0A" w14:textId="77777777" w:rsidR="005636C7" w:rsidRPr="0041262C" w:rsidRDefault="005636C7" w:rsidP="005636C7">
      <w:pPr>
        <w:jc w:val="both"/>
        <w:rPr>
          <w:rFonts w:eastAsiaTheme="minorHAnsi" w:cstheme="minorBidi"/>
          <w:lang w:val="en-NZ"/>
        </w:rPr>
      </w:pPr>
      <w:r>
        <w:t>The E3 Program uses various sources of information to evaluate the effectiveness of the program and product category requirements. This includes retrospective reviews to compare the effect of policies versus what was projected in RIS analysis; analysing sales data to understand consumer awareness and usage of energy efficiency labelling; tracking hits on the Energy Rating website; and utilising ABS and other surveys of consumer intent and consideration of energy efficiency in purchase decisions.</w:t>
      </w:r>
    </w:p>
    <w:p w14:paraId="391FEACA" w14:textId="77777777" w:rsidR="005636C7" w:rsidRDefault="005636C7" w:rsidP="005636C7">
      <w:pPr>
        <w:pStyle w:val="E3BodyText"/>
        <w:rPr>
          <w:lang w:val="en-AU"/>
        </w:rPr>
      </w:pPr>
    </w:p>
    <w:p w14:paraId="187F1E27" w14:textId="77777777" w:rsidR="005636C7" w:rsidRPr="00305101" w:rsidRDefault="005636C7" w:rsidP="005636C7">
      <w:pPr>
        <w:pStyle w:val="E3ChapterTitle"/>
        <w:ind w:left="0"/>
        <w:rPr>
          <w:noProof/>
          <w:lang w:val="en-NZ" w:eastAsia="en-NZ"/>
        </w:rPr>
      </w:pPr>
      <w:bookmarkStart w:id="281" w:name="_Toc500151827"/>
      <w:r>
        <w:rPr>
          <w:noProof/>
          <w:lang w:eastAsia="en-AU"/>
        </w:rPr>
        <w:drawing>
          <wp:anchor distT="0" distB="0" distL="114300" distR="114300" simplePos="0" relativeHeight="251667456" behindDoc="1" locked="1" layoutInCell="1" allowOverlap="1" wp14:anchorId="62D625B1" wp14:editId="4C70E765">
            <wp:simplePos x="0" y="0"/>
            <wp:positionH relativeFrom="margin">
              <wp:posOffset>-219075</wp:posOffset>
            </wp:positionH>
            <wp:positionV relativeFrom="margin">
              <wp:posOffset>-514985</wp:posOffset>
            </wp:positionV>
            <wp:extent cx="6124575" cy="1800225"/>
            <wp:effectExtent l="0" t="0" r="9525" b="9525"/>
            <wp:wrapNone/>
            <wp:docPr id="14"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rPr>
          <w:noProof/>
          <w:lang w:val="en-NZ" w:eastAsia="en-NZ"/>
        </w:rPr>
        <w:t>References</w:t>
      </w:r>
      <w:bookmarkEnd w:id="281"/>
    </w:p>
    <w:p w14:paraId="5FB47EAE" w14:textId="77777777" w:rsidR="005636C7" w:rsidRDefault="005636C7" w:rsidP="005636C7">
      <w:r>
        <w:rPr>
          <w:noProof/>
        </w:rPr>
        <w:drawing>
          <wp:inline distT="0" distB="0" distL="0" distR="0" wp14:anchorId="2269DD58" wp14:editId="525D2FAA">
            <wp:extent cx="6120765" cy="639064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6390640"/>
                    </a:xfrm>
                    <a:prstGeom prst="rect">
                      <a:avLst/>
                    </a:prstGeom>
                  </pic:spPr>
                </pic:pic>
              </a:graphicData>
            </a:graphic>
          </wp:inline>
        </w:drawing>
      </w:r>
    </w:p>
    <w:p w14:paraId="2A6CC21D" w14:textId="77777777" w:rsidR="005636C7" w:rsidRDefault="005636C7" w:rsidP="005636C7"/>
    <w:p w14:paraId="295F9167" w14:textId="77777777" w:rsidR="005636C7" w:rsidRDefault="005636C7" w:rsidP="005636C7"/>
    <w:p w14:paraId="5259DF1A" w14:textId="77777777" w:rsidR="005636C7" w:rsidRDefault="005636C7" w:rsidP="005636C7"/>
    <w:p w14:paraId="5CD0DB9C" w14:textId="77777777" w:rsidR="005636C7" w:rsidRDefault="005636C7" w:rsidP="005636C7"/>
    <w:p w14:paraId="5385D07A" w14:textId="77777777" w:rsidR="005636C7" w:rsidRDefault="005636C7" w:rsidP="005636C7">
      <w:pPr>
        <w:pStyle w:val="E3ChapterTitle"/>
        <w:spacing w:after="1000"/>
      </w:pPr>
      <w:bookmarkStart w:id="282" w:name="_Toc500151828"/>
      <w:r>
        <w:rPr>
          <w:noProof/>
          <w:lang w:eastAsia="en-AU"/>
        </w:rPr>
        <w:drawing>
          <wp:anchor distT="0" distB="0" distL="114300" distR="114300" simplePos="0" relativeHeight="251668480" behindDoc="1" locked="1" layoutInCell="1" allowOverlap="1" wp14:anchorId="5BFA7D86" wp14:editId="33AE65AE">
            <wp:simplePos x="0" y="0"/>
            <wp:positionH relativeFrom="margin">
              <wp:align>left</wp:align>
            </wp:positionH>
            <wp:positionV relativeFrom="margin">
              <wp:posOffset>-400685</wp:posOffset>
            </wp:positionV>
            <wp:extent cx="6124575" cy="1800225"/>
            <wp:effectExtent l="0" t="0" r="9525" b="9525"/>
            <wp:wrapNone/>
            <wp:docPr id="1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A- Australian stock by major sectors</w:t>
      </w:r>
      <w:bookmarkEnd w:id="282"/>
    </w:p>
    <w:p w14:paraId="4F9BCC3C" w14:textId="77777777" w:rsidR="005636C7" w:rsidRPr="0041262C" w:rsidRDefault="005636C7" w:rsidP="005636C7">
      <w:pPr>
        <w:pStyle w:val="E3Heading2"/>
        <w:contextualSpacing w:val="0"/>
      </w:pPr>
      <w:bookmarkStart w:id="283" w:name="_Toc280615558"/>
      <w:bookmarkStart w:id="284" w:name="_Toc447533622"/>
      <w:bookmarkStart w:id="285" w:name="_Toc449708794"/>
      <w:bookmarkStart w:id="286" w:name="_Toc450032151"/>
      <w:bookmarkStart w:id="287" w:name="_Toc500151829"/>
      <w:r w:rsidRPr="0041262C">
        <w:t>Retail and food services channels</w:t>
      </w:r>
      <w:bookmarkEnd w:id="283"/>
      <w:bookmarkEnd w:id="284"/>
      <w:bookmarkEnd w:id="285"/>
      <w:bookmarkEnd w:id="286"/>
      <w:bookmarkEnd w:id="287"/>
    </w:p>
    <w:p w14:paraId="26F6F390" w14:textId="77777777" w:rsidR="005636C7" w:rsidRPr="00AC7259" w:rsidRDefault="005636C7" w:rsidP="005636C7">
      <w:pPr>
        <w:pStyle w:val="E3BodyText"/>
      </w:pPr>
      <w:r w:rsidRPr="00AC7259">
        <w:t>The sales of display cabinets and storage cabinets are largely driven by requirements in two major sectors:</w:t>
      </w:r>
    </w:p>
    <w:p w14:paraId="6AEAA604" w14:textId="77777777" w:rsidR="005636C7" w:rsidRPr="00AC7259" w:rsidRDefault="005636C7" w:rsidP="000F6ACF">
      <w:pPr>
        <w:pStyle w:val="E3BodyText"/>
        <w:numPr>
          <w:ilvl w:val="0"/>
          <w:numId w:val="16"/>
        </w:numPr>
        <w:autoSpaceDE/>
        <w:autoSpaceDN/>
        <w:adjustRightInd/>
        <w:spacing w:line="278" w:lineRule="auto"/>
        <w:ind w:left="709"/>
        <w:jc w:val="both"/>
      </w:pPr>
      <w:r w:rsidRPr="00AC7259">
        <w:t>Food retail comprising supermarkets, convenience stores, liquor retailing and small food retail (i.e. fresh meat, fish and poultry; fruit and vegetable and specialised foods); and,</w:t>
      </w:r>
    </w:p>
    <w:p w14:paraId="46EFC4F7" w14:textId="77777777" w:rsidR="005636C7" w:rsidRDefault="005636C7" w:rsidP="000F6ACF">
      <w:pPr>
        <w:pStyle w:val="E3BodyText"/>
        <w:numPr>
          <w:ilvl w:val="0"/>
          <w:numId w:val="16"/>
        </w:numPr>
        <w:ind w:left="709"/>
      </w:pPr>
      <w:r w:rsidRPr="00AC7259">
        <w:t>Food service channels which includes catering and hospitality.</w:t>
      </w:r>
      <w:r>
        <w:t xml:space="preserve"> </w:t>
      </w:r>
    </w:p>
    <w:p w14:paraId="77640594" w14:textId="77777777" w:rsidR="005636C7" w:rsidRDefault="005636C7" w:rsidP="005636C7">
      <w:pPr>
        <w:pStyle w:val="E3BodyText"/>
      </w:pPr>
      <w:r w:rsidRPr="00EF0924">
        <w:fldChar w:fldCharType="begin"/>
      </w:r>
      <w:r w:rsidRPr="00EF0924">
        <w:instrText xml:space="preserve"> REF _Ref449966506 \h  \* MERGEFORMAT </w:instrText>
      </w:r>
      <w:r w:rsidRPr="00EF0924">
        <w:fldChar w:fldCharType="separate"/>
      </w:r>
      <w:r w:rsidR="00AC6998" w:rsidRPr="00CA582C">
        <w:t xml:space="preserve">Figure B </w:t>
      </w:r>
      <w:r w:rsidR="00AC6998">
        <w:rPr>
          <w:noProof/>
        </w:rPr>
        <w:t>1</w:t>
      </w:r>
      <w:r w:rsidRPr="00EF0924">
        <w:fldChar w:fldCharType="end"/>
      </w:r>
      <w:r w:rsidRPr="00AC7259">
        <w:t xml:space="preserve"> </w:t>
      </w:r>
      <w:r>
        <w:t xml:space="preserve">(below) which </w:t>
      </w:r>
      <w:r w:rsidRPr="00AC7259">
        <w:t>shows the trend of the overall trade figures in millions of dollars. These sectors closely track each other, except in 2008 and 2009 where the foodservice market was one of the first market sectors to feel the impact of the economic downturn, and commercial foodservice expenditure suffered two successive years of decline. One exception to this dip was Quick Service Restaurants (QSRs) that were not affected by the Global Financial Crisis. Overall expenditure of food service equipment for the next five years is expected to grow at around 2% per annum.</w:t>
      </w:r>
    </w:p>
    <w:p w14:paraId="5336F467" w14:textId="77777777" w:rsidR="005636C7" w:rsidRDefault="005636C7" w:rsidP="005636C7">
      <w:pPr>
        <w:pStyle w:val="E3Figuretitles"/>
        <w:spacing w:after="120"/>
      </w:pPr>
      <w:bookmarkStart w:id="288" w:name="_Ref449966506"/>
      <w:bookmarkStart w:id="289" w:name="_Toc449709085"/>
      <w:bookmarkStart w:id="290" w:name="_Toc456104739"/>
      <w:r w:rsidRPr="00CA582C">
        <w:t xml:space="preserve">Figure B </w:t>
      </w:r>
      <w:r w:rsidRPr="00CA582C">
        <w:fldChar w:fldCharType="begin"/>
      </w:r>
      <w:r w:rsidRPr="00CA582C">
        <w:instrText xml:space="preserve"> SEQ Figure_B \* ARABIC </w:instrText>
      </w:r>
      <w:r w:rsidRPr="00CA582C">
        <w:fldChar w:fldCharType="separate"/>
      </w:r>
      <w:r w:rsidR="00AC6998">
        <w:rPr>
          <w:noProof/>
        </w:rPr>
        <w:t>1</w:t>
      </w:r>
      <w:r w:rsidRPr="00CA582C">
        <w:fldChar w:fldCharType="end"/>
      </w:r>
      <w:bookmarkEnd w:id="288"/>
      <w:r w:rsidRPr="00CA582C">
        <w:t>: ABS Retail trade index for food retail and hospitality (in millions of dollars of turnover per month</w:t>
      </w:r>
      <w:bookmarkEnd w:id="289"/>
      <w:r w:rsidRPr="00CA582C">
        <w:t>).</w:t>
      </w:r>
      <w:bookmarkEnd w:id="290"/>
    </w:p>
    <w:p w14:paraId="7E4AF426" w14:textId="77777777" w:rsidR="005636C7" w:rsidRDefault="005636C7" w:rsidP="005636C7">
      <w:pPr>
        <w:pStyle w:val="E3Figuretitles"/>
        <w:spacing w:after="240"/>
      </w:pPr>
      <w:r>
        <w:rPr>
          <w:noProof/>
          <w:sz w:val="16"/>
          <w:szCs w:val="16"/>
          <w:lang w:val="en-AU" w:eastAsia="en-AU"/>
        </w:rPr>
        <w:drawing>
          <wp:inline distT="0" distB="0" distL="0" distR="0" wp14:anchorId="447FA28C" wp14:editId="6F8BA2A2">
            <wp:extent cx="5986780" cy="3424686"/>
            <wp:effectExtent l="0" t="0" r="0" b="4445"/>
            <wp:docPr id="28" name="Picture 28" descr="This graphic shows food retailing and hospitality value in $M from 2005 to 2014. It shows a steady increase in two industries that largely mirror each other." title="Australian trade index for food retail and hospitality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88070" cy="3425424"/>
                    </a:xfrm>
                    <a:prstGeom prst="rect">
                      <a:avLst/>
                    </a:prstGeom>
                    <a:noFill/>
                  </pic:spPr>
                </pic:pic>
              </a:graphicData>
            </a:graphic>
          </wp:inline>
        </w:drawing>
      </w:r>
    </w:p>
    <w:p w14:paraId="1C8542C1" w14:textId="77777777" w:rsidR="005636C7" w:rsidRPr="00387244" w:rsidRDefault="005636C7" w:rsidP="005636C7">
      <w:pPr>
        <w:pStyle w:val="E3Caption"/>
        <w:jc w:val="both"/>
      </w:pPr>
      <w:r w:rsidRPr="00387244">
        <w:t>(Source: ABS Cat No. 8501: Table 1, Updated May 2014)</w:t>
      </w:r>
    </w:p>
    <w:p w14:paraId="3F5E9DC9" w14:textId="77777777" w:rsidR="005636C7" w:rsidRPr="001A4A51" w:rsidRDefault="005636C7" w:rsidP="005636C7">
      <w:pPr>
        <w:pStyle w:val="E3Heading2"/>
        <w:rPr>
          <w:rFonts w:ascii="Georgia" w:hAnsi="Georgia"/>
          <w:sz w:val="24"/>
        </w:rPr>
      </w:pPr>
      <w:bookmarkStart w:id="291" w:name="_Toc280615559"/>
      <w:bookmarkStart w:id="292" w:name="_Toc447533623"/>
      <w:bookmarkStart w:id="293" w:name="_Toc449708795"/>
      <w:bookmarkStart w:id="294" w:name="_Toc450032152"/>
      <w:bookmarkStart w:id="295" w:name="_Toc494897986"/>
      <w:bookmarkStart w:id="296" w:name="_Toc494955778"/>
      <w:bookmarkStart w:id="297" w:name="_Toc494959586"/>
      <w:bookmarkStart w:id="298" w:name="_Toc494972712"/>
      <w:bookmarkStart w:id="299" w:name="_Toc494973899"/>
      <w:bookmarkStart w:id="300" w:name="_Toc494974588"/>
      <w:bookmarkStart w:id="301" w:name="_Toc500151830"/>
      <w:r w:rsidRPr="001A4A51">
        <w:rPr>
          <w:rFonts w:ascii="Georgia" w:hAnsi="Georgia"/>
          <w:sz w:val="24"/>
        </w:rPr>
        <w:t>Supermarkets, convenience stores and small retail</w:t>
      </w:r>
      <w:bookmarkEnd w:id="291"/>
      <w:bookmarkEnd w:id="292"/>
      <w:bookmarkEnd w:id="293"/>
      <w:bookmarkEnd w:id="294"/>
      <w:bookmarkEnd w:id="295"/>
      <w:bookmarkEnd w:id="296"/>
      <w:bookmarkEnd w:id="297"/>
      <w:bookmarkEnd w:id="298"/>
      <w:bookmarkEnd w:id="299"/>
      <w:bookmarkEnd w:id="300"/>
      <w:bookmarkEnd w:id="301"/>
    </w:p>
    <w:p w14:paraId="2BD80049" w14:textId="77777777" w:rsidR="005636C7" w:rsidRPr="00AC7259" w:rsidRDefault="005636C7" w:rsidP="005636C7">
      <w:pPr>
        <w:pStyle w:val="E3BodyText"/>
        <w:jc w:val="both"/>
      </w:pPr>
      <w:r w:rsidRPr="00AC7259">
        <w:t>The Australian industry structure consists of large national supermarket chains</w:t>
      </w:r>
      <w:r>
        <w:t>, including</w:t>
      </w:r>
      <w:r w:rsidRPr="00AC7259">
        <w:t xml:space="preserve"> Woolworths </w:t>
      </w:r>
      <w:r>
        <w:t xml:space="preserve">which has 920 stores and the </w:t>
      </w:r>
      <w:r w:rsidRPr="00AC7259">
        <w:t xml:space="preserve">international supermarket chain </w:t>
      </w:r>
      <w:r>
        <w:t xml:space="preserve">Aldi which was </w:t>
      </w:r>
      <w:r w:rsidRPr="00AC7259">
        <w:t xml:space="preserve">around 339 </w:t>
      </w:r>
      <w:r>
        <w:t>stores on the eastern sea board.  There also</w:t>
      </w:r>
      <w:r w:rsidRPr="00AC7259">
        <w:t xml:space="preserve"> </w:t>
      </w:r>
      <w:r>
        <w:t xml:space="preserve">approximately </w:t>
      </w:r>
      <w:r w:rsidRPr="00AC7259">
        <w:t xml:space="preserve">2,500 independent stores comprising independent supermarket chains (i.e. IGA branded chains such as Ritchies, Foodland and Cornett’s, and AUR-Foodworks) and individually owned and controlled stores. Costco is a new corporate participant </w:t>
      </w:r>
      <w:r>
        <w:t xml:space="preserve">with </w:t>
      </w:r>
      <w:r w:rsidRPr="00AC7259">
        <w:t>large general merchandise stores with supermarket style refrigeration in Melbourne, Sydney, Canberra and Brisbane. Aldi have announced $2 Billion of expansion plans into other regions including SA and WA, with other European discount operators (i.e. Lidl, Netto, etc.) planning or considering opening stores in Australia.</w:t>
      </w:r>
    </w:p>
    <w:p w14:paraId="188FC950" w14:textId="77777777" w:rsidR="005636C7" w:rsidRPr="00AC7259" w:rsidRDefault="005636C7" w:rsidP="005636C7">
      <w:pPr>
        <w:pStyle w:val="E3BodyText"/>
        <w:jc w:val="both"/>
      </w:pPr>
      <w:r w:rsidRPr="00AC7259">
        <w:t>There are almost 6,000 convenience stores comprising around 650 7-Eleven, 496 Woolworths Petrol, 750 New Sunrise, 207 BP Petrol, 637 Coles Express, 476 Caltex (excluding Woolworths co-branded sites), 737 United (including distributors), 700 independents, and over 1,100 UCB</w:t>
      </w:r>
      <w:r>
        <w:t xml:space="preserve"> stores, plus others including </w:t>
      </w:r>
      <w:r w:rsidRPr="00AC7259">
        <w:t>AA Holdings, Apco, Mati</w:t>
      </w:r>
      <w:r>
        <w:t xml:space="preserve">lda, Reliance, Night Owl and Mobil. </w:t>
      </w:r>
      <w:r w:rsidRPr="00AC7259">
        <w:rPr>
          <w:b/>
        </w:rPr>
        <w:fldChar w:fldCharType="begin"/>
      </w:r>
      <w:r w:rsidRPr="00AC7259">
        <w:rPr>
          <w:b/>
        </w:rPr>
        <w:instrText xml:space="preserve"> REF _Ref449966588 \h  \* MERGEFORMAT </w:instrText>
      </w:r>
      <w:r w:rsidRPr="00AC7259">
        <w:rPr>
          <w:b/>
        </w:rPr>
      </w:r>
      <w:r w:rsidRPr="00AC7259">
        <w:rPr>
          <w:b/>
        </w:rPr>
        <w:fldChar w:fldCharType="separate"/>
      </w:r>
      <w:r w:rsidR="00AC6998">
        <w:t>Table B1</w:t>
      </w:r>
      <w:r w:rsidRPr="00AC7259">
        <w:rPr>
          <w:b/>
        </w:rPr>
        <w:fldChar w:fldCharType="end"/>
      </w:r>
      <w:r w:rsidRPr="00AC7259">
        <w:t xml:space="preserve"> summarises the estimated stock of supermarkets and convenience stores in Australia at the end of 2013 dissected into large, medium and small supermarkets, plus convenience stores and extra small supermarkets with a trading floor less than 400 m</w:t>
      </w:r>
      <w:r w:rsidRPr="00AC7259">
        <w:rPr>
          <w:vertAlign w:val="superscript"/>
        </w:rPr>
        <w:t>2</w:t>
      </w:r>
      <w:r w:rsidRPr="00AC7259">
        <w:t>.</w:t>
      </w:r>
    </w:p>
    <w:p w14:paraId="5F2ABEE7" w14:textId="77777777" w:rsidR="005636C7" w:rsidRPr="00452195" w:rsidRDefault="005636C7" w:rsidP="005636C7">
      <w:pPr>
        <w:pStyle w:val="E3TableTitles"/>
      </w:pPr>
      <w:bookmarkStart w:id="302" w:name="_Ref449966588"/>
      <w:bookmarkStart w:id="303" w:name="_Toc449708973"/>
      <w:bookmarkStart w:id="304" w:name="_Toc456164729"/>
      <w:bookmarkStart w:id="305" w:name="_Toc500159670"/>
      <w:r>
        <w:t>Table B</w:t>
      </w:r>
      <w:r>
        <w:fldChar w:fldCharType="begin"/>
      </w:r>
      <w:r>
        <w:instrText xml:space="preserve"> SEQ Table_B \* ARABIC </w:instrText>
      </w:r>
      <w:r>
        <w:fldChar w:fldCharType="separate"/>
      </w:r>
      <w:r w:rsidR="00AC6998">
        <w:rPr>
          <w:noProof/>
        </w:rPr>
        <w:t>1</w:t>
      </w:r>
      <w:r>
        <w:rPr>
          <w:noProof/>
        </w:rPr>
        <w:fldChar w:fldCharType="end"/>
      </w:r>
      <w:bookmarkEnd w:id="302"/>
      <w:r w:rsidRPr="00452195">
        <w:t>: Summary of Australian supermarkets and convenience stores dissected by trading floor.</w:t>
      </w:r>
      <w:bookmarkEnd w:id="303"/>
      <w:bookmarkEnd w:id="304"/>
      <w:bookmarkEnd w:id="305"/>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93"/>
        <w:gridCol w:w="1442"/>
        <w:gridCol w:w="1588"/>
        <w:gridCol w:w="1389"/>
        <w:gridCol w:w="1304"/>
      </w:tblGrid>
      <w:tr w:rsidR="005636C7" w:rsidRPr="00067F58" w14:paraId="2406337D" w14:textId="77777777" w:rsidTr="005636C7">
        <w:tc>
          <w:tcPr>
            <w:tcW w:w="2410" w:type="dxa"/>
            <w:vMerge w:val="restart"/>
            <w:shd w:val="clear" w:color="auto" w:fill="0C0C0C"/>
            <w:vAlign w:val="center"/>
          </w:tcPr>
          <w:p w14:paraId="05EA90A5" w14:textId="77777777" w:rsidR="005636C7" w:rsidRPr="00067F58" w:rsidRDefault="005636C7" w:rsidP="005636C7">
            <w:pPr>
              <w:pStyle w:val="E3TableHeading"/>
            </w:pPr>
            <w:r w:rsidRPr="00067F58">
              <w:t>Brand</w:t>
            </w:r>
          </w:p>
        </w:tc>
        <w:tc>
          <w:tcPr>
            <w:tcW w:w="1393" w:type="dxa"/>
            <w:vMerge w:val="restart"/>
            <w:shd w:val="clear" w:color="auto" w:fill="0C0C0C"/>
            <w:vAlign w:val="center"/>
          </w:tcPr>
          <w:p w14:paraId="12BBAC90" w14:textId="77777777" w:rsidR="005636C7" w:rsidRPr="00067F58" w:rsidRDefault="005636C7" w:rsidP="005636C7">
            <w:pPr>
              <w:pStyle w:val="E3TableHeading"/>
            </w:pPr>
            <w:r w:rsidRPr="00067F58">
              <w:t>Nominal Quantity</w:t>
            </w:r>
          </w:p>
        </w:tc>
        <w:tc>
          <w:tcPr>
            <w:tcW w:w="5723" w:type="dxa"/>
            <w:gridSpan w:val="4"/>
            <w:shd w:val="clear" w:color="auto" w:fill="0C0C0C"/>
            <w:vAlign w:val="center"/>
          </w:tcPr>
          <w:p w14:paraId="44D7C0A4" w14:textId="77777777" w:rsidR="005636C7" w:rsidRPr="00067F58" w:rsidRDefault="005636C7" w:rsidP="005636C7">
            <w:pPr>
              <w:pStyle w:val="E3TableHeading"/>
              <w:jc w:val="center"/>
            </w:pPr>
            <w:r w:rsidRPr="00067F58">
              <w:t>Trading floor (m</w:t>
            </w:r>
            <w:r w:rsidRPr="00067F58">
              <w:rPr>
                <w:vertAlign w:val="superscript"/>
              </w:rPr>
              <w:t>2</w:t>
            </w:r>
            <w:r w:rsidRPr="00067F58">
              <w:t xml:space="preserve">) </w:t>
            </w:r>
            <w:r w:rsidRPr="00067F58">
              <w:rPr>
                <w:vertAlign w:val="superscript"/>
              </w:rPr>
              <w:t>(1)</w:t>
            </w:r>
          </w:p>
        </w:tc>
      </w:tr>
      <w:tr w:rsidR="005636C7" w:rsidRPr="00067F58" w14:paraId="4EEBA2F4" w14:textId="77777777" w:rsidTr="005636C7">
        <w:tc>
          <w:tcPr>
            <w:tcW w:w="2410" w:type="dxa"/>
            <w:vMerge/>
            <w:shd w:val="clear" w:color="auto" w:fill="0C0C0C"/>
            <w:vAlign w:val="center"/>
          </w:tcPr>
          <w:p w14:paraId="1CF20912" w14:textId="77777777" w:rsidR="005636C7" w:rsidRPr="0041262C" w:rsidRDefault="005636C7" w:rsidP="005636C7">
            <w:pPr>
              <w:pStyle w:val="E3tabletext1"/>
              <w:jc w:val="left"/>
              <w:rPr>
                <w:rFonts w:ascii="Helvetica" w:hAnsi="Helvetica" w:cs="Helvetica"/>
                <w:sz w:val="15"/>
                <w:szCs w:val="15"/>
              </w:rPr>
            </w:pPr>
          </w:p>
        </w:tc>
        <w:tc>
          <w:tcPr>
            <w:tcW w:w="1393" w:type="dxa"/>
            <w:vMerge/>
            <w:shd w:val="clear" w:color="auto" w:fill="0C0C0C"/>
            <w:vAlign w:val="center"/>
          </w:tcPr>
          <w:p w14:paraId="0C52B608" w14:textId="77777777" w:rsidR="005636C7" w:rsidRPr="0041262C" w:rsidRDefault="005636C7" w:rsidP="005636C7">
            <w:pPr>
              <w:pStyle w:val="E3tabletext1"/>
              <w:jc w:val="left"/>
              <w:rPr>
                <w:rFonts w:ascii="Helvetica" w:hAnsi="Helvetica" w:cs="Helvetica"/>
                <w:sz w:val="15"/>
                <w:szCs w:val="15"/>
              </w:rPr>
            </w:pPr>
          </w:p>
        </w:tc>
        <w:tc>
          <w:tcPr>
            <w:tcW w:w="1442" w:type="dxa"/>
            <w:shd w:val="clear" w:color="auto" w:fill="0C0C0C"/>
            <w:vAlign w:val="center"/>
          </w:tcPr>
          <w:p w14:paraId="5C1E171D" w14:textId="77777777" w:rsidR="005636C7" w:rsidRPr="00067F58" w:rsidRDefault="005636C7" w:rsidP="005636C7">
            <w:pPr>
              <w:pStyle w:val="E3TableHeading"/>
            </w:pPr>
            <w:r w:rsidRPr="00067F58">
              <w:t>≥2,750</w:t>
            </w:r>
          </w:p>
        </w:tc>
        <w:tc>
          <w:tcPr>
            <w:tcW w:w="1588" w:type="dxa"/>
            <w:shd w:val="clear" w:color="auto" w:fill="0C0C0C"/>
            <w:vAlign w:val="center"/>
          </w:tcPr>
          <w:p w14:paraId="096994F2" w14:textId="77777777" w:rsidR="005636C7" w:rsidRPr="00067F58" w:rsidRDefault="005636C7" w:rsidP="005636C7">
            <w:pPr>
              <w:pStyle w:val="E3TableHeading"/>
            </w:pPr>
            <w:r w:rsidRPr="00067F58">
              <w:t>≥1,500 and ≥2,750</w:t>
            </w:r>
          </w:p>
        </w:tc>
        <w:tc>
          <w:tcPr>
            <w:tcW w:w="1389" w:type="dxa"/>
            <w:shd w:val="clear" w:color="auto" w:fill="0C0C0C"/>
            <w:vAlign w:val="center"/>
          </w:tcPr>
          <w:p w14:paraId="3283C07C" w14:textId="77777777" w:rsidR="005636C7" w:rsidRPr="00067F58" w:rsidRDefault="005636C7" w:rsidP="005636C7">
            <w:pPr>
              <w:pStyle w:val="E3TableHeading"/>
            </w:pPr>
            <w:r w:rsidRPr="00067F58">
              <w:t>&lt;1,500 and ≥400</w:t>
            </w:r>
          </w:p>
        </w:tc>
        <w:tc>
          <w:tcPr>
            <w:tcW w:w="1304" w:type="dxa"/>
            <w:shd w:val="clear" w:color="auto" w:fill="0C0C0C"/>
            <w:vAlign w:val="center"/>
          </w:tcPr>
          <w:p w14:paraId="037C3436" w14:textId="77777777" w:rsidR="005636C7" w:rsidRPr="00067F58" w:rsidRDefault="005636C7" w:rsidP="005636C7">
            <w:pPr>
              <w:pStyle w:val="E3TableHeading"/>
            </w:pPr>
            <w:r w:rsidRPr="00067F58">
              <w:t>&lt;400</w:t>
            </w:r>
          </w:p>
        </w:tc>
      </w:tr>
      <w:tr w:rsidR="005636C7" w:rsidRPr="00067F58" w14:paraId="726284D4" w14:textId="77777777" w:rsidTr="005636C7">
        <w:tc>
          <w:tcPr>
            <w:tcW w:w="2410" w:type="dxa"/>
            <w:vAlign w:val="bottom"/>
          </w:tcPr>
          <w:p w14:paraId="40D7525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Coles-Bi Lo</w:t>
            </w:r>
          </w:p>
        </w:tc>
        <w:tc>
          <w:tcPr>
            <w:tcW w:w="1393" w:type="dxa"/>
            <w:vAlign w:val="bottom"/>
          </w:tcPr>
          <w:p w14:paraId="1F7EBC6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762</w:t>
            </w:r>
          </w:p>
        </w:tc>
        <w:tc>
          <w:tcPr>
            <w:tcW w:w="1442" w:type="dxa"/>
            <w:vAlign w:val="bottom"/>
          </w:tcPr>
          <w:p w14:paraId="5C0FA63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152</w:t>
            </w:r>
          </w:p>
        </w:tc>
        <w:tc>
          <w:tcPr>
            <w:tcW w:w="1588" w:type="dxa"/>
            <w:vAlign w:val="bottom"/>
          </w:tcPr>
          <w:p w14:paraId="5F689F8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381</w:t>
            </w:r>
          </w:p>
        </w:tc>
        <w:tc>
          <w:tcPr>
            <w:tcW w:w="1389" w:type="dxa"/>
            <w:vAlign w:val="bottom"/>
          </w:tcPr>
          <w:p w14:paraId="4BBC576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229</w:t>
            </w:r>
          </w:p>
        </w:tc>
        <w:tc>
          <w:tcPr>
            <w:tcW w:w="1304" w:type="dxa"/>
            <w:vAlign w:val="bottom"/>
          </w:tcPr>
          <w:p w14:paraId="1371089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5AA35D9B" w14:textId="77777777" w:rsidTr="005636C7">
        <w:tc>
          <w:tcPr>
            <w:tcW w:w="2410" w:type="dxa"/>
            <w:vAlign w:val="bottom"/>
          </w:tcPr>
          <w:p w14:paraId="488EB74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Woolworths-Safeway</w:t>
            </w:r>
          </w:p>
        </w:tc>
        <w:tc>
          <w:tcPr>
            <w:tcW w:w="1393" w:type="dxa"/>
            <w:vAlign w:val="bottom"/>
          </w:tcPr>
          <w:p w14:paraId="2619AE7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920</w:t>
            </w:r>
          </w:p>
        </w:tc>
        <w:tc>
          <w:tcPr>
            <w:tcW w:w="1442" w:type="dxa"/>
            <w:vAlign w:val="bottom"/>
          </w:tcPr>
          <w:p w14:paraId="4246708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184</w:t>
            </w:r>
          </w:p>
        </w:tc>
        <w:tc>
          <w:tcPr>
            <w:tcW w:w="1588" w:type="dxa"/>
            <w:vAlign w:val="bottom"/>
          </w:tcPr>
          <w:p w14:paraId="2358DE5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460</w:t>
            </w:r>
          </w:p>
        </w:tc>
        <w:tc>
          <w:tcPr>
            <w:tcW w:w="1389" w:type="dxa"/>
            <w:vAlign w:val="bottom"/>
          </w:tcPr>
          <w:p w14:paraId="23557E0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276</w:t>
            </w:r>
          </w:p>
        </w:tc>
        <w:tc>
          <w:tcPr>
            <w:tcW w:w="1304" w:type="dxa"/>
            <w:vAlign w:val="bottom"/>
          </w:tcPr>
          <w:p w14:paraId="21D099A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485FC4E1" w14:textId="77777777" w:rsidTr="005636C7">
        <w:tc>
          <w:tcPr>
            <w:tcW w:w="2410" w:type="dxa"/>
            <w:vAlign w:val="bottom"/>
          </w:tcPr>
          <w:p w14:paraId="484AD72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Aldi</w:t>
            </w:r>
          </w:p>
        </w:tc>
        <w:tc>
          <w:tcPr>
            <w:tcW w:w="1393" w:type="dxa"/>
            <w:vAlign w:val="bottom"/>
          </w:tcPr>
          <w:p w14:paraId="7A2CD6D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339</w:t>
            </w:r>
          </w:p>
        </w:tc>
        <w:tc>
          <w:tcPr>
            <w:tcW w:w="1442" w:type="dxa"/>
            <w:vAlign w:val="bottom"/>
          </w:tcPr>
          <w:p w14:paraId="253A267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42E22D3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79ECB71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339</w:t>
            </w:r>
          </w:p>
        </w:tc>
        <w:tc>
          <w:tcPr>
            <w:tcW w:w="1304" w:type="dxa"/>
            <w:vAlign w:val="bottom"/>
          </w:tcPr>
          <w:p w14:paraId="09381A9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782FB998" w14:textId="77777777" w:rsidTr="005636C7">
        <w:tc>
          <w:tcPr>
            <w:tcW w:w="2410" w:type="dxa"/>
            <w:vAlign w:val="bottom"/>
          </w:tcPr>
          <w:p w14:paraId="1D10B8E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IGA</w:t>
            </w:r>
          </w:p>
        </w:tc>
        <w:tc>
          <w:tcPr>
            <w:tcW w:w="1393" w:type="dxa"/>
            <w:vAlign w:val="bottom"/>
          </w:tcPr>
          <w:p w14:paraId="2592C64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1,393</w:t>
            </w:r>
          </w:p>
        </w:tc>
        <w:tc>
          <w:tcPr>
            <w:tcW w:w="1442" w:type="dxa"/>
            <w:vAlign w:val="bottom"/>
          </w:tcPr>
          <w:p w14:paraId="0ACE0A8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1D77C53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139</w:t>
            </w:r>
          </w:p>
        </w:tc>
        <w:tc>
          <w:tcPr>
            <w:tcW w:w="1389" w:type="dxa"/>
            <w:vAlign w:val="bottom"/>
          </w:tcPr>
          <w:p w14:paraId="16D5FB2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1,114</w:t>
            </w:r>
          </w:p>
        </w:tc>
        <w:tc>
          <w:tcPr>
            <w:tcW w:w="1304" w:type="dxa"/>
            <w:vAlign w:val="bottom"/>
          </w:tcPr>
          <w:p w14:paraId="2A1163D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139</w:t>
            </w:r>
          </w:p>
        </w:tc>
      </w:tr>
      <w:tr w:rsidR="005636C7" w:rsidRPr="00067F58" w14:paraId="0A3184AD" w14:textId="77777777" w:rsidTr="005636C7">
        <w:tc>
          <w:tcPr>
            <w:tcW w:w="2410" w:type="dxa"/>
            <w:vAlign w:val="bottom"/>
          </w:tcPr>
          <w:p w14:paraId="59EFE68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IGA (Friendly Grocer/Eziway)</w:t>
            </w:r>
          </w:p>
        </w:tc>
        <w:tc>
          <w:tcPr>
            <w:tcW w:w="1393" w:type="dxa"/>
            <w:vAlign w:val="bottom"/>
          </w:tcPr>
          <w:p w14:paraId="636C32B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348</w:t>
            </w:r>
          </w:p>
        </w:tc>
        <w:tc>
          <w:tcPr>
            <w:tcW w:w="1442" w:type="dxa"/>
            <w:vAlign w:val="bottom"/>
          </w:tcPr>
          <w:p w14:paraId="48E3917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5D50786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73277F5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4D4C7BA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348</w:t>
            </w:r>
          </w:p>
        </w:tc>
      </w:tr>
      <w:tr w:rsidR="005636C7" w:rsidRPr="00067F58" w14:paraId="214879A7" w14:textId="77777777" w:rsidTr="005636C7">
        <w:tc>
          <w:tcPr>
            <w:tcW w:w="2410" w:type="dxa"/>
            <w:vAlign w:val="bottom"/>
          </w:tcPr>
          <w:p w14:paraId="28BB98B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AUR-Foodland branded</w:t>
            </w:r>
          </w:p>
        </w:tc>
        <w:tc>
          <w:tcPr>
            <w:tcW w:w="1393" w:type="dxa"/>
            <w:vAlign w:val="bottom"/>
          </w:tcPr>
          <w:p w14:paraId="3FDF9E3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439</w:t>
            </w:r>
          </w:p>
        </w:tc>
        <w:tc>
          <w:tcPr>
            <w:tcW w:w="1442" w:type="dxa"/>
            <w:vAlign w:val="bottom"/>
          </w:tcPr>
          <w:p w14:paraId="00C4B09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14B7753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44</w:t>
            </w:r>
          </w:p>
        </w:tc>
        <w:tc>
          <w:tcPr>
            <w:tcW w:w="1389" w:type="dxa"/>
            <w:vAlign w:val="bottom"/>
          </w:tcPr>
          <w:p w14:paraId="5D176E3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263</w:t>
            </w:r>
          </w:p>
        </w:tc>
        <w:tc>
          <w:tcPr>
            <w:tcW w:w="1304" w:type="dxa"/>
            <w:vAlign w:val="bottom"/>
          </w:tcPr>
          <w:p w14:paraId="66ECB0D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132</w:t>
            </w:r>
          </w:p>
        </w:tc>
      </w:tr>
      <w:tr w:rsidR="005636C7" w:rsidRPr="00067F58" w14:paraId="0FB90FE5" w14:textId="77777777" w:rsidTr="005636C7">
        <w:tc>
          <w:tcPr>
            <w:tcW w:w="2410" w:type="dxa"/>
            <w:vAlign w:val="bottom"/>
          </w:tcPr>
          <w:p w14:paraId="746FBDD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AUR-Foodland (un-branded)</w:t>
            </w:r>
          </w:p>
        </w:tc>
        <w:tc>
          <w:tcPr>
            <w:tcW w:w="1393" w:type="dxa"/>
            <w:vAlign w:val="bottom"/>
          </w:tcPr>
          <w:p w14:paraId="7DD256C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179</w:t>
            </w:r>
          </w:p>
        </w:tc>
        <w:tc>
          <w:tcPr>
            <w:tcW w:w="1442" w:type="dxa"/>
            <w:vAlign w:val="bottom"/>
          </w:tcPr>
          <w:p w14:paraId="095774A6"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7B22B6E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7DCEC6E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00B08A5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179</w:t>
            </w:r>
          </w:p>
        </w:tc>
      </w:tr>
      <w:tr w:rsidR="005636C7" w:rsidRPr="00067F58" w14:paraId="7B165A22" w14:textId="77777777" w:rsidTr="005636C7">
        <w:tc>
          <w:tcPr>
            <w:tcW w:w="2410" w:type="dxa"/>
            <w:vAlign w:val="bottom"/>
          </w:tcPr>
          <w:p w14:paraId="49A36C3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Costco</w:t>
            </w:r>
          </w:p>
        </w:tc>
        <w:tc>
          <w:tcPr>
            <w:tcW w:w="1393" w:type="dxa"/>
            <w:vAlign w:val="bottom"/>
          </w:tcPr>
          <w:p w14:paraId="1D7AEC1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w:t>
            </w:r>
          </w:p>
        </w:tc>
        <w:tc>
          <w:tcPr>
            <w:tcW w:w="1442" w:type="dxa"/>
            <w:vAlign w:val="bottom"/>
          </w:tcPr>
          <w:p w14:paraId="0FBFB40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w:t>
            </w:r>
          </w:p>
        </w:tc>
        <w:tc>
          <w:tcPr>
            <w:tcW w:w="1588" w:type="dxa"/>
            <w:vAlign w:val="bottom"/>
          </w:tcPr>
          <w:p w14:paraId="486B291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521362E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4CC6A0D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r>
      <w:tr w:rsidR="005636C7" w:rsidRPr="00067F58" w14:paraId="0D8A6432" w14:textId="77777777" w:rsidTr="005636C7">
        <w:tc>
          <w:tcPr>
            <w:tcW w:w="2410" w:type="dxa"/>
            <w:vAlign w:val="bottom"/>
          </w:tcPr>
          <w:p w14:paraId="238CC35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SPAR</w:t>
            </w:r>
          </w:p>
        </w:tc>
        <w:tc>
          <w:tcPr>
            <w:tcW w:w="1393" w:type="dxa"/>
            <w:vAlign w:val="bottom"/>
          </w:tcPr>
          <w:p w14:paraId="6A2F87B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135</w:t>
            </w:r>
          </w:p>
        </w:tc>
        <w:tc>
          <w:tcPr>
            <w:tcW w:w="1442" w:type="dxa"/>
            <w:vAlign w:val="bottom"/>
          </w:tcPr>
          <w:p w14:paraId="3C7796B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52DE76CC"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3B805B6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27</w:t>
            </w:r>
          </w:p>
        </w:tc>
        <w:tc>
          <w:tcPr>
            <w:tcW w:w="1304" w:type="dxa"/>
            <w:vAlign w:val="bottom"/>
          </w:tcPr>
          <w:p w14:paraId="463F82D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108</w:t>
            </w:r>
          </w:p>
        </w:tc>
      </w:tr>
      <w:tr w:rsidR="005636C7" w:rsidRPr="00067F58" w14:paraId="4968D319" w14:textId="77777777" w:rsidTr="005636C7">
        <w:tc>
          <w:tcPr>
            <w:tcW w:w="2410" w:type="dxa"/>
            <w:vAlign w:val="bottom"/>
          </w:tcPr>
          <w:p w14:paraId="1132849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Convenience stores</w:t>
            </w:r>
          </w:p>
        </w:tc>
        <w:tc>
          <w:tcPr>
            <w:tcW w:w="1393" w:type="dxa"/>
            <w:vAlign w:val="bottom"/>
          </w:tcPr>
          <w:p w14:paraId="5A15780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5,992</w:t>
            </w:r>
          </w:p>
        </w:tc>
        <w:tc>
          <w:tcPr>
            <w:tcW w:w="1442" w:type="dxa"/>
            <w:vAlign w:val="bottom"/>
          </w:tcPr>
          <w:p w14:paraId="04ABC42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588" w:type="dxa"/>
            <w:vAlign w:val="bottom"/>
          </w:tcPr>
          <w:p w14:paraId="4C9194F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89" w:type="dxa"/>
            <w:vAlign w:val="bottom"/>
          </w:tcPr>
          <w:p w14:paraId="080C9E6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0</w:t>
            </w:r>
          </w:p>
        </w:tc>
        <w:tc>
          <w:tcPr>
            <w:tcW w:w="1304" w:type="dxa"/>
            <w:vAlign w:val="bottom"/>
          </w:tcPr>
          <w:p w14:paraId="6726752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5,992</w:t>
            </w:r>
          </w:p>
        </w:tc>
      </w:tr>
      <w:tr w:rsidR="005636C7" w:rsidRPr="00067F58" w14:paraId="5AEE5CFF" w14:textId="77777777" w:rsidTr="005636C7">
        <w:tc>
          <w:tcPr>
            <w:tcW w:w="2410" w:type="dxa"/>
            <w:vAlign w:val="bottom"/>
          </w:tcPr>
          <w:p w14:paraId="55774AEF" w14:textId="77777777" w:rsidR="005636C7" w:rsidRPr="0041262C" w:rsidRDefault="005636C7" w:rsidP="005636C7">
            <w:pPr>
              <w:pStyle w:val="E3tabletext1"/>
              <w:jc w:val="both"/>
              <w:rPr>
                <w:rFonts w:ascii="Helvetica" w:hAnsi="Helvetica" w:cs="Helvetica"/>
                <w:sz w:val="15"/>
                <w:szCs w:val="15"/>
              </w:rPr>
            </w:pPr>
          </w:p>
        </w:tc>
        <w:tc>
          <w:tcPr>
            <w:tcW w:w="1393" w:type="dxa"/>
            <w:vAlign w:val="bottom"/>
          </w:tcPr>
          <w:p w14:paraId="5C829F65" w14:textId="77777777" w:rsidR="005636C7" w:rsidRPr="0041262C" w:rsidRDefault="005636C7" w:rsidP="005636C7">
            <w:pPr>
              <w:pStyle w:val="E3tabletext1"/>
              <w:jc w:val="both"/>
              <w:rPr>
                <w:rFonts w:ascii="Helvetica" w:hAnsi="Helvetica" w:cs="Helvetica"/>
                <w:sz w:val="15"/>
                <w:szCs w:val="15"/>
              </w:rPr>
            </w:pPr>
          </w:p>
        </w:tc>
        <w:tc>
          <w:tcPr>
            <w:tcW w:w="1442" w:type="dxa"/>
            <w:vAlign w:val="bottom"/>
          </w:tcPr>
          <w:p w14:paraId="1A29C71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342</w:t>
            </w:r>
          </w:p>
        </w:tc>
        <w:tc>
          <w:tcPr>
            <w:tcW w:w="1588" w:type="dxa"/>
            <w:vAlign w:val="bottom"/>
          </w:tcPr>
          <w:p w14:paraId="4FC7E90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1,024</w:t>
            </w:r>
          </w:p>
        </w:tc>
        <w:tc>
          <w:tcPr>
            <w:tcW w:w="1389" w:type="dxa"/>
            <w:vAlign w:val="bottom"/>
          </w:tcPr>
          <w:p w14:paraId="43431D9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2,248</w:t>
            </w:r>
          </w:p>
        </w:tc>
        <w:tc>
          <w:tcPr>
            <w:tcW w:w="1304" w:type="dxa"/>
            <w:vAlign w:val="bottom"/>
          </w:tcPr>
          <w:p w14:paraId="00D3DDB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b/>
                <w:sz w:val="15"/>
                <w:szCs w:val="15"/>
              </w:rPr>
              <w:t>6,898</w:t>
            </w:r>
          </w:p>
        </w:tc>
      </w:tr>
    </w:tbl>
    <w:p w14:paraId="05728B77" w14:textId="77777777" w:rsidR="005636C7" w:rsidRDefault="005636C7" w:rsidP="005636C7">
      <w:pPr>
        <w:pStyle w:val="E3Caption"/>
        <w:jc w:val="both"/>
      </w:pPr>
      <w:r>
        <w:t>(Sources: WF 2014, WW 2014, MET 2014, and industry informants)</w:t>
      </w:r>
    </w:p>
    <w:p w14:paraId="165D1798" w14:textId="77777777" w:rsidR="005636C7" w:rsidRPr="001C4112" w:rsidRDefault="005636C7" w:rsidP="000F6ACF">
      <w:pPr>
        <w:pStyle w:val="E3Caption"/>
        <w:numPr>
          <w:ilvl w:val="0"/>
          <w:numId w:val="17"/>
        </w:numPr>
        <w:spacing w:before="60" w:after="120"/>
        <w:jc w:val="both"/>
      </w:pPr>
      <w:r w:rsidRPr="001C4112">
        <w:t>Dissection of trading floor is estimated following discussions with industry informants.</w:t>
      </w:r>
    </w:p>
    <w:p w14:paraId="0C5EE103" w14:textId="77777777" w:rsidR="005636C7" w:rsidRDefault="005636C7" w:rsidP="005636C7">
      <w:pPr>
        <w:pStyle w:val="E3BodyText"/>
      </w:pPr>
    </w:p>
    <w:p w14:paraId="2EEAEBCF" w14:textId="77777777" w:rsidR="005636C7" w:rsidRPr="00AC7259" w:rsidRDefault="005636C7" w:rsidP="005636C7">
      <w:pPr>
        <w:pStyle w:val="E3BodyText"/>
      </w:pPr>
      <w:r w:rsidRPr="00AC7259">
        <w:t xml:space="preserve">The </w:t>
      </w:r>
      <w:r>
        <w:t xml:space="preserve">Australian </w:t>
      </w:r>
      <w:r w:rsidRPr="00AC7259">
        <w:t xml:space="preserve">supermarket industry </w:t>
      </w:r>
      <w:r>
        <w:t>accounts for around 25% of all cabinets. These are of</w:t>
      </w:r>
      <w:r w:rsidRPr="00AC7259">
        <w:t xml:space="preserve"> a wide variety with an estimated 116,000 remote display cabinets and 70,000 integral. </w:t>
      </w:r>
      <w:r>
        <w:t xml:space="preserve">It is estimated that in </w:t>
      </w:r>
      <w:r w:rsidRPr="00AC7259">
        <w:t xml:space="preserve">convenience stores there </w:t>
      </w:r>
      <w:r>
        <w:t xml:space="preserve">are </w:t>
      </w:r>
      <w:r w:rsidRPr="00AC7259">
        <w:t>6,000 remote display cabinets and 65,000 integral.</w:t>
      </w:r>
    </w:p>
    <w:p w14:paraId="05653520" w14:textId="77777777" w:rsidR="005636C7" w:rsidRDefault="005636C7" w:rsidP="005636C7">
      <w:pPr>
        <w:pStyle w:val="E3BodyText"/>
      </w:pPr>
      <w:r w:rsidRPr="00AC7259">
        <w:t xml:space="preserve">The number of small food retail outlets is summarised in </w:t>
      </w:r>
      <w:r w:rsidRPr="00AC7259">
        <w:rPr>
          <w:b/>
        </w:rPr>
        <w:fldChar w:fldCharType="begin"/>
      </w:r>
      <w:r w:rsidRPr="00AC7259">
        <w:rPr>
          <w:b/>
        </w:rPr>
        <w:instrText xml:space="preserve"> REF _Ref450032354 \h  \* MERGEFORMAT </w:instrText>
      </w:r>
      <w:r w:rsidRPr="00AC7259">
        <w:rPr>
          <w:b/>
        </w:rPr>
      </w:r>
      <w:r w:rsidRPr="00AC7259">
        <w:rPr>
          <w:b/>
        </w:rPr>
        <w:fldChar w:fldCharType="separate"/>
      </w:r>
      <w:r w:rsidR="00AC6998" w:rsidRPr="00AC6998">
        <w:rPr>
          <w:b/>
        </w:rPr>
        <w:t>Table B2</w:t>
      </w:r>
      <w:r w:rsidRPr="00AC7259">
        <w:rPr>
          <w:b/>
        </w:rPr>
        <w:fldChar w:fldCharType="end"/>
      </w:r>
      <w:r w:rsidRPr="00AC7259">
        <w:t xml:space="preserve"> below. In each sector there are some large businesses that have multiple outlets and larger fleets of equipment. For example</w:t>
      </w:r>
      <w:r>
        <w:t>,</w:t>
      </w:r>
      <w:r w:rsidRPr="00AC7259">
        <w:t xml:space="preserve"> Woolworths has 345 freestanding liquor outlets (including Dan Murphy’s) and 534 ALH Retail liquor outlets (including BWS); Coles liquor has 98 1</w:t>
      </w:r>
      <w:r w:rsidRPr="00AC7259">
        <w:rPr>
          <w:vertAlign w:val="superscript"/>
        </w:rPr>
        <w:t>st</w:t>
      </w:r>
      <w:r w:rsidRPr="00AC7259">
        <w:t xml:space="preserve"> Choice, 78 Vintage Cellars and 648 Liquorland; and IGA-Metcash have 2,262 liquor outlets (including Cellarbrations, Bottle-O, Club Partners, Liquor @ and 457 liquor outlets branded IGA Liquor). </w:t>
      </w:r>
    </w:p>
    <w:p w14:paraId="16B3C6B3" w14:textId="77777777" w:rsidR="005636C7" w:rsidRPr="00AC7259" w:rsidRDefault="005636C7" w:rsidP="005636C7">
      <w:pPr>
        <w:pStyle w:val="E3BodyText"/>
      </w:pPr>
      <w:r w:rsidRPr="00AC7259">
        <w:t>A wide variety of refrigeration equipment can be found in liquor outlets, for example some may contain as many as 15 integral units whilst others may have a walk-in cool</w:t>
      </w:r>
      <w:r>
        <w:t xml:space="preserve"> </w:t>
      </w:r>
      <w:r w:rsidRPr="00AC7259">
        <w:t>room with glass doors or panels plus 4 or more Glass Door Merchandisers and sometimes open multi</w:t>
      </w:r>
      <w:r>
        <w:t>-</w:t>
      </w:r>
      <w:r w:rsidRPr="00AC7259">
        <w:t xml:space="preserve">deck cases. If </w:t>
      </w:r>
      <w:r>
        <w:t xml:space="preserve">it is </w:t>
      </w:r>
      <w:r w:rsidRPr="00AC7259">
        <w:t>assume</w:t>
      </w:r>
      <w:r>
        <w:t>d that</w:t>
      </w:r>
      <w:r w:rsidRPr="00AC7259">
        <w:t xml:space="preserve"> the average liquor outlet has </w:t>
      </w:r>
      <w:r>
        <w:t>one</w:t>
      </w:r>
      <w:r w:rsidRPr="00AC7259">
        <w:t xml:space="preserve"> remote display cabinet and </w:t>
      </w:r>
      <w:r>
        <w:t>six</w:t>
      </w:r>
      <w:r w:rsidRPr="00AC7259">
        <w:t xml:space="preserve"> integrals over 4,000 liquor outlets</w:t>
      </w:r>
      <w:r>
        <w:t>,</w:t>
      </w:r>
      <w:r w:rsidRPr="00AC7259">
        <w:t xml:space="preserve"> this equates to around 4,000 remote and 24,000 integral display cabinets.</w:t>
      </w:r>
    </w:p>
    <w:p w14:paraId="09DA6BBD" w14:textId="77777777" w:rsidR="005636C7" w:rsidRPr="00AC7259" w:rsidRDefault="005636C7" w:rsidP="005636C7">
      <w:pPr>
        <w:pStyle w:val="E3BodyText"/>
      </w:pPr>
      <w:r w:rsidRPr="00AC7259">
        <w:t>Fresh meat, fish and poultry retailing will store most of their produce in coo</w:t>
      </w:r>
      <w:r>
        <w:t>l rooms, and may typically have two to four</w:t>
      </w:r>
      <w:r w:rsidRPr="00AC7259">
        <w:t xml:space="preserve"> integral display cabinets, equating to around 17,000 integral display cabinets as well as some remote units and storage cabinets. Other food retail</w:t>
      </w:r>
      <w:r>
        <w:t>ers</w:t>
      </w:r>
      <w:r w:rsidRPr="00AC7259">
        <w:t xml:space="preserve"> have much smaller requirements for display cabinets and account for a further 7,000 integral display cabinets.</w:t>
      </w:r>
    </w:p>
    <w:p w14:paraId="1B63F9AB" w14:textId="77777777" w:rsidR="005636C7" w:rsidRPr="00C56DE6" w:rsidRDefault="005636C7" w:rsidP="005636C7">
      <w:pPr>
        <w:pStyle w:val="E3TableTitles"/>
        <w:rPr>
          <w:i/>
        </w:rPr>
      </w:pPr>
      <w:bookmarkStart w:id="306" w:name="_Ref450032354"/>
      <w:bookmarkStart w:id="307" w:name="_Toc449708974"/>
      <w:bookmarkStart w:id="308" w:name="_Toc456164730"/>
      <w:bookmarkStart w:id="309" w:name="_Toc500159671"/>
      <w:r>
        <w:t>Table B</w:t>
      </w:r>
      <w:r>
        <w:fldChar w:fldCharType="begin"/>
      </w:r>
      <w:r>
        <w:instrText xml:space="preserve"> SEQ Table_B \* ARABIC </w:instrText>
      </w:r>
      <w:r>
        <w:fldChar w:fldCharType="separate"/>
      </w:r>
      <w:r w:rsidR="00AC6998">
        <w:rPr>
          <w:noProof/>
        </w:rPr>
        <w:t>2</w:t>
      </w:r>
      <w:r>
        <w:rPr>
          <w:noProof/>
        </w:rPr>
        <w:fldChar w:fldCharType="end"/>
      </w:r>
      <w:bookmarkEnd w:id="306"/>
      <w:r w:rsidRPr="00C56DE6">
        <w:t>: ABS count of small retail food and liquor retailing businesses in Australia.</w:t>
      </w:r>
      <w:bookmarkEnd w:id="307"/>
      <w:bookmarkEnd w:id="308"/>
      <w:bookmarkEnd w:id="309"/>
      <w:r w:rsidRPr="00C56DE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701"/>
        <w:gridCol w:w="1559"/>
        <w:gridCol w:w="1418"/>
        <w:gridCol w:w="1417"/>
      </w:tblGrid>
      <w:tr w:rsidR="005636C7" w14:paraId="4419F860" w14:textId="77777777" w:rsidTr="005636C7">
        <w:tc>
          <w:tcPr>
            <w:tcW w:w="3544" w:type="dxa"/>
            <w:vMerge w:val="restart"/>
            <w:shd w:val="clear" w:color="auto" w:fill="0C0C0C"/>
            <w:vAlign w:val="center"/>
          </w:tcPr>
          <w:p w14:paraId="656DDDF3" w14:textId="77777777" w:rsidR="005636C7" w:rsidRPr="009C11BC" w:rsidRDefault="005636C7" w:rsidP="005636C7">
            <w:pPr>
              <w:pStyle w:val="E3TableHeading"/>
              <w:jc w:val="both"/>
            </w:pPr>
          </w:p>
        </w:tc>
        <w:tc>
          <w:tcPr>
            <w:tcW w:w="4678" w:type="dxa"/>
            <w:gridSpan w:val="3"/>
            <w:shd w:val="clear" w:color="auto" w:fill="0C0C0C"/>
            <w:vAlign w:val="center"/>
          </w:tcPr>
          <w:p w14:paraId="42E8A265" w14:textId="77777777" w:rsidR="005636C7" w:rsidRPr="009C11BC" w:rsidRDefault="005636C7" w:rsidP="005636C7">
            <w:pPr>
              <w:pStyle w:val="E3TableHeading"/>
              <w:jc w:val="both"/>
            </w:pPr>
            <w:r>
              <w:t>Sum of e</w:t>
            </w:r>
            <w:r w:rsidRPr="009C11BC">
              <w:t>mployees</w:t>
            </w:r>
            <w:r>
              <w:t xml:space="preserve"> in business</w:t>
            </w:r>
          </w:p>
        </w:tc>
        <w:tc>
          <w:tcPr>
            <w:tcW w:w="1417" w:type="dxa"/>
            <w:vMerge w:val="restart"/>
            <w:shd w:val="clear" w:color="auto" w:fill="0C0C0C"/>
            <w:vAlign w:val="center"/>
          </w:tcPr>
          <w:p w14:paraId="71AAE4D7" w14:textId="77777777" w:rsidR="005636C7" w:rsidRPr="009C11BC" w:rsidRDefault="005636C7" w:rsidP="005636C7">
            <w:pPr>
              <w:pStyle w:val="E3TableHeading"/>
              <w:jc w:val="both"/>
            </w:pPr>
            <w:r w:rsidRPr="009C11BC">
              <w:t>Totals</w:t>
            </w:r>
          </w:p>
        </w:tc>
      </w:tr>
      <w:tr w:rsidR="005636C7" w14:paraId="3A4005DB" w14:textId="77777777" w:rsidTr="005636C7">
        <w:tc>
          <w:tcPr>
            <w:tcW w:w="3544" w:type="dxa"/>
            <w:vMerge/>
            <w:shd w:val="clear" w:color="auto" w:fill="0C0C0C"/>
            <w:vAlign w:val="center"/>
          </w:tcPr>
          <w:p w14:paraId="335A66D9" w14:textId="77777777" w:rsidR="005636C7" w:rsidRPr="009C11BC" w:rsidRDefault="005636C7" w:rsidP="005636C7">
            <w:pPr>
              <w:pStyle w:val="E3tabletext1"/>
              <w:jc w:val="both"/>
            </w:pPr>
          </w:p>
        </w:tc>
        <w:tc>
          <w:tcPr>
            <w:tcW w:w="1701" w:type="dxa"/>
            <w:shd w:val="clear" w:color="auto" w:fill="0C0C0C"/>
            <w:vAlign w:val="center"/>
          </w:tcPr>
          <w:p w14:paraId="2E2862DB" w14:textId="77777777" w:rsidR="005636C7" w:rsidRPr="009C11BC" w:rsidRDefault="005636C7" w:rsidP="005636C7">
            <w:pPr>
              <w:pStyle w:val="E3tabletext1"/>
              <w:jc w:val="both"/>
            </w:pPr>
            <w:r>
              <w:t>1 to 19</w:t>
            </w:r>
          </w:p>
        </w:tc>
        <w:tc>
          <w:tcPr>
            <w:tcW w:w="1559" w:type="dxa"/>
            <w:shd w:val="clear" w:color="auto" w:fill="0C0C0C"/>
            <w:vAlign w:val="center"/>
          </w:tcPr>
          <w:p w14:paraId="5E654519" w14:textId="77777777" w:rsidR="005636C7" w:rsidRPr="009C11BC" w:rsidRDefault="005636C7" w:rsidP="005636C7">
            <w:pPr>
              <w:pStyle w:val="E3tabletext1"/>
              <w:jc w:val="both"/>
            </w:pPr>
            <w:r>
              <w:t>20 to 199</w:t>
            </w:r>
          </w:p>
        </w:tc>
        <w:tc>
          <w:tcPr>
            <w:tcW w:w="1418" w:type="dxa"/>
            <w:shd w:val="clear" w:color="auto" w:fill="0C0C0C"/>
            <w:vAlign w:val="center"/>
          </w:tcPr>
          <w:p w14:paraId="6E18AC3E" w14:textId="77777777" w:rsidR="005636C7" w:rsidRPr="009C11BC" w:rsidRDefault="005636C7" w:rsidP="005636C7">
            <w:pPr>
              <w:pStyle w:val="E3tabletext1"/>
              <w:jc w:val="both"/>
            </w:pPr>
            <w:r>
              <w:t>200 plus</w:t>
            </w:r>
          </w:p>
        </w:tc>
        <w:tc>
          <w:tcPr>
            <w:tcW w:w="1417" w:type="dxa"/>
            <w:vMerge/>
            <w:shd w:val="clear" w:color="auto" w:fill="0C0C0C"/>
            <w:vAlign w:val="center"/>
          </w:tcPr>
          <w:p w14:paraId="4394B066" w14:textId="77777777" w:rsidR="005636C7" w:rsidRPr="009C11BC" w:rsidRDefault="005636C7" w:rsidP="005636C7">
            <w:pPr>
              <w:pStyle w:val="E3tabletext1"/>
              <w:jc w:val="both"/>
            </w:pPr>
          </w:p>
        </w:tc>
      </w:tr>
      <w:tr w:rsidR="005636C7" w:rsidRPr="001312BC" w14:paraId="6CDA2983" w14:textId="77777777" w:rsidTr="005636C7">
        <w:tc>
          <w:tcPr>
            <w:tcW w:w="3544" w:type="dxa"/>
            <w:vAlign w:val="center"/>
          </w:tcPr>
          <w:p w14:paraId="452D835E" w14:textId="77777777" w:rsidR="005636C7" w:rsidRPr="001312BC" w:rsidRDefault="005636C7" w:rsidP="005636C7">
            <w:pPr>
              <w:pStyle w:val="E3tabletext1"/>
              <w:jc w:val="both"/>
            </w:pPr>
            <w:r w:rsidRPr="001312BC">
              <w:t>Fresh meat, fish and poultry retailing</w:t>
            </w:r>
          </w:p>
        </w:tc>
        <w:tc>
          <w:tcPr>
            <w:tcW w:w="1701" w:type="dxa"/>
            <w:vAlign w:val="bottom"/>
          </w:tcPr>
          <w:p w14:paraId="7E157AB2" w14:textId="77777777" w:rsidR="005636C7" w:rsidRPr="001312BC" w:rsidRDefault="005636C7" w:rsidP="005636C7">
            <w:pPr>
              <w:pStyle w:val="E3tabletext1"/>
              <w:jc w:val="both"/>
            </w:pPr>
            <w:r w:rsidRPr="001312BC">
              <w:t>3</w:t>
            </w:r>
            <w:r>
              <w:t>,</w:t>
            </w:r>
            <w:r w:rsidRPr="001312BC">
              <w:t>534</w:t>
            </w:r>
          </w:p>
        </w:tc>
        <w:tc>
          <w:tcPr>
            <w:tcW w:w="1559" w:type="dxa"/>
            <w:vAlign w:val="bottom"/>
          </w:tcPr>
          <w:p w14:paraId="1910FECB" w14:textId="77777777" w:rsidR="005636C7" w:rsidRPr="001312BC" w:rsidRDefault="005636C7" w:rsidP="005636C7">
            <w:pPr>
              <w:pStyle w:val="E3tabletext1"/>
              <w:jc w:val="both"/>
            </w:pPr>
            <w:r w:rsidRPr="001312BC">
              <w:t>154</w:t>
            </w:r>
          </w:p>
        </w:tc>
        <w:tc>
          <w:tcPr>
            <w:tcW w:w="1418" w:type="dxa"/>
            <w:vAlign w:val="bottom"/>
          </w:tcPr>
          <w:p w14:paraId="3C0B7C9A" w14:textId="77777777" w:rsidR="005636C7" w:rsidRPr="001312BC" w:rsidRDefault="005636C7" w:rsidP="005636C7">
            <w:pPr>
              <w:pStyle w:val="E3tabletext1"/>
              <w:jc w:val="both"/>
            </w:pPr>
            <w:r w:rsidRPr="001312BC">
              <w:t>6</w:t>
            </w:r>
          </w:p>
        </w:tc>
        <w:tc>
          <w:tcPr>
            <w:tcW w:w="1417" w:type="dxa"/>
            <w:vAlign w:val="bottom"/>
          </w:tcPr>
          <w:p w14:paraId="1FB7E508" w14:textId="77777777" w:rsidR="005636C7" w:rsidRPr="001312BC" w:rsidRDefault="005636C7" w:rsidP="005636C7">
            <w:pPr>
              <w:pStyle w:val="E3tabletext1"/>
              <w:jc w:val="both"/>
            </w:pPr>
            <w:r w:rsidRPr="001312BC">
              <w:t>3</w:t>
            </w:r>
            <w:r>
              <w:t>,</w:t>
            </w:r>
            <w:r w:rsidRPr="001312BC">
              <w:t>694</w:t>
            </w:r>
          </w:p>
        </w:tc>
      </w:tr>
      <w:tr w:rsidR="005636C7" w:rsidRPr="001312BC" w14:paraId="743369F9" w14:textId="77777777" w:rsidTr="005636C7">
        <w:tc>
          <w:tcPr>
            <w:tcW w:w="3544" w:type="dxa"/>
            <w:vAlign w:val="center"/>
          </w:tcPr>
          <w:p w14:paraId="08777CFB" w14:textId="77777777" w:rsidR="005636C7" w:rsidRPr="001312BC" w:rsidRDefault="005636C7" w:rsidP="005636C7">
            <w:pPr>
              <w:pStyle w:val="E3tabletext1"/>
              <w:jc w:val="both"/>
            </w:pPr>
            <w:r w:rsidRPr="001312BC">
              <w:t>Fruit and vegetable retailing</w:t>
            </w:r>
          </w:p>
        </w:tc>
        <w:tc>
          <w:tcPr>
            <w:tcW w:w="1701" w:type="dxa"/>
            <w:vAlign w:val="bottom"/>
          </w:tcPr>
          <w:p w14:paraId="6B025C5B" w14:textId="77777777" w:rsidR="005636C7" w:rsidRPr="001312BC" w:rsidRDefault="005636C7" w:rsidP="005636C7">
            <w:pPr>
              <w:pStyle w:val="E3tabletext1"/>
              <w:jc w:val="both"/>
            </w:pPr>
            <w:r w:rsidRPr="001312BC">
              <w:t>1</w:t>
            </w:r>
            <w:r>
              <w:t>,</w:t>
            </w:r>
            <w:r w:rsidRPr="001312BC">
              <w:t>527</w:t>
            </w:r>
          </w:p>
        </w:tc>
        <w:tc>
          <w:tcPr>
            <w:tcW w:w="1559" w:type="dxa"/>
            <w:vAlign w:val="bottom"/>
          </w:tcPr>
          <w:p w14:paraId="549E1195" w14:textId="77777777" w:rsidR="005636C7" w:rsidRPr="001312BC" w:rsidRDefault="005636C7" w:rsidP="005636C7">
            <w:pPr>
              <w:pStyle w:val="E3tabletext1"/>
              <w:jc w:val="both"/>
            </w:pPr>
            <w:r w:rsidRPr="001312BC">
              <w:t>191</w:t>
            </w:r>
          </w:p>
        </w:tc>
        <w:tc>
          <w:tcPr>
            <w:tcW w:w="1418" w:type="dxa"/>
            <w:vAlign w:val="bottom"/>
          </w:tcPr>
          <w:p w14:paraId="4F156B27" w14:textId="77777777" w:rsidR="005636C7" w:rsidRPr="001312BC" w:rsidRDefault="005636C7" w:rsidP="005636C7">
            <w:pPr>
              <w:pStyle w:val="E3tabletext1"/>
              <w:jc w:val="both"/>
            </w:pPr>
            <w:r w:rsidRPr="001312BC">
              <w:t>0</w:t>
            </w:r>
          </w:p>
        </w:tc>
        <w:tc>
          <w:tcPr>
            <w:tcW w:w="1417" w:type="dxa"/>
            <w:vAlign w:val="bottom"/>
          </w:tcPr>
          <w:p w14:paraId="03BC91D6" w14:textId="77777777" w:rsidR="005636C7" w:rsidRPr="001312BC" w:rsidRDefault="005636C7" w:rsidP="005636C7">
            <w:pPr>
              <w:pStyle w:val="E3tabletext1"/>
              <w:jc w:val="both"/>
            </w:pPr>
            <w:r w:rsidRPr="001312BC">
              <w:t>1</w:t>
            </w:r>
            <w:r>
              <w:t>,</w:t>
            </w:r>
            <w:r w:rsidRPr="001312BC">
              <w:t>718</w:t>
            </w:r>
          </w:p>
        </w:tc>
      </w:tr>
      <w:tr w:rsidR="005636C7" w:rsidRPr="001312BC" w14:paraId="5766D8F7" w14:textId="77777777" w:rsidTr="005636C7">
        <w:tc>
          <w:tcPr>
            <w:tcW w:w="3544" w:type="dxa"/>
            <w:vAlign w:val="center"/>
          </w:tcPr>
          <w:p w14:paraId="73756E3D" w14:textId="77777777" w:rsidR="005636C7" w:rsidRPr="001312BC" w:rsidRDefault="005636C7" w:rsidP="005636C7">
            <w:pPr>
              <w:pStyle w:val="E3tabletext1"/>
              <w:jc w:val="both"/>
            </w:pPr>
            <w:r w:rsidRPr="001312BC">
              <w:t>Liquor retailing</w:t>
            </w:r>
          </w:p>
        </w:tc>
        <w:tc>
          <w:tcPr>
            <w:tcW w:w="1701" w:type="dxa"/>
            <w:vAlign w:val="bottom"/>
          </w:tcPr>
          <w:p w14:paraId="7B1312DE" w14:textId="77777777" w:rsidR="005636C7" w:rsidRPr="001312BC" w:rsidRDefault="005636C7" w:rsidP="005636C7">
            <w:pPr>
              <w:pStyle w:val="E3tabletext1"/>
              <w:jc w:val="both"/>
            </w:pPr>
            <w:r w:rsidRPr="001312BC">
              <w:t>1</w:t>
            </w:r>
            <w:r>
              <w:t>,</w:t>
            </w:r>
            <w:r w:rsidRPr="001312BC">
              <w:t>341</w:t>
            </w:r>
          </w:p>
        </w:tc>
        <w:tc>
          <w:tcPr>
            <w:tcW w:w="1559" w:type="dxa"/>
            <w:vAlign w:val="bottom"/>
          </w:tcPr>
          <w:p w14:paraId="25C7C077" w14:textId="77777777" w:rsidR="005636C7" w:rsidRPr="001312BC" w:rsidRDefault="005636C7" w:rsidP="005636C7">
            <w:pPr>
              <w:pStyle w:val="E3tabletext1"/>
              <w:jc w:val="both"/>
            </w:pPr>
            <w:r w:rsidRPr="001312BC">
              <w:t>116</w:t>
            </w:r>
          </w:p>
        </w:tc>
        <w:tc>
          <w:tcPr>
            <w:tcW w:w="1418" w:type="dxa"/>
            <w:vAlign w:val="bottom"/>
          </w:tcPr>
          <w:p w14:paraId="7B2F6BC5" w14:textId="77777777" w:rsidR="005636C7" w:rsidRPr="001312BC" w:rsidRDefault="005636C7" w:rsidP="005636C7">
            <w:pPr>
              <w:pStyle w:val="E3tabletext1"/>
              <w:jc w:val="both"/>
            </w:pPr>
            <w:r w:rsidRPr="001312BC">
              <w:t>6</w:t>
            </w:r>
          </w:p>
        </w:tc>
        <w:tc>
          <w:tcPr>
            <w:tcW w:w="1417" w:type="dxa"/>
            <w:vAlign w:val="bottom"/>
          </w:tcPr>
          <w:p w14:paraId="65465CE6" w14:textId="77777777" w:rsidR="005636C7" w:rsidRPr="001312BC" w:rsidRDefault="005636C7" w:rsidP="005636C7">
            <w:pPr>
              <w:pStyle w:val="E3tabletext1"/>
              <w:jc w:val="both"/>
            </w:pPr>
            <w:r w:rsidRPr="001312BC">
              <w:t>1</w:t>
            </w:r>
            <w:r>
              <w:t>,</w:t>
            </w:r>
            <w:r w:rsidRPr="001312BC">
              <w:t>463</w:t>
            </w:r>
          </w:p>
        </w:tc>
      </w:tr>
      <w:tr w:rsidR="005636C7" w:rsidRPr="001312BC" w14:paraId="7E0ACFF2" w14:textId="77777777" w:rsidTr="005636C7">
        <w:tc>
          <w:tcPr>
            <w:tcW w:w="3544" w:type="dxa"/>
            <w:vAlign w:val="center"/>
          </w:tcPr>
          <w:p w14:paraId="1F9E6DC6" w14:textId="77777777" w:rsidR="005636C7" w:rsidRPr="001312BC" w:rsidRDefault="005636C7" w:rsidP="005636C7">
            <w:pPr>
              <w:pStyle w:val="E3tabletext1"/>
              <w:jc w:val="both"/>
            </w:pPr>
            <w:r w:rsidRPr="001312BC">
              <w:t>Other specialised food retailing</w:t>
            </w:r>
          </w:p>
        </w:tc>
        <w:tc>
          <w:tcPr>
            <w:tcW w:w="1701" w:type="dxa"/>
            <w:vAlign w:val="bottom"/>
          </w:tcPr>
          <w:p w14:paraId="1BE609F1" w14:textId="77777777" w:rsidR="005636C7" w:rsidRPr="001312BC" w:rsidRDefault="005636C7" w:rsidP="005636C7">
            <w:pPr>
              <w:pStyle w:val="E3tabletext1"/>
              <w:jc w:val="both"/>
            </w:pPr>
            <w:r w:rsidRPr="001312BC">
              <w:t>3</w:t>
            </w:r>
            <w:r>
              <w:t>,</w:t>
            </w:r>
            <w:r w:rsidRPr="001312BC">
              <w:t>263</w:t>
            </w:r>
          </w:p>
        </w:tc>
        <w:tc>
          <w:tcPr>
            <w:tcW w:w="1559" w:type="dxa"/>
            <w:vAlign w:val="bottom"/>
          </w:tcPr>
          <w:p w14:paraId="63182130" w14:textId="77777777" w:rsidR="005636C7" w:rsidRPr="001312BC" w:rsidRDefault="005636C7" w:rsidP="005636C7">
            <w:pPr>
              <w:pStyle w:val="E3tabletext1"/>
              <w:jc w:val="both"/>
            </w:pPr>
            <w:r w:rsidRPr="001312BC">
              <w:t>206</w:t>
            </w:r>
          </w:p>
        </w:tc>
        <w:tc>
          <w:tcPr>
            <w:tcW w:w="1418" w:type="dxa"/>
            <w:vAlign w:val="bottom"/>
          </w:tcPr>
          <w:p w14:paraId="2FBE28F2" w14:textId="77777777" w:rsidR="005636C7" w:rsidRPr="001312BC" w:rsidRDefault="005636C7" w:rsidP="005636C7">
            <w:pPr>
              <w:pStyle w:val="E3tabletext1"/>
              <w:jc w:val="both"/>
            </w:pPr>
            <w:r w:rsidRPr="001312BC">
              <w:t>3</w:t>
            </w:r>
          </w:p>
        </w:tc>
        <w:tc>
          <w:tcPr>
            <w:tcW w:w="1417" w:type="dxa"/>
            <w:vAlign w:val="bottom"/>
          </w:tcPr>
          <w:p w14:paraId="2D35A515" w14:textId="77777777" w:rsidR="005636C7" w:rsidRPr="001312BC" w:rsidRDefault="005636C7" w:rsidP="005636C7">
            <w:pPr>
              <w:pStyle w:val="E3tabletext1"/>
              <w:jc w:val="both"/>
            </w:pPr>
            <w:r w:rsidRPr="001312BC">
              <w:t>3</w:t>
            </w:r>
            <w:r>
              <w:t>,</w:t>
            </w:r>
            <w:r w:rsidRPr="001312BC">
              <w:t>472</w:t>
            </w:r>
          </w:p>
        </w:tc>
      </w:tr>
      <w:tr w:rsidR="005636C7" w:rsidRPr="001312BC" w14:paraId="46BC9122" w14:textId="77777777" w:rsidTr="005636C7">
        <w:tc>
          <w:tcPr>
            <w:tcW w:w="3544" w:type="dxa"/>
            <w:vAlign w:val="center"/>
          </w:tcPr>
          <w:p w14:paraId="7FD87564" w14:textId="77777777" w:rsidR="005636C7" w:rsidRPr="001312BC" w:rsidRDefault="005636C7" w:rsidP="005636C7">
            <w:pPr>
              <w:pStyle w:val="E3tabletext1"/>
              <w:jc w:val="both"/>
            </w:pPr>
            <w:r w:rsidRPr="001312BC">
              <w:t>Totals</w:t>
            </w:r>
          </w:p>
        </w:tc>
        <w:tc>
          <w:tcPr>
            <w:tcW w:w="1701" w:type="dxa"/>
            <w:vAlign w:val="center"/>
          </w:tcPr>
          <w:p w14:paraId="2E1C6E8C" w14:textId="77777777" w:rsidR="005636C7" w:rsidRPr="001312BC" w:rsidRDefault="005636C7" w:rsidP="005636C7">
            <w:pPr>
              <w:pStyle w:val="E3tabletext1"/>
              <w:jc w:val="both"/>
            </w:pPr>
          </w:p>
        </w:tc>
        <w:tc>
          <w:tcPr>
            <w:tcW w:w="1559" w:type="dxa"/>
            <w:vAlign w:val="center"/>
          </w:tcPr>
          <w:p w14:paraId="13C9B605" w14:textId="77777777" w:rsidR="005636C7" w:rsidRPr="001312BC" w:rsidRDefault="005636C7" w:rsidP="005636C7">
            <w:pPr>
              <w:pStyle w:val="E3tabletext1"/>
              <w:jc w:val="both"/>
            </w:pPr>
          </w:p>
        </w:tc>
        <w:tc>
          <w:tcPr>
            <w:tcW w:w="1418" w:type="dxa"/>
            <w:vAlign w:val="center"/>
          </w:tcPr>
          <w:p w14:paraId="3C58AA65" w14:textId="77777777" w:rsidR="005636C7" w:rsidRPr="001312BC" w:rsidRDefault="005636C7" w:rsidP="005636C7">
            <w:pPr>
              <w:pStyle w:val="E3tabletext1"/>
              <w:jc w:val="both"/>
            </w:pPr>
          </w:p>
        </w:tc>
        <w:tc>
          <w:tcPr>
            <w:tcW w:w="1417" w:type="dxa"/>
            <w:vAlign w:val="center"/>
          </w:tcPr>
          <w:p w14:paraId="308DB098" w14:textId="77777777" w:rsidR="005636C7" w:rsidRPr="001312BC" w:rsidRDefault="005636C7" w:rsidP="005636C7">
            <w:pPr>
              <w:pStyle w:val="E3tabletext1"/>
              <w:jc w:val="both"/>
            </w:pPr>
            <w:r w:rsidRPr="001312BC">
              <w:t>10,347</w:t>
            </w:r>
          </w:p>
        </w:tc>
      </w:tr>
    </w:tbl>
    <w:p w14:paraId="4B189DFE" w14:textId="77777777" w:rsidR="005636C7" w:rsidRPr="0027493F" w:rsidRDefault="005636C7" w:rsidP="005636C7">
      <w:pPr>
        <w:pStyle w:val="E3Caption"/>
        <w:jc w:val="both"/>
      </w:pPr>
      <w:r w:rsidRPr="0027493F">
        <w:t>(Source: ABS 8165.0 2013)</w:t>
      </w:r>
    </w:p>
    <w:p w14:paraId="0A71EE8C" w14:textId="77777777" w:rsidR="005636C7" w:rsidRPr="00AC7259" w:rsidRDefault="005636C7" w:rsidP="005636C7">
      <w:pPr>
        <w:pStyle w:val="E3BodyText"/>
      </w:pPr>
      <w:r w:rsidRPr="00AC7259">
        <w:t xml:space="preserve">The total estimated </w:t>
      </w:r>
      <w:r>
        <w:t xml:space="preserve">cabinet </w:t>
      </w:r>
      <w:r w:rsidRPr="00AC7259">
        <w:t xml:space="preserve">stock in </w:t>
      </w:r>
      <w:r>
        <w:t xml:space="preserve">Australian </w:t>
      </w:r>
      <w:r w:rsidRPr="00AC7259">
        <w:t xml:space="preserve">supermarkets, convenience stores and </w:t>
      </w:r>
      <w:r>
        <w:t xml:space="preserve">in the </w:t>
      </w:r>
      <w:r w:rsidRPr="00AC7259">
        <w:t xml:space="preserve">small retail sector is over 129,000 remote display cabinets, 184,000 integral display cabinets and 3,000 storage cabinets or 316,000 </w:t>
      </w:r>
      <w:r>
        <w:t xml:space="preserve">cabinets </w:t>
      </w:r>
      <w:r w:rsidRPr="00AC7259">
        <w:t>in total.</w:t>
      </w:r>
    </w:p>
    <w:p w14:paraId="4FD91918" w14:textId="77777777" w:rsidR="005636C7" w:rsidRPr="0041262C" w:rsidRDefault="005636C7" w:rsidP="005636C7">
      <w:pPr>
        <w:pStyle w:val="E3Heading2"/>
        <w:rPr>
          <w:rFonts w:ascii="Georgia" w:hAnsi="Georgia"/>
          <w:sz w:val="24"/>
        </w:rPr>
      </w:pPr>
      <w:bookmarkStart w:id="310" w:name="_Toc280615560"/>
      <w:bookmarkStart w:id="311" w:name="_Toc447533624"/>
      <w:bookmarkStart w:id="312" w:name="_Toc449708796"/>
      <w:bookmarkStart w:id="313" w:name="_Toc450032153"/>
      <w:bookmarkStart w:id="314" w:name="_Toc494897987"/>
      <w:bookmarkStart w:id="315" w:name="_Toc494955779"/>
      <w:bookmarkStart w:id="316" w:name="_Toc494959587"/>
      <w:bookmarkStart w:id="317" w:name="_Toc494972713"/>
      <w:bookmarkStart w:id="318" w:name="_Toc494973900"/>
      <w:bookmarkStart w:id="319" w:name="_Toc494974589"/>
      <w:bookmarkStart w:id="320" w:name="_Toc500151831"/>
      <w:r w:rsidRPr="0041262C">
        <w:rPr>
          <w:rFonts w:ascii="Georgia" w:hAnsi="Georgia"/>
          <w:sz w:val="24"/>
        </w:rPr>
        <w:t>Food service channels</w:t>
      </w:r>
      <w:bookmarkEnd w:id="310"/>
      <w:bookmarkEnd w:id="311"/>
      <w:bookmarkEnd w:id="312"/>
      <w:bookmarkEnd w:id="313"/>
      <w:bookmarkEnd w:id="314"/>
      <w:bookmarkEnd w:id="315"/>
      <w:bookmarkEnd w:id="316"/>
      <w:bookmarkEnd w:id="317"/>
      <w:bookmarkEnd w:id="318"/>
      <w:bookmarkEnd w:id="319"/>
      <w:bookmarkEnd w:id="320"/>
    </w:p>
    <w:p w14:paraId="56A49C50" w14:textId="77777777" w:rsidR="005636C7" w:rsidRPr="00AC7259" w:rsidRDefault="005636C7" w:rsidP="005636C7">
      <w:pPr>
        <w:pStyle w:val="E3BodyText"/>
      </w:pPr>
      <w:r w:rsidRPr="00AC7259">
        <w:t>The food service channels include catering, hospitality and small retail outlets that are generally dissected into two broad categories:</w:t>
      </w:r>
    </w:p>
    <w:p w14:paraId="040D86CD" w14:textId="77777777" w:rsidR="005636C7" w:rsidRDefault="005636C7" w:rsidP="005636C7">
      <w:pPr>
        <w:pStyle w:val="E3SubSubBullets"/>
        <w:tabs>
          <w:tab w:val="clear" w:pos="720"/>
        </w:tabs>
        <w:ind w:left="964"/>
      </w:pPr>
      <w:r w:rsidRPr="00AC7259">
        <w:rPr>
          <w:b/>
        </w:rPr>
        <w:t>Institutional</w:t>
      </w:r>
      <w:r w:rsidRPr="00AC7259">
        <w:t xml:space="preserve"> including hospitals, nursing homes, tertiary institutions, schools, work</w:t>
      </w:r>
      <w:r>
        <w:t xml:space="preserve"> or private canteens, c</w:t>
      </w:r>
      <w:r w:rsidRPr="00AC7259">
        <w:t>haritable organisations and Government ca</w:t>
      </w:r>
      <w:r>
        <w:t>nteens (i.e. prisons, military).</w:t>
      </w:r>
    </w:p>
    <w:p w14:paraId="15F922DE" w14:textId="77777777" w:rsidR="005636C7" w:rsidRPr="00AC7259" w:rsidRDefault="005636C7" w:rsidP="005636C7">
      <w:pPr>
        <w:pStyle w:val="E3SubSubBullets"/>
        <w:tabs>
          <w:tab w:val="clear" w:pos="720"/>
        </w:tabs>
        <w:ind w:left="964"/>
      </w:pPr>
      <w:r w:rsidRPr="00DD102F">
        <w:rPr>
          <w:b/>
        </w:rPr>
        <w:t>Commercial</w:t>
      </w:r>
      <w:r w:rsidRPr="00AC7259">
        <w:t xml:space="preserve"> including restaurants, </w:t>
      </w:r>
      <w:r>
        <w:t xml:space="preserve">cafes, hotels/motels, fast food or </w:t>
      </w:r>
      <w:r w:rsidRPr="00AC7259">
        <w:t>take-away</w:t>
      </w:r>
      <w:r>
        <w:t xml:space="preserve"> outlets</w:t>
      </w:r>
      <w:r w:rsidRPr="00AC7259">
        <w:t xml:space="preserve">, clubs, caterers, function centres, fresh meat </w:t>
      </w:r>
      <w:r>
        <w:t xml:space="preserve">(including </w:t>
      </w:r>
      <w:r w:rsidRPr="00AC7259">
        <w:t>fish and poultry retailing</w:t>
      </w:r>
      <w:r>
        <w:t>)</w:t>
      </w:r>
      <w:r w:rsidRPr="00AC7259">
        <w:t>;</w:t>
      </w:r>
      <w:r>
        <w:t xml:space="preserve"> fruit and vegetable retailing </w:t>
      </w:r>
      <w:r w:rsidRPr="00AC7259">
        <w:t>and liquor retailing.</w:t>
      </w:r>
    </w:p>
    <w:p w14:paraId="11BB6190" w14:textId="77777777" w:rsidR="005636C7" w:rsidRPr="00AC7259" w:rsidRDefault="005636C7" w:rsidP="005636C7">
      <w:pPr>
        <w:pStyle w:val="E3BodyText"/>
      </w:pPr>
      <w:r w:rsidRPr="00AC7259">
        <w:t>There is an estimated 15,500 institutional establishment</w:t>
      </w:r>
      <w:r>
        <w:t>s</w:t>
      </w:r>
      <w:r w:rsidRPr="00AC7259">
        <w:t xml:space="preserve"> containing a mix of display cabinets </w:t>
      </w:r>
      <w:r w:rsidRPr="00AB4EBC">
        <w:t>and</w:t>
      </w:r>
      <w:r w:rsidRPr="00AC7259">
        <w:t xml:space="preserve"> storage cabinets in a variety of formats including upright refrigerators (upright with 1, 2 and 3 doors, and under bench), freezers (upright with 1, 2 and 3 doors, and under bench) plus chest freezers. The estimated number of refrigeration cabinets in the institutional channel is 23,500 integral display cabinets and 30,250 storage cabinets.</w:t>
      </w:r>
    </w:p>
    <w:p w14:paraId="1AFDFA80" w14:textId="77777777" w:rsidR="00AC6998" w:rsidRDefault="005636C7" w:rsidP="005636C7">
      <w:pPr>
        <w:pStyle w:val="E3BodyText"/>
      </w:pPr>
      <w:r w:rsidRPr="00AC7259">
        <w:t>The commercial food service channel is much larger than the institutional channel, containing around 26,500 remote display cabinets, 244,600 integral display cabinets and 117,100 storage cabinets, which include an allowance of 15,000 integral display cabinets and 5,000 storage cabinets found in other locations. This estimate covers all of the business types listed in</w:t>
      </w:r>
      <w:r>
        <w:t xml:space="preserve"> </w:t>
      </w:r>
      <w:r w:rsidRPr="00AC7259">
        <w:rPr>
          <w:b/>
        </w:rPr>
        <w:fldChar w:fldCharType="begin"/>
      </w:r>
      <w:r w:rsidRPr="00AC7259">
        <w:rPr>
          <w:b/>
        </w:rPr>
        <w:instrText xml:space="preserve"> REF _Ref450032388 \h  \* MERGEFORMAT </w:instrText>
      </w:r>
      <w:r w:rsidRPr="00AC7259">
        <w:rPr>
          <w:b/>
        </w:rPr>
      </w:r>
      <w:r w:rsidRPr="00AC7259">
        <w:rPr>
          <w:b/>
        </w:rPr>
        <w:fldChar w:fldCharType="separate"/>
      </w:r>
    </w:p>
    <w:p w14:paraId="3012DD7A" w14:textId="77777777" w:rsidR="005636C7" w:rsidRDefault="00AC6998" w:rsidP="005636C7">
      <w:pPr>
        <w:pStyle w:val="E3BodyText"/>
      </w:pPr>
      <w:r>
        <w:t>Table</w:t>
      </w:r>
      <w:r>
        <w:rPr>
          <w:noProof/>
        </w:rPr>
        <w:t xml:space="preserve"> </w:t>
      </w:r>
      <w:r>
        <w:t>B</w:t>
      </w:r>
      <w:r>
        <w:rPr>
          <w:noProof/>
        </w:rPr>
        <w:t xml:space="preserve"> 3</w:t>
      </w:r>
      <w:r w:rsidR="005636C7" w:rsidRPr="00AC7259">
        <w:rPr>
          <w:b/>
        </w:rPr>
        <w:fldChar w:fldCharType="end"/>
      </w:r>
      <w:r w:rsidR="005636C7" w:rsidRPr="00AC7259">
        <w:t>.</w:t>
      </w:r>
      <w:r w:rsidR="005636C7" w:rsidRPr="00AC7259">
        <w:rPr>
          <w:rStyle w:val="FootnoteReference"/>
        </w:rPr>
        <w:footnoteReference w:id="54"/>
      </w:r>
      <w:bookmarkStart w:id="321" w:name="_Ref450032388"/>
      <w:bookmarkStart w:id="322" w:name="_Toc449708975"/>
      <w:bookmarkStart w:id="323" w:name="_Toc456164731"/>
    </w:p>
    <w:p w14:paraId="5EC75FFE" w14:textId="77777777" w:rsidR="005636C7" w:rsidRPr="00670D67" w:rsidRDefault="005636C7" w:rsidP="005636C7">
      <w:pPr>
        <w:pStyle w:val="E3TableTitles"/>
        <w:spacing w:before="240"/>
        <w:rPr>
          <w:i/>
        </w:rPr>
      </w:pPr>
      <w:bookmarkStart w:id="324" w:name="_Toc500159672"/>
      <w:r>
        <w:t xml:space="preserve">Table B </w:t>
      </w:r>
      <w:r>
        <w:fldChar w:fldCharType="begin"/>
      </w:r>
      <w:r>
        <w:instrText xml:space="preserve"> SEQ Table_B \* ARABIC </w:instrText>
      </w:r>
      <w:r>
        <w:fldChar w:fldCharType="separate"/>
      </w:r>
      <w:r w:rsidR="00AC6998">
        <w:rPr>
          <w:noProof/>
        </w:rPr>
        <w:t>3</w:t>
      </w:r>
      <w:r>
        <w:rPr>
          <w:noProof/>
        </w:rPr>
        <w:fldChar w:fldCharType="end"/>
      </w:r>
      <w:bookmarkEnd w:id="321"/>
      <w:r w:rsidRPr="00670D67">
        <w:t>: ABS count of catering and hospitality businesses in Australia.</w:t>
      </w:r>
      <w:bookmarkEnd w:id="322"/>
      <w:bookmarkEnd w:id="323"/>
      <w:bookmarkEnd w:id="324"/>
      <w:r w:rsidRPr="00670D67">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683"/>
        <w:gridCol w:w="1542"/>
        <w:gridCol w:w="1404"/>
        <w:gridCol w:w="1392"/>
      </w:tblGrid>
      <w:tr w:rsidR="005636C7" w:rsidRPr="001312BC" w14:paraId="3342F031" w14:textId="77777777" w:rsidTr="005636C7">
        <w:tc>
          <w:tcPr>
            <w:tcW w:w="3544" w:type="dxa"/>
            <w:vMerge w:val="restart"/>
            <w:shd w:val="clear" w:color="auto" w:fill="0C0C0C"/>
            <w:vAlign w:val="center"/>
          </w:tcPr>
          <w:p w14:paraId="21BA88D7" w14:textId="77777777" w:rsidR="005636C7" w:rsidRPr="001312BC" w:rsidRDefault="005636C7" w:rsidP="005636C7">
            <w:pPr>
              <w:pStyle w:val="E3TableHeading"/>
              <w:jc w:val="both"/>
            </w:pPr>
            <w:r>
              <w:t>Type of business</w:t>
            </w:r>
          </w:p>
        </w:tc>
        <w:tc>
          <w:tcPr>
            <w:tcW w:w="4678" w:type="dxa"/>
            <w:gridSpan w:val="3"/>
            <w:shd w:val="clear" w:color="auto" w:fill="0C0C0C"/>
            <w:vAlign w:val="center"/>
          </w:tcPr>
          <w:p w14:paraId="0C20535C" w14:textId="77777777" w:rsidR="005636C7" w:rsidRPr="001312BC" w:rsidRDefault="005636C7" w:rsidP="005636C7">
            <w:pPr>
              <w:pStyle w:val="E3TableHeading"/>
              <w:jc w:val="both"/>
            </w:pPr>
            <w:r w:rsidRPr="001312BC">
              <w:t>Sum of employees in business</w:t>
            </w:r>
          </w:p>
        </w:tc>
        <w:tc>
          <w:tcPr>
            <w:tcW w:w="1402" w:type="dxa"/>
            <w:vMerge w:val="restart"/>
            <w:shd w:val="clear" w:color="auto" w:fill="0C0C0C"/>
            <w:vAlign w:val="center"/>
          </w:tcPr>
          <w:p w14:paraId="4F2AAD30" w14:textId="77777777" w:rsidR="005636C7" w:rsidRPr="001312BC" w:rsidRDefault="005636C7" w:rsidP="005636C7">
            <w:pPr>
              <w:pStyle w:val="E3TableHeading"/>
              <w:jc w:val="both"/>
            </w:pPr>
            <w:r w:rsidRPr="001312BC">
              <w:t>Totals</w:t>
            </w:r>
          </w:p>
        </w:tc>
      </w:tr>
      <w:tr w:rsidR="005636C7" w:rsidRPr="001312BC" w14:paraId="259B5BBD" w14:textId="77777777" w:rsidTr="005636C7">
        <w:tc>
          <w:tcPr>
            <w:tcW w:w="3544" w:type="dxa"/>
            <w:vMerge/>
            <w:shd w:val="clear" w:color="auto" w:fill="0C0C0C"/>
            <w:vAlign w:val="center"/>
          </w:tcPr>
          <w:p w14:paraId="2A0554E7" w14:textId="77777777" w:rsidR="005636C7" w:rsidRPr="001312BC" w:rsidRDefault="005636C7" w:rsidP="005636C7">
            <w:pPr>
              <w:pStyle w:val="E3TableHeading"/>
              <w:jc w:val="both"/>
            </w:pPr>
          </w:p>
        </w:tc>
        <w:tc>
          <w:tcPr>
            <w:tcW w:w="1701" w:type="dxa"/>
            <w:shd w:val="clear" w:color="auto" w:fill="0C0C0C"/>
            <w:vAlign w:val="center"/>
          </w:tcPr>
          <w:p w14:paraId="2996F83D" w14:textId="77777777" w:rsidR="005636C7" w:rsidRPr="001312BC" w:rsidRDefault="005636C7" w:rsidP="005636C7">
            <w:pPr>
              <w:pStyle w:val="E3TableHeading"/>
              <w:jc w:val="both"/>
            </w:pPr>
            <w:r w:rsidRPr="001312BC">
              <w:t>1 to 19</w:t>
            </w:r>
          </w:p>
        </w:tc>
        <w:tc>
          <w:tcPr>
            <w:tcW w:w="1559" w:type="dxa"/>
            <w:shd w:val="clear" w:color="auto" w:fill="0C0C0C"/>
            <w:vAlign w:val="center"/>
          </w:tcPr>
          <w:p w14:paraId="1FBDF93B" w14:textId="77777777" w:rsidR="005636C7" w:rsidRPr="001312BC" w:rsidRDefault="005636C7" w:rsidP="005636C7">
            <w:pPr>
              <w:pStyle w:val="E3TableHeading"/>
              <w:jc w:val="both"/>
            </w:pPr>
            <w:r w:rsidRPr="001312BC">
              <w:t>20 to 199</w:t>
            </w:r>
          </w:p>
        </w:tc>
        <w:tc>
          <w:tcPr>
            <w:tcW w:w="1418" w:type="dxa"/>
            <w:shd w:val="clear" w:color="auto" w:fill="0C0C0C"/>
            <w:vAlign w:val="center"/>
          </w:tcPr>
          <w:p w14:paraId="560F0155" w14:textId="77777777" w:rsidR="005636C7" w:rsidRPr="001312BC" w:rsidRDefault="005636C7" w:rsidP="005636C7">
            <w:pPr>
              <w:pStyle w:val="E3TableHeading"/>
              <w:jc w:val="both"/>
            </w:pPr>
            <w:r w:rsidRPr="001312BC">
              <w:t>200 plus</w:t>
            </w:r>
          </w:p>
        </w:tc>
        <w:tc>
          <w:tcPr>
            <w:tcW w:w="1402" w:type="dxa"/>
            <w:vMerge/>
            <w:shd w:val="clear" w:color="auto" w:fill="0C0C0C"/>
            <w:vAlign w:val="center"/>
          </w:tcPr>
          <w:p w14:paraId="18B2FCDD" w14:textId="77777777" w:rsidR="005636C7" w:rsidRPr="001312BC" w:rsidRDefault="005636C7" w:rsidP="005636C7">
            <w:pPr>
              <w:pStyle w:val="E3TableHeading"/>
              <w:jc w:val="both"/>
            </w:pPr>
          </w:p>
        </w:tc>
      </w:tr>
      <w:tr w:rsidR="005636C7" w:rsidRPr="001312BC" w14:paraId="334C5C1F" w14:textId="77777777" w:rsidTr="005636C7">
        <w:tc>
          <w:tcPr>
            <w:tcW w:w="3544" w:type="dxa"/>
            <w:vAlign w:val="center"/>
          </w:tcPr>
          <w:p w14:paraId="541B370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Cafes and restaurants</w:t>
            </w:r>
          </w:p>
        </w:tc>
        <w:tc>
          <w:tcPr>
            <w:tcW w:w="1701" w:type="dxa"/>
            <w:vAlign w:val="bottom"/>
          </w:tcPr>
          <w:p w14:paraId="3319F6E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24,217</w:t>
            </w:r>
          </w:p>
        </w:tc>
        <w:tc>
          <w:tcPr>
            <w:tcW w:w="1559" w:type="dxa"/>
            <w:vAlign w:val="bottom"/>
          </w:tcPr>
          <w:p w14:paraId="0622F2F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2,115</w:t>
            </w:r>
          </w:p>
        </w:tc>
        <w:tc>
          <w:tcPr>
            <w:tcW w:w="1418" w:type="dxa"/>
            <w:vAlign w:val="bottom"/>
          </w:tcPr>
          <w:p w14:paraId="05CE98F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50</w:t>
            </w:r>
          </w:p>
        </w:tc>
        <w:tc>
          <w:tcPr>
            <w:tcW w:w="1402" w:type="dxa"/>
            <w:vAlign w:val="bottom"/>
          </w:tcPr>
          <w:p w14:paraId="61CDE80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26,382</w:t>
            </w:r>
          </w:p>
        </w:tc>
      </w:tr>
      <w:tr w:rsidR="005636C7" w:rsidRPr="001312BC" w14:paraId="142EDDD1" w14:textId="77777777" w:rsidTr="005636C7">
        <w:tc>
          <w:tcPr>
            <w:tcW w:w="3544" w:type="dxa"/>
            <w:vAlign w:val="center"/>
          </w:tcPr>
          <w:p w14:paraId="1376CE7B"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Catering services</w:t>
            </w:r>
          </w:p>
        </w:tc>
        <w:tc>
          <w:tcPr>
            <w:tcW w:w="1701" w:type="dxa"/>
            <w:vAlign w:val="bottom"/>
          </w:tcPr>
          <w:p w14:paraId="4FDC078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1,847</w:t>
            </w:r>
          </w:p>
        </w:tc>
        <w:tc>
          <w:tcPr>
            <w:tcW w:w="1559" w:type="dxa"/>
            <w:vAlign w:val="bottom"/>
          </w:tcPr>
          <w:p w14:paraId="4719540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265</w:t>
            </w:r>
          </w:p>
        </w:tc>
        <w:tc>
          <w:tcPr>
            <w:tcW w:w="1418" w:type="dxa"/>
            <w:vAlign w:val="bottom"/>
          </w:tcPr>
          <w:p w14:paraId="31BA75A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22</w:t>
            </w:r>
          </w:p>
        </w:tc>
        <w:tc>
          <w:tcPr>
            <w:tcW w:w="1402" w:type="dxa"/>
            <w:vAlign w:val="bottom"/>
          </w:tcPr>
          <w:p w14:paraId="594055F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2,134</w:t>
            </w:r>
          </w:p>
        </w:tc>
      </w:tr>
      <w:tr w:rsidR="005636C7" w:rsidRPr="001312BC" w14:paraId="75E144E9" w14:textId="77777777" w:rsidTr="005636C7">
        <w:tc>
          <w:tcPr>
            <w:tcW w:w="3544" w:type="dxa"/>
            <w:vAlign w:val="center"/>
          </w:tcPr>
          <w:p w14:paraId="650062C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Clubs (hospitality)</w:t>
            </w:r>
          </w:p>
        </w:tc>
        <w:tc>
          <w:tcPr>
            <w:tcW w:w="1701" w:type="dxa"/>
            <w:vAlign w:val="bottom"/>
          </w:tcPr>
          <w:p w14:paraId="5ADA73E9"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1,771</w:t>
            </w:r>
          </w:p>
        </w:tc>
        <w:tc>
          <w:tcPr>
            <w:tcW w:w="1559" w:type="dxa"/>
            <w:vAlign w:val="bottom"/>
          </w:tcPr>
          <w:p w14:paraId="099DA902"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652</w:t>
            </w:r>
          </w:p>
        </w:tc>
        <w:tc>
          <w:tcPr>
            <w:tcW w:w="1418" w:type="dxa"/>
            <w:vAlign w:val="bottom"/>
          </w:tcPr>
          <w:p w14:paraId="006972C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31</w:t>
            </w:r>
          </w:p>
        </w:tc>
        <w:tc>
          <w:tcPr>
            <w:tcW w:w="1402" w:type="dxa"/>
            <w:vAlign w:val="bottom"/>
          </w:tcPr>
          <w:p w14:paraId="6864962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2,454</w:t>
            </w:r>
          </w:p>
        </w:tc>
      </w:tr>
      <w:tr w:rsidR="005636C7" w:rsidRPr="001312BC" w14:paraId="25CCC8F1" w14:textId="77777777" w:rsidTr="005636C7">
        <w:tc>
          <w:tcPr>
            <w:tcW w:w="3544" w:type="dxa"/>
            <w:vAlign w:val="center"/>
          </w:tcPr>
          <w:p w14:paraId="5E1D98B4"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Pubs, taverns and bars</w:t>
            </w:r>
          </w:p>
        </w:tc>
        <w:tc>
          <w:tcPr>
            <w:tcW w:w="1701" w:type="dxa"/>
            <w:vAlign w:val="bottom"/>
          </w:tcPr>
          <w:p w14:paraId="3078072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3,094</w:t>
            </w:r>
          </w:p>
        </w:tc>
        <w:tc>
          <w:tcPr>
            <w:tcW w:w="1559" w:type="dxa"/>
            <w:vAlign w:val="bottom"/>
          </w:tcPr>
          <w:p w14:paraId="07B86F18"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1,257</w:t>
            </w:r>
          </w:p>
        </w:tc>
        <w:tc>
          <w:tcPr>
            <w:tcW w:w="1418" w:type="dxa"/>
            <w:vAlign w:val="bottom"/>
          </w:tcPr>
          <w:p w14:paraId="498A971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22</w:t>
            </w:r>
          </w:p>
        </w:tc>
        <w:tc>
          <w:tcPr>
            <w:tcW w:w="1402" w:type="dxa"/>
            <w:vAlign w:val="bottom"/>
          </w:tcPr>
          <w:p w14:paraId="64D3A0CD"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4,373</w:t>
            </w:r>
          </w:p>
        </w:tc>
      </w:tr>
      <w:tr w:rsidR="005636C7" w:rsidRPr="001312BC" w14:paraId="43BC20B4" w14:textId="77777777" w:rsidTr="005636C7">
        <w:tc>
          <w:tcPr>
            <w:tcW w:w="3544" w:type="dxa"/>
            <w:vAlign w:val="center"/>
          </w:tcPr>
          <w:p w14:paraId="3C4591A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Takeaway food services</w:t>
            </w:r>
          </w:p>
        </w:tc>
        <w:tc>
          <w:tcPr>
            <w:tcW w:w="1701" w:type="dxa"/>
            <w:vAlign w:val="bottom"/>
          </w:tcPr>
          <w:p w14:paraId="53F288A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14,996</w:t>
            </w:r>
          </w:p>
        </w:tc>
        <w:tc>
          <w:tcPr>
            <w:tcW w:w="1559" w:type="dxa"/>
            <w:vAlign w:val="bottom"/>
          </w:tcPr>
          <w:p w14:paraId="1A71D467"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1,065</w:t>
            </w:r>
          </w:p>
        </w:tc>
        <w:tc>
          <w:tcPr>
            <w:tcW w:w="1418" w:type="dxa"/>
            <w:vAlign w:val="bottom"/>
          </w:tcPr>
          <w:p w14:paraId="1BEE2373"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91</w:t>
            </w:r>
          </w:p>
        </w:tc>
        <w:tc>
          <w:tcPr>
            <w:tcW w:w="1402" w:type="dxa"/>
            <w:vAlign w:val="bottom"/>
          </w:tcPr>
          <w:p w14:paraId="19D2B6D1"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16,152</w:t>
            </w:r>
          </w:p>
        </w:tc>
      </w:tr>
      <w:tr w:rsidR="005636C7" w:rsidRPr="001312BC" w14:paraId="4F8E27E5" w14:textId="77777777" w:rsidTr="005636C7">
        <w:tc>
          <w:tcPr>
            <w:tcW w:w="3544" w:type="dxa"/>
            <w:vAlign w:val="center"/>
          </w:tcPr>
          <w:p w14:paraId="233F7CBF"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Hotels and motels</w:t>
            </w:r>
          </w:p>
        </w:tc>
        <w:tc>
          <w:tcPr>
            <w:tcW w:w="1701" w:type="dxa"/>
            <w:vAlign w:val="center"/>
          </w:tcPr>
          <w:p w14:paraId="55A17FA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t>
            </w:r>
          </w:p>
        </w:tc>
        <w:tc>
          <w:tcPr>
            <w:tcW w:w="1559" w:type="dxa"/>
            <w:vAlign w:val="center"/>
          </w:tcPr>
          <w:p w14:paraId="2FAC1D5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t>
            </w:r>
          </w:p>
        </w:tc>
        <w:tc>
          <w:tcPr>
            <w:tcW w:w="1418" w:type="dxa"/>
            <w:vAlign w:val="center"/>
          </w:tcPr>
          <w:p w14:paraId="78ED5D80"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w:t>
            </w:r>
          </w:p>
        </w:tc>
        <w:tc>
          <w:tcPr>
            <w:tcW w:w="1402" w:type="dxa"/>
            <w:vAlign w:val="center"/>
          </w:tcPr>
          <w:p w14:paraId="4528F6BA"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4,000</w:t>
            </w:r>
          </w:p>
        </w:tc>
      </w:tr>
      <w:tr w:rsidR="005636C7" w:rsidRPr="001312BC" w14:paraId="7F1DA359" w14:textId="77777777" w:rsidTr="005636C7">
        <w:tc>
          <w:tcPr>
            <w:tcW w:w="3544" w:type="dxa"/>
            <w:vAlign w:val="center"/>
          </w:tcPr>
          <w:p w14:paraId="1B9D4C5E"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Grand total</w:t>
            </w:r>
          </w:p>
        </w:tc>
        <w:tc>
          <w:tcPr>
            <w:tcW w:w="1701" w:type="dxa"/>
            <w:vAlign w:val="center"/>
          </w:tcPr>
          <w:p w14:paraId="7C877342" w14:textId="77777777" w:rsidR="005636C7" w:rsidRPr="0041262C" w:rsidRDefault="005636C7" w:rsidP="005636C7">
            <w:pPr>
              <w:pStyle w:val="E3tabletext1"/>
              <w:jc w:val="both"/>
              <w:rPr>
                <w:rFonts w:ascii="Helvetica" w:hAnsi="Helvetica" w:cs="Helvetica"/>
                <w:sz w:val="15"/>
                <w:szCs w:val="15"/>
              </w:rPr>
            </w:pPr>
          </w:p>
        </w:tc>
        <w:tc>
          <w:tcPr>
            <w:tcW w:w="1559" w:type="dxa"/>
            <w:vAlign w:val="center"/>
          </w:tcPr>
          <w:p w14:paraId="735DA542" w14:textId="77777777" w:rsidR="005636C7" w:rsidRPr="0041262C" w:rsidRDefault="005636C7" w:rsidP="005636C7">
            <w:pPr>
              <w:pStyle w:val="E3tabletext1"/>
              <w:jc w:val="both"/>
              <w:rPr>
                <w:rFonts w:ascii="Helvetica" w:hAnsi="Helvetica" w:cs="Helvetica"/>
                <w:sz w:val="15"/>
                <w:szCs w:val="15"/>
              </w:rPr>
            </w:pPr>
          </w:p>
        </w:tc>
        <w:tc>
          <w:tcPr>
            <w:tcW w:w="1418" w:type="dxa"/>
            <w:vAlign w:val="center"/>
          </w:tcPr>
          <w:p w14:paraId="6A99BF99" w14:textId="77777777" w:rsidR="005636C7" w:rsidRPr="0041262C" w:rsidRDefault="005636C7" w:rsidP="005636C7">
            <w:pPr>
              <w:pStyle w:val="E3tabletext1"/>
              <w:jc w:val="both"/>
              <w:rPr>
                <w:rFonts w:ascii="Helvetica" w:hAnsi="Helvetica" w:cs="Helvetica"/>
                <w:sz w:val="15"/>
                <w:szCs w:val="15"/>
              </w:rPr>
            </w:pPr>
          </w:p>
        </w:tc>
        <w:tc>
          <w:tcPr>
            <w:tcW w:w="1402" w:type="dxa"/>
            <w:vAlign w:val="center"/>
          </w:tcPr>
          <w:p w14:paraId="27583CB5" w14:textId="77777777" w:rsidR="005636C7" w:rsidRPr="0041262C" w:rsidRDefault="005636C7" w:rsidP="005636C7">
            <w:pPr>
              <w:pStyle w:val="E3tabletext1"/>
              <w:jc w:val="both"/>
              <w:rPr>
                <w:rFonts w:ascii="Helvetica" w:hAnsi="Helvetica" w:cs="Helvetica"/>
                <w:sz w:val="15"/>
                <w:szCs w:val="15"/>
              </w:rPr>
            </w:pPr>
            <w:r w:rsidRPr="0041262C">
              <w:rPr>
                <w:rFonts w:ascii="Helvetica" w:hAnsi="Helvetica" w:cs="Helvetica"/>
                <w:sz w:val="15"/>
                <w:szCs w:val="15"/>
              </w:rPr>
              <w:t>55,495</w:t>
            </w:r>
          </w:p>
        </w:tc>
      </w:tr>
    </w:tbl>
    <w:p w14:paraId="2F1084FE" w14:textId="77777777" w:rsidR="005636C7" w:rsidRPr="0027493F" w:rsidRDefault="005636C7" w:rsidP="005636C7">
      <w:pPr>
        <w:pStyle w:val="E3Caption"/>
        <w:jc w:val="both"/>
      </w:pPr>
      <w:r w:rsidRPr="0027493F">
        <w:t>(Source: ABS 8165.0 2013)</w:t>
      </w:r>
    </w:p>
    <w:p w14:paraId="27CAE143" w14:textId="77777777" w:rsidR="005636C7" w:rsidRDefault="005636C7" w:rsidP="005636C7">
      <w:pPr>
        <w:pStyle w:val="E3BodyText"/>
        <w:spacing w:before="240"/>
        <w:jc w:val="both"/>
      </w:pPr>
      <w:r w:rsidRPr="00F47E7A">
        <w:t xml:space="preserve">The total estimated stock of display cases in the food service channel is 26,500 remote </w:t>
      </w:r>
      <w:r>
        <w:t>display cabinets</w:t>
      </w:r>
      <w:r w:rsidRPr="00F47E7A">
        <w:t xml:space="preserve">, 268,100 integral </w:t>
      </w:r>
      <w:r>
        <w:t>display cabinets</w:t>
      </w:r>
      <w:r w:rsidRPr="00F47E7A">
        <w:t xml:space="preserve"> and 147,400 </w:t>
      </w:r>
      <w:r>
        <w:t>storage cabinets</w:t>
      </w:r>
      <w:r w:rsidRPr="00F47E7A">
        <w:t xml:space="preserve"> totalling to 442,000 cabinets.</w:t>
      </w:r>
      <w:r>
        <w:t xml:space="preserve"> </w:t>
      </w:r>
      <w:r w:rsidRPr="00F47E7A">
        <w:t>This stock count is slightly higher than a similar count undertaken by BIS Shrapnel in 2012 as part of a Foodservice Equipment Study that estimated around 337,000 equivalent devices.</w:t>
      </w:r>
    </w:p>
    <w:p w14:paraId="2D308AC7" w14:textId="77777777" w:rsidR="005636C7" w:rsidRDefault="005636C7" w:rsidP="005636C7">
      <w:pPr>
        <w:pStyle w:val="E3BodyText"/>
        <w:spacing w:after="240"/>
        <w:jc w:val="both"/>
      </w:pPr>
      <w:r w:rsidRPr="00AC7259">
        <w:t>The</w:t>
      </w:r>
      <w:r>
        <w:t xml:space="preserve"> historical stock and sales figures were updated to 2016 values for this Decision RIS, based on updated sales estimates and other data sources.  </w:t>
      </w:r>
    </w:p>
    <w:p w14:paraId="3A48BA0D" w14:textId="77777777" w:rsidR="005636C7" w:rsidRPr="00AB4EBC" w:rsidRDefault="005636C7" w:rsidP="005636C7">
      <w:pPr>
        <w:pStyle w:val="E3BodyText"/>
        <w:jc w:val="both"/>
      </w:pPr>
      <w:r w:rsidRPr="00AB4EBC">
        <w:t>The sales of RDCs and RSCs is largely driven by requirements in two major sectors:</w:t>
      </w:r>
    </w:p>
    <w:p w14:paraId="131662B0" w14:textId="77777777" w:rsidR="005636C7" w:rsidRDefault="005636C7" w:rsidP="005636C7">
      <w:pPr>
        <w:pStyle w:val="E3SubSubBullets"/>
        <w:tabs>
          <w:tab w:val="clear" w:pos="720"/>
        </w:tabs>
        <w:ind w:left="964"/>
        <w:jc w:val="both"/>
      </w:pPr>
      <w:r w:rsidRPr="00B80217">
        <w:t>Food retail comprising supermarkets, convenience stores, liquor retailing and small food retail (i.e. fresh meat, fish and poultry; fruit and vegetable and specialised foods); and,</w:t>
      </w:r>
    </w:p>
    <w:p w14:paraId="5CD4A4DF" w14:textId="77777777" w:rsidR="005636C7" w:rsidRPr="00B80217" w:rsidRDefault="005636C7" w:rsidP="005636C7">
      <w:pPr>
        <w:pStyle w:val="E3SubSubBullets"/>
        <w:tabs>
          <w:tab w:val="clear" w:pos="720"/>
        </w:tabs>
        <w:spacing w:after="360"/>
        <w:ind w:left="964" w:hanging="357"/>
        <w:jc w:val="both"/>
      </w:pPr>
      <w:r w:rsidRPr="00B80217">
        <w:t>Food service channels which includes catering and hospitality.</w:t>
      </w:r>
    </w:p>
    <w:p w14:paraId="64C5DBEC" w14:textId="77777777" w:rsidR="005636C7" w:rsidRPr="00B80217" w:rsidRDefault="005636C7" w:rsidP="005636C7">
      <w:pPr>
        <w:pStyle w:val="E3BodyText"/>
        <w:spacing w:after="120"/>
        <w:jc w:val="both"/>
      </w:pPr>
      <w:r w:rsidRPr="00B80217">
        <w:t xml:space="preserve">The performance of these major channels is </w:t>
      </w:r>
      <w:r>
        <w:t xml:space="preserve">reported in Australia in the </w:t>
      </w:r>
      <w:r w:rsidRPr="00FE0E0A">
        <w:t>ABS Retail trade index for food retail and hospitality in millions o</w:t>
      </w:r>
      <w:r>
        <w:t>f dollars of turnover per month where both sectors have grown by more than 3% per annum over the last decade.</w:t>
      </w:r>
      <w:r w:rsidRPr="00B80217">
        <w:t xml:space="preserve"> </w:t>
      </w:r>
    </w:p>
    <w:p w14:paraId="1592CF91" w14:textId="77777777" w:rsidR="005636C7" w:rsidRPr="00B80217" w:rsidRDefault="005636C7" w:rsidP="005636C7">
      <w:pPr>
        <w:pStyle w:val="E3BodyText"/>
        <w:spacing w:after="120"/>
        <w:jc w:val="both"/>
      </w:pPr>
      <w:r>
        <w:t>In Australia, t</w:t>
      </w:r>
      <w:r w:rsidRPr="00B80217">
        <w:t>h</w:t>
      </w:r>
      <w:r>
        <w:t xml:space="preserve">is </w:t>
      </w:r>
      <w:r w:rsidRPr="00B80217">
        <w:t xml:space="preserve">growth in food retail revenue is supported </w:t>
      </w:r>
      <w:r>
        <w:t xml:space="preserve">by </w:t>
      </w:r>
      <w:r w:rsidRPr="00B80217">
        <w:t>growth in infrastructure where supermarkets including extra small stores with a trading floor less than 400 m</w:t>
      </w:r>
      <w:r w:rsidRPr="004E04A5">
        <w:rPr>
          <w:vertAlign w:val="superscript"/>
        </w:rPr>
        <w:t>2</w:t>
      </w:r>
      <w:r w:rsidRPr="00B80217">
        <w:t xml:space="preserve"> have grown from 4,205 in 2012 to 4,810 today equating </w:t>
      </w:r>
      <w:r>
        <w:t>3</w:t>
      </w:r>
      <w:r w:rsidRPr="00B80217">
        <w:t>% growth over the period. Convenience stores including Petrol Stations have not seen as much growth</w:t>
      </w:r>
      <w:r>
        <w:t xml:space="preserve">. In 2012 there were </w:t>
      </w:r>
      <w:r w:rsidRPr="00B80217">
        <w:t xml:space="preserve">5,817 </w:t>
      </w:r>
      <w:r>
        <w:t xml:space="preserve">compared to </w:t>
      </w:r>
      <w:r w:rsidRPr="00B80217">
        <w:t>6,100 today</w:t>
      </w:r>
      <w:r>
        <w:t xml:space="preserve">. The softer growth of convenience stores of around 1% per annum is </w:t>
      </w:r>
      <w:r w:rsidRPr="00B80217">
        <w:t>possibly due to acquisitions</w:t>
      </w:r>
      <w:r>
        <w:t>, fleet mergers</w:t>
      </w:r>
      <w:r w:rsidRPr="00B80217">
        <w:t xml:space="preserve"> and industry </w:t>
      </w:r>
      <w:r>
        <w:t>rationalisation</w:t>
      </w:r>
      <w:r w:rsidRPr="00B80217">
        <w:t>.</w:t>
      </w:r>
    </w:p>
    <w:p w14:paraId="3C31B78E" w14:textId="77777777" w:rsidR="005636C7" w:rsidRPr="00B80217" w:rsidRDefault="005636C7" w:rsidP="005636C7">
      <w:pPr>
        <w:pStyle w:val="E3BodyText"/>
        <w:spacing w:after="120"/>
        <w:jc w:val="both"/>
      </w:pPr>
      <w:r w:rsidRPr="00B80217">
        <w:t xml:space="preserve">In 2012 </w:t>
      </w:r>
      <w:r>
        <w:t xml:space="preserve">the </w:t>
      </w:r>
      <w:r w:rsidRPr="00B80217">
        <w:t xml:space="preserve">pre-charged equipment imports were reviewed to establish sales levels of RDCs and RSCs in Australia. At the time industry participants considered the increase in imports in 2010 and 2011 as an extraordinary sales event </w:t>
      </w:r>
      <w:r>
        <w:t xml:space="preserve">(i.e. beverage company activity) </w:t>
      </w:r>
      <w:r w:rsidRPr="00B80217">
        <w:t xml:space="preserve">and that import quantities from 2006 to 2009 were more indicative of </w:t>
      </w:r>
      <w:r>
        <w:t>the 2012</w:t>
      </w:r>
      <w:r w:rsidRPr="00B80217">
        <w:t xml:space="preserve"> levels in Australia. The average imports through </w:t>
      </w:r>
      <w:r>
        <w:t xml:space="preserve">the 2006 to 2009 </w:t>
      </w:r>
      <w:r w:rsidRPr="00B80217">
        <w:t xml:space="preserve">period equated to around 63,000 integral RDC and RSCs imported, then allowing for remote RDCs and local manufacturing during this period equated to an estimated sales value of 75,000 to 80,000 pieces per annum. </w:t>
      </w:r>
    </w:p>
    <w:p w14:paraId="5A5BA02C" w14:textId="77777777" w:rsidR="005636C7" w:rsidRDefault="005636C7" w:rsidP="005636C7">
      <w:pPr>
        <w:pStyle w:val="E3BodyText"/>
        <w:spacing w:after="120"/>
        <w:jc w:val="both"/>
      </w:pPr>
      <w:r w:rsidRPr="00B80217">
        <w:t xml:space="preserve">Analysis of pre-charged import data </w:t>
      </w:r>
      <w:r>
        <w:t xml:space="preserve">since 2012 </w:t>
      </w:r>
      <w:r w:rsidRPr="00B80217">
        <w:t xml:space="preserve">has become more difficult as </w:t>
      </w:r>
      <w:r>
        <w:t xml:space="preserve">around </w:t>
      </w:r>
      <w:r w:rsidRPr="00B80217">
        <w:t xml:space="preserve">25% of RDC and RSCs have transitioned to hydrocarbon refrigerants which is not reported. Since 2012 there has been strong growth in food retail and the food service channels (i.e. commercial including hospitality and institutional) and a slowdown in the beverage market as the key market </w:t>
      </w:r>
      <w:r>
        <w:t xml:space="preserve">beverage companies </w:t>
      </w:r>
      <w:r w:rsidRPr="00B80217">
        <w:t xml:space="preserve">Coca-Cola Amatil </w:t>
      </w:r>
      <w:r>
        <w:t xml:space="preserve">and </w:t>
      </w:r>
      <w:r w:rsidRPr="00B80217">
        <w:t>Asahi Beverages</w:t>
      </w:r>
      <w:r>
        <w:t xml:space="preserve"> (</w:t>
      </w:r>
      <w:r w:rsidRPr="00B80217">
        <w:t>Schweppes</w:t>
      </w:r>
      <w:r>
        <w:t>)</w:t>
      </w:r>
      <w:r w:rsidRPr="00B80217">
        <w:t xml:space="preserve"> undertook major </w:t>
      </w:r>
      <w:r>
        <w:t>refurbishments</w:t>
      </w:r>
      <w:r w:rsidRPr="00B80217">
        <w:t xml:space="preserve"> of their fleets </w:t>
      </w:r>
      <w:r>
        <w:t xml:space="preserve">from </w:t>
      </w:r>
      <w:r w:rsidRPr="00B80217">
        <w:t>2010 to 201</w:t>
      </w:r>
      <w:r>
        <w:t>3</w:t>
      </w:r>
      <w:r w:rsidRPr="00B80217">
        <w:t>. The pre-charged import data from 2012 to 2016 provide</w:t>
      </w:r>
      <w:r>
        <w:t>s</w:t>
      </w:r>
      <w:r w:rsidRPr="00B80217">
        <w:t xml:space="preserve"> </w:t>
      </w:r>
      <w:r>
        <w:t xml:space="preserve">sound </w:t>
      </w:r>
      <w:r w:rsidRPr="00B80217">
        <w:t xml:space="preserve">evidence of sales in access of 100,000 pieces per annum particularly when units charged with hydrocarbon are added as well as local manufacturing. A conservative sales growth of 2.5% per annum from the 77,500 pieces per annum </w:t>
      </w:r>
      <w:r>
        <w:t xml:space="preserve">baseline </w:t>
      </w:r>
      <w:r w:rsidRPr="00B80217">
        <w:t>has been assumed from 201</w:t>
      </w:r>
      <w:r>
        <w:t>4</w:t>
      </w:r>
      <w:r w:rsidRPr="00B80217">
        <w:t xml:space="preserve"> to 2020, followed by 2.0% growth per annum from 2020 to 2030, and 1.5% out to 2035.</w:t>
      </w:r>
    </w:p>
    <w:p w14:paraId="081C8CCF" w14:textId="77777777" w:rsidR="005636C7" w:rsidRDefault="005636C7" w:rsidP="005636C7">
      <w:pPr>
        <w:pStyle w:val="E3BodyText"/>
        <w:jc w:val="both"/>
      </w:pPr>
      <w:r>
        <w:t xml:space="preserve">The detailed data collected by </w:t>
      </w:r>
      <w:r w:rsidRPr="008A533D">
        <w:t xml:space="preserve">ECCA via the Energy Efficiency (Energy Using Products) Regulations </w:t>
      </w:r>
      <w:r>
        <w:t>was reviewed to assess sales growth in New Zealand and was found to be relatively flat over the period from 2012 to 2015. The New Zealand economy has also experienced growth in f</w:t>
      </w:r>
      <w:r w:rsidRPr="008A533D">
        <w:t>ood retail</w:t>
      </w:r>
      <w:r>
        <w:t xml:space="preserve"> and f</w:t>
      </w:r>
      <w:r w:rsidRPr="008A533D">
        <w:t>ood service channels</w:t>
      </w:r>
      <w:r>
        <w:t>. The supermarket fleet in New Zealand has grown from 642 in 2012 to 724 today, equating to around 3% growth per annum. A sales growth rate of 1.5% per annum in New Zealand is assumed from 2014 to 2035.</w:t>
      </w:r>
    </w:p>
    <w:p w14:paraId="4A5285FD" w14:textId="77777777" w:rsidR="005636C7" w:rsidRDefault="005636C7" w:rsidP="005636C7">
      <w:pPr>
        <w:pStyle w:val="E3BodyText"/>
        <w:jc w:val="both"/>
      </w:pPr>
      <w:r>
        <w:t>The Consultation RIS assumed a growth rate of 2.5% per annum for both Australia and New Zealand from 2014 to 2035.  Considerable analysis was undertaken to estimate the sales and stock of RDCs and RSCs in 2013.  The latest evidence obtained from various sources described above for the Decision RIS has been used to review these growth rates and hence estimate stock and sales values in 2015.</w:t>
      </w:r>
    </w:p>
    <w:p w14:paraId="5AEB1BDE" w14:textId="77777777" w:rsidR="005636C7" w:rsidRDefault="005636C7" w:rsidP="005636C7">
      <w:pPr>
        <w:rPr>
          <w:rFonts w:eastAsia="Calibri" w:cs="Georgia"/>
          <w:color w:val="000000"/>
          <w:szCs w:val="19"/>
          <w:lang w:val="en-US"/>
        </w:rPr>
      </w:pPr>
      <w:r>
        <w:br w:type="page"/>
      </w:r>
    </w:p>
    <w:p w14:paraId="0898EF24" w14:textId="77777777" w:rsidR="005636C7" w:rsidRDefault="005636C7" w:rsidP="005636C7"/>
    <w:p w14:paraId="6E1AE33C" w14:textId="77777777" w:rsidR="005636C7" w:rsidRDefault="005636C7" w:rsidP="005636C7"/>
    <w:p w14:paraId="188C669E" w14:textId="77777777" w:rsidR="005636C7" w:rsidRDefault="005636C7" w:rsidP="005636C7">
      <w:pPr>
        <w:pStyle w:val="E3ChapterTitle"/>
      </w:pPr>
      <w:bookmarkStart w:id="325" w:name="_Toc500151832"/>
      <w:r>
        <w:rPr>
          <w:noProof/>
          <w:lang w:eastAsia="en-AU"/>
        </w:rPr>
        <w:drawing>
          <wp:anchor distT="0" distB="0" distL="114300" distR="114300" simplePos="0" relativeHeight="251669504" behindDoc="1" locked="1" layoutInCell="1" allowOverlap="1" wp14:anchorId="5AEB0F85" wp14:editId="06BF4619">
            <wp:simplePos x="0" y="0"/>
            <wp:positionH relativeFrom="margin">
              <wp:align>left</wp:align>
            </wp:positionH>
            <wp:positionV relativeFrom="margin">
              <wp:align>top</wp:align>
            </wp:positionV>
            <wp:extent cx="6124575" cy="1800225"/>
            <wp:effectExtent l="0" t="0" r="9525" b="9525"/>
            <wp:wrapNone/>
            <wp:docPr id="2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B - New Zealand stock by major sectors</w:t>
      </w:r>
      <w:bookmarkEnd w:id="325"/>
    </w:p>
    <w:p w14:paraId="5D496B93" w14:textId="77777777" w:rsidR="005636C7" w:rsidRPr="002060E2" w:rsidRDefault="005636C7" w:rsidP="005636C7">
      <w:pPr>
        <w:pStyle w:val="E3Heading2"/>
        <w:jc w:val="both"/>
      </w:pPr>
      <w:bookmarkStart w:id="326" w:name="_Toc280615562"/>
      <w:bookmarkStart w:id="327" w:name="_Toc447533627"/>
      <w:bookmarkStart w:id="328" w:name="_Toc449708799"/>
      <w:bookmarkStart w:id="329" w:name="_Toc450031681"/>
      <w:bookmarkStart w:id="330" w:name="_Toc450032156"/>
      <w:bookmarkStart w:id="331" w:name="_Toc500151833"/>
      <w:r w:rsidRPr="002060E2">
        <w:t>Supermarkets, convenience stores and small retail</w:t>
      </w:r>
      <w:bookmarkEnd w:id="326"/>
      <w:bookmarkEnd w:id="327"/>
      <w:bookmarkEnd w:id="328"/>
      <w:bookmarkEnd w:id="329"/>
      <w:bookmarkEnd w:id="330"/>
      <w:bookmarkEnd w:id="331"/>
    </w:p>
    <w:p w14:paraId="64B0DEBC" w14:textId="77777777" w:rsidR="005636C7" w:rsidRPr="00AC7259" w:rsidRDefault="005636C7" w:rsidP="005636C7">
      <w:pPr>
        <w:pStyle w:val="E3BodyText"/>
        <w:jc w:val="both"/>
      </w:pPr>
      <w:r w:rsidRPr="00AC7259">
        <w:t>The New Zealand industry structure is similar in some ways to that of Australia. Progressive Enterprises is an Australian owned company and a subsidiary of the Aus</w:t>
      </w:r>
      <w:r>
        <w:t xml:space="preserve">tralian retail group Woolworths. It </w:t>
      </w:r>
      <w:r w:rsidRPr="00AC7259">
        <w:t>own</w:t>
      </w:r>
      <w:r>
        <w:t xml:space="preserve">s </w:t>
      </w:r>
      <w:r w:rsidRPr="00AC7259">
        <w:t>and operat</w:t>
      </w:r>
      <w:r>
        <w:t xml:space="preserve">es approximately </w:t>
      </w:r>
      <w:r w:rsidRPr="00AC7259">
        <w:t>166 Countdown stores (including former Foodtown and Woolworths stores) throughout New Zealand. They are also the franchise co-ordinator for around 59 Freshchoice and Supervalue stores. The other main chain is Foodstuffs which comprises three regional co-operatives supplying around 471 major stores (i.e. New World, PAK</w:t>
      </w:r>
      <w:r>
        <w:t xml:space="preserve"> ‘</w:t>
      </w:r>
      <w:r w:rsidRPr="00AC7259">
        <w:t>n</w:t>
      </w:r>
      <w:r>
        <w:t xml:space="preserve">’ </w:t>
      </w:r>
      <w:r w:rsidRPr="00AC7259">
        <w:t xml:space="preserve">SAVE and Four Square) and around 152 convenience stores. Independently owned stores such as Night and Day and Bin Inn </w:t>
      </w:r>
      <w:r>
        <w:t xml:space="preserve">operate in </w:t>
      </w:r>
      <w:r w:rsidRPr="00AC7259">
        <w:t>smaller numbers</w:t>
      </w:r>
      <w:r>
        <w:t>,</w:t>
      </w:r>
      <w:r w:rsidRPr="00AC7259">
        <w:t xml:space="preserve"> with around 60 stores.</w:t>
      </w:r>
    </w:p>
    <w:p w14:paraId="705DC78F" w14:textId="77777777" w:rsidR="005636C7" w:rsidRPr="00AC7259" w:rsidRDefault="005636C7" w:rsidP="005636C7">
      <w:pPr>
        <w:pStyle w:val="E3BodyText"/>
        <w:jc w:val="both"/>
      </w:pPr>
      <w:r w:rsidRPr="00AC7259">
        <w:t xml:space="preserve">The supermarket industry in New Zealand typically has smaller stores </w:t>
      </w:r>
      <w:r>
        <w:t>which are of a similar style</w:t>
      </w:r>
      <w:r w:rsidRPr="00AC7259">
        <w:t xml:space="preserve"> and variety to Australia. There are an estimated 22,300 remote display cabinets and 5,000 integral display cabinets in supermarkets. </w:t>
      </w:r>
      <w:r>
        <w:t xml:space="preserve">It is estimated that </w:t>
      </w:r>
      <w:r w:rsidRPr="00AC7259">
        <w:t xml:space="preserve">convenience stores </w:t>
      </w:r>
      <w:r>
        <w:t xml:space="preserve">(which include </w:t>
      </w:r>
      <w:r w:rsidRPr="00AC7259">
        <w:t>1,172 petrol stations, mini-markets and small stores</w:t>
      </w:r>
      <w:r>
        <w:t xml:space="preserve">) account for around </w:t>
      </w:r>
      <w:r w:rsidRPr="00AC7259">
        <w:t>2,250 remote display cabinets and 17,300 integral display cabinets</w:t>
      </w:r>
      <w:r>
        <w:t>.</w:t>
      </w:r>
    </w:p>
    <w:p w14:paraId="58BD9D0D" w14:textId="77777777" w:rsidR="005636C7" w:rsidRPr="00AC7259" w:rsidRDefault="005636C7" w:rsidP="005636C7">
      <w:pPr>
        <w:pStyle w:val="E3BodyText"/>
        <w:jc w:val="both"/>
      </w:pPr>
      <w:r w:rsidRPr="00AC7259">
        <w:t xml:space="preserve">The total estimated stock of </w:t>
      </w:r>
      <w:r>
        <w:t xml:space="preserve">cabinets </w:t>
      </w:r>
      <w:r w:rsidRPr="00AC7259">
        <w:t xml:space="preserve">in the supermarkets, convenience stores and small retail sector is over 25,800 remote display cabinets, 31,600 integral display cabinets and 1900 storage </w:t>
      </w:r>
      <w:r w:rsidRPr="00743BDB">
        <w:t>cabinets (or 59,300 in total).</w:t>
      </w:r>
    </w:p>
    <w:p w14:paraId="7D3EEF55" w14:textId="77777777" w:rsidR="005636C7" w:rsidRPr="002060E2" w:rsidRDefault="005636C7" w:rsidP="005636C7">
      <w:pPr>
        <w:pStyle w:val="E3Heading2"/>
        <w:jc w:val="both"/>
      </w:pPr>
      <w:bookmarkStart w:id="332" w:name="_Toc280615563"/>
      <w:bookmarkStart w:id="333" w:name="_Toc447533628"/>
      <w:bookmarkStart w:id="334" w:name="_Toc449708800"/>
      <w:bookmarkStart w:id="335" w:name="_Toc450031682"/>
      <w:bookmarkStart w:id="336" w:name="_Toc450032157"/>
      <w:bookmarkStart w:id="337" w:name="_Toc494897988"/>
      <w:bookmarkStart w:id="338" w:name="_Toc494955780"/>
      <w:bookmarkStart w:id="339" w:name="_Toc494959588"/>
      <w:bookmarkStart w:id="340" w:name="_Toc494972714"/>
      <w:bookmarkStart w:id="341" w:name="_Toc494973901"/>
      <w:bookmarkStart w:id="342" w:name="_Toc494974590"/>
      <w:bookmarkStart w:id="343" w:name="_Toc500151834"/>
      <w:r w:rsidRPr="002060E2">
        <w:t>Food service channels</w:t>
      </w:r>
      <w:bookmarkEnd w:id="332"/>
      <w:bookmarkEnd w:id="333"/>
      <w:bookmarkEnd w:id="334"/>
      <w:bookmarkEnd w:id="335"/>
      <w:bookmarkEnd w:id="336"/>
      <w:bookmarkEnd w:id="337"/>
      <w:bookmarkEnd w:id="338"/>
      <w:bookmarkEnd w:id="339"/>
      <w:bookmarkEnd w:id="340"/>
      <w:bookmarkEnd w:id="341"/>
      <w:bookmarkEnd w:id="342"/>
      <w:bookmarkEnd w:id="343"/>
    </w:p>
    <w:p w14:paraId="72709A7E" w14:textId="77777777" w:rsidR="005636C7" w:rsidRPr="00AC7259" w:rsidRDefault="005636C7" w:rsidP="005636C7">
      <w:pPr>
        <w:pStyle w:val="E3BodyText"/>
        <w:jc w:val="both"/>
      </w:pPr>
      <w:r w:rsidRPr="00AC7259">
        <w:t xml:space="preserve">The structure of the New Zealand food service channels are similar to Australia containing similar store formats, brands and types of </w:t>
      </w:r>
      <w:r>
        <w:t xml:space="preserve">equipment, </w:t>
      </w:r>
      <w:r w:rsidRPr="00AC7259">
        <w:t>just on a smaller scale.</w:t>
      </w:r>
    </w:p>
    <w:p w14:paraId="64E3D579" w14:textId="77777777" w:rsidR="005636C7" w:rsidRPr="00AC7259" w:rsidRDefault="005636C7" w:rsidP="005636C7">
      <w:pPr>
        <w:pStyle w:val="E3BodyText"/>
        <w:jc w:val="both"/>
      </w:pPr>
      <w:r w:rsidRPr="00AC7259">
        <w:t xml:space="preserve">There </w:t>
      </w:r>
      <w:r>
        <w:t xml:space="preserve">are </w:t>
      </w:r>
      <w:r w:rsidRPr="00AC7259">
        <w:t>almost 1,000 institutional establishment</w:t>
      </w:r>
      <w:r>
        <w:t>s,</w:t>
      </w:r>
      <w:r w:rsidRPr="00AC7259">
        <w:t xml:space="preserve"> including private and public hospitals, aged persons homes, primary schools through to tertiary institutions and canteens </w:t>
      </w:r>
      <w:r>
        <w:t xml:space="preserve">which have </w:t>
      </w:r>
      <w:r w:rsidRPr="00AC7259">
        <w:t xml:space="preserve">an estimated 2,300 integral display cabinets and 2,800 storage cabinets. Larger quantities are found in the commercial channel, </w:t>
      </w:r>
      <w:r>
        <w:t xml:space="preserve">which accounts for </w:t>
      </w:r>
      <w:r w:rsidRPr="00AC7259">
        <w:t>an estimated 68,500 integral display cabinets, 8,000 remote display cabinets and 35,900 storage cabinets.</w:t>
      </w:r>
    </w:p>
    <w:p w14:paraId="13816CFC" w14:textId="77777777" w:rsidR="005636C7" w:rsidRDefault="005636C7" w:rsidP="005636C7">
      <w:pPr>
        <w:pStyle w:val="E3BodyText"/>
        <w:jc w:val="both"/>
      </w:pPr>
    </w:p>
    <w:p w14:paraId="673EB3D8" w14:textId="77777777" w:rsidR="005636C7" w:rsidRDefault="005636C7" w:rsidP="005636C7">
      <w:pPr>
        <w:pStyle w:val="E3BodyText"/>
        <w:jc w:val="both"/>
      </w:pPr>
    </w:p>
    <w:p w14:paraId="6B865D6D" w14:textId="77777777" w:rsidR="005636C7" w:rsidRDefault="005636C7" w:rsidP="005636C7">
      <w:pPr>
        <w:pStyle w:val="E3BodyText"/>
        <w:jc w:val="both"/>
      </w:pPr>
      <w:r w:rsidRPr="00AC7259">
        <w:t>A Hospitality Report undertaken by Restaurant Association of New Zealand (2013) was one source used to estimate the number of businesses in this sector. A summary of the number of business types and cabinets (i.e. display cabinets and storage cabinets</w:t>
      </w:r>
      <w:r>
        <w:t>) is provided below.</w:t>
      </w:r>
    </w:p>
    <w:p w14:paraId="1CBB1762" w14:textId="77777777" w:rsidR="005636C7" w:rsidRDefault="005636C7" w:rsidP="005636C7">
      <w:pPr>
        <w:pStyle w:val="E3BodyText"/>
        <w:rPr>
          <w:b/>
          <w:sz w:val="18"/>
        </w:rPr>
      </w:pPr>
      <w:bookmarkStart w:id="344" w:name="_Ref450032439"/>
      <w:bookmarkStart w:id="345" w:name="_Toc449708976"/>
      <w:bookmarkStart w:id="346" w:name="_Toc456164760"/>
    </w:p>
    <w:p w14:paraId="507CDCF2" w14:textId="77777777" w:rsidR="005636C7" w:rsidRPr="00BC6AD1" w:rsidRDefault="005636C7" w:rsidP="005636C7">
      <w:pPr>
        <w:pStyle w:val="E3BodyText"/>
        <w:rPr>
          <w:b/>
          <w:sz w:val="18"/>
        </w:rPr>
      </w:pPr>
      <w:r w:rsidRPr="00BC6AD1">
        <w:rPr>
          <w:b/>
          <w:sz w:val="18"/>
        </w:rPr>
        <w:t xml:space="preserve">Table C </w:t>
      </w:r>
      <w:r w:rsidRPr="00BC6AD1">
        <w:rPr>
          <w:b/>
          <w:sz w:val="18"/>
        </w:rPr>
        <w:fldChar w:fldCharType="begin"/>
      </w:r>
      <w:r w:rsidRPr="00BC6AD1">
        <w:rPr>
          <w:b/>
          <w:sz w:val="18"/>
        </w:rPr>
        <w:instrText xml:space="preserve"> SEQ Table_C \* ARABIC </w:instrText>
      </w:r>
      <w:r w:rsidRPr="00BC6AD1">
        <w:rPr>
          <w:b/>
          <w:sz w:val="18"/>
        </w:rPr>
        <w:fldChar w:fldCharType="separate"/>
      </w:r>
      <w:r w:rsidR="00AC6998">
        <w:rPr>
          <w:b/>
          <w:noProof/>
          <w:sz w:val="18"/>
        </w:rPr>
        <w:t>1</w:t>
      </w:r>
      <w:r w:rsidRPr="00BC6AD1">
        <w:rPr>
          <w:b/>
          <w:noProof/>
          <w:sz w:val="18"/>
        </w:rPr>
        <w:fldChar w:fldCharType="end"/>
      </w:r>
      <w:bookmarkEnd w:id="344"/>
      <w:r w:rsidRPr="00BC6AD1">
        <w:rPr>
          <w:b/>
          <w:sz w:val="18"/>
        </w:rPr>
        <w:t>: Estimate of catering and hospitality businesses in New Zealand.</w:t>
      </w:r>
      <w:bookmarkEnd w:id="345"/>
      <w:bookmarkEnd w:id="3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2835"/>
        <w:gridCol w:w="2830"/>
      </w:tblGrid>
      <w:tr w:rsidR="005636C7" w:rsidRPr="009160F0" w14:paraId="5E00250D" w14:textId="77777777" w:rsidTr="005636C7">
        <w:trPr>
          <w:trHeight w:val="710"/>
        </w:trPr>
        <w:tc>
          <w:tcPr>
            <w:tcW w:w="3856" w:type="dxa"/>
            <w:shd w:val="clear" w:color="auto" w:fill="0C0C0C"/>
            <w:vAlign w:val="center"/>
          </w:tcPr>
          <w:p w14:paraId="613521A7" w14:textId="77777777" w:rsidR="005636C7" w:rsidRPr="005435C9" w:rsidRDefault="005636C7" w:rsidP="005636C7">
            <w:pPr>
              <w:pStyle w:val="E3TableHeading"/>
              <w:jc w:val="center"/>
              <w:rPr>
                <w:szCs w:val="15"/>
              </w:rPr>
            </w:pPr>
            <w:r w:rsidRPr="005435C9">
              <w:rPr>
                <w:szCs w:val="15"/>
              </w:rPr>
              <w:t>Type of business</w:t>
            </w:r>
          </w:p>
        </w:tc>
        <w:tc>
          <w:tcPr>
            <w:tcW w:w="2835" w:type="dxa"/>
            <w:shd w:val="clear" w:color="auto" w:fill="0C0C0C"/>
            <w:vAlign w:val="center"/>
          </w:tcPr>
          <w:p w14:paraId="4E58F988" w14:textId="77777777" w:rsidR="005636C7" w:rsidRPr="005435C9" w:rsidRDefault="005636C7" w:rsidP="005636C7">
            <w:pPr>
              <w:pStyle w:val="E3TableHeading"/>
              <w:jc w:val="center"/>
              <w:rPr>
                <w:szCs w:val="15"/>
              </w:rPr>
            </w:pPr>
            <w:r w:rsidRPr="005435C9">
              <w:rPr>
                <w:szCs w:val="15"/>
              </w:rPr>
              <w:t>Number of businesses</w:t>
            </w:r>
          </w:p>
        </w:tc>
        <w:tc>
          <w:tcPr>
            <w:tcW w:w="2830" w:type="dxa"/>
            <w:shd w:val="clear" w:color="auto" w:fill="0C0C0C"/>
            <w:vAlign w:val="center"/>
          </w:tcPr>
          <w:p w14:paraId="4669A588" w14:textId="77777777" w:rsidR="005636C7" w:rsidRPr="005435C9" w:rsidRDefault="005636C7" w:rsidP="005636C7">
            <w:pPr>
              <w:pStyle w:val="E3TableHeading"/>
              <w:jc w:val="center"/>
              <w:rPr>
                <w:szCs w:val="15"/>
              </w:rPr>
            </w:pPr>
            <w:r w:rsidRPr="005435C9">
              <w:rPr>
                <w:szCs w:val="15"/>
              </w:rPr>
              <w:t>Display cabinets and Storage cabinet by business type</w:t>
            </w:r>
          </w:p>
        </w:tc>
      </w:tr>
      <w:tr w:rsidR="005636C7" w:rsidRPr="001312BC" w14:paraId="035503B6" w14:textId="77777777" w:rsidTr="005636C7">
        <w:tc>
          <w:tcPr>
            <w:tcW w:w="3856" w:type="dxa"/>
            <w:vAlign w:val="center"/>
          </w:tcPr>
          <w:p w14:paraId="469A4AF9"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Cafes and restaurants</w:t>
            </w:r>
          </w:p>
        </w:tc>
        <w:tc>
          <w:tcPr>
            <w:tcW w:w="2835" w:type="dxa"/>
            <w:vAlign w:val="bottom"/>
          </w:tcPr>
          <w:p w14:paraId="283B17D6"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7,172</w:t>
            </w:r>
          </w:p>
        </w:tc>
        <w:tc>
          <w:tcPr>
            <w:tcW w:w="2830" w:type="dxa"/>
          </w:tcPr>
          <w:p w14:paraId="7E0E3D5D"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46,618</w:t>
            </w:r>
          </w:p>
        </w:tc>
      </w:tr>
      <w:tr w:rsidR="005636C7" w:rsidRPr="001312BC" w14:paraId="184E3BD4" w14:textId="77777777" w:rsidTr="005636C7">
        <w:tc>
          <w:tcPr>
            <w:tcW w:w="3856" w:type="dxa"/>
            <w:vAlign w:val="center"/>
          </w:tcPr>
          <w:p w14:paraId="6F7C186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Catering services</w:t>
            </w:r>
          </w:p>
        </w:tc>
        <w:tc>
          <w:tcPr>
            <w:tcW w:w="2835" w:type="dxa"/>
            <w:vAlign w:val="bottom"/>
          </w:tcPr>
          <w:p w14:paraId="06C05B72"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732</w:t>
            </w:r>
          </w:p>
        </w:tc>
        <w:tc>
          <w:tcPr>
            <w:tcW w:w="2830" w:type="dxa"/>
          </w:tcPr>
          <w:p w14:paraId="1C80E7ED"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3,660</w:t>
            </w:r>
          </w:p>
        </w:tc>
      </w:tr>
      <w:tr w:rsidR="005636C7" w:rsidRPr="001312BC" w14:paraId="05A33124" w14:textId="77777777" w:rsidTr="005636C7">
        <w:tc>
          <w:tcPr>
            <w:tcW w:w="3856" w:type="dxa"/>
            <w:vAlign w:val="center"/>
          </w:tcPr>
          <w:p w14:paraId="0C59E77F"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Clubs (hospitality)</w:t>
            </w:r>
          </w:p>
        </w:tc>
        <w:tc>
          <w:tcPr>
            <w:tcW w:w="2835" w:type="dxa"/>
            <w:vAlign w:val="bottom"/>
          </w:tcPr>
          <w:p w14:paraId="70129E7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439</w:t>
            </w:r>
          </w:p>
        </w:tc>
        <w:tc>
          <w:tcPr>
            <w:tcW w:w="2830" w:type="dxa"/>
          </w:tcPr>
          <w:p w14:paraId="155554CE"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2,634</w:t>
            </w:r>
          </w:p>
        </w:tc>
      </w:tr>
      <w:tr w:rsidR="005636C7" w:rsidRPr="001312BC" w14:paraId="0F60E41D" w14:textId="77777777" w:rsidTr="005636C7">
        <w:tc>
          <w:tcPr>
            <w:tcW w:w="3856" w:type="dxa"/>
            <w:vAlign w:val="center"/>
          </w:tcPr>
          <w:p w14:paraId="60A0DE6F"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Pubs, taverns and bars</w:t>
            </w:r>
          </w:p>
        </w:tc>
        <w:tc>
          <w:tcPr>
            <w:tcW w:w="2835" w:type="dxa"/>
            <w:vAlign w:val="bottom"/>
          </w:tcPr>
          <w:p w14:paraId="1682368C"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1,610</w:t>
            </w:r>
          </w:p>
        </w:tc>
        <w:tc>
          <w:tcPr>
            <w:tcW w:w="2830" w:type="dxa"/>
          </w:tcPr>
          <w:p w14:paraId="1C7353C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8,050</w:t>
            </w:r>
          </w:p>
        </w:tc>
      </w:tr>
      <w:tr w:rsidR="005636C7" w:rsidRPr="001312BC" w14:paraId="1828A85D" w14:textId="77777777" w:rsidTr="005636C7">
        <w:tc>
          <w:tcPr>
            <w:tcW w:w="3856" w:type="dxa"/>
            <w:vAlign w:val="center"/>
          </w:tcPr>
          <w:p w14:paraId="131BED93"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Takeaway food services</w:t>
            </w:r>
          </w:p>
        </w:tc>
        <w:tc>
          <w:tcPr>
            <w:tcW w:w="2835" w:type="dxa"/>
            <w:vAlign w:val="bottom"/>
          </w:tcPr>
          <w:p w14:paraId="3175ED5B"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4,684</w:t>
            </w:r>
          </w:p>
        </w:tc>
        <w:tc>
          <w:tcPr>
            <w:tcW w:w="2830" w:type="dxa"/>
          </w:tcPr>
          <w:p w14:paraId="141F847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30,446</w:t>
            </w:r>
          </w:p>
        </w:tc>
      </w:tr>
      <w:tr w:rsidR="005636C7" w:rsidRPr="001312BC" w14:paraId="13F29D9B" w14:textId="77777777" w:rsidTr="005636C7">
        <w:tc>
          <w:tcPr>
            <w:tcW w:w="3856" w:type="dxa"/>
            <w:vAlign w:val="center"/>
          </w:tcPr>
          <w:p w14:paraId="6ACFABEF"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Hotels and motels</w:t>
            </w:r>
          </w:p>
        </w:tc>
        <w:tc>
          <w:tcPr>
            <w:tcW w:w="2835" w:type="dxa"/>
            <w:vAlign w:val="bottom"/>
          </w:tcPr>
          <w:p w14:paraId="3C03D9D9"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2,376</w:t>
            </w:r>
          </w:p>
        </w:tc>
        <w:tc>
          <w:tcPr>
            <w:tcW w:w="2830" w:type="dxa"/>
          </w:tcPr>
          <w:p w14:paraId="7AC93491"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10,692</w:t>
            </w:r>
          </w:p>
        </w:tc>
      </w:tr>
      <w:tr w:rsidR="005636C7" w:rsidRPr="001312BC" w14:paraId="01DEDE87" w14:textId="77777777" w:rsidTr="005636C7">
        <w:tc>
          <w:tcPr>
            <w:tcW w:w="3856" w:type="dxa"/>
            <w:vAlign w:val="center"/>
          </w:tcPr>
          <w:p w14:paraId="5D9511C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Other (i.e. miscellaneous locations such as hardware stores, airports, sports centre, etc.)</w:t>
            </w:r>
          </w:p>
        </w:tc>
        <w:tc>
          <w:tcPr>
            <w:tcW w:w="2835" w:type="dxa"/>
            <w:vAlign w:val="center"/>
          </w:tcPr>
          <w:p w14:paraId="3AD7202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450</w:t>
            </w:r>
          </w:p>
        </w:tc>
        <w:tc>
          <w:tcPr>
            <w:tcW w:w="2830" w:type="dxa"/>
          </w:tcPr>
          <w:p w14:paraId="69F89E54"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2,250</w:t>
            </w:r>
          </w:p>
        </w:tc>
      </w:tr>
      <w:tr w:rsidR="005636C7" w:rsidRPr="001312BC" w14:paraId="264E1783" w14:textId="77777777" w:rsidTr="005636C7">
        <w:tc>
          <w:tcPr>
            <w:tcW w:w="3856" w:type="dxa"/>
            <w:vAlign w:val="center"/>
          </w:tcPr>
          <w:p w14:paraId="5E0B84A2"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Grand total</w:t>
            </w:r>
          </w:p>
        </w:tc>
        <w:tc>
          <w:tcPr>
            <w:tcW w:w="2835" w:type="dxa"/>
            <w:vAlign w:val="center"/>
          </w:tcPr>
          <w:p w14:paraId="7AEC1F68" w14:textId="77777777" w:rsidR="005636C7" w:rsidRPr="005435C9" w:rsidRDefault="005636C7" w:rsidP="005636C7">
            <w:pPr>
              <w:pStyle w:val="E3tabletext1"/>
              <w:rPr>
                <w:rFonts w:ascii="Helvetica" w:hAnsi="Helvetica" w:cs="Helvetica"/>
                <w:sz w:val="15"/>
                <w:szCs w:val="15"/>
              </w:rPr>
            </w:pPr>
            <w:r w:rsidRPr="005435C9">
              <w:rPr>
                <w:rFonts w:ascii="Helvetica" w:hAnsi="Helvetica" w:cs="Helvetica"/>
                <w:sz w:val="15"/>
                <w:szCs w:val="15"/>
              </w:rPr>
              <w:t>17,013</w:t>
            </w:r>
          </w:p>
        </w:tc>
        <w:tc>
          <w:tcPr>
            <w:tcW w:w="2830" w:type="dxa"/>
            <w:vAlign w:val="center"/>
          </w:tcPr>
          <w:p w14:paraId="4F7DC07B" w14:textId="77777777" w:rsidR="005636C7" w:rsidRPr="005435C9" w:rsidRDefault="005636C7" w:rsidP="005636C7">
            <w:pPr>
              <w:pStyle w:val="E3tabletext1"/>
              <w:rPr>
                <w:rFonts w:ascii="Helvetica" w:hAnsi="Helvetica" w:cs="Helvetica"/>
                <w:color w:val="000000"/>
                <w:sz w:val="15"/>
                <w:szCs w:val="15"/>
              </w:rPr>
            </w:pPr>
            <w:r w:rsidRPr="005435C9">
              <w:rPr>
                <w:rFonts w:ascii="Helvetica" w:hAnsi="Helvetica" w:cs="Helvetica"/>
                <w:color w:val="000000"/>
                <w:sz w:val="15"/>
                <w:szCs w:val="15"/>
              </w:rPr>
              <w:t>104,350</w:t>
            </w:r>
          </w:p>
        </w:tc>
      </w:tr>
    </w:tbl>
    <w:p w14:paraId="1CE8B47D" w14:textId="77777777" w:rsidR="005636C7" w:rsidRDefault="005636C7" w:rsidP="005636C7">
      <w:pPr>
        <w:tabs>
          <w:tab w:val="left" w:pos="1440"/>
        </w:tabs>
      </w:pPr>
    </w:p>
    <w:p w14:paraId="2660E638" w14:textId="77777777" w:rsidR="005636C7" w:rsidRDefault="005636C7" w:rsidP="005636C7">
      <w:pPr>
        <w:tabs>
          <w:tab w:val="left" w:pos="1440"/>
        </w:tabs>
      </w:pPr>
    </w:p>
    <w:p w14:paraId="6E6CBEC5" w14:textId="77777777" w:rsidR="005636C7" w:rsidRDefault="005636C7" w:rsidP="005636C7">
      <w:pPr>
        <w:tabs>
          <w:tab w:val="left" w:pos="1440"/>
        </w:tabs>
      </w:pPr>
    </w:p>
    <w:p w14:paraId="5CDF6FE5" w14:textId="77777777" w:rsidR="005636C7" w:rsidRDefault="005636C7" w:rsidP="005636C7">
      <w:pPr>
        <w:tabs>
          <w:tab w:val="left" w:pos="1440"/>
        </w:tabs>
      </w:pPr>
    </w:p>
    <w:p w14:paraId="02D4866D" w14:textId="77777777" w:rsidR="005636C7" w:rsidRDefault="005636C7" w:rsidP="005636C7">
      <w:pPr>
        <w:tabs>
          <w:tab w:val="left" w:pos="1440"/>
        </w:tabs>
      </w:pPr>
    </w:p>
    <w:p w14:paraId="2E35BC18" w14:textId="77777777" w:rsidR="005636C7" w:rsidRDefault="005636C7" w:rsidP="005636C7">
      <w:pPr>
        <w:tabs>
          <w:tab w:val="left" w:pos="1440"/>
        </w:tabs>
      </w:pPr>
    </w:p>
    <w:p w14:paraId="5E7DBCE9" w14:textId="77777777" w:rsidR="005636C7" w:rsidRDefault="005636C7" w:rsidP="005636C7">
      <w:pPr>
        <w:tabs>
          <w:tab w:val="left" w:pos="1440"/>
        </w:tabs>
      </w:pPr>
    </w:p>
    <w:p w14:paraId="18C51F79" w14:textId="77777777" w:rsidR="005636C7" w:rsidRDefault="005636C7" w:rsidP="005636C7">
      <w:pPr>
        <w:tabs>
          <w:tab w:val="left" w:pos="1440"/>
        </w:tabs>
      </w:pPr>
    </w:p>
    <w:p w14:paraId="5D551CDA" w14:textId="77777777" w:rsidR="005636C7" w:rsidRDefault="005636C7" w:rsidP="005636C7">
      <w:pPr>
        <w:tabs>
          <w:tab w:val="left" w:pos="1440"/>
        </w:tabs>
      </w:pPr>
    </w:p>
    <w:p w14:paraId="2540C45E" w14:textId="77777777" w:rsidR="005636C7" w:rsidRDefault="005636C7" w:rsidP="005636C7">
      <w:pPr>
        <w:tabs>
          <w:tab w:val="left" w:pos="1440"/>
        </w:tabs>
      </w:pPr>
    </w:p>
    <w:p w14:paraId="40BA1693" w14:textId="77777777" w:rsidR="005636C7" w:rsidRDefault="005636C7" w:rsidP="005636C7">
      <w:pPr>
        <w:tabs>
          <w:tab w:val="left" w:pos="1440"/>
        </w:tabs>
      </w:pPr>
    </w:p>
    <w:p w14:paraId="3E00E9BB" w14:textId="77777777" w:rsidR="005636C7" w:rsidRDefault="005636C7" w:rsidP="005636C7">
      <w:pPr>
        <w:tabs>
          <w:tab w:val="left" w:pos="1440"/>
        </w:tabs>
      </w:pPr>
    </w:p>
    <w:p w14:paraId="44138D17" w14:textId="77777777" w:rsidR="005636C7" w:rsidRDefault="005636C7" w:rsidP="005636C7">
      <w:pPr>
        <w:tabs>
          <w:tab w:val="left" w:pos="1440"/>
        </w:tabs>
      </w:pPr>
    </w:p>
    <w:p w14:paraId="3D18833F" w14:textId="77777777" w:rsidR="005636C7" w:rsidRDefault="005636C7" w:rsidP="005636C7">
      <w:pPr>
        <w:tabs>
          <w:tab w:val="left" w:pos="1440"/>
        </w:tabs>
      </w:pPr>
    </w:p>
    <w:p w14:paraId="706FE432" w14:textId="77777777" w:rsidR="005636C7" w:rsidRDefault="005636C7" w:rsidP="005636C7">
      <w:pPr>
        <w:tabs>
          <w:tab w:val="left" w:pos="1440"/>
        </w:tabs>
      </w:pPr>
    </w:p>
    <w:p w14:paraId="0F9249FA" w14:textId="77777777" w:rsidR="005636C7" w:rsidRDefault="005636C7" w:rsidP="005636C7">
      <w:pPr>
        <w:tabs>
          <w:tab w:val="left" w:pos="1440"/>
        </w:tabs>
      </w:pPr>
    </w:p>
    <w:p w14:paraId="7A2CC060" w14:textId="77777777" w:rsidR="005636C7" w:rsidRDefault="005636C7" w:rsidP="005636C7">
      <w:pPr>
        <w:tabs>
          <w:tab w:val="left" w:pos="1440"/>
        </w:tabs>
      </w:pPr>
    </w:p>
    <w:p w14:paraId="21DD2ACC" w14:textId="77777777" w:rsidR="005636C7" w:rsidRDefault="005636C7" w:rsidP="005636C7">
      <w:pPr>
        <w:tabs>
          <w:tab w:val="left" w:pos="1440"/>
        </w:tabs>
      </w:pPr>
    </w:p>
    <w:p w14:paraId="3CBF9AC4" w14:textId="77777777" w:rsidR="005636C7" w:rsidRDefault="005636C7" w:rsidP="005636C7">
      <w:pPr>
        <w:tabs>
          <w:tab w:val="left" w:pos="1440"/>
        </w:tabs>
      </w:pPr>
    </w:p>
    <w:p w14:paraId="1DA1360F" w14:textId="77777777" w:rsidR="005636C7" w:rsidRDefault="005636C7" w:rsidP="005636C7">
      <w:pPr>
        <w:tabs>
          <w:tab w:val="left" w:pos="1440"/>
        </w:tabs>
      </w:pPr>
    </w:p>
    <w:p w14:paraId="4CA3A3A8" w14:textId="77777777" w:rsidR="005636C7" w:rsidRDefault="005636C7" w:rsidP="005636C7">
      <w:pPr>
        <w:tabs>
          <w:tab w:val="left" w:pos="1440"/>
        </w:tabs>
      </w:pPr>
    </w:p>
    <w:p w14:paraId="3CCA4570" w14:textId="77777777" w:rsidR="005636C7" w:rsidRDefault="005636C7" w:rsidP="005636C7">
      <w:pPr>
        <w:tabs>
          <w:tab w:val="left" w:pos="1440"/>
        </w:tabs>
      </w:pPr>
    </w:p>
    <w:p w14:paraId="36D6B89F" w14:textId="77777777" w:rsidR="005636C7" w:rsidRDefault="005636C7" w:rsidP="005636C7">
      <w:pPr>
        <w:tabs>
          <w:tab w:val="left" w:pos="1440"/>
        </w:tabs>
      </w:pPr>
    </w:p>
    <w:p w14:paraId="66758AEB" w14:textId="77777777" w:rsidR="005636C7" w:rsidRPr="002060E2" w:rsidRDefault="005636C7" w:rsidP="005636C7">
      <w:pPr>
        <w:pStyle w:val="E3ChapterTitle"/>
        <w:spacing w:after="1200"/>
      </w:pPr>
      <w:bookmarkStart w:id="347" w:name="_Toc500151835"/>
      <w:r>
        <w:t>A</w:t>
      </w:r>
      <w:r>
        <w:rPr>
          <w:noProof/>
          <w:lang w:eastAsia="en-AU"/>
        </w:rPr>
        <w:drawing>
          <wp:anchor distT="0" distB="0" distL="114300" distR="114300" simplePos="0" relativeHeight="251670528" behindDoc="1" locked="1" layoutInCell="1" allowOverlap="1" wp14:anchorId="72F0EC52" wp14:editId="1FA6EB52">
            <wp:simplePos x="0" y="0"/>
            <wp:positionH relativeFrom="margin">
              <wp:align>left</wp:align>
            </wp:positionH>
            <wp:positionV relativeFrom="margin">
              <wp:posOffset>-400685</wp:posOffset>
            </wp:positionV>
            <wp:extent cx="6124575" cy="1800225"/>
            <wp:effectExtent l="0" t="0" r="9525" b="9525"/>
            <wp:wrapNone/>
            <wp:docPr id="22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ttachment C- Stock modelling, assumptions / Cost-Benefit methodology</w:t>
      </w:r>
      <w:bookmarkEnd w:id="347"/>
    </w:p>
    <w:p w14:paraId="6CB7B201" w14:textId="77777777" w:rsidR="00AC6998" w:rsidRDefault="005636C7" w:rsidP="005636C7">
      <w:pPr>
        <w:pStyle w:val="E3BodyText"/>
        <w:spacing w:before="240"/>
        <w:jc w:val="both"/>
      </w:pPr>
      <w:bookmarkStart w:id="348" w:name="_Toc449708802"/>
      <w:r w:rsidRPr="00D100F1">
        <w:rPr>
          <w:szCs w:val="24"/>
        </w:rPr>
        <w:t>The stock modelling and assumptions and Cost-Benefit methodology were provided by the consultancy firms Expert Group and Energy Consult who have expertise in this area.</w:t>
      </w:r>
      <w:r>
        <w:rPr>
          <w:szCs w:val="24"/>
        </w:rPr>
        <w:t xml:space="preserve"> </w:t>
      </w:r>
      <w:r w:rsidRPr="0041262C">
        <w:t>Stock Analysis</w:t>
      </w:r>
      <w:bookmarkEnd w:id="348"/>
      <w:r>
        <w:t xml:space="preserve"> </w:t>
      </w:r>
      <w:r w:rsidRPr="0041262C">
        <w:fldChar w:fldCharType="begin"/>
      </w:r>
      <w:r w:rsidRPr="0041262C">
        <w:instrText xml:space="preserve"> REF _Ref450032492 \h  \* MERGEFORMAT </w:instrText>
      </w:r>
      <w:r w:rsidRPr="0041262C">
        <w:fldChar w:fldCharType="separate"/>
      </w:r>
      <w:r w:rsidR="00AC6998">
        <w:t xml:space="preserve"> </w:t>
      </w:r>
    </w:p>
    <w:p w14:paraId="512A8306" w14:textId="77777777" w:rsidR="005636C7" w:rsidRDefault="00AC6998" w:rsidP="005636C7">
      <w:pPr>
        <w:pStyle w:val="E3BodyText"/>
        <w:spacing w:before="240"/>
        <w:jc w:val="both"/>
      </w:pPr>
      <w:r w:rsidRPr="00AC6998">
        <w:t xml:space="preserve">Table </w:t>
      </w:r>
      <w:r w:rsidRPr="00AC6998">
        <w:rPr>
          <w:noProof/>
        </w:rPr>
        <w:t xml:space="preserve">D </w:t>
      </w:r>
      <w:r>
        <w:rPr>
          <w:b/>
          <w:noProof/>
          <w:sz w:val="18"/>
        </w:rPr>
        <w:t>1</w:t>
      </w:r>
      <w:r w:rsidR="005636C7" w:rsidRPr="0041262C">
        <w:rPr>
          <w:b/>
        </w:rPr>
        <w:fldChar w:fldCharType="end"/>
      </w:r>
      <w:r w:rsidR="005636C7" w:rsidRPr="00AC7259">
        <w:t xml:space="preserve"> below </w:t>
      </w:r>
      <w:r w:rsidR="005636C7">
        <w:t xml:space="preserve">shows the number of refrigerated commercial </w:t>
      </w:r>
      <w:r w:rsidR="005636C7" w:rsidRPr="00AC7259">
        <w:t>cabinets estimated for each type of outlet</w:t>
      </w:r>
      <w:r w:rsidR="005636C7">
        <w:t>, for the purpose of</w:t>
      </w:r>
      <w:r w:rsidR="005636C7" w:rsidRPr="00AC7259">
        <w:t xml:space="preserve"> </w:t>
      </w:r>
      <w:r w:rsidR="005636C7">
        <w:t>undertaking</w:t>
      </w:r>
      <w:r w:rsidR="005636C7" w:rsidRPr="00AC7259">
        <w:t xml:space="preserve"> a stock calculation for each major channel, and outlet type.</w:t>
      </w:r>
      <w:bookmarkStart w:id="349" w:name="_Ref450032492"/>
      <w:bookmarkStart w:id="350" w:name="_Toc449708977"/>
      <w:bookmarkStart w:id="351" w:name="_Toc456164775"/>
      <w:r w:rsidR="005636C7">
        <w:t xml:space="preserve"> </w:t>
      </w:r>
    </w:p>
    <w:p w14:paraId="66F16601" w14:textId="77777777" w:rsidR="005636C7" w:rsidRPr="00D100F1" w:rsidRDefault="005636C7" w:rsidP="005636C7">
      <w:pPr>
        <w:pStyle w:val="E3BodyText"/>
        <w:rPr>
          <w:b/>
          <w:sz w:val="18"/>
        </w:rPr>
      </w:pPr>
      <w:r w:rsidRPr="00D100F1">
        <w:rPr>
          <w:b/>
          <w:sz w:val="18"/>
        </w:rPr>
        <w:t xml:space="preserve">Table D </w:t>
      </w:r>
      <w:r w:rsidRPr="00D100F1">
        <w:rPr>
          <w:b/>
          <w:sz w:val="18"/>
        </w:rPr>
        <w:fldChar w:fldCharType="begin"/>
      </w:r>
      <w:r w:rsidRPr="00D100F1">
        <w:rPr>
          <w:b/>
          <w:sz w:val="18"/>
        </w:rPr>
        <w:instrText xml:space="preserve"> SEQ Table_D \* ARABIC </w:instrText>
      </w:r>
      <w:r w:rsidRPr="00D100F1">
        <w:rPr>
          <w:b/>
          <w:sz w:val="18"/>
        </w:rPr>
        <w:fldChar w:fldCharType="separate"/>
      </w:r>
      <w:r w:rsidR="00AC6998">
        <w:rPr>
          <w:b/>
          <w:noProof/>
          <w:sz w:val="18"/>
        </w:rPr>
        <w:t>1</w:t>
      </w:r>
      <w:r w:rsidRPr="00D100F1">
        <w:rPr>
          <w:b/>
          <w:sz w:val="18"/>
        </w:rPr>
        <w:fldChar w:fldCharType="end"/>
      </w:r>
      <w:bookmarkEnd w:id="349"/>
      <w:r w:rsidRPr="00D100F1">
        <w:rPr>
          <w:b/>
          <w:sz w:val="18"/>
        </w:rPr>
        <w:t>: Typical number of refrigeration cabinets by outlet for each major category.</w:t>
      </w:r>
      <w:bookmarkEnd w:id="350"/>
      <w:bookmarkEnd w:id="351"/>
    </w:p>
    <w:tbl>
      <w:tblPr>
        <w:tblW w:w="95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126"/>
        <w:gridCol w:w="1701"/>
        <w:gridCol w:w="1660"/>
      </w:tblGrid>
      <w:tr w:rsidR="005636C7" w:rsidRPr="00C56DE6" w14:paraId="4E279E95" w14:textId="77777777" w:rsidTr="005636C7">
        <w:tc>
          <w:tcPr>
            <w:tcW w:w="4111" w:type="dxa"/>
            <w:vMerge w:val="restart"/>
            <w:shd w:val="clear" w:color="auto" w:fill="0C0C0C"/>
            <w:vAlign w:val="center"/>
          </w:tcPr>
          <w:p w14:paraId="55E3129F" w14:textId="77777777" w:rsidR="005636C7" w:rsidRPr="00C56DE6" w:rsidRDefault="005636C7" w:rsidP="005636C7">
            <w:pPr>
              <w:pStyle w:val="E3TableHeading"/>
            </w:pPr>
            <w:r w:rsidRPr="00C56DE6">
              <w:t>Type of outlet</w:t>
            </w:r>
          </w:p>
        </w:tc>
        <w:tc>
          <w:tcPr>
            <w:tcW w:w="3827" w:type="dxa"/>
            <w:gridSpan w:val="2"/>
            <w:shd w:val="clear" w:color="auto" w:fill="0C0C0C"/>
            <w:vAlign w:val="center"/>
          </w:tcPr>
          <w:p w14:paraId="034E4AF0" w14:textId="77777777" w:rsidR="005636C7" w:rsidRPr="00C56DE6" w:rsidRDefault="005636C7" w:rsidP="005636C7">
            <w:pPr>
              <w:pStyle w:val="E3TableHeading"/>
            </w:pPr>
            <w:r>
              <w:t>Display cabinets</w:t>
            </w:r>
          </w:p>
        </w:tc>
        <w:tc>
          <w:tcPr>
            <w:tcW w:w="1660" w:type="dxa"/>
            <w:vMerge w:val="restart"/>
            <w:shd w:val="clear" w:color="auto" w:fill="0C0C0C"/>
            <w:vAlign w:val="center"/>
          </w:tcPr>
          <w:p w14:paraId="6D9D7F40" w14:textId="77777777" w:rsidR="005636C7" w:rsidRPr="00C56DE6" w:rsidRDefault="005636C7" w:rsidP="005636C7">
            <w:pPr>
              <w:pStyle w:val="E3TableHeading"/>
            </w:pPr>
            <w:r>
              <w:t>Storage cabinets</w:t>
            </w:r>
          </w:p>
        </w:tc>
      </w:tr>
      <w:tr w:rsidR="005636C7" w:rsidRPr="00C56DE6" w14:paraId="5231CFA1" w14:textId="77777777" w:rsidTr="005636C7">
        <w:tc>
          <w:tcPr>
            <w:tcW w:w="4111" w:type="dxa"/>
            <w:vMerge/>
            <w:shd w:val="clear" w:color="auto" w:fill="0C0C0C"/>
            <w:vAlign w:val="center"/>
          </w:tcPr>
          <w:p w14:paraId="60FB8CEC" w14:textId="77777777" w:rsidR="005636C7" w:rsidRPr="00C56DE6" w:rsidRDefault="005636C7" w:rsidP="005636C7">
            <w:pPr>
              <w:pStyle w:val="E3TableHeading"/>
            </w:pPr>
          </w:p>
        </w:tc>
        <w:tc>
          <w:tcPr>
            <w:tcW w:w="2126" w:type="dxa"/>
            <w:shd w:val="clear" w:color="auto" w:fill="0C0C0C"/>
            <w:vAlign w:val="center"/>
          </w:tcPr>
          <w:p w14:paraId="2D5A2EEC" w14:textId="77777777" w:rsidR="005636C7" w:rsidRPr="00C56DE6" w:rsidRDefault="005636C7" w:rsidP="005636C7">
            <w:pPr>
              <w:pStyle w:val="E3TableHeading"/>
            </w:pPr>
            <w:r w:rsidRPr="00C56DE6">
              <w:t>Integral</w:t>
            </w:r>
          </w:p>
        </w:tc>
        <w:tc>
          <w:tcPr>
            <w:tcW w:w="1701" w:type="dxa"/>
            <w:shd w:val="clear" w:color="auto" w:fill="0C0C0C"/>
            <w:vAlign w:val="center"/>
          </w:tcPr>
          <w:p w14:paraId="77C6F0DE" w14:textId="77777777" w:rsidR="005636C7" w:rsidRPr="00C56DE6" w:rsidRDefault="005636C7" w:rsidP="005636C7">
            <w:pPr>
              <w:pStyle w:val="E3TableHeading"/>
            </w:pPr>
            <w:r w:rsidRPr="00C56DE6">
              <w:t>Remote</w:t>
            </w:r>
          </w:p>
        </w:tc>
        <w:tc>
          <w:tcPr>
            <w:tcW w:w="1660" w:type="dxa"/>
            <w:vMerge/>
            <w:shd w:val="clear" w:color="auto" w:fill="0C0C0C"/>
            <w:vAlign w:val="center"/>
          </w:tcPr>
          <w:p w14:paraId="26136C63" w14:textId="77777777" w:rsidR="005636C7" w:rsidRPr="00C56DE6" w:rsidRDefault="005636C7" w:rsidP="005636C7">
            <w:pPr>
              <w:pStyle w:val="E3TableHeading"/>
            </w:pPr>
          </w:p>
        </w:tc>
      </w:tr>
      <w:tr w:rsidR="005636C7" w:rsidRPr="00857604" w14:paraId="376440BA" w14:textId="77777777" w:rsidTr="005636C7">
        <w:tc>
          <w:tcPr>
            <w:tcW w:w="9598" w:type="dxa"/>
            <w:gridSpan w:val="4"/>
            <w:vAlign w:val="center"/>
          </w:tcPr>
          <w:p w14:paraId="5BF74022" w14:textId="77777777" w:rsidR="005636C7" w:rsidRPr="0041262C" w:rsidRDefault="005636C7" w:rsidP="005636C7">
            <w:pPr>
              <w:pStyle w:val="E3tabletext1"/>
              <w:rPr>
                <w:rFonts w:ascii="Helvetica" w:hAnsi="Helvetica" w:cs="Helvetica"/>
                <w:b/>
                <w:sz w:val="15"/>
                <w:szCs w:val="15"/>
              </w:rPr>
            </w:pPr>
            <w:r w:rsidRPr="0041262C">
              <w:rPr>
                <w:rFonts w:ascii="Helvetica" w:hAnsi="Helvetica" w:cs="Helvetica"/>
                <w:b/>
                <w:sz w:val="15"/>
                <w:szCs w:val="15"/>
              </w:rPr>
              <w:t>Food retail</w:t>
            </w:r>
          </w:p>
        </w:tc>
      </w:tr>
      <w:tr w:rsidR="005636C7" w:rsidRPr="00857604" w14:paraId="25C71C38" w14:textId="77777777" w:rsidTr="005636C7">
        <w:tc>
          <w:tcPr>
            <w:tcW w:w="4111" w:type="dxa"/>
            <w:vAlign w:val="center"/>
          </w:tcPr>
          <w:p w14:paraId="1C13FA6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 xml:space="preserve">Supermarket: Large </w:t>
            </w:r>
            <w:r w:rsidRPr="0041262C">
              <w:rPr>
                <w:rFonts w:ascii="Helvetica" w:hAnsi="Helvetica" w:cs="Helvetica"/>
                <w:sz w:val="15"/>
                <w:szCs w:val="15"/>
                <w:vertAlign w:val="superscript"/>
              </w:rPr>
              <w:t>(1)</w:t>
            </w:r>
            <w:r w:rsidRPr="0041262C">
              <w:rPr>
                <w:rStyle w:val="FootnoteReference"/>
                <w:rFonts w:ascii="Helvetica" w:hAnsi="Helvetica" w:cs="Helvetica"/>
                <w:sz w:val="15"/>
                <w:szCs w:val="15"/>
              </w:rPr>
              <w:footnoteReference w:id="55"/>
            </w:r>
          </w:p>
        </w:tc>
        <w:tc>
          <w:tcPr>
            <w:tcW w:w="2126" w:type="dxa"/>
            <w:vAlign w:val="center"/>
          </w:tcPr>
          <w:p w14:paraId="4579612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22</w:t>
            </w:r>
          </w:p>
        </w:tc>
        <w:tc>
          <w:tcPr>
            <w:tcW w:w="1701" w:type="dxa"/>
            <w:vAlign w:val="center"/>
          </w:tcPr>
          <w:p w14:paraId="5C9045E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58</w:t>
            </w:r>
          </w:p>
        </w:tc>
        <w:tc>
          <w:tcPr>
            <w:tcW w:w="1660" w:type="dxa"/>
            <w:vAlign w:val="center"/>
          </w:tcPr>
          <w:p w14:paraId="25D6354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3961D720" w14:textId="77777777" w:rsidTr="005636C7">
        <w:tc>
          <w:tcPr>
            <w:tcW w:w="4111" w:type="dxa"/>
            <w:vAlign w:val="center"/>
          </w:tcPr>
          <w:p w14:paraId="62925CF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Medium</w:t>
            </w:r>
          </w:p>
        </w:tc>
        <w:tc>
          <w:tcPr>
            <w:tcW w:w="2126" w:type="dxa"/>
            <w:vAlign w:val="center"/>
          </w:tcPr>
          <w:p w14:paraId="2406758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20</w:t>
            </w:r>
          </w:p>
        </w:tc>
        <w:tc>
          <w:tcPr>
            <w:tcW w:w="1701" w:type="dxa"/>
            <w:vAlign w:val="center"/>
          </w:tcPr>
          <w:p w14:paraId="26D6D20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43</w:t>
            </w:r>
          </w:p>
        </w:tc>
        <w:tc>
          <w:tcPr>
            <w:tcW w:w="1660" w:type="dxa"/>
            <w:vAlign w:val="center"/>
          </w:tcPr>
          <w:p w14:paraId="1A43E2D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3016EBD8" w14:textId="77777777" w:rsidTr="005636C7">
        <w:tc>
          <w:tcPr>
            <w:tcW w:w="4111" w:type="dxa"/>
            <w:vAlign w:val="center"/>
          </w:tcPr>
          <w:p w14:paraId="7986C6F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Small</w:t>
            </w:r>
          </w:p>
        </w:tc>
        <w:tc>
          <w:tcPr>
            <w:tcW w:w="2126" w:type="dxa"/>
            <w:vAlign w:val="center"/>
          </w:tcPr>
          <w:p w14:paraId="428C7BA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w:t>
            </w:r>
          </w:p>
        </w:tc>
        <w:tc>
          <w:tcPr>
            <w:tcW w:w="1701" w:type="dxa"/>
            <w:vAlign w:val="center"/>
          </w:tcPr>
          <w:p w14:paraId="227081D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18</w:t>
            </w:r>
          </w:p>
        </w:tc>
        <w:tc>
          <w:tcPr>
            <w:tcW w:w="1660" w:type="dxa"/>
            <w:vAlign w:val="center"/>
          </w:tcPr>
          <w:p w14:paraId="5133176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0D968AF6" w14:textId="77777777" w:rsidTr="005636C7">
        <w:tc>
          <w:tcPr>
            <w:tcW w:w="4111" w:type="dxa"/>
            <w:vAlign w:val="center"/>
          </w:tcPr>
          <w:p w14:paraId="7A62943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Extra small</w:t>
            </w:r>
          </w:p>
        </w:tc>
        <w:tc>
          <w:tcPr>
            <w:tcW w:w="2126" w:type="dxa"/>
            <w:vAlign w:val="center"/>
          </w:tcPr>
          <w:p w14:paraId="32DDA8A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9</w:t>
            </w:r>
          </w:p>
        </w:tc>
        <w:tc>
          <w:tcPr>
            <w:tcW w:w="1701" w:type="dxa"/>
            <w:vAlign w:val="center"/>
          </w:tcPr>
          <w:p w14:paraId="7C9CB7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w:t>
            </w:r>
          </w:p>
        </w:tc>
        <w:tc>
          <w:tcPr>
            <w:tcW w:w="1660" w:type="dxa"/>
            <w:vAlign w:val="center"/>
          </w:tcPr>
          <w:p w14:paraId="2336EFB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199A0BAF" w14:textId="77777777" w:rsidTr="005636C7">
        <w:tc>
          <w:tcPr>
            <w:tcW w:w="4111" w:type="dxa"/>
            <w:vAlign w:val="center"/>
          </w:tcPr>
          <w:p w14:paraId="635DA62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Convenience stores</w:t>
            </w:r>
          </w:p>
        </w:tc>
        <w:tc>
          <w:tcPr>
            <w:tcW w:w="2126" w:type="dxa"/>
            <w:vAlign w:val="center"/>
          </w:tcPr>
          <w:p w14:paraId="1ABD100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11</w:t>
            </w:r>
          </w:p>
        </w:tc>
        <w:tc>
          <w:tcPr>
            <w:tcW w:w="1701" w:type="dxa"/>
            <w:vAlign w:val="center"/>
          </w:tcPr>
          <w:p w14:paraId="621B88F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w:t>
            </w:r>
          </w:p>
        </w:tc>
        <w:tc>
          <w:tcPr>
            <w:tcW w:w="1660" w:type="dxa"/>
            <w:vAlign w:val="center"/>
          </w:tcPr>
          <w:p w14:paraId="5561878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w:t>
            </w:r>
          </w:p>
        </w:tc>
      </w:tr>
      <w:tr w:rsidR="005636C7" w:rsidRPr="00857604" w14:paraId="123CEBCE" w14:textId="77777777" w:rsidTr="005636C7">
        <w:tc>
          <w:tcPr>
            <w:tcW w:w="4111" w:type="dxa"/>
            <w:vAlign w:val="center"/>
          </w:tcPr>
          <w:p w14:paraId="45BEFBC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Fresh meat, fish and poultry retailing</w:t>
            </w:r>
          </w:p>
        </w:tc>
        <w:tc>
          <w:tcPr>
            <w:tcW w:w="2126" w:type="dxa"/>
            <w:vAlign w:val="bottom"/>
          </w:tcPr>
          <w:p w14:paraId="4ACE253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6177591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0.5</w:t>
            </w:r>
          </w:p>
        </w:tc>
        <w:tc>
          <w:tcPr>
            <w:tcW w:w="1660" w:type="dxa"/>
            <w:vAlign w:val="bottom"/>
          </w:tcPr>
          <w:p w14:paraId="3AA2CA7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0.5</w:t>
            </w:r>
          </w:p>
        </w:tc>
      </w:tr>
      <w:tr w:rsidR="005636C7" w:rsidRPr="00857604" w14:paraId="161C0ADD" w14:textId="77777777" w:rsidTr="005636C7">
        <w:tc>
          <w:tcPr>
            <w:tcW w:w="4111" w:type="dxa"/>
            <w:vAlign w:val="center"/>
          </w:tcPr>
          <w:p w14:paraId="462EEB6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Fruit and vegetable retailing</w:t>
            </w:r>
          </w:p>
        </w:tc>
        <w:tc>
          <w:tcPr>
            <w:tcW w:w="2126" w:type="dxa"/>
            <w:vAlign w:val="bottom"/>
          </w:tcPr>
          <w:p w14:paraId="110945F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2BCD675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0.5</w:t>
            </w:r>
          </w:p>
        </w:tc>
        <w:tc>
          <w:tcPr>
            <w:tcW w:w="1660" w:type="dxa"/>
            <w:vAlign w:val="bottom"/>
          </w:tcPr>
          <w:p w14:paraId="0201B22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0.5</w:t>
            </w:r>
          </w:p>
        </w:tc>
      </w:tr>
      <w:tr w:rsidR="005636C7" w:rsidRPr="00857604" w14:paraId="6071BD6E" w14:textId="77777777" w:rsidTr="005636C7">
        <w:tc>
          <w:tcPr>
            <w:tcW w:w="4111" w:type="dxa"/>
            <w:vAlign w:val="center"/>
          </w:tcPr>
          <w:p w14:paraId="4CD9767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Liquor retailing</w:t>
            </w:r>
          </w:p>
        </w:tc>
        <w:tc>
          <w:tcPr>
            <w:tcW w:w="2126" w:type="dxa"/>
            <w:vAlign w:val="bottom"/>
          </w:tcPr>
          <w:p w14:paraId="4DA263D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6</w:t>
            </w:r>
          </w:p>
        </w:tc>
        <w:tc>
          <w:tcPr>
            <w:tcW w:w="1701" w:type="dxa"/>
            <w:vAlign w:val="bottom"/>
          </w:tcPr>
          <w:p w14:paraId="69DDC45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7BC21A2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r>
      <w:tr w:rsidR="005636C7" w:rsidRPr="00857604" w14:paraId="573AA6AD" w14:textId="77777777" w:rsidTr="005636C7">
        <w:tc>
          <w:tcPr>
            <w:tcW w:w="4111" w:type="dxa"/>
            <w:vAlign w:val="center"/>
          </w:tcPr>
          <w:p w14:paraId="067D039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Other specialised food retailing</w:t>
            </w:r>
          </w:p>
        </w:tc>
        <w:tc>
          <w:tcPr>
            <w:tcW w:w="2126" w:type="dxa"/>
            <w:vAlign w:val="bottom"/>
          </w:tcPr>
          <w:p w14:paraId="04FFC7D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63A36DD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0FB96A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r>
      <w:tr w:rsidR="005636C7" w:rsidRPr="00857604" w14:paraId="5EBF8426" w14:textId="77777777" w:rsidTr="005636C7">
        <w:trPr>
          <w:trHeight w:val="249"/>
        </w:trPr>
        <w:tc>
          <w:tcPr>
            <w:tcW w:w="9598" w:type="dxa"/>
            <w:gridSpan w:val="4"/>
            <w:vAlign w:val="center"/>
          </w:tcPr>
          <w:p w14:paraId="00191ECE" w14:textId="77777777" w:rsidR="005636C7" w:rsidRPr="00E50722" w:rsidRDefault="005636C7" w:rsidP="005636C7">
            <w:pPr>
              <w:pStyle w:val="E3TableHeading"/>
              <w:jc w:val="center"/>
              <w:rPr>
                <w:sz w:val="12"/>
                <w:szCs w:val="12"/>
              </w:rPr>
            </w:pPr>
            <w:r w:rsidRPr="00E50722">
              <w:rPr>
                <w:sz w:val="12"/>
                <w:szCs w:val="12"/>
              </w:rPr>
              <w:t xml:space="preserve">Food service channel: Institutional </w:t>
            </w:r>
            <w:r w:rsidRPr="00E50722">
              <w:rPr>
                <w:sz w:val="12"/>
                <w:szCs w:val="12"/>
                <w:vertAlign w:val="superscript"/>
              </w:rPr>
              <w:t>(2)</w:t>
            </w:r>
          </w:p>
        </w:tc>
      </w:tr>
      <w:tr w:rsidR="005636C7" w:rsidRPr="00857604" w14:paraId="3D00B0F3" w14:textId="77777777" w:rsidTr="005636C7">
        <w:tc>
          <w:tcPr>
            <w:tcW w:w="4111" w:type="dxa"/>
            <w:vAlign w:val="bottom"/>
          </w:tcPr>
          <w:p w14:paraId="743D924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Hospitals</w:t>
            </w:r>
          </w:p>
        </w:tc>
        <w:tc>
          <w:tcPr>
            <w:tcW w:w="2126" w:type="dxa"/>
            <w:vAlign w:val="bottom"/>
          </w:tcPr>
          <w:p w14:paraId="79227C0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5</w:t>
            </w:r>
          </w:p>
        </w:tc>
        <w:tc>
          <w:tcPr>
            <w:tcW w:w="1701" w:type="dxa"/>
            <w:vAlign w:val="bottom"/>
          </w:tcPr>
          <w:p w14:paraId="3AFDBDB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3364CC5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5</w:t>
            </w:r>
          </w:p>
        </w:tc>
      </w:tr>
      <w:tr w:rsidR="005636C7" w:rsidRPr="00857604" w14:paraId="61C04EE6" w14:textId="77777777" w:rsidTr="005636C7">
        <w:tc>
          <w:tcPr>
            <w:tcW w:w="4111" w:type="dxa"/>
            <w:vAlign w:val="bottom"/>
          </w:tcPr>
          <w:p w14:paraId="5E9137B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Aged care</w:t>
            </w:r>
          </w:p>
        </w:tc>
        <w:tc>
          <w:tcPr>
            <w:tcW w:w="2126" w:type="dxa"/>
            <w:vAlign w:val="bottom"/>
          </w:tcPr>
          <w:p w14:paraId="04132E5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6EE6792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1AC3B9E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r>
      <w:tr w:rsidR="005636C7" w:rsidRPr="00857604" w14:paraId="4CF6EE25" w14:textId="77777777" w:rsidTr="005636C7">
        <w:tc>
          <w:tcPr>
            <w:tcW w:w="4111" w:type="dxa"/>
            <w:vAlign w:val="bottom"/>
          </w:tcPr>
          <w:p w14:paraId="299FC84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Schools</w:t>
            </w:r>
          </w:p>
        </w:tc>
        <w:tc>
          <w:tcPr>
            <w:tcW w:w="2126" w:type="dxa"/>
            <w:vAlign w:val="bottom"/>
          </w:tcPr>
          <w:p w14:paraId="71D386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5ADF222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3D2EF1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r>
      <w:tr w:rsidR="005636C7" w:rsidRPr="00857604" w14:paraId="047C8D92" w14:textId="77777777" w:rsidTr="005636C7">
        <w:tc>
          <w:tcPr>
            <w:tcW w:w="4111" w:type="dxa"/>
            <w:vAlign w:val="bottom"/>
          </w:tcPr>
          <w:p w14:paraId="381AD57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Canteens</w:t>
            </w:r>
          </w:p>
        </w:tc>
        <w:tc>
          <w:tcPr>
            <w:tcW w:w="2126" w:type="dxa"/>
            <w:vAlign w:val="bottom"/>
          </w:tcPr>
          <w:p w14:paraId="787AF4E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20129CF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051B544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5636C7" w:rsidRPr="00857604" w14:paraId="47FEB66F" w14:textId="77777777" w:rsidTr="005636C7">
        <w:trPr>
          <w:trHeight w:val="77"/>
        </w:trPr>
        <w:tc>
          <w:tcPr>
            <w:tcW w:w="9598" w:type="dxa"/>
            <w:gridSpan w:val="4"/>
            <w:vAlign w:val="center"/>
          </w:tcPr>
          <w:p w14:paraId="394FDDDA" w14:textId="77777777" w:rsidR="005636C7" w:rsidRPr="00E50722" w:rsidRDefault="005636C7" w:rsidP="005636C7">
            <w:pPr>
              <w:pStyle w:val="E3TableHeading"/>
              <w:jc w:val="center"/>
              <w:rPr>
                <w:sz w:val="12"/>
                <w:szCs w:val="12"/>
              </w:rPr>
            </w:pPr>
            <w:r w:rsidRPr="00E50722">
              <w:rPr>
                <w:sz w:val="12"/>
                <w:szCs w:val="12"/>
              </w:rPr>
              <w:t>Food service channel: Commercial</w:t>
            </w:r>
          </w:p>
        </w:tc>
      </w:tr>
      <w:tr w:rsidR="005636C7" w:rsidRPr="00857604" w14:paraId="60D8FBCE" w14:textId="77777777" w:rsidTr="005636C7">
        <w:tc>
          <w:tcPr>
            <w:tcW w:w="4111" w:type="dxa"/>
            <w:vAlign w:val="bottom"/>
          </w:tcPr>
          <w:p w14:paraId="11A989A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Cafes and restaurants</w:t>
            </w:r>
          </w:p>
        </w:tc>
        <w:tc>
          <w:tcPr>
            <w:tcW w:w="2126" w:type="dxa"/>
            <w:vAlign w:val="bottom"/>
          </w:tcPr>
          <w:p w14:paraId="3013AB6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5</w:t>
            </w:r>
          </w:p>
        </w:tc>
        <w:tc>
          <w:tcPr>
            <w:tcW w:w="1701" w:type="dxa"/>
            <w:vAlign w:val="bottom"/>
          </w:tcPr>
          <w:p w14:paraId="7DA299E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0.5</w:t>
            </w:r>
          </w:p>
        </w:tc>
        <w:tc>
          <w:tcPr>
            <w:tcW w:w="1660" w:type="dxa"/>
            <w:vAlign w:val="bottom"/>
          </w:tcPr>
          <w:p w14:paraId="61F721C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1.5</w:t>
            </w:r>
          </w:p>
        </w:tc>
      </w:tr>
      <w:tr w:rsidR="005636C7" w:rsidRPr="00857604" w14:paraId="382B1C6E" w14:textId="77777777" w:rsidTr="005636C7">
        <w:tc>
          <w:tcPr>
            <w:tcW w:w="4111" w:type="dxa"/>
            <w:vAlign w:val="bottom"/>
          </w:tcPr>
          <w:p w14:paraId="7F41067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Catering services</w:t>
            </w:r>
          </w:p>
        </w:tc>
        <w:tc>
          <w:tcPr>
            <w:tcW w:w="2126" w:type="dxa"/>
            <w:vAlign w:val="bottom"/>
          </w:tcPr>
          <w:p w14:paraId="7CA2145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701" w:type="dxa"/>
            <w:vAlign w:val="bottom"/>
          </w:tcPr>
          <w:p w14:paraId="70F42DD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628F8D4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4</w:t>
            </w:r>
          </w:p>
        </w:tc>
      </w:tr>
      <w:tr w:rsidR="005636C7" w:rsidRPr="00857604" w14:paraId="35F92387" w14:textId="77777777" w:rsidTr="005636C7">
        <w:tc>
          <w:tcPr>
            <w:tcW w:w="4111" w:type="dxa"/>
            <w:vAlign w:val="bottom"/>
          </w:tcPr>
          <w:p w14:paraId="68EE80A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Clubs (hospitality)</w:t>
            </w:r>
          </w:p>
        </w:tc>
        <w:tc>
          <w:tcPr>
            <w:tcW w:w="2126" w:type="dxa"/>
            <w:vAlign w:val="bottom"/>
          </w:tcPr>
          <w:p w14:paraId="20CB491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4</w:t>
            </w:r>
          </w:p>
        </w:tc>
        <w:tc>
          <w:tcPr>
            <w:tcW w:w="1701" w:type="dxa"/>
            <w:vAlign w:val="bottom"/>
          </w:tcPr>
          <w:p w14:paraId="31BF9B7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1</w:t>
            </w:r>
          </w:p>
        </w:tc>
        <w:tc>
          <w:tcPr>
            <w:tcW w:w="1660" w:type="dxa"/>
            <w:vAlign w:val="bottom"/>
          </w:tcPr>
          <w:p w14:paraId="1EBC399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5636C7" w:rsidRPr="00857604" w14:paraId="005372A6" w14:textId="77777777" w:rsidTr="005636C7">
        <w:tc>
          <w:tcPr>
            <w:tcW w:w="4111" w:type="dxa"/>
            <w:vAlign w:val="bottom"/>
          </w:tcPr>
          <w:p w14:paraId="31D4C03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Pubs, taverns and bars</w:t>
            </w:r>
          </w:p>
        </w:tc>
        <w:tc>
          <w:tcPr>
            <w:tcW w:w="2126" w:type="dxa"/>
            <w:vAlign w:val="bottom"/>
          </w:tcPr>
          <w:p w14:paraId="49DE02F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3</w:t>
            </w:r>
          </w:p>
        </w:tc>
        <w:tc>
          <w:tcPr>
            <w:tcW w:w="1701" w:type="dxa"/>
            <w:vAlign w:val="bottom"/>
          </w:tcPr>
          <w:p w14:paraId="6523F46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w:t>
            </w:r>
          </w:p>
        </w:tc>
        <w:tc>
          <w:tcPr>
            <w:tcW w:w="1660" w:type="dxa"/>
            <w:vAlign w:val="bottom"/>
          </w:tcPr>
          <w:p w14:paraId="2F62E76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r>
      <w:tr w:rsidR="005636C7" w:rsidRPr="00857604" w14:paraId="3528E2DF" w14:textId="77777777" w:rsidTr="005636C7">
        <w:tc>
          <w:tcPr>
            <w:tcW w:w="4111" w:type="dxa"/>
            <w:vAlign w:val="bottom"/>
          </w:tcPr>
          <w:p w14:paraId="1C61E7D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Takeaway food services</w:t>
            </w:r>
          </w:p>
        </w:tc>
        <w:tc>
          <w:tcPr>
            <w:tcW w:w="2126" w:type="dxa"/>
            <w:vAlign w:val="bottom"/>
          </w:tcPr>
          <w:p w14:paraId="7307793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4</w:t>
            </w:r>
          </w:p>
        </w:tc>
        <w:tc>
          <w:tcPr>
            <w:tcW w:w="1701" w:type="dxa"/>
            <w:vAlign w:val="bottom"/>
          </w:tcPr>
          <w:p w14:paraId="00C2535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3A038C4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2.5</w:t>
            </w:r>
          </w:p>
        </w:tc>
      </w:tr>
      <w:tr w:rsidR="005636C7" w:rsidRPr="00857604" w14:paraId="23D5CA9F" w14:textId="77777777" w:rsidTr="005636C7">
        <w:tc>
          <w:tcPr>
            <w:tcW w:w="4111" w:type="dxa"/>
            <w:vAlign w:val="bottom"/>
          </w:tcPr>
          <w:p w14:paraId="7C9465F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Hotels and motels</w:t>
            </w:r>
          </w:p>
        </w:tc>
        <w:tc>
          <w:tcPr>
            <w:tcW w:w="2126" w:type="dxa"/>
            <w:vAlign w:val="bottom"/>
          </w:tcPr>
          <w:p w14:paraId="6418B69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w:t>
            </w:r>
          </w:p>
        </w:tc>
        <w:tc>
          <w:tcPr>
            <w:tcW w:w="1701" w:type="dxa"/>
            <w:vAlign w:val="bottom"/>
          </w:tcPr>
          <w:p w14:paraId="232143B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0</w:t>
            </w:r>
          </w:p>
        </w:tc>
        <w:tc>
          <w:tcPr>
            <w:tcW w:w="1660" w:type="dxa"/>
            <w:vAlign w:val="bottom"/>
          </w:tcPr>
          <w:p w14:paraId="4E3008F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2.5</w:t>
            </w:r>
          </w:p>
        </w:tc>
      </w:tr>
    </w:tbl>
    <w:p w14:paraId="5BCB0123" w14:textId="77777777" w:rsidR="005636C7" w:rsidRPr="00857604" w:rsidRDefault="005636C7" w:rsidP="000F6ACF">
      <w:pPr>
        <w:pStyle w:val="E3Caption"/>
        <w:numPr>
          <w:ilvl w:val="0"/>
          <w:numId w:val="20"/>
        </w:numPr>
        <w:spacing w:before="60" w:after="0"/>
        <w:ind w:left="714" w:hanging="357"/>
      </w:pPr>
      <w:r w:rsidRPr="00857604">
        <w:t>Average supermarket case is 2.5 meters long.</w:t>
      </w:r>
    </w:p>
    <w:p w14:paraId="15F79194" w14:textId="77777777" w:rsidR="005636C7" w:rsidRPr="0041262C" w:rsidRDefault="005636C7" w:rsidP="000F6ACF">
      <w:pPr>
        <w:pStyle w:val="E3Caption"/>
        <w:numPr>
          <w:ilvl w:val="0"/>
          <w:numId w:val="20"/>
        </w:numPr>
        <w:spacing w:before="60" w:after="0"/>
        <w:ind w:left="714" w:hanging="357"/>
        <w:rPr>
          <w:sz w:val="24"/>
        </w:rPr>
      </w:pPr>
      <w:r w:rsidRPr="00857604">
        <w:t>Food service channel counts are slightly higher than those used in the survey and assessment conducted by Sustainability Victoria in 2009 (SV 2009).</w:t>
      </w:r>
      <w:bookmarkStart w:id="352" w:name="_Toc447533630"/>
      <w:bookmarkStart w:id="353" w:name="_Toc449708803"/>
      <w:bookmarkStart w:id="354" w:name="_Toc494897989"/>
      <w:bookmarkStart w:id="355" w:name="_Toc494955781"/>
      <w:bookmarkStart w:id="356" w:name="_Toc494959589"/>
    </w:p>
    <w:p w14:paraId="5598A9E4" w14:textId="77777777" w:rsidR="005636C7" w:rsidRDefault="005636C7" w:rsidP="005636C7">
      <w:pPr>
        <w:pStyle w:val="E3Heading2"/>
        <w:rPr>
          <w:rFonts w:ascii="Georgia" w:hAnsi="Georgia"/>
          <w:sz w:val="24"/>
        </w:rPr>
      </w:pPr>
    </w:p>
    <w:p w14:paraId="5CBA6279" w14:textId="77777777" w:rsidR="005636C7" w:rsidRDefault="005636C7" w:rsidP="005636C7">
      <w:pPr>
        <w:pStyle w:val="E3Heading4"/>
      </w:pPr>
      <w:bookmarkStart w:id="357" w:name="_Toc494972715"/>
      <w:bookmarkStart w:id="358" w:name="_Toc494973902"/>
      <w:bookmarkStart w:id="359" w:name="_Toc494974591"/>
      <w:r w:rsidRPr="000E3C98">
        <w:t>Average lifespans of equipment</w:t>
      </w:r>
      <w:bookmarkEnd w:id="352"/>
      <w:bookmarkEnd w:id="353"/>
      <w:bookmarkEnd w:id="354"/>
      <w:bookmarkEnd w:id="355"/>
      <w:bookmarkEnd w:id="356"/>
      <w:bookmarkEnd w:id="357"/>
      <w:bookmarkEnd w:id="358"/>
      <w:bookmarkEnd w:id="359"/>
    </w:p>
    <w:p w14:paraId="7560A335" w14:textId="77777777" w:rsidR="005636C7" w:rsidRPr="00AC7259" w:rsidRDefault="005636C7" w:rsidP="005636C7">
      <w:pPr>
        <w:pStyle w:val="E3BodyText"/>
        <w:jc w:val="both"/>
      </w:pPr>
      <w:r w:rsidRPr="00AC7259">
        <w:t xml:space="preserve">In general, the quality of cabinet is the greatest determinant of cabinet life, </w:t>
      </w:r>
      <w:r>
        <w:t xml:space="preserve">followed by </w:t>
      </w:r>
      <w:r w:rsidRPr="00AC7259">
        <w:t>maintenance and operating env</w:t>
      </w:r>
      <w:r>
        <w:t xml:space="preserve">ironment. The average lifespans </w:t>
      </w:r>
      <w:r w:rsidRPr="00AC7259">
        <w:t>of equipment used in the RIS model</w:t>
      </w:r>
      <w:r>
        <w:t>ling</w:t>
      </w:r>
      <w:r w:rsidRPr="00AC7259">
        <w:t xml:space="preserve"> were</w:t>
      </w:r>
      <w:r>
        <w:t>:</w:t>
      </w:r>
      <w:r w:rsidRPr="00AC7259">
        <w:t xml:space="preserve"> display cabinets</w:t>
      </w:r>
      <w:r>
        <w:t xml:space="preserve"> i</w:t>
      </w:r>
      <w:r w:rsidRPr="00AC7259">
        <w:t>ntegral</w:t>
      </w:r>
      <w:r>
        <w:t>,</w:t>
      </w:r>
      <w:r w:rsidRPr="00AC7259">
        <w:t xml:space="preserve"> 11 years, display cabinets remote</w:t>
      </w:r>
      <w:r>
        <w:t>,</w:t>
      </w:r>
      <w:r w:rsidRPr="00AC7259">
        <w:t xml:space="preserve"> 13 years, and storage cabine</w:t>
      </w:r>
      <w:r>
        <w:t>ts,</w:t>
      </w:r>
      <w:r w:rsidRPr="00AC7259">
        <w:t xml:space="preserve"> 11 years.</w:t>
      </w:r>
    </w:p>
    <w:p w14:paraId="17620DA2" w14:textId="77777777" w:rsidR="005636C7" w:rsidRPr="00AC7259" w:rsidRDefault="005636C7" w:rsidP="005636C7">
      <w:pPr>
        <w:pStyle w:val="E3BodyText"/>
        <w:jc w:val="both"/>
      </w:pPr>
      <w:r w:rsidRPr="00AC7259">
        <w:t xml:space="preserve">The second hand market and/or </w:t>
      </w:r>
      <w:r>
        <w:t xml:space="preserve">the </w:t>
      </w:r>
      <w:r w:rsidRPr="00AC7259">
        <w:t xml:space="preserve">refurbishing </w:t>
      </w:r>
      <w:r>
        <w:t xml:space="preserve">of </w:t>
      </w:r>
      <w:r w:rsidRPr="00AC7259">
        <w:t>cabinets, effectively extend</w:t>
      </w:r>
      <w:r>
        <w:t>s</w:t>
      </w:r>
      <w:r w:rsidRPr="00AC7259">
        <w:t xml:space="preserve"> the lifespan of </w:t>
      </w:r>
      <w:r>
        <w:t>the equipment and can</w:t>
      </w:r>
      <w:r w:rsidRPr="00AC7259">
        <w:t xml:space="preserve"> complicate the </w:t>
      </w:r>
      <w:r>
        <w:t xml:space="preserve">assessment of </w:t>
      </w:r>
      <w:r w:rsidRPr="00AC7259">
        <w:t xml:space="preserve">typical lifespans. The effects of these factors are difficult to capture, as there is no second hand sales data </w:t>
      </w:r>
      <w:r>
        <w:t>available. A</w:t>
      </w:r>
      <w:r w:rsidRPr="00AC7259">
        <w:t>necdotal evidence of second hand sales and refurbishments can be</w:t>
      </w:r>
      <w:r>
        <w:t xml:space="preserve"> unreliable</w:t>
      </w:r>
      <w:r w:rsidRPr="00AC7259">
        <w:t xml:space="preserve">. Large operators of integral cabinets can refurbish their equipment in large batches. Similarly, they can undertake replacement programs in large volumes </w:t>
      </w:r>
      <w:r>
        <w:t xml:space="preserve">and </w:t>
      </w:r>
      <w:r w:rsidRPr="00AC7259">
        <w:t xml:space="preserve">flood the market with second hand cabinets </w:t>
      </w:r>
      <w:r>
        <w:t xml:space="preserve">within </w:t>
      </w:r>
      <w:r w:rsidRPr="00AC7259">
        <w:t>a short period</w:t>
      </w:r>
      <w:r>
        <w:t xml:space="preserve"> of time</w:t>
      </w:r>
      <w:r w:rsidRPr="00AC7259">
        <w:t>. Some of these are then purchased and used in Australia, but many are shipped to the Pacific Islands.</w:t>
      </w:r>
    </w:p>
    <w:p w14:paraId="27B1D08D" w14:textId="77777777" w:rsidR="005636C7" w:rsidRPr="0041262C" w:rsidRDefault="005636C7" w:rsidP="005636C7">
      <w:pPr>
        <w:pStyle w:val="E3Heading2"/>
        <w:jc w:val="both"/>
        <w:rPr>
          <w:rFonts w:ascii="Georgia" w:hAnsi="Georgia"/>
          <w:sz w:val="24"/>
        </w:rPr>
      </w:pPr>
      <w:bookmarkStart w:id="360" w:name="_Toc447533631"/>
      <w:bookmarkStart w:id="361" w:name="_Toc449708804"/>
      <w:bookmarkStart w:id="362" w:name="_Toc494897990"/>
      <w:bookmarkStart w:id="363" w:name="_Toc494955782"/>
      <w:bookmarkStart w:id="364" w:name="_Toc494959590"/>
      <w:bookmarkStart w:id="365" w:name="_Toc494972716"/>
      <w:bookmarkStart w:id="366" w:name="_Toc494973903"/>
      <w:bookmarkStart w:id="367" w:name="_Toc494974592"/>
      <w:bookmarkStart w:id="368" w:name="_Toc500151836"/>
      <w:r w:rsidRPr="0041262C">
        <w:rPr>
          <w:rFonts w:ascii="Georgia" w:hAnsi="Georgia"/>
          <w:sz w:val="24"/>
        </w:rPr>
        <w:t>Test and registration costs</w:t>
      </w:r>
      <w:bookmarkEnd w:id="360"/>
      <w:bookmarkEnd w:id="361"/>
      <w:bookmarkEnd w:id="362"/>
      <w:bookmarkEnd w:id="363"/>
      <w:bookmarkEnd w:id="364"/>
      <w:bookmarkEnd w:id="365"/>
      <w:bookmarkEnd w:id="366"/>
      <w:bookmarkEnd w:id="367"/>
      <w:bookmarkEnd w:id="368"/>
    </w:p>
    <w:p w14:paraId="6B9A7CBF" w14:textId="77777777" w:rsidR="005636C7" w:rsidRPr="00AC7259" w:rsidRDefault="005636C7" w:rsidP="005636C7">
      <w:pPr>
        <w:pStyle w:val="E3BodyText"/>
        <w:jc w:val="both"/>
      </w:pPr>
      <w:r>
        <w:t>The following k</w:t>
      </w:r>
      <w:r w:rsidRPr="00AC7259">
        <w:t xml:space="preserve">ey assumptions </w:t>
      </w:r>
      <w:r>
        <w:t xml:space="preserve">were made </w:t>
      </w:r>
      <w:r w:rsidRPr="00AC7259">
        <w:t>for calculating the incremental costs of the test and registration program for a changed regime:</w:t>
      </w:r>
    </w:p>
    <w:p w14:paraId="20B0AF30" w14:textId="77777777" w:rsidR="005636C7" w:rsidRPr="00AC7259" w:rsidRDefault="005636C7" w:rsidP="005636C7">
      <w:pPr>
        <w:pStyle w:val="E3SubSubBullets"/>
        <w:tabs>
          <w:tab w:val="clear" w:pos="720"/>
        </w:tabs>
        <w:ind w:left="964"/>
        <w:jc w:val="both"/>
      </w:pPr>
      <w:r w:rsidRPr="00AC7259">
        <w:t>Individual test cost is around $6,500.00 each.</w:t>
      </w:r>
    </w:p>
    <w:p w14:paraId="353D8B65" w14:textId="77777777" w:rsidR="005636C7" w:rsidRPr="00AC7259" w:rsidRDefault="005636C7" w:rsidP="005636C7">
      <w:pPr>
        <w:pStyle w:val="E3SubSubBullets"/>
        <w:tabs>
          <w:tab w:val="clear" w:pos="720"/>
        </w:tabs>
        <w:ind w:left="964"/>
        <w:jc w:val="both"/>
      </w:pPr>
      <w:r w:rsidRPr="00AC7259">
        <w:t>Current number registered is 1,485, assumed around 50 may need to be tested under a changed regime as they may have just passed MEPS under the existing regime and no longer meet the changed regime.</w:t>
      </w:r>
    </w:p>
    <w:p w14:paraId="15197C0F" w14:textId="77777777" w:rsidR="005636C7" w:rsidRPr="00AC7259" w:rsidRDefault="005636C7" w:rsidP="005636C7">
      <w:pPr>
        <w:pStyle w:val="E3SubSubBullets"/>
        <w:tabs>
          <w:tab w:val="clear" w:pos="720"/>
        </w:tabs>
        <w:ind w:left="964"/>
        <w:jc w:val="both"/>
      </w:pPr>
      <w:r w:rsidRPr="00AC7259">
        <w:t>Additional number of registrations is 35 to 40% of the existing number.</w:t>
      </w:r>
    </w:p>
    <w:p w14:paraId="0DB9012D" w14:textId="77777777" w:rsidR="005636C7" w:rsidRPr="00AC7259" w:rsidRDefault="005636C7" w:rsidP="005636C7">
      <w:pPr>
        <w:pStyle w:val="E3SubSubBullets"/>
        <w:tabs>
          <w:tab w:val="clear" w:pos="720"/>
        </w:tabs>
        <w:ind w:left="964"/>
        <w:jc w:val="both"/>
      </w:pPr>
      <w:r w:rsidRPr="00AC7259">
        <w:t>The incremental cost to industry is shared across 75 suppliers in Australian and New Zealand.</w:t>
      </w:r>
    </w:p>
    <w:p w14:paraId="0D6ED7E5" w14:textId="77777777" w:rsidR="005636C7" w:rsidRPr="00AC7259" w:rsidRDefault="005636C7" w:rsidP="005636C7">
      <w:pPr>
        <w:pStyle w:val="E3SubSubBullets"/>
        <w:tabs>
          <w:tab w:val="clear" w:pos="720"/>
        </w:tabs>
        <w:ind w:left="964"/>
        <w:jc w:val="both"/>
      </w:pPr>
      <w:r w:rsidRPr="00AC7259">
        <w:t>Many opportunistic suppliers importing small quantities of refrigeration cases will no longer consider this viable.</w:t>
      </w:r>
    </w:p>
    <w:p w14:paraId="705D16AC" w14:textId="77777777" w:rsidR="005636C7" w:rsidRPr="00AC7259" w:rsidRDefault="005636C7" w:rsidP="005636C7">
      <w:pPr>
        <w:pStyle w:val="E3SubSubBullets"/>
        <w:tabs>
          <w:tab w:val="clear" w:pos="720"/>
        </w:tabs>
        <w:ind w:left="964"/>
        <w:jc w:val="both"/>
      </w:pPr>
      <w:r w:rsidRPr="00AC7259">
        <w:t>Government test 2% of registrations per annum (i.e. 30 units under current regime), at an average purchase cost of $5,000 per unit incurring individual test costs of $6,500 plus $1,500 for further evaluation.</w:t>
      </w:r>
    </w:p>
    <w:p w14:paraId="3E3BC450" w14:textId="77777777" w:rsidR="005636C7" w:rsidRPr="004E6AC5" w:rsidRDefault="005636C7" w:rsidP="004E6AC5">
      <w:pPr>
        <w:spacing w:after="240" w:line="276" w:lineRule="auto"/>
        <w:jc w:val="both"/>
        <w:rPr>
          <w:rFonts w:ascii="Georgia" w:hAnsi="Georgia"/>
        </w:rPr>
      </w:pPr>
      <w:r w:rsidRPr="004E6AC5">
        <w:rPr>
          <w:rFonts w:ascii="Georgia" w:hAnsi="Georgia"/>
        </w:rPr>
        <w:t xml:space="preserve">A comprehensive list of the major Australian and New Zealand manufacturers and importers by company name, brand and country of origin is shown in </w:t>
      </w:r>
      <w:r w:rsidRPr="004E6AC5">
        <w:rPr>
          <w:rFonts w:ascii="Georgia" w:hAnsi="Georgia"/>
          <w:b/>
        </w:rPr>
        <w:t>Attachment E</w:t>
      </w:r>
      <w:r w:rsidRPr="004E6AC5">
        <w:rPr>
          <w:rFonts w:ascii="Georgia" w:hAnsi="Georgia"/>
        </w:rPr>
        <w:t xml:space="preserve">. There are many additional companies that import small quantities of cabinets. </w:t>
      </w:r>
    </w:p>
    <w:p w14:paraId="15E70669" w14:textId="77777777" w:rsidR="005636C7" w:rsidRPr="004E6AC5" w:rsidRDefault="005636C7" w:rsidP="004E6AC5">
      <w:pPr>
        <w:spacing w:after="240" w:line="276" w:lineRule="auto"/>
        <w:jc w:val="both"/>
        <w:rPr>
          <w:rFonts w:ascii="Georgia" w:hAnsi="Georgia"/>
        </w:rPr>
      </w:pPr>
      <w:r w:rsidRPr="004E6AC5">
        <w:rPr>
          <w:rFonts w:ascii="Georgia" w:hAnsi="Georgia"/>
        </w:rPr>
        <w:t>In Australia there were more than 500 different companies that imported refrigeration cases over the last 6 to 8 years.</w:t>
      </w:r>
    </w:p>
    <w:p w14:paraId="5AED9959" w14:textId="77777777" w:rsidR="005636C7" w:rsidRPr="00AC7259" w:rsidRDefault="005636C7" w:rsidP="005636C7">
      <w:pPr>
        <w:pStyle w:val="E3SubSubBullets"/>
        <w:tabs>
          <w:tab w:val="clear" w:pos="720"/>
        </w:tabs>
        <w:ind w:left="964"/>
        <w:jc w:val="both"/>
        <w:rPr>
          <w:rStyle w:val="E3BulletsChar"/>
        </w:rPr>
      </w:pPr>
      <w:r w:rsidRPr="00AC7259">
        <w:rPr>
          <w:rStyle w:val="E3BulletsChar"/>
        </w:rPr>
        <w:t>The top 10 importers made up around 60% of imports</w:t>
      </w:r>
      <w:r>
        <w:rPr>
          <w:rStyle w:val="E3BulletsChar"/>
        </w:rPr>
        <w:t>.</w:t>
      </w:r>
    </w:p>
    <w:p w14:paraId="6820D5CE" w14:textId="77777777" w:rsidR="005636C7" w:rsidRPr="00AC7259" w:rsidRDefault="005636C7" w:rsidP="005636C7">
      <w:pPr>
        <w:pStyle w:val="E3SubSubBullets"/>
        <w:tabs>
          <w:tab w:val="clear" w:pos="720"/>
        </w:tabs>
        <w:ind w:left="964"/>
        <w:jc w:val="both"/>
        <w:rPr>
          <w:rStyle w:val="E3BulletsChar"/>
        </w:rPr>
      </w:pPr>
      <w:r>
        <w:rPr>
          <w:rStyle w:val="E3BulletsChar"/>
        </w:rPr>
        <w:t>T</w:t>
      </w:r>
      <w:r w:rsidRPr="00AC7259">
        <w:rPr>
          <w:rStyle w:val="E3BulletsChar"/>
        </w:rPr>
        <w:t xml:space="preserve">he top 20 accounted for more than 75%. </w:t>
      </w:r>
    </w:p>
    <w:p w14:paraId="4EB71DF2" w14:textId="77777777" w:rsidR="005636C7" w:rsidRPr="00AC7259" w:rsidRDefault="005636C7" w:rsidP="005636C7">
      <w:pPr>
        <w:pStyle w:val="E3SubSubBullets"/>
        <w:tabs>
          <w:tab w:val="clear" w:pos="720"/>
        </w:tabs>
        <w:ind w:left="964"/>
        <w:jc w:val="both"/>
      </w:pPr>
      <w:r w:rsidRPr="00AC7259">
        <w:rPr>
          <w:rStyle w:val="E3BulletsChar"/>
        </w:rPr>
        <w:t>There was a very long tail of around 250 companies that imported less than 20 units of which 200 companies imported less than 10 units.</w:t>
      </w:r>
    </w:p>
    <w:p w14:paraId="6204AC25" w14:textId="77777777" w:rsidR="005636C7" w:rsidRPr="00AC7259" w:rsidRDefault="005636C7" w:rsidP="005636C7">
      <w:pPr>
        <w:pStyle w:val="E3BodyText"/>
        <w:jc w:val="both"/>
      </w:pPr>
      <w:r w:rsidRPr="00AC7259">
        <w:t>The New Zealand market characteristic is similar, just on a smaller scale</w:t>
      </w:r>
      <w:r>
        <w:t>,</w:t>
      </w:r>
      <w:r w:rsidRPr="00AC7259">
        <w:t xml:space="preserve"> with a core group of committed industry participants mak</w:t>
      </w:r>
      <w:r>
        <w:t>ing</w:t>
      </w:r>
      <w:r w:rsidRPr="00AC7259">
        <w:t xml:space="preserve"> up a significant portion of </w:t>
      </w:r>
      <w:r>
        <w:t xml:space="preserve">the </w:t>
      </w:r>
      <w:r w:rsidRPr="00AC7259">
        <w:t xml:space="preserve">market plus a long tail of miscellaneous importers. </w:t>
      </w:r>
    </w:p>
    <w:p w14:paraId="684D0279" w14:textId="77777777" w:rsidR="005636C7" w:rsidRPr="00AC7259" w:rsidRDefault="005636C7" w:rsidP="005636C7">
      <w:pPr>
        <w:pStyle w:val="E3BodyText"/>
        <w:jc w:val="both"/>
      </w:pPr>
      <w:r w:rsidRPr="00AC7259">
        <w:t xml:space="preserve">There are several regimes and commercial barriers that already restrict opportunistic importers. These ‘barriers’ include electrical safety and EMC requirements, product support necessary to comply with consumer laws as well as the cost penalty of part loading shipping containers to Australia or New Zealand. </w:t>
      </w:r>
    </w:p>
    <w:p w14:paraId="6D64BF89" w14:textId="77777777" w:rsidR="005636C7" w:rsidRPr="00AC7259" w:rsidRDefault="005636C7" w:rsidP="005636C7">
      <w:pPr>
        <w:pStyle w:val="E3BodyText"/>
        <w:jc w:val="both"/>
      </w:pPr>
      <w:r w:rsidRPr="00AC7259">
        <w:t xml:space="preserve">There </w:t>
      </w:r>
      <w:r>
        <w:t xml:space="preserve">are incremental </w:t>
      </w:r>
      <w:r w:rsidRPr="00AC7259">
        <w:t>cost</w:t>
      </w:r>
      <w:r>
        <w:t>s</w:t>
      </w:r>
      <w:r w:rsidRPr="00AC7259">
        <w:t xml:space="preserve"> to both Government and industry </w:t>
      </w:r>
      <w:r>
        <w:t>from introducing and operating</w:t>
      </w:r>
      <w:r w:rsidRPr="00AC7259">
        <w:t xml:space="preserve"> an energy efficiency testing and registration program</w:t>
      </w:r>
      <w:r>
        <w:t>.  This</w:t>
      </w:r>
      <w:r w:rsidRPr="00AC7259">
        <w:t xml:space="preserve"> </w:t>
      </w:r>
      <w:r>
        <w:t xml:space="preserve">has been </w:t>
      </w:r>
      <w:r w:rsidRPr="00AC7259">
        <w:t xml:space="preserve">taken into account in the Cost Benefit </w:t>
      </w:r>
      <w:r>
        <w:t>Analysis of the RIS modelling (s</w:t>
      </w:r>
      <w:r w:rsidRPr="00AC7259">
        <w:t xml:space="preserve">ee </w:t>
      </w:r>
      <w:r w:rsidRPr="00AC7259">
        <w:rPr>
          <w:b/>
        </w:rPr>
        <w:fldChar w:fldCharType="begin"/>
      </w:r>
      <w:r w:rsidRPr="00AC7259">
        <w:rPr>
          <w:b/>
        </w:rPr>
        <w:instrText xml:space="preserve"> REF _Ref450032601 \h  \* MERGEFORMAT </w:instrText>
      </w:r>
      <w:r w:rsidRPr="00AC7259">
        <w:rPr>
          <w:b/>
        </w:rPr>
      </w:r>
      <w:r w:rsidRPr="00AC7259">
        <w:rPr>
          <w:b/>
        </w:rPr>
        <w:fldChar w:fldCharType="separate"/>
      </w:r>
      <w:r w:rsidR="00AC6998" w:rsidRPr="00AC6998">
        <w:rPr>
          <w:b/>
        </w:rPr>
        <w:t xml:space="preserve">Table D </w:t>
      </w:r>
      <w:r w:rsidR="00AC6998" w:rsidRPr="00AC6998">
        <w:rPr>
          <w:b/>
          <w:noProof/>
        </w:rPr>
        <w:t>2</w:t>
      </w:r>
      <w:r w:rsidRPr="00AC7259">
        <w:rPr>
          <w:b/>
        </w:rPr>
        <w:fldChar w:fldCharType="end"/>
      </w:r>
      <w:r w:rsidRPr="00AC7259">
        <w:t xml:space="preserve"> below</w:t>
      </w:r>
      <w:r>
        <w:t>)</w:t>
      </w:r>
      <w:r w:rsidRPr="00AC7259">
        <w:t xml:space="preserve">. </w:t>
      </w:r>
    </w:p>
    <w:p w14:paraId="4D14D3F8" w14:textId="77777777" w:rsidR="005636C7" w:rsidRDefault="005636C7" w:rsidP="005636C7">
      <w:pPr>
        <w:pStyle w:val="E3TableTitles"/>
        <w:spacing w:before="240"/>
      </w:pPr>
      <w:bookmarkStart w:id="369" w:name="_Ref450032601"/>
      <w:bookmarkStart w:id="370" w:name="_Toc449708978"/>
      <w:bookmarkStart w:id="371" w:name="_Toc456164776"/>
      <w:bookmarkStart w:id="372" w:name="_Toc500159673"/>
      <w:r>
        <w:t xml:space="preserve">Table D </w:t>
      </w:r>
      <w:r>
        <w:fldChar w:fldCharType="begin"/>
      </w:r>
      <w:r>
        <w:instrText xml:space="preserve"> SEQ Table_D \* ARABIC </w:instrText>
      </w:r>
      <w:r>
        <w:fldChar w:fldCharType="separate"/>
      </w:r>
      <w:r w:rsidR="00AC6998">
        <w:rPr>
          <w:noProof/>
        </w:rPr>
        <w:t>2</w:t>
      </w:r>
      <w:r>
        <w:rPr>
          <w:noProof/>
        </w:rPr>
        <w:fldChar w:fldCharType="end"/>
      </w:r>
      <w:bookmarkEnd w:id="369"/>
      <w:r w:rsidRPr="002705A4">
        <w:t xml:space="preserve">: </w:t>
      </w:r>
      <w:bookmarkEnd w:id="370"/>
      <w:r>
        <w:t>Incremental costs of changed regime.</w:t>
      </w:r>
      <w:bookmarkEnd w:id="371"/>
      <w:bookmarkEnd w:id="372"/>
    </w:p>
    <w:p w14:paraId="3314ABD5" w14:textId="77777777" w:rsidR="005636C7" w:rsidRDefault="005636C7" w:rsidP="005636C7">
      <w:pPr>
        <w:pStyle w:val="E3BodyIntroductionText"/>
      </w:pPr>
      <w:bookmarkStart w:id="373" w:name="_Toc495927781"/>
      <w:r>
        <w:rPr>
          <w:noProof/>
          <w:lang w:val="en-AU" w:eastAsia="en-AU"/>
        </w:rPr>
        <w:drawing>
          <wp:inline distT="0" distB="0" distL="0" distR="0" wp14:anchorId="619E610F" wp14:editId="13FE661A">
            <wp:extent cx="6120765" cy="24053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2405380"/>
                    </a:xfrm>
                    <a:prstGeom prst="rect">
                      <a:avLst/>
                    </a:prstGeom>
                  </pic:spPr>
                </pic:pic>
              </a:graphicData>
            </a:graphic>
          </wp:inline>
        </w:drawing>
      </w:r>
      <w:bookmarkEnd w:id="373"/>
    </w:p>
    <w:p w14:paraId="3B10E2F2" w14:textId="77777777" w:rsidR="005636C7" w:rsidRDefault="005636C7" w:rsidP="005636C7">
      <w:pPr>
        <w:spacing w:before="240"/>
        <w:jc w:val="both"/>
      </w:pPr>
      <w:r>
        <w:rPr>
          <w:b/>
        </w:rPr>
        <w:t>Regulatory cost burden</w:t>
      </w:r>
    </w:p>
    <w:p w14:paraId="11DF2C38" w14:textId="77777777" w:rsidR="005636C7" w:rsidRPr="0085161C" w:rsidRDefault="005636C7" w:rsidP="005636C7">
      <w:pPr>
        <w:spacing w:before="240"/>
        <w:jc w:val="both"/>
        <w:rPr>
          <w:rFonts w:ascii="Garamond" w:hAnsi="Garamond"/>
        </w:rPr>
      </w:pPr>
      <w:r w:rsidRPr="00EF3935">
        <w:t xml:space="preserve">The estimated ‘regulatory cost burden’ on Australian companies </w:t>
      </w:r>
      <w:r>
        <w:t xml:space="preserve">also needs to be factored in to the analysis </w:t>
      </w:r>
      <w:r w:rsidRPr="0085161C">
        <w:t>(</w:t>
      </w:r>
      <w:r>
        <w:t xml:space="preserve">see </w:t>
      </w:r>
      <w:r>
        <w:rPr>
          <w:b/>
        </w:rPr>
        <w:t xml:space="preserve">Table D3 </w:t>
      </w:r>
      <w:r w:rsidRPr="00AC7259">
        <w:t>below</w:t>
      </w:r>
      <w:r w:rsidRPr="0085161C">
        <w:t>). The extra costs are shown for the three regulatory proposals vs Business As Usual.  The table shows the annual total regulatory costs per business and per product. These consist of the additional cost for administration time spent to register a product</w:t>
      </w:r>
      <w:r>
        <w:t xml:space="preserve"> and additional testing costs, but</w:t>
      </w:r>
      <w:r w:rsidRPr="0085161C">
        <w:t xml:space="preserve"> does not include the cost of registration itself.  </w:t>
      </w:r>
    </w:p>
    <w:p w14:paraId="39B00CB4" w14:textId="77777777" w:rsidR="005636C7" w:rsidRPr="00A4439A" w:rsidRDefault="005636C7" w:rsidP="005636C7">
      <w:pPr>
        <w:pStyle w:val="E3BodyText"/>
      </w:pPr>
    </w:p>
    <w:p w14:paraId="31E41D3F" w14:textId="77777777" w:rsidR="005636C7" w:rsidRDefault="005636C7" w:rsidP="005636C7">
      <w:pPr>
        <w:pStyle w:val="E3TableTitles"/>
        <w:rPr>
          <w:lang w:eastAsia="en-AU"/>
        </w:rPr>
      </w:pPr>
    </w:p>
    <w:p w14:paraId="1742DB25" w14:textId="77777777" w:rsidR="005636C7" w:rsidRDefault="005636C7" w:rsidP="005636C7">
      <w:pPr>
        <w:pStyle w:val="E3TableTitles"/>
        <w:rPr>
          <w:lang w:eastAsia="en-AU"/>
        </w:rPr>
      </w:pPr>
    </w:p>
    <w:p w14:paraId="7ADDEB70" w14:textId="77777777" w:rsidR="005636C7" w:rsidRDefault="005636C7" w:rsidP="005636C7">
      <w:pPr>
        <w:pStyle w:val="E3TableTitles"/>
        <w:rPr>
          <w:lang w:eastAsia="en-AU"/>
        </w:rPr>
      </w:pPr>
    </w:p>
    <w:p w14:paraId="2E9E0F17" w14:textId="77777777" w:rsidR="005636C7" w:rsidRDefault="005636C7" w:rsidP="005636C7">
      <w:pPr>
        <w:pStyle w:val="E3TableTitles"/>
        <w:rPr>
          <w:lang w:eastAsia="en-AU"/>
        </w:rPr>
      </w:pPr>
    </w:p>
    <w:p w14:paraId="00B5B250" w14:textId="77777777" w:rsidR="005636C7" w:rsidRPr="00A8723D" w:rsidRDefault="005636C7" w:rsidP="005636C7">
      <w:pPr>
        <w:pStyle w:val="E3TableTitles"/>
      </w:pPr>
      <w:bookmarkStart w:id="374" w:name="_Toc500159674"/>
      <w:r w:rsidRPr="00A8723D">
        <w:rPr>
          <w:lang w:eastAsia="en-AU"/>
        </w:rPr>
        <w:t>Table</w:t>
      </w:r>
      <w:r>
        <w:t xml:space="preserve"> D3</w:t>
      </w:r>
      <w:r w:rsidRPr="00A8723D">
        <w:t>:</w:t>
      </w:r>
      <w:r w:rsidRPr="00A8723D">
        <w:rPr>
          <w:lang w:eastAsia="en-AU"/>
        </w:rPr>
        <w:t xml:space="preserve"> Estimated regulatory burden cost (excluding cost to register in Australia) – for Australian businesses (in $AUD)</w:t>
      </w:r>
      <w:r>
        <w:rPr>
          <w:lang w:eastAsia="en-AU"/>
        </w:rPr>
        <w:t>.</w:t>
      </w:r>
      <w:bookmarkEnd w:id="374"/>
    </w:p>
    <w:p w14:paraId="55864914" w14:textId="77777777" w:rsidR="005636C7" w:rsidRDefault="005636C7" w:rsidP="005636C7">
      <w:pPr>
        <w:pStyle w:val="E3BodyText"/>
      </w:pPr>
      <w:r>
        <w:rPr>
          <w:noProof/>
          <w:lang w:val="en-AU" w:eastAsia="en-AU"/>
        </w:rPr>
        <w:drawing>
          <wp:inline distT="0" distB="0" distL="0" distR="0" wp14:anchorId="219FAB45" wp14:editId="057A35E9">
            <wp:extent cx="5238750" cy="18954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38750" cy="1895475"/>
                    </a:xfrm>
                    <a:prstGeom prst="rect">
                      <a:avLst/>
                    </a:prstGeom>
                  </pic:spPr>
                </pic:pic>
              </a:graphicData>
            </a:graphic>
          </wp:inline>
        </w:drawing>
      </w:r>
    </w:p>
    <w:p w14:paraId="1BAE6FF1" w14:textId="77777777" w:rsidR="005636C7" w:rsidRPr="00796223" w:rsidRDefault="005636C7" w:rsidP="005636C7">
      <w:pPr>
        <w:pStyle w:val="E3BodyText"/>
        <w:jc w:val="both"/>
        <w:rPr>
          <w:rFonts w:cs="Helvetica"/>
        </w:rPr>
      </w:pPr>
      <w:r w:rsidRPr="00796223">
        <w:rPr>
          <w:rFonts w:cs="Helvetica"/>
        </w:rPr>
        <w:t xml:space="preserve">These calculations appear different from those in </w:t>
      </w:r>
      <w:r w:rsidRPr="00796223">
        <w:rPr>
          <w:rFonts w:cs="Helvetica"/>
          <w:b/>
        </w:rPr>
        <w:fldChar w:fldCharType="begin"/>
      </w:r>
      <w:r w:rsidRPr="00796223">
        <w:rPr>
          <w:rFonts w:cs="Helvetica"/>
          <w:b/>
        </w:rPr>
        <w:instrText xml:space="preserve"> REF _Ref450032601 \h  \* MERGEFORMAT </w:instrText>
      </w:r>
      <w:r w:rsidRPr="00796223">
        <w:rPr>
          <w:rFonts w:cs="Helvetica"/>
          <w:b/>
        </w:rPr>
      </w:r>
      <w:r w:rsidRPr="00796223">
        <w:rPr>
          <w:rFonts w:cs="Helvetica"/>
          <w:b/>
        </w:rPr>
        <w:fldChar w:fldCharType="separate"/>
      </w:r>
      <w:r w:rsidR="00AC6998" w:rsidRPr="00AC6998">
        <w:rPr>
          <w:rFonts w:cs="Helvetica"/>
          <w:b/>
        </w:rPr>
        <w:t>Table D 2</w:t>
      </w:r>
      <w:r w:rsidRPr="00796223">
        <w:rPr>
          <w:rFonts w:cs="Helvetica"/>
          <w:b/>
        </w:rPr>
        <w:fldChar w:fldCharType="end"/>
      </w:r>
      <w:r w:rsidRPr="00796223">
        <w:rPr>
          <w:rFonts w:cs="Helvetica"/>
          <w:b/>
        </w:rPr>
        <w:t xml:space="preserve"> </w:t>
      </w:r>
      <w:r w:rsidRPr="00796223">
        <w:rPr>
          <w:rFonts w:cs="Helvetica"/>
        </w:rPr>
        <w:t>(incremental costs of a changed regime) because:</w:t>
      </w:r>
    </w:p>
    <w:p w14:paraId="0E09302B" w14:textId="77777777" w:rsidR="005636C7" w:rsidRPr="00796223" w:rsidRDefault="005636C7" w:rsidP="005636C7">
      <w:pPr>
        <w:pStyle w:val="E3SubSubBullets"/>
        <w:tabs>
          <w:tab w:val="clear" w:pos="720"/>
        </w:tabs>
        <w:ind w:left="964"/>
        <w:jc w:val="both"/>
      </w:pPr>
      <w:r w:rsidRPr="00796223">
        <w:t>Only the costs to Australian businesses are shown here (NZ companies are not included).</w:t>
      </w:r>
    </w:p>
    <w:p w14:paraId="11899D44" w14:textId="77777777" w:rsidR="005636C7" w:rsidRPr="00796223" w:rsidRDefault="005636C7" w:rsidP="005636C7">
      <w:pPr>
        <w:pStyle w:val="E3SubSubBullets"/>
        <w:tabs>
          <w:tab w:val="clear" w:pos="720"/>
        </w:tabs>
        <w:ind w:left="964"/>
        <w:jc w:val="both"/>
      </w:pPr>
      <w:r w:rsidRPr="00796223">
        <w:t xml:space="preserve">The cost per registered model can vary from the full cost to much less because a large number of units may be sold against each registered model. </w:t>
      </w:r>
    </w:p>
    <w:p w14:paraId="676303A8" w14:textId="77777777" w:rsidR="005636C7" w:rsidRPr="00796223" w:rsidRDefault="005636C7" w:rsidP="005636C7">
      <w:pPr>
        <w:pStyle w:val="E3BodyText"/>
        <w:jc w:val="both"/>
        <w:rPr>
          <w:rFonts w:cs="Helvetica"/>
        </w:rPr>
      </w:pPr>
      <w:r w:rsidRPr="00796223">
        <w:rPr>
          <w:rFonts w:cs="Helvetica"/>
        </w:rPr>
        <w:t xml:space="preserve">These total regulatory costs represent between 0.2 % and 0.3% of the sales weighted average equipment cost (of AUD$5,185). </w:t>
      </w:r>
    </w:p>
    <w:p w14:paraId="5C902895" w14:textId="77777777" w:rsidR="005636C7" w:rsidRPr="00796223" w:rsidRDefault="005636C7" w:rsidP="005636C7">
      <w:pPr>
        <w:pStyle w:val="E3BodyText"/>
        <w:jc w:val="both"/>
        <w:rPr>
          <w:rFonts w:cs="Helvetica"/>
        </w:rPr>
      </w:pPr>
      <w:r w:rsidRPr="00796223">
        <w:rPr>
          <w:rFonts w:cs="Helvetica"/>
        </w:rPr>
        <w:t>The following assumptions have been made about these costs and estimates:</w:t>
      </w:r>
    </w:p>
    <w:p w14:paraId="2171D331" w14:textId="77777777" w:rsidR="005636C7" w:rsidRPr="00796223" w:rsidRDefault="005636C7" w:rsidP="005636C7">
      <w:pPr>
        <w:pStyle w:val="E3SubSubBullets"/>
        <w:tabs>
          <w:tab w:val="clear" w:pos="720"/>
        </w:tabs>
        <w:ind w:left="964"/>
        <w:jc w:val="both"/>
      </w:pPr>
      <w:r w:rsidRPr="00796223">
        <w:rPr>
          <w:b/>
        </w:rPr>
        <w:t>Incremental cost per supplier:</w:t>
      </w:r>
      <w:r w:rsidRPr="00796223">
        <w:t xml:space="preserve"> this has been calculated based on the additional cost of current products that may need to be retested, plus the additional test costs under an expanded scope, divided by 75 suppliers in total.  It is based on the broad assumption that each product is registered every three years and therefore there are over 2,000 products that incur testing costs of $6,500.  The registration fee of $780 (in Australia only) is excluded from the calculation as this is treated as a pass-through item in the analysis (i.e., it is not included in the benefits to the government or as a cost to industry).</w:t>
      </w:r>
    </w:p>
    <w:p w14:paraId="26BFCA55" w14:textId="77777777" w:rsidR="005636C7" w:rsidRPr="00796223" w:rsidRDefault="005636C7" w:rsidP="005636C7">
      <w:pPr>
        <w:pStyle w:val="E3SubSubBullets"/>
        <w:numPr>
          <w:ilvl w:val="0"/>
          <w:numId w:val="0"/>
        </w:numPr>
        <w:ind w:left="964"/>
        <w:jc w:val="both"/>
      </w:pPr>
    </w:p>
    <w:p w14:paraId="26C1D5F4" w14:textId="77777777" w:rsidR="005636C7" w:rsidRPr="00796223" w:rsidRDefault="005636C7" w:rsidP="005636C7">
      <w:pPr>
        <w:pStyle w:val="E3SubSubBullets"/>
        <w:tabs>
          <w:tab w:val="clear" w:pos="720"/>
        </w:tabs>
        <w:ind w:left="964"/>
        <w:jc w:val="both"/>
      </w:pPr>
      <w:r w:rsidRPr="00796223">
        <w:rPr>
          <w:b/>
        </w:rPr>
        <w:t>Approximate incremental product cost per sale:</w:t>
      </w:r>
      <w:r w:rsidRPr="00796223">
        <w:t xml:space="preserve"> th</w:t>
      </w:r>
      <w:r>
        <w:t xml:space="preserve">is is calculated based on </w:t>
      </w:r>
      <w:r w:rsidRPr="00796223">
        <w:t>the above costs, divided by 300,000 sales (i.e. 3 years at 100,000 sales per annum).</w:t>
      </w:r>
    </w:p>
    <w:p w14:paraId="7539B885" w14:textId="77777777" w:rsidR="005636C7" w:rsidRDefault="005636C7" w:rsidP="005636C7">
      <w:pPr>
        <w:pStyle w:val="E3Heading2"/>
        <w:spacing w:before="240"/>
        <w:jc w:val="both"/>
        <w:rPr>
          <w:rFonts w:ascii="Georgia" w:hAnsi="Georgia" w:cs="Helvetica"/>
          <w:sz w:val="24"/>
        </w:rPr>
      </w:pPr>
      <w:bookmarkStart w:id="375" w:name="_Toc449708805"/>
      <w:bookmarkStart w:id="376" w:name="_Toc494897991"/>
      <w:bookmarkStart w:id="377" w:name="_Toc494955783"/>
      <w:bookmarkStart w:id="378" w:name="_Toc494959591"/>
      <w:bookmarkStart w:id="379" w:name="_Toc494972717"/>
      <w:bookmarkStart w:id="380" w:name="_Toc494973904"/>
      <w:bookmarkStart w:id="381" w:name="_Toc494974593"/>
    </w:p>
    <w:p w14:paraId="4268C013" w14:textId="77777777" w:rsidR="005636C7" w:rsidRPr="0041262C" w:rsidRDefault="005636C7" w:rsidP="005636C7">
      <w:pPr>
        <w:pStyle w:val="E3Heading2"/>
        <w:spacing w:before="240"/>
        <w:jc w:val="both"/>
        <w:rPr>
          <w:rFonts w:ascii="Georgia" w:hAnsi="Georgia" w:cs="Helvetica"/>
          <w:sz w:val="24"/>
        </w:rPr>
      </w:pPr>
      <w:bookmarkStart w:id="382" w:name="_Toc500151837"/>
      <w:r w:rsidRPr="0041262C">
        <w:rPr>
          <w:rFonts w:ascii="Georgia" w:hAnsi="Georgia" w:cs="Helvetica"/>
          <w:sz w:val="24"/>
        </w:rPr>
        <w:t>Costs of improvements</w:t>
      </w:r>
      <w:bookmarkEnd w:id="375"/>
      <w:bookmarkEnd w:id="376"/>
      <w:bookmarkEnd w:id="377"/>
      <w:bookmarkEnd w:id="378"/>
      <w:bookmarkEnd w:id="379"/>
      <w:bookmarkEnd w:id="380"/>
      <w:bookmarkEnd w:id="381"/>
      <w:bookmarkEnd w:id="382"/>
    </w:p>
    <w:p w14:paraId="479D792F" w14:textId="77777777" w:rsidR="005636C7" w:rsidRPr="00796223" w:rsidRDefault="005636C7" w:rsidP="005636C7">
      <w:pPr>
        <w:pStyle w:val="E3BodyText"/>
        <w:jc w:val="both"/>
        <w:rPr>
          <w:rFonts w:cs="Helvetica"/>
        </w:rPr>
      </w:pPr>
      <w:r w:rsidRPr="00796223">
        <w:rPr>
          <w:rFonts w:cs="Helvetica"/>
        </w:rPr>
        <w:t>A comprehensive desktop review of over 20 brands was undertaken in 2014 of the typical sell prices (or cost to end user) of the sub-types of cabinets. This information was averaged for each group type (</w:t>
      </w:r>
      <w:r w:rsidRPr="00796223">
        <w:rPr>
          <w:rFonts w:cs="Helvetica"/>
          <w:b/>
        </w:rPr>
        <w:t>Table D 3</w:t>
      </w:r>
      <w:r w:rsidRPr="00796223">
        <w:rPr>
          <w:rFonts w:cs="Helvetica"/>
        </w:rPr>
        <w:t>).</w:t>
      </w:r>
    </w:p>
    <w:p w14:paraId="7F3EE992" w14:textId="77777777" w:rsidR="005636C7" w:rsidRPr="000E3C98" w:rsidRDefault="005636C7" w:rsidP="005636C7">
      <w:pPr>
        <w:pStyle w:val="E3BodyText"/>
        <w:jc w:val="both"/>
        <w:rPr>
          <w:rFonts w:cs="Helvetica"/>
        </w:rPr>
      </w:pPr>
      <w:r w:rsidRPr="00796223">
        <w:rPr>
          <w:rFonts w:cs="Helvetica"/>
        </w:rPr>
        <w:t xml:space="preserve">Integral cabinets have the widest range of prices, with prices averaging from AUD $8,800 for an Integral Refrigerated Horizontal (IRH) cabinet to as low as AUD $1,470 for an Integral Freezer Horizontal type IFH-5 with the weighted average by local sale quantity of around $3,200. The New Zealand prices are estimated from the Australian prices based on an exchange rate of 1 $NZ = 0.85 AUD. Prices for 2016-17 used in the CBA were inflated to </w:t>
      </w:r>
      <w:r>
        <w:rPr>
          <w:rFonts w:cs="Helvetica"/>
        </w:rPr>
        <w:t>2016-17 dollars by CPI (1.032).</w:t>
      </w:r>
    </w:p>
    <w:p w14:paraId="2B937CA7" w14:textId="77777777" w:rsidR="005636C7" w:rsidRPr="00F428D8" w:rsidRDefault="005636C7" w:rsidP="005636C7">
      <w:pPr>
        <w:pStyle w:val="E3TableTitles"/>
      </w:pPr>
      <w:bookmarkStart w:id="383" w:name="_Ref450032633"/>
      <w:bookmarkStart w:id="384" w:name="_Toc449708979"/>
      <w:bookmarkStart w:id="385" w:name="_Toc456164777"/>
      <w:bookmarkStart w:id="386" w:name="_Toc500159675"/>
      <w:r>
        <w:t xml:space="preserve">Table D </w:t>
      </w:r>
      <w:r>
        <w:fldChar w:fldCharType="begin"/>
      </w:r>
      <w:r>
        <w:instrText xml:space="preserve"> SEQ Table_D \* ARABIC </w:instrText>
      </w:r>
      <w:r>
        <w:fldChar w:fldCharType="separate"/>
      </w:r>
      <w:r w:rsidR="00AC6998">
        <w:rPr>
          <w:noProof/>
        </w:rPr>
        <w:t>3</w:t>
      </w:r>
      <w:r>
        <w:rPr>
          <w:noProof/>
        </w:rPr>
        <w:fldChar w:fldCharType="end"/>
      </w:r>
      <w:bookmarkEnd w:id="383"/>
      <w:r w:rsidRPr="002705A4">
        <w:t>: Estimated average prices by grouped cabinet type.</w:t>
      </w:r>
      <w:bookmarkEnd w:id="384"/>
      <w:bookmarkEnd w:id="385"/>
      <w:bookmarkEnd w:id="3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921"/>
        <w:gridCol w:w="1923"/>
        <w:gridCol w:w="1923"/>
        <w:gridCol w:w="1923"/>
      </w:tblGrid>
      <w:tr w:rsidR="005636C7" w:rsidRPr="00904B10" w14:paraId="5B2827BF" w14:textId="77777777" w:rsidTr="005636C7">
        <w:tc>
          <w:tcPr>
            <w:tcW w:w="1861" w:type="dxa"/>
            <w:vMerge w:val="restart"/>
            <w:shd w:val="clear" w:color="auto" w:fill="0C0C0C"/>
            <w:vAlign w:val="center"/>
          </w:tcPr>
          <w:p w14:paraId="5421DAD3" w14:textId="77777777" w:rsidR="005636C7" w:rsidRPr="00904B10" w:rsidRDefault="005636C7" w:rsidP="005636C7">
            <w:pPr>
              <w:pStyle w:val="E3TableHeading"/>
            </w:pPr>
            <w:r w:rsidRPr="00904B10">
              <w:t>Grouped cabinet types</w:t>
            </w:r>
          </w:p>
        </w:tc>
        <w:tc>
          <w:tcPr>
            <w:tcW w:w="3939" w:type="dxa"/>
            <w:gridSpan w:val="2"/>
            <w:shd w:val="clear" w:color="auto" w:fill="0C0C0C"/>
            <w:vAlign w:val="center"/>
          </w:tcPr>
          <w:p w14:paraId="31D4A76C" w14:textId="77777777" w:rsidR="005636C7" w:rsidRPr="00904B10" w:rsidRDefault="005636C7" w:rsidP="005636C7">
            <w:pPr>
              <w:pStyle w:val="E3TableHeading"/>
            </w:pPr>
            <w:r w:rsidRPr="00904B10">
              <w:t>Average prices</w:t>
            </w:r>
            <w:r>
              <w:t xml:space="preserve"> (2016/17 dollars)</w:t>
            </w:r>
          </w:p>
        </w:tc>
        <w:tc>
          <w:tcPr>
            <w:tcW w:w="3940" w:type="dxa"/>
            <w:gridSpan w:val="2"/>
            <w:shd w:val="clear" w:color="auto" w:fill="0C0C0C"/>
            <w:vAlign w:val="center"/>
          </w:tcPr>
          <w:p w14:paraId="46279ABF" w14:textId="77777777" w:rsidR="005636C7" w:rsidRPr="00904B10" w:rsidRDefault="005636C7" w:rsidP="005636C7">
            <w:pPr>
              <w:pStyle w:val="E3TableHeading"/>
            </w:pPr>
            <w:r w:rsidRPr="00904B10">
              <w:t xml:space="preserve">Weighted average prices </w:t>
            </w:r>
            <w:r>
              <w:t>(2016/17 dollars)</w:t>
            </w:r>
          </w:p>
          <w:p w14:paraId="78687A49" w14:textId="77777777" w:rsidR="005636C7" w:rsidRPr="00904B10" w:rsidRDefault="005636C7" w:rsidP="005636C7">
            <w:pPr>
              <w:pStyle w:val="E3TableHeading"/>
            </w:pPr>
            <w:r w:rsidRPr="00904B10">
              <w:t>(Based on local sales profile)</w:t>
            </w:r>
          </w:p>
        </w:tc>
      </w:tr>
      <w:tr w:rsidR="005636C7" w:rsidRPr="00904B10" w14:paraId="00935182" w14:textId="77777777" w:rsidTr="005636C7">
        <w:tc>
          <w:tcPr>
            <w:tcW w:w="1861" w:type="dxa"/>
            <w:vMerge/>
            <w:shd w:val="clear" w:color="auto" w:fill="0C0C0C"/>
            <w:vAlign w:val="center"/>
          </w:tcPr>
          <w:p w14:paraId="2E89B383" w14:textId="77777777" w:rsidR="005636C7" w:rsidRPr="0041262C" w:rsidRDefault="005636C7" w:rsidP="005636C7">
            <w:pPr>
              <w:spacing w:before="60" w:after="60"/>
              <w:rPr>
                <w:rFonts w:ascii="Helvetica" w:hAnsi="Helvetica" w:cs="Helvetica"/>
                <w:color w:val="FFFFFF" w:themeColor="background1"/>
                <w:sz w:val="15"/>
                <w:szCs w:val="15"/>
              </w:rPr>
            </w:pPr>
          </w:p>
        </w:tc>
        <w:tc>
          <w:tcPr>
            <w:tcW w:w="1969" w:type="dxa"/>
            <w:shd w:val="clear" w:color="auto" w:fill="0C0C0C"/>
            <w:vAlign w:val="center"/>
          </w:tcPr>
          <w:p w14:paraId="73B87C5B" w14:textId="77777777" w:rsidR="005636C7" w:rsidRPr="00904B10" w:rsidRDefault="005636C7" w:rsidP="005636C7">
            <w:pPr>
              <w:pStyle w:val="E3TableHeading"/>
            </w:pPr>
            <w:r w:rsidRPr="00904B10">
              <w:t>AUD</w:t>
            </w:r>
          </w:p>
        </w:tc>
        <w:tc>
          <w:tcPr>
            <w:tcW w:w="1970" w:type="dxa"/>
            <w:shd w:val="clear" w:color="auto" w:fill="0C0C0C"/>
            <w:vAlign w:val="center"/>
          </w:tcPr>
          <w:p w14:paraId="0787B21D" w14:textId="77777777" w:rsidR="005636C7" w:rsidRPr="00904B10" w:rsidRDefault="005636C7" w:rsidP="005636C7">
            <w:pPr>
              <w:pStyle w:val="E3TableHeading"/>
            </w:pPr>
            <w:r w:rsidRPr="00904B10">
              <w:t>$NZ</w:t>
            </w:r>
          </w:p>
        </w:tc>
        <w:tc>
          <w:tcPr>
            <w:tcW w:w="1970" w:type="dxa"/>
            <w:shd w:val="clear" w:color="auto" w:fill="0C0C0C"/>
            <w:vAlign w:val="center"/>
          </w:tcPr>
          <w:p w14:paraId="7BC8AA2B" w14:textId="77777777" w:rsidR="005636C7" w:rsidRPr="00904B10" w:rsidRDefault="005636C7" w:rsidP="005636C7">
            <w:pPr>
              <w:pStyle w:val="E3TableHeading"/>
            </w:pPr>
            <w:r w:rsidRPr="00904B10">
              <w:t>AUD</w:t>
            </w:r>
          </w:p>
        </w:tc>
        <w:tc>
          <w:tcPr>
            <w:tcW w:w="1970" w:type="dxa"/>
            <w:shd w:val="clear" w:color="auto" w:fill="0C0C0C"/>
            <w:vAlign w:val="center"/>
          </w:tcPr>
          <w:p w14:paraId="5C353732" w14:textId="77777777" w:rsidR="005636C7" w:rsidRPr="00904B10" w:rsidRDefault="005636C7" w:rsidP="005636C7">
            <w:pPr>
              <w:pStyle w:val="E3TableHeading"/>
            </w:pPr>
            <w:r w:rsidRPr="00904B10">
              <w:t>$NZ</w:t>
            </w:r>
          </w:p>
        </w:tc>
      </w:tr>
      <w:tr w:rsidR="005636C7" w:rsidRPr="005A48AF" w14:paraId="3EABD26F" w14:textId="77777777" w:rsidTr="005636C7">
        <w:tc>
          <w:tcPr>
            <w:tcW w:w="1861" w:type="dxa"/>
            <w:vAlign w:val="center"/>
          </w:tcPr>
          <w:p w14:paraId="2EAAA19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IRH</w:t>
            </w:r>
          </w:p>
        </w:tc>
        <w:tc>
          <w:tcPr>
            <w:tcW w:w="1969" w:type="dxa"/>
          </w:tcPr>
          <w:p w14:paraId="63072FD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$9,081</w:t>
            </w:r>
          </w:p>
        </w:tc>
        <w:tc>
          <w:tcPr>
            <w:tcW w:w="1970" w:type="dxa"/>
          </w:tcPr>
          <w:p w14:paraId="25C36A1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$10,683</w:t>
            </w:r>
          </w:p>
        </w:tc>
        <w:tc>
          <w:tcPr>
            <w:tcW w:w="1970" w:type="dxa"/>
            <w:vMerge w:val="restart"/>
            <w:vAlign w:val="center"/>
          </w:tcPr>
          <w:p w14:paraId="54C8E23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$3,351</w:t>
            </w:r>
          </w:p>
        </w:tc>
        <w:tc>
          <w:tcPr>
            <w:tcW w:w="1970" w:type="dxa"/>
            <w:vMerge w:val="restart"/>
            <w:vAlign w:val="center"/>
          </w:tcPr>
          <w:p w14:paraId="399C5D1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$3,943</w:t>
            </w:r>
          </w:p>
        </w:tc>
      </w:tr>
      <w:tr w:rsidR="005636C7" w:rsidRPr="005A48AF" w14:paraId="159AF083" w14:textId="77777777" w:rsidTr="005636C7">
        <w:tc>
          <w:tcPr>
            <w:tcW w:w="1861" w:type="dxa"/>
            <w:vAlign w:val="center"/>
          </w:tcPr>
          <w:p w14:paraId="60B4C41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IRV</w:t>
            </w:r>
          </w:p>
        </w:tc>
        <w:tc>
          <w:tcPr>
            <w:tcW w:w="1969" w:type="dxa"/>
          </w:tcPr>
          <w:p w14:paraId="11D28E8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$5,496</w:t>
            </w:r>
          </w:p>
        </w:tc>
        <w:tc>
          <w:tcPr>
            <w:tcW w:w="1970" w:type="dxa"/>
          </w:tcPr>
          <w:p w14:paraId="55B390E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$6,466</w:t>
            </w:r>
          </w:p>
        </w:tc>
        <w:tc>
          <w:tcPr>
            <w:tcW w:w="1970" w:type="dxa"/>
            <w:vMerge/>
            <w:vAlign w:val="center"/>
          </w:tcPr>
          <w:p w14:paraId="64CB24BE"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604D6EA7" w14:textId="77777777" w:rsidR="005636C7" w:rsidRPr="0041262C" w:rsidRDefault="005636C7" w:rsidP="005636C7">
            <w:pPr>
              <w:pStyle w:val="E3tabletext1"/>
              <w:rPr>
                <w:rFonts w:ascii="Helvetica" w:hAnsi="Helvetica" w:cs="Helvetica"/>
                <w:sz w:val="15"/>
                <w:szCs w:val="15"/>
              </w:rPr>
            </w:pPr>
          </w:p>
        </w:tc>
      </w:tr>
      <w:tr w:rsidR="005636C7" w:rsidRPr="005A48AF" w14:paraId="74E61089" w14:textId="77777777" w:rsidTr="005636C7">
        <w:tc>
          <w:tcPr>
            <w:tcW w:w="1861" w:type="dxa"/>
            <w:vAlign w:val="center"/>
          </w:tcPr>
          <w:p w14:paraId="74097E0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IRV-4</w:t>
            </w:r>
          </w:p>
        </w:tc>
        <w:tc>
          <w:tcPr>
            <w:tcW w:w="1969" w:type="dxa"/>
          </w:tcPr>
          <w:p w14:paraId="2B347B0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$2,885</w:t>
            </w:r>
          </w:p>
        </w:tc>
        <w:tc>
          <w:tcPr>
            <w:tcW w:w="1970" w:type="dxa"/>
          </w:tcPr>
          <w:p w14:paraId="175FB2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$3,394</w:t>
            </w:r>
          </w:p>
        </w:tc>
        <w:tc>
          <w:tcPr>
            <w:tcW w:w="1970" w:type="dxa"/>
            <w:vMerge/>
            <w:vAlign w:val="center"/>
          </w:tcPr>
          <w:p w14:paraId="4D4FA9DF"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0434B3E5" w14:textId="77777777" w:rsidR="005636C7" w:rsidRPr="0041262C" w:rsidRDefault="005636C7" w:rsidP="005636C7">
            <w:pPr>
              <w:pStyle w:val="E3tabletext1"/>
              <w:rPr>
                <w:rFonts w:ascii="Helvetica" w:hAnsi="Helvetica" w:cs="Helvetica"/>
                <w:sz w:val="15"/>
                <w:szCs w:val="15"/>
              </w:rPr>
            </w:pPr>
          </w:p>
        </w:tc>
      </w:tr>
      <w:tr w:rsidR="005636C7" w:rsidRPr="005A48AF" w14:paraId="1C398992" w14:textId="77777777" w:rsidTr="005636C7">
        <w:tc>
          <w:tcPr>
            <w:tcW w:w="1861" w:type="dxa"/>
            <w:vAlign w:val="center"/>
          </w:tcPr>
          <w:p w14:paraId="3915486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w:t>
            </w:r>
          </w:p>
        </w:tc>
        <w:tc>
          <w:tcPr>
            <w:tcW w:w="1969" w:type="dxa"/>
          </w:tcPr>
          <w:p w14:paraId="0086D81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$6,000</w:t>
            </w:r>
          </w:p>
        </w:tc>
        <w:tc>
          <w:tcPr>
            <w:tcW w:w="1970" w:type="dxa"/>
          </w:tcPr>
          <w:p w14:paraId="501D4AF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$7,059</w:t>
            </w:r>
          </w:p>
        </w:tc>
        <w:tc>
          <w:tcPr>
            <w:tcW w:w="1970" w:type="dxa"/>
            <w:vMerge/>
            <w:vAlign w:val="center"/>
          </w:tcPr>
          <w:p w14:paraId="0ED2BB2F"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4563AEE6" w14:textId="77777777" w:rsidR="005636C7" w:rsidRPr="0041262C" w:rsidRDefault="005636C7" w:rsidP="005636C7">
            <w:pPr>
              <w:pStyle w:val="E3tabletext1"/>
              <w:rPr>
                <w:rFonts w:ascii="Helvetica" w:hAnsi="Helvetica" w:cs="Helvetica"/>
                <w:sz w:val="15"/>
                <w:szCs w:val="15"/>
              </w:rPr>
            </w:pPr>
          </w:p>
        </w:tc>
      </w:tr>
      <w:tr w:rsidR="005636C7" w:rsidRPr="005A48AF" w14:paraId="5E8C7F7A" w14:textId="77777777" w:rsidTr="005636C7">
        <w:tc>
          <w:tcPr>
            <w:tcW w:w="1861" w:type="dxa"/>
            <w:vAlign w:val="center"/>
          </w:tcPr>
          <w:p w14:paraId="665F5B9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IFH-5</w:t>
            </w:r>
          </w:p>
        </w:tc>
        <w:tc>
          <w:tcPr>
            <w:tcW w:w="1969" w:type="dxa"/>
          </w:tcPr>
          <w:p w14:paraId="734A6B00"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$1,517</w:t>
            </w:r>
          </w:p>
        </w:tc>
        <w:tc>
          <w:tcPr>
            <w:tcW w:w="1970" w:type="dxa"/>
          </w:tcPr>
          <w:p w14:paraId="08F7DE7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$1,785</w:t>
            </w:r>
          </w:p>
        </w:tc>
        <w:tc>
          <w:tcPr>
            <w:tcW w:w="1970" w:type="dxa"/>
            <w:vMerge/>
            <w:vAlign w:val="center"/>
          </w:tcPr>
          <w:p w14:paraId="281DE0EF"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1D4AEDAB" w14:textId="77777777" w:rsidR="005636C7" w:rsidRPr="0041262C" w:rsidRDefault="005636C7" w:rsidP="005636C7">
            <w:pPr>
              <w:pStyle w:val="E3tabletext1"/>
              <w:rPr>
                <w:rFonts w:ascii="Helvetica" w:hAnsi="Helvetica" w:cs="Helvetica"/>
                <w:sz w:val="15"/>
                <w:szCs w:val="15"/>
              </w:rPr>
            </w:pPr>
          </w:p>
        </w:tc>
      </w:tr>
      <w:tr w:rsidR="005636C7" w:rsidRPr="005A48AF" w14:paraId="7FB01A1B" w14:textId="77777777" w:rsidTr="005636C7">
        <w:tc>
          <w:tcPr>
            <w:tcW w:w="1861" w:type="dxa"/>
            <w:vAlign w:val="center"/>
          </w:tcPr>
          <w:p w14:paraId="4F035AA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IFV</w:t>
            </w:r>
          </w:p>
        </w:tc>
        <w:tc>
          <w:tcPr>
            <w:tcW w:w="1969" w:type="dxa"/>
          </w:tcPr>
          <w:p w14:paraId="4EBA027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$4,997</w:t>
            </w:r>
          </w:p>
        </w:tc>
        <w:tc>
          <w:tcPr>
            <w:tcW w:w="1970" w:type="dxa"/>
          </w:tcPr>
          <w:p w14:paraId="50FCD5A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$5,879</w:t>
            </w:r>
          </w:p>
        </w:tc>
        <w:tc>
          <w:tcPr>
            <w:tcW w:w="1970" w:type="dxa"/>
            <w:vMerge/>
            <w:vAlign w:val="center"/>
          </w:tcPr>
          <w:p w14:paraId="0E9E8799"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72C4B712" w14:textId="77777777" w:rsidR="005636C7" w:rsidRPr="0041262C" w:rsidRDefault="005636C7" w:rsidP="005636C7">
            <w:pPr>
              <w:pStyle w:val="E3tabletext1"/>
              <w:rPr>
                <w:rFonts w:ascii="Helvetica" w:hAnsi="Helvetica" w:cs="Helvetica"/>
                <w:sz w:val="15"/>
                <w:szCs w:val="15"/>
              </w:rPr>
            </w:pPr>
          </w:p>
        </w:tc>
      </w:tr>
      <w:tr w:rsidR="005636C7" w:rsidRPr="005A48AF" w14:paraId="4CB2519C" w14:textId="77777777" w:rsidTr="005636C7">
        <w:tc>
          <w:tcPr>
            <w:tcW w:w="1861" w:type="dxa"/>
            <w:vAlign w:val="center"/>
          </w:tcPr>
          <w:p w14:paraId="21E685A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RRH</w:t>
            </w:r>
          </w:p>
        </w:tc>
        <w:tc>
          <w:tcPr>
            <w:tcW w:w="1969" w:type="dxa"/>
          </w:tcPr>
          <w:p w14:paraId="23A23DA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$13,415</w:t>
            </w:r>
          </w:p>
        </w:tc>
        <w:tc>
          <w:tcPr>
            <w:tcW w:w="1970" w:type="dxa"/>
          </w:tcPr>
          <w:p w14:paraId="2223C4F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$15,782</w:t>
            </w:r>
          </w:p>
        </w:tc>
        <w:tc>
          <w:tcPr>
            <w:tcW w:w="1970" w:type="dxa"/>
            <w:vMerge w:val="restart"/>
            <w:vAlign w:val="center"/>
          </w:tcPr>
          <w:p w14:paraId="5147683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$12,829</w:t>
            </w:r>
          </w:p>
        </w:tc>
        <w:tc>
          <w:tcPr>
            <w:tcW w:w="1970" w:type="dxa"/>
            <w:vMerge w:val="restart"/>
            <w:vAlign w:val="center"/>
          </w:tcPr>
          <w:p w14:paraId="3B7683F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$15,093</w:t>
            </w:r>
          </w:p>
        </w:tc>
      </w:tr>
      <w:tr w:rsidR="005636C7" w:rsidRPr="005A48AF" w14:paraId="1422A25C" w14:textId="77777777" w:rsidTr="005636C7">
        <w:tc>
          <w:tcPr>
            <w:tcW w:w="1861" w:type="dxa"/>
            <w:vAlign w:val="center"/>
          </w:tcPr>
          <w:p w14:paraId="6FF1993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RRV</w:t>
            </w:r>
          </w:p>
        </w:tc>
        <w:tc>
          <w:tcPr>
            <w:tcW w:w="1969" w:type="dxa"/>
          </w:tcPr>
          <w:p w14:paraId="228F16F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$16,510</w:t>
            </w:r>
          </w:p>
        </w:tc>
        <w:tc>
          <w:tcPr>
            <w:tcW w:w="1970" w:type="dxa"/>
          </w:tcPr>
          <w:p w14:paraId="6670C8A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$19,424</w:t>
            </w:r>
          </w:p>
        </w:tc>
        <w:tc>
          <w:tcPr>
            <w:tcW w:w="1970" w:type="dxa"/>
            <w:vMerge/>
            <w:vAlign w:val="center"/>
          </w:tcPr>
          <w:p w14:paraId="0FCFE24E"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3529800F" w14:textId="77777777" w:rsidR="005636C7" w:rsidRPr="0041262C" w:rsidRDefault="005636C7" w:rsidP="005636C7">
            <w:pPr>
              <w:pStyle w:val="E3tabletext1"/>
              <w:rPr>
                <w:rFonts w:ascii="Helvetica" w:hAnsi="Helvetica" w:cs="Helvetica"/>
                <w:sz w:val="15"/>
                <w:szCs w:val="15"/>
              </w:rPr>
            </w:pPr>
          </w:p>
        </w:tc>
      </w:tr>
      <w:tr w:rsidR="005636C7" w:rsidRPr="005A48AF" w14:paraId="0800F32A" w14:textId="77777777" w:rsidTr="005636C7">
        <w:tc>
          <w:tcPr>
            <w:tcW w:w="1861" w:type="dxa"/>
            <w:vAlign w:val="center"/>
          </w:tcPr>
          <w:p w14:paraId="0FBB4DE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RRV-2</w:t>
            </w:r>
          </w:p>
        </w:tc>
        <w:tc>
          <w:tcPr>
            <w:tcW w:w="1969" w:type="dxa"/>
          </w:tcPr>
          <w:p w14:paraId="1FA896B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$10,939</w:t>
            </w:r>
          </w:p>
        </w:tc>
        <w:tc>
          <w:tcPr>
            <w:tcW w:w="1970" w:type="dxa"/>
          </w:tcPr>
          <w:p w14:paraId="21ABF29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$12,870</w:t>
            </w:r>
          </w:p>
        </w:tc>
        <w:tc>
          <w:tcPr>
            <w:tcW w:w="1970" w:type="dxa"/>
            <w:vMerge/>
            <w:vAlign w:val="center"/>
          </w:tcPr>
          <w:p w14:paraId="5C8605C2"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1C97D632" w14:textId="77777777" w:rsidR="005636C7" w:rsidRPr="0041262C" w:rsidRDefault="005636C7" w:rsidP="005636C7">
            <w:pPr>
              <w:pStyle w:val="E3tabletext1"/>
              <w:rPr>
                <w:rFonts w:ascii="Helvetica" w:hAnsi="Helvetica" w:cs="Helvetica"/>
                <w:sz w:val="15"/>
                <w:szCs w:val="15"/>
              </w:rPr>
            </w:pPr>
          </w:p>
        </w:tc>
      </w:tr>
      <w:tr w:rsidR="005636C7" w:rsidRPr="005A48AF" w14:paraId="7FA2F684" w14:textId="77777777" w:rsidTr="005636C7">
        <w:tc>
          <w:tcPr>
            <w:tcW w:w="1861" w:type="dxa"/>
            <w:vAlign w:val="center"/>
          </w:tcPr>
          <w:p w14:paraId="277D522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RFH</w:t>
            </w:r>
          </w:p>
        </w:tc>
        <w:tc>
          <w:tcPr>
            <w:tcW w:w="1969" w:type="dxa"/>
          </w:tcPr>
          <w:p w14:paraId="0DC639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$13,415</w:t>
            </w:r>
          </w:p>
        </w:tc>
        <w:tc>
          <w:tcPr>
            <w:tcW w:w="1970" w:type="dxa"/>
          </w:tcPr>
          <w:p w14:paraId="0898C35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$15,782</w:t>
            </w:r>
          </w:p>
        </w:tc>
        <w:tc>
          <w:tcPr>
            <w:tcW w:w="1970" w:type="dxa"/>
            <w:vMerge/>
            <w:vAlign w:val="center"/>
          </w:tcPr>
          <w:p w14:paraId="678A79EE"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4674886F" w14:textId="77777777" w:rsidR="005636C7" w:rsidRPr="0041262C" w:rsidRDefault="005636C7" w:rsidP="005636C7">
            <w:pPr>
              <w:pStyle w:val="E3tabletext1"/>
              <w:rPr>
                <w:rFonts w:ascii="Helvetica" w:hAnsi="Helvetica" w:cs="Helvetica"/>
                <w:sz w:val="15"/>
                <w:szCs w:val="15"/>
              </w:rPr>
            </w:pPr>
          </w:p>
        </w:tc>
      </w:tr>
      <w:tr w:rsidR="005636C7" w:rsidRPr="005A48AF" w14:paraId="4F6C2D8F" w14:textId="77777777" w:rsidTr="005636C7">
        <w:tc>
          <w:tcPr>
            <w:tcW w:w="1861" w:type="dxa"/>
            <w:vAlign w:val="center"/>
          </w:tcPr>
          <w:p w14:paraId="29D8313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RFV</w:t>
            </w:r>
          </w:p>
        </w:tc>
        <w:tc>
          <w:tcPr>
            <w:tcW w:w="1969" w:type="dxa"/>
          </w:tcPr>
          <w:p w14:paraId="65E60B2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$16,510</w:t>
            </w:r>
          </w:p>
        </w:tc>
        <w:tc>
          <w:tcPr>
            <w:tcW w:w="1970" w:type="dxa"/>
          </w:tcPr>
          <w:p w14:paraId="454621F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$19,424</w:t>
            </w:r>
          </w:p>
        </w:tc>
        <w:tc>
          <w:tcPr>
            <w:tcW w:w="1970" w:type="dxa"/>
            <w:vMerge/>
            <w:vAlign w:val="center"/>
          </w:tcPr>
          <w:p w14:paraId="2E920248" w14:textId="77777777" w:rsidR="005636C7" w:rsidRPr="0041262C" w:rsidRDefault="005636C7" w:rsidP="005636C7">
            <w:pPr>
              <w:pStyle w:val="E3tabletext1"/>
              <w:rPr>
                <w:rFonts w:ascii="Helvetica" w:hAnsi="Helvetica" w:cs="Helvetica"/>
                <w:sz w:val="15"/>
                <w:szCs w:val="15"/>
              </w:rPr>
            </w:pPr>
          </w:p>
        </w:tc>
        <w:tc>
          <w:tcPr>
            <w:tcW w:w="1970" w:type="dxa"/>
            <w:vMerge/>
            <w:vAlign w:val="center"/>
          </w:tcPr>
          <w:p w14:paraId="326E602B" w14:textId="77777777" w:rsidR="005636C7" w:rsidRPr="0041262C" w:rsidRDefault="005636C7" w:rsidP="005636C7">
            <w:pPr>
              <w:pStyle w:val="E3tabletext1"/>
              <w:rPr>
                <w:rFonts w:ascii="Helvetica" w:hAnsi="Helvetica" w:cs="Helvetica"/>
                <w:sz w:val="15"/>
                <w:szCs w:val="15"/>
              </w:rPr>
            </w:pPr>
          </w:p>
        </w:tc>
      </w:tr>
      <w:tr w:rsidR="005636C7" w:rsidRPr="005A48AF" w14:paraId="63462B3E" w14:textId="77777777" w:rsidTr="005636C7">
        <w:tc>
          <w:tcPr>
            <w:tcW w:w="1861" w:type="dxa"/>
            <w:vAlign w:val="center"/>
          </w:tcPr>
          <w:p w14:paraId="041C9BE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SRH</w:t>
            </w:r>
          </w:p>
        </w:tc>
        <w:tc>
          <w:tcPr>
            <w:tcW w:w="1969" w:type="dxa"/>
          </w:tcPr>
          <w:p w14:paraId="58965F7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$3,405</w:t>
            </w:r>
          </w:p>
        </w:tc>
        <w:tc>
          <w:tcPr>
            <w:tcW w:w="1970" w:type="dxa"/>
          </w:tcPr>
          <w:p w14:paraId="1BD90A9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$4,006</w:t>
            </w:r>
          </w:p>
        </w:tc>
        <w:tc>
          <w:tcPr>
            <w:tcW w:w="1970" w:type="dxa"/>
            <w:vMerge w:val="restart"/>
            <w:vAlign w:val="center"/>
          </w:tcPr>
          <w:p w14:paraId="7077D25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$4,768</w:t>
            </w:r>
          </w:p>
        </w:tc>
        <w:tc>
          <w:tcPr>
            <w:tcW w:w="1970" w:type="dxa"/>
            <w:vMerge w:val="restart"/>
            <w:vAlign w:val="center"/>
          </w:tcPr>
          <w:p w14:paraId="3FCE2AA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$5,609</w:t>
            </w:r>
          </w:p>
        </w:tc>
      </w:tr>
      <w:tr w:rsidR="005636C7" w:rsidRPr="005A48AF" w14:paraId="17DC093C" w14:textId="77777777" w:rsidTr="005636C7">
        <w:tc>
          <w:tcPr>
            <w:tcW w:w="1861" w:type="dxa"/>
            <w:vAlign w:val="center"/>
          </w:tcPr>
          <w:p w14:paraId="15F5D1AD"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SRV</w:t>
            </w:r>
          </w:p>
        </w:tc>
        <w:tc>
          <w:tcPr>
            <w:tcW w:w="1969" w:type="dxa"/>
          </w:tcPr>
          <w:p w14:paraId="12799FC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$4,344</w:t>
            </w:r>
          </w:p>
        </w:tc>
        <w:tc>
          <w:tcPr>
            <w:tcW w:w="1970" w:type="dxa"/>
          </w:tcPr>
          <w:p w14:paraId="5EF29B0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$5,111</w:t>
            </w:r>
          </w:p>
        </w:tc>
        <w:tc>
          <w:tcPr>
            <w:tcW w:w="1970" w:type="dxa"/>
            <w:vMerge/>
            <w:vAlign w:val="center"/>
          </w:tcPr>
          <w:p w14:paraId="1C318B26" w14:textId="77777777" w:rsidR="005636C7" w:rsidRPr="005A48AF" w:rsidRDefault="005636C7" w:rsidP="005636C7">
            <w:pPr>
              <w:pStyle w:val="E3tabletext1"/>
            </w:pPr>
          </w:p>
        </w:tc>
        <w:tc>
          <w:tcPr>
            <w:tcW w:w="1970" w:type="dxa"/>
            <w:vMerge/>
            <w:vAlign w:val="center"/>
          </w:tcPr>
          <w:p w14:paraId="33B3E81A" w14:textId="77777777" w:rsidR="005636C7" w:rsidRPr="005A48AF" w:rsidRDefault="005636C7" w:rsidP="005636C7">
            <w:pPr>
              <w:pStyle w:val="E3tabletext1"/>
            </w:pPr>
          </w:p>
        </w:tc>
      </w:tr>
      <w:tr w:rsidR="005636C7" w:rsidRPr="005A48AF" w14:paraId="3E95A256" w14:textId="77777777" w:rsidTr="005636C7">
        <w:tc>
          <w:tcPr>
            <w:tcW w:w="1861" w:type="dxa"/>
            <w:vAlign w:val="center"/>
          </w:tcPr>
          <w:p w14:paraId="6F5B09D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SFH</w:t>
            </w:r>
          </w:p>
        </w:tc>
        <w:tc>
          <w:tcPr>
            <w:tcW w:w="1969" w:type="dxa"/>
          </w:tcPr>
          <w:p w14:paraId="1294EB5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$4,386</w:t>
            </w:r>
          </w:p>
        </w:tc>
        <w:tc>
          <w:tcPr>
            <w:tcW w:w="1970" w:type="dxa"/>
          </w:tcPr>
          <w:p w14:paraId="76158D5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$5,159</w:t>
            </w:r>
          </w:p>
        </w:tc>
        <w:tc>
          <w:tcPr>
            <w:tcW w:w="1970" w:type="dxa"/>
            <w:vMerge/>
            <w:vAlign w:val="center"/>
          </w:tcPr>
          <w:p w14:paraId="33DD5FC3" w14:textId="77777777" w:rsidR="005636C7" w:rsidRPr="005A48AF" w:rsidRDefault="005636C7" w:rsidP="005636C7">
            <w:pPr>
              <w:pStyle w:val="E3tabletext1"/>
            </w:pPr>
          </w:p>
        </w:tc>
        <w:tc>
          <w:tcPr>
            <w:tcW w:w="1970" w:type="dxa"/>
            <w:vMerge/>
            <w:vAlign w:val="center"/>
          </w:tcPr>
          <w:p w14:paraId="4EAF8532" w14:textId="77777777" w:rsidR="005636C7" w:rsidRPr="005A48AF" w:rsidRDefault="005636C7" w:rsidP="005636C7">
            <w:pPr>
              <w:pStyle w:val="E3tabletext1"/>
            </w:pPr>
          </w:p>
        </w:tc>
      </w:tr>
      <w:tr w:rsidR="005636C7" w:rsidRPr="005A48AF" w14:paraId="310F8B99" w14:textId="77777777" w:rsidTr="005636C7">
        <w:tc>
          <w:tcPr>
            <w:tcW w:w="1861" w:type="dxa"/>
            <w:vAlign w:val="center"/>
          </w:tcPr>
          <w:p w14:paraId="0D81888C"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SFV</w:t>
            </w:r>
          </w:p>
        </w:tc>
        <w:tc>
          <w:tcPr>
            <w:tcW w:w="1969" w:type="dxa"/>
          </w:tcPr>
          <w:p w14:paraId="3D602B64"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$6,470</w:t>
            </w:r>
          </w:p>
        </w:tc>
        <w:tc>
          <w:tcPr>
            <w:tcW w:w="1970" w:type="dxa"/>
          </w:tcPr>
          <w:p w14:paraId="2D6D6E93"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$7,612</w:t>
            </w:r>
          </w:p>
        </w:tc>
        <w:tc>
          <w:tcPr>
            <w:tcW w:w="1970" w:type="dxa"/>
            <w:vMerge/>
            <w:vAlign w:val="center"/>
          </w:tcPr>
          <w:p w14:paraId="5A37CFAC" w14:textId="77777777" w:rsidR="005636C7" w:rsidRPr="005A48AF" w:rsidRDefault="005636C7" w:rsidP="005636C7">
            <w:pPr>
              <w:pStyle w:val="E3tabletext1"/>
            </w:pPr>
          </w:p>
        </w:tc>
        <w:tc>
          <w:tcPr>
            <w:tcW w:w="1970" w:type="dxa"/>
            <w:vMerge/>
            <w:vAlign w:val="center"/>
          </w:tcPr>
          <w:p w14:paraId="2A26E442" w14:textId="77777777" w:rsidR="005636C7" w:rsidRPr="005A48AF" w:rsidRDefault="005636C7" w:rsidP="005636C7">
            <w:pPr>
              <w:pStyle w:val="E3tabletext1"/>
            </w:pPr>
          </w:p>
        </w:tc>
      </w:tr>
    </w:tbl>
    <w:p w14:paraId="3C6B3B55" w14:textId="77777777" w:rsidR="005636C7" w:rsidRPr="0041262C" w:rsidRDefault="005636C7" w:rsidP="005636C7">
      <w:pPr>
        <w:pStyle w:val="E3Heading2"/>
        <w:spacing w:before="360"/>
        <w:jc w:val="both"/>
        <w:rPr>
          <w:rFonts w:ascii="Georgia" w:hAnsi="Georgia"/>
          <w:sz w:val="24"/>
        </w:rPr>
      </w:pPr>
      <w:bookmarkStart w:id="387" w:name="_Toc447533632"/>
      <w:bookmarkStart w:id="388" w:name="_Toc449708806"/>
      <w:bookmarkStart w:id="389" w:name="_Toc494897992"/>
      <w:bookmarkStart w:id="390" w:name="_Toc494955784"/>
      <w:bookmarkStart w:id="391" w:name="_Toc494959592"/>
      <w:bookmarkStart w:id="392" w:name="_Toc494972718"/>
      <w:bookmarkStart w:id="393" w:name="_Toc494973905"/>
      <w:bookmarkStart w:id="394" w:name="_Toc494974594"/>
      <w:bookmarkStart w:id="395" w:name="_Toc500151838"/>
      <w:r w:rsidRPr="0041262C">
        <w:rPr>
          <w:rFonts w:ascii="Georgia" w:hAnsi="Georgia"/>
          <w:sz w:val="24"/>
        </w:rPr>
        <w:t>Energy efficiency opportunities and complementary activities</w:t>
      </w:r>
      <w:bookmarkEnd w:id="387"/>
      <w:bookmarkEnd w:id="388"/>
      <w:bookmarkEnd w:id="389"/>
      <w:bookmarkEnd w:id="390"/>
      <w:bookmarkEnd w:id="391"/>
      <w:bookmarkEnd w:id="392"/>
      <w:bookmarkEnd w:id="393"/>
      <w:bookmarkEnd w:id="394"/>
      <w:bookmarkEnd w:id="395"/>
    </w:p>
    <w:p w14:paraId="78D0020B" w14:textId="77777777" w:rsidR="005636C7" w:rsidRPr="00AC7259" w:rsidRDefault="005636C7" w:rsidP="005636C7">
      <w:pPr>
        <w:pStyle w:val="E3BodyText"/>
        <w:jc w:val="both"/>
      </w:pPr>
      <w:r w:rsidRPr="00AC7259">
        <w:t xml:space="preserve">Current cabinet designs use a variety of technologies depending upon supplier preferences and the price points for the markets they are serving. For example, a top of the line model may already incorporate most of the latest technology, such as EC motors, LED lighting and high efficiency compressors while another model targeted at the low end of the market will be more basic. It should be noted that the price differences for some manufacturers’ model ranges do not necessarily reflect the technology used but rather the market tier that they are sold into. As a result, identifying the characteristics of a ‘standard’ cabinet, the potential for improvement and associated costs is complex; however, the conclusions of studies in Europe (EU 2007, EU 2011, EU 2014), which have had substantial involvement from industry, provide a sound indication of potential EE improvements and associated costs. </w:t>
      </w:r>
    </w:p>
    <w:p w14:paraId="5EEB5BDA" w14:textId="77777777" w:rsidR="005636C7" w:rsidRDefault="005636C7" w:rsidP="005636C7">
      <w:pPr>
        <w:pStyle w:val="E3BodyText"/>
        <w:jc w:val="both"/>
      </w:pPr>
    </w:p>
    <w:p w14:paraId="062F9DC7" w14:textId="77777777" w:rsidR="005636C7" w:rsidRDefault="005636C7" w:rsidP="005636C7">
      <w:pPr>
        <w:pStyle w:val="E3BodyText"/>
        <w:jc w:val="both"/>
      </w:pPr>
    </w:p>
    <w:p w14:paraId="6BC49E20" w14:textId="77777777" w:rsidR="005636C7" w:rsidRDefault="005636C7" w:rsidP="005636C7">
      <w:pPr>
        <w:pStyle w:val="E3BodyText"/>
        <w:jc w:val="both"/>
      </w:pPr>
    </w:p>
    <w:p w14:paraId="70F332B9" w14:textId="77777777" w:rsidR="005636C7" w:rsidRDefault="005636C7" w:rsidP="005636C7">
      <w:pPr>
        <w:pStyle w:val="E3BodyText"/>
        <w:jc w:val="both"/>
      </w:pPr>
    </w:p>
    <w:p w14:paraId="3CEDE236" w14:textId="77777777" w:rsidR="005636C7" w:rsidRPr="009D0851" w:rsidRDefault="005636C7" w:rsidP="005636C7">
      <w:pPr>
        <w:pStyle w:val="E3BodyText"/>
        <w:spacing w:after="160"/>
        <w:jc w:val="both"/>
      </w:pPr>
      <w:r w:rsidRPr="009D0851">
        <w:t>The key EE opportunities assessed in this report were:</w:t>
      </w:r>
    </w:p>
    <w:p w14:paraId="0D0C06F7"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Upgrade T8 fluorescent lamps with electromagnetic ballasts to LED lamps.</w:t>
      </w:r>
    </w:p>
    <w:p w14:paraId="2173E0F0"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Controlled LED lighting (i.e. 12 hour LED lamps instead of 24 hour T8 fluorescent lamps).</w:t>
      </w:r>
    </w:p>
    <w:p w14:paraId="75891B4B"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Improve fan-motor(s) efficiency and reduce heat load by switching from shaded pole to EC motors.</w:t>
      </w:r>
    </w:p>
    <w:p w14:paraId="27E910B9"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Electronic thermostat with Energy Management capability replacing mechanical thermostat.</w:t>
      </w:r>
    </w:p>
    <w:p w14:paraId="33334214"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Night blinds on open display cabinets.</w:t>
      </w:r>
    </w:p>
    <w:p w14:paraId="507ACDEF" w14:textId="77777777" w:rsidR="005636C7" w:rsidRPr="009D0851" w:rsidRDefault="005636C7" w:rsidP="000F6ACF">
      <w:pPr>
        <w:pStyle w:val="E3BodyText"/>
        <w:numPr>
          <w:ilvl w:val="0"/>
          <w:numId w:val="18"/>
        </w:numPr>
        <w:autoSpaceDE/>
        <w:autoSpaceDN/>
        <w:adjustRightInd/>
        <w:spacing w:after="160" w:line="278" w:lineRule="auto"/>
        <w:jc w:val="both"/>
      </w:pPr>
      <w:r w:rsidRPr="009D0851">
        <w:t>High efficiency doors on cabinets fitted with transparent doors.</w:t>
      </w:r>
    </w:p>
    <w:p w14:paraId="123B2D68" w14:textId="77777777" w:rsidR="005636C7" w:rsidRPr="009D0851" w:rsidRDefault="005636C7" w:rsidP="000F6ACF">
      <w:pPr>
        <w:pStyle w:val="E3BodyText"/>
        <w:numPr>
          <w:ilvl w:val="0"/>
          <w:numId w:val="18"/>
        </w:numPr>
        <w:autoSpaceDE/>
        <w:autoSpaceDN/>
        <w:adjustRightInd/>
        <w:spacing w:after="240" w:line="278" w:lineRule="auto"/>
        <w:ind w:left="714" w:hanging="357"/>
        <w:jc w:val="both"/>
      </w:pPr>
      <w:r w:rsidRPr="009D0851">
        <w:t>Fitting doors or lids on open display cabinets.</w:t>
      </w:r>
    </w:p>
    <w:p w14:paraId="0349B19F" w14:textId="77777777" w:rsidR="005636C7" w:rsidRDefault="005636C7" w:rsidP="005636C7">
      <w:pPr>
        <w:pStyle w:val="E3BodyText"/>
        <w:spacing w:after="360"/>
        <w:jc w:val="both"/>
      </w:pPr>
      <w:r w:rsidRPr="00AC7259">
        <w:t xml:space="preserve">A thorough review was undertaken of the EU information, plus local costing of key initiatives grouped into typical or complementary packages by cabinet application. </w:t>
      </w:r>
    </w:p>
    <w:p w14:paraId="198283CE" w14:textId="77777777" w:rsidR="00AC6998" w:rsidRDefault="005636C7" w:rsidP="005636C7">
      <w:pPr>
        <w:pStyle w:val="E3BodyText"/>
        <w:jc w:val="both"/>
      </w:pPr>
      <w:r w:rsidRPr="003616D8">
        <w:rPr>
          <w:b/>
        </w:rPr>
        <w:fldChar w:fldCharType="begin"/>
      </w:r>
      <w:r w:rsidRPr="003616D8">
        <w:rPr>
          <w:b/>
        </w:rPr>
        <w:instrText xml:space="preserve"> REF _Ref450032670 \h  \* MERGEFORMAT </w:instrText>
      </w:r>
      <w:r w:rsidRPr="003616D8">
        <w:rPr>
          <w:b/>
        </w:rPr>
      </w:r>
      <w:r w:rsidRPr="003616D8">
        <w:rPr>
          <w:b/>
        </w:rPr>
        <w:fldChar w:fldCharType="separate"/>
      </w:r>
      <w:r w:rsidR="00AC6998" w:rsidRPr="00AC6998">
        <w:rPr>
          <w:b/>
        </w:rPr>
        <w:t xml:space="preserve">s and </w:t>
      </w:r>
      <w:r w:rsidR="00AC6998" w:rsidRPr="00AC6998">
        <w:rPr>
          <w:b/>
          <w:noProof/>
        </w:rPr>
        <w:t>an</w:t>
      </w:r>
      <w:r w:rsidR="00AC6998">
        <w:t xml:space="preserve"> electronic thermostat.</w:t>
      </w:r>
    </w:p>
    <w:p w14:paraId="3F072C02" w14:textId="77777777" w:rsidR="00AC6998" w:rsidRDefault="00AC6998" w:rsidP="00AC6998">
      <w:pPr>
        <w:pStyle w:val="E3BodyText"/>
        <w:jc w:val="both"/>
      </w:pPr>
    </w:p>
    <w:p w14:paraId="65E34775" w14:textId="77777777" w:rsidR="005636C7" w:rsidRDefault="00AC6998" w:rsidP="005636C7">
      <w:pPr>
        <w:pStyle w:val="E3BodyText"/>
        <w:jc w:val="both"/>
      </w:pPr>
      <w:r>
        <w:t xml:space="preserve">Table D </w:t>
      </w:r>
      <w:r>
        <w:rPr>
          <w:noProof/>
        </w:rPr>
        <w:t>4</w:t>
      </w:r>
      <w:r w:rsidR="005636C7" w:rsidRPr="003616D8">
        <w:rPr>
          <w:b/>
        </w:rPr>
        <w:fldChar w:fldCharType="end"/>
      </w:r>
      <w:r w:rsidR="005636C7" w:rsidRPr="00AC7259">
        <w:rPr>
          <w:b/>
        </w:rPr>
        <w:t xml:space="preserve"> </w:t>
      </w:r>
      <w:r w:rsidR="005636C7" w:rsidRPr="00AC7259">
        <w:t xml:space="preserve">shows the initiatives grouped into </w:t>
      </w:r>
      <w:r w:rsidR="005636C7">
        <w:t xml:space="preserve">the </w:t>
      </w:r>
      <w:r w:rsidR="005636C7" w:rsidRPr="00AC7259">
        <w:t xml:space="preserve">complementary energy efficiency activities </w:t>
      </w:r>
      <w:r w:rsidR="005636C7">
        <w:t>EE</w:t>
      </w:r>
      <w:r w:rsidR="005636C7" w:rsidRPr="00AC7259">
        <w:t xml:space="preserve">I to </w:t>
      </w:r>
      <w:r w:rsidR="005636C7">
        <w:t>EE</w:t>
      </w:r>
      <w:r w:rsidR="005636C7" w:rsidRPr="00AC7259">
        <w:t xml:space="preserve">V, and circumstances where they can be applied. There are some instances where interventions are not applicable – for example </w:t>
      </w:r>
      <w:r w:rsidR="005636C7">
        <w:t xml:space="preserve">it does not may sense to </w:t>
      </w:r>
      <w:r w:rsidR="005636C7" w:rsidRPr="00AC7259">
        <w:t>apply translucent or HE doors or controlled LED lighting to cabinets with solid doors</w:t>
      </w:r>
      <w:r w:rsidR="005636C7">
        <w:t xml:space="preserve">. </w:t>
      </w:r>
      <w:r w:rsidR="005636C7" w:rsidRPr="00AC7259">
        <w:t>Whereas cabinets with closed solid doors could achieve efficiency gains by using EC fan motor</w:t>
      </w:r>
      <w:bookmarkStart w:id="396" w:name="_Ref450032670"/>
      <w:bookmarkStart w:id="397" w:name="_Toc449708980"/>
      <w:bookmarkStart w:id="398" w:name="_Toc449968536"/>
      <w:bookmarkStart w:id="399" w:name="_Toc456164778"/>
      <w:r w:rsidR="005636C7">
        <w:t>s and an electronic thermostat.</w:t>
      </w:r>
    </w:p>
    <w:p w14:paraId="6DB49050" w14:textId="77777777" w:rsidR="004E6AC5" w:rsidRDefault="004E6AC5" w:rsidP="005636C7">
      <w:pPr>
        <w:pStyle w:val="E3TableTitles"/>
        <w:spacing w:before="240" w:after="240"/>
      </w:pPr>
      <w:bookmarkStart w:id="400" w:name="_Toc500159676"/>
    </w:p>
    <w:p w14:paraId="3EE0345C" w14:textId="77777777" w:rsidR="005636C7" w:rsidRDefault="005636C7" w:rsidP="005636C7">
      <w:pPr>
        <w:pStyle w:val="E3TableTitles"/>
        <w:spacing w:before="240" w:after="240"/>
      </w:pPr>
      <w:r>
        <w:t xml:space="preserve">Table D </w:t>
      </w:r>
      <w:r>
        <w:fldChar w:fldCharType="begin"/>
      </w:r>
      <w:r>
        <w:instrText xml:space="preserve"> SEQ Table_D \* ARABIC </w:instrText>
      </w:r>
      <w:r>
        <w:fldChar w:fldCharType="separate"/>
      </w:r>
      <w:r w:rsidR="00AC6998">
        <w:rPr>
          <w:noProof/>
        </w:rPr>
        <w:t>4</w:t>
      </w:r>
      <w:r>
        <w:rPr>
          <w:noProof/>
        </w:rPr>
        <w:fldChar w:fldCharType="end"/>
      </w:r>
      <w:bookmarkEnd w:id="396"/>
      <w:r w:rsidRPr="002705A4">
        <w:t>: Combination of energy efficiency improvement measures by cabinet application.</w:t>
      </w:r>
      <w:bookmarkEnd w:id="397"/>
      <w:bookmarkEnd w:id="398"/>
      <w:bookmarkEnd w:id="399"/>
      <w:bookmarkEnd w:id="40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553"/>
        <w:gridCol w:w="1553"/>
        <w:gridCol w:w="1553"/>
        <w:gridCol w:w="1553"/>
        <w:gridCol w:w="1553"/>
      </w:tblGrid>
      <w:tr w:rsidR="005636C7" w:rsidRPr="0008605B" w14:paraId="197C9A57" w14:textId="77777777" w:rsidTr="005636C7">
        <w:trPr>
          <w:trHeight w:val="454"/>
        </w:trPr>
        <w:tc>
          <w:tcPr>
            <w:tcW w:w="9639" w:type="dxa"/>
            <w:gridSpan w:val="6"/>
            <w:shd w:val="clear" w:color="auto" w:fill="auto"/>
            <w:vAlign w:val="center"/>
          </w:tcPr>
          <w:p w14:paraId="3A458E9B" w14:textId="77777777" w:rsidR="005636C7" w:rsidRPr="0008605B" w:rsidRDefault="005636C7" w:rsidP="005636C7">
            <w:pPr>
              <w:pStyle w:val="E3TableHeading"/>
            </w:pPr>
            <w:r w:rsidRPr="0008605B">
              <w:t>Combination of energy efficiency measures assessed</w:t>
            </w:r>
          </w:p>
        </w:tc>
      </w:tr>
      <w:tr w:rsidR="005636C7" w:rsidRPr="007A6253" w14:paraId="34C055C0" w14:textId="77777777" w:rsidTr="005636C7">
        <w:trPr>
          <w:trHeight w:val="454"/>
        </w:trPr>
        <w:tc>
          <w:tcPr>
            <w:tcW w:w="1874" w:type="dxa"/>
            <w:shd w:val="clear" w:color="auto" w:fill="000000"/>
            <w:vAlign w:val="center"/>
          </w:tcPr>
          <w:p w14:paraId="5C39C0C3" w14:textId="77777777" w:rsidR="005636C7" w:rsidRPr="0040008A" w:rsidRDefault="005636C7" w:rsidP="005636C7">
            <w:pPr>
              <w:pStyle w:val="E3TableHeading"/>
              <w:jc w:val="center"/>
            </w:pPr>
            <w:r w:rsidRPr="0040008A">
              <w:t xml:space="preserve">EE </w:t>
            </w:r>
            <w:r>
              <w:t>Interventions</w:t>
            </w:r>
          </w:p>
        </w:tc>
        <w:tc>
          <w:tcPr>
            <w:tcW w:w="1553" w:type="dxa"/>
            <w:shd w:val="clear" w:color="auto" w:fill="000000"/>
            <w:vAlign w:val="center"/>
          </w:tcPr>
          <w:p w14:paraId="2EA4EBC8" w14:textId="77777777" w:rsidR="005636C7" w:rsidRPr="007A6253" w:rsidRDefault="005636C7" w:rsidP="005636C7">
            <w:pPr>
              <w:pStyle w:val="E3TableHeading"/>
              <w:jc w:val="center"/>
              <w:rPr>
                <w:szCs w:val="22"/>
              </w:rPr>
            </w:pPr>
            <w:r>
              <w:rPr>
                <w:szCs w:val="22"/>
              </w:rPr>
              <w:t>I</w:t>
            </w:r>
          </w:p>
        </w:tc>
        <w:tc>
          <w:tcPr>
            <w:tcW w:w="1553" w:type="dxa"/>
            <w:shd w:val="clear" w:color="auto" w:fill="000000"/>
            <w:vAlign w:val="center"/>
          </w:tcPr>
          <w:p w14:paraId="07F62390" w14:textId="77777777" w:rsidR="005636C7" w:rsidRPr="007A6253" w:rsidRDefault="005636C7" w:rsidP="005636C7">
            <w:pPr>
              <w:pStyle w:val="E3TableHeading"/>
              <w:jc w:val="center"/>
              <w:rPr>
                <w:szCs w:val="22"/>
              </w:rPr>
            </w:pPr>
            <w:r>
              <w:rPr>
                <w:szCs w:val="22"/>
              </w:rPr>
              <w:t>II</w:t>
            </w:r>
          </w:p>
        </w:tc>
        <w:tc>
          <w:tcPr>
            <w:tcW w:w="1553" w:type="dxa"/>
            <w:shd w:val="clear" w:color="auto" w:fill="000000"/>
            <w:vAlign w:val="center"/>
          </w:tcPr>
          <w:p w14:paraId="08BEFEDE" w14:textId="77777777" w:rsidR="005636C7" w:rsidRPr="007A6253" w:rsidRDefault="005636C7" w:rsidP="005636C7">
            <w:pPr>
              <w:pStyle w:val="E3TableHeading"/>
              <w:jc w:val="center"/>
              <w:rPr>
                <w:szCs w:val="22"/>
              </w:rPr>
            </w:pPr>
            <w:r>
              <w:rPr>
                <w:szCs w:val="22"/>
              </w:rPr>
              <w:t>III</w:t>
            </w:r>
          </w:p>
        </w:tc>
        <w:tc>
          <w:tcPr>
            <w:tcW w:w="1553" w:type="dxa"/>
            <w:shd w:val="clear" w:color="auto" w:fill="000000"/>
            <w:vAlign w:val="center"/>
          </w:tcPr>
          <w:p w14:paraId="22443CED" w14:textId="77777777" w:rsidR="005636C7" w:rsidRPr="007A6253" w:rsidRDefault="005636C7" w:rsidP="005636C7">
            <w:pPr>
              <w:pStyle w:val="E3TableHeading"/>
              <w:jc w:val="center"/>
              <w:rPr>
                <w:szCs w:val="22"/>
              </w:rPr>
            </w:pPr>
            <w:r>
              <w:rPr>
                <w:szCs w:val="22"/>
              </w:rPr>
              <w:t>IV</w:t>
            </w:r>
          </w:p>
        </w:tc>
        <w:tc>
          <w:tcPr>
            <w:tcW w:w="1553" w:type="dxa"/>
            <w:shd w:val="clear" w:color="auto" w:fill="000000"/>
            <w:vAlign w:val="center"/>
          </w:tcPr>
          <w:p w14:paraId="2EE2255E" w14:textId="77777777" w:rsidR="005636C7" w:rsidRPr="007A6253" w:rsidRDefault="005636C7" w:rsidP="005636C7">
            <w:pPr>
              <w:pStyle w:val="E3TableHeading"/>
              <w:jc w:val="center"/>
              <w:rPr>
                <w:szCs w:val="22"/>
              </w:rPr>
            </w:pPr>
            <w:r>
              <w:rPr>
                <w:szCs w:val="22"/>
              </w:rPr>
              <w:t>V</w:t>
            </w:r>
          </w:p>
        </w:tc>
      </w:tr>
      <w:tr w:rsidR="005636C7" w:rsidRPr="00701317" w14:paraId="1A8F831A" w14:textId="77777777" w:rsidTr="005636C7">
        <w:trPr>
          <w:trHeight w:val="454"/>
        </w:trPr>
        <w:tc>
          <w:tcPr>
            <w:tcW w:w="1874" w:type="dxa"/>
          </w:tcPr>
          <w:p w14:paraId="51A66EF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Controlled LED lighting</w:t>
            </w:r>
          </w:p>
        </w:tc>
        <w:tc>
          <w:tcPr>
            <w:tcW w:w="1553" w:type="dxa"/>
            <w:shd w:val="clear" w:color="auto" w:fill="E6E6E6"/>
            <w:vAlign w:val="center"/>
          </w:tcPr>
          <w:p w14:paraId="78FC70EA"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0784CA21"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C4B170D"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7C01701"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5F3F4D90"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01317" w14:paraId="7C2BF11F" w14:textId="77777777" w:rsidTr="005636C7">
        <w:trPr>
          <w:trHeight w:val="454"/>
        </w:trPr>
        <w:tc>
          <w:tcPr>
            <w:tcW w:w="1874" w:type="dxa"/>
          </w:tcPr>
          <w:p w14:paraId="0EA5449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EC fan motor(s)</w:t>
            </w:r>
          </w:p>
        </w:tc>
        <w:tc>
          <w:tcPr>
            <w:tcW w:w="1553" w:type="dxa"/>
            <w:vAlign w:val="center"/>
          </w:tcPr>
          <w:p w14:paraId="75459EB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AE692FF"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AA2033F"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4637415"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6692E8F"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01317" w14:paraId="16EA6FE2" w14:textId="77777777" w:rsidTr="005636C7">
        <w:trPr>
          <w:trHeight w:val="454"/>
        </w:trPr>
        <w:tc>
          <w:tcPr>
            <w:tcW w:w="1874" w:type="dxa"/>
          </w:tcPr>
          <w:p w14:paraId="3CCE35E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Electronic thermostat</w:t>
            </w:r>
          </w:p>
        </w:tc>
        <w:tc>
          <w:tcPr>
            <w:tcW w:w="1553" w:type="dxa"/>
            <w:vAlign w:val="center"/>
          </w:tcPr>
          <w:p w14:paraId="4DF70B0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196EEE2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4FB30324"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18C660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2232EE3D"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01317" w14:paraId="74998AA2" w14:textId="77777777" w:rsidTr="005636C7">
        <w:trPr>
          <w:trHeight w:val="454"/>
        </w:trPr>
        <w:tc>
          <w:tcPr>
            <w:tcW w:w="1874" w:type="dxa"/>
          </w:tcPr>
          <w:p w14:paraId="3AD2DCC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Night blinds</w:t>
            </w:r>
          </w:p>
        </w:tc>
        <w:tc>
          <w:tcPr>
            <w:tcW w:w="1553" w:type="dxa"/>
            <w:shd w:val="clear" w:color="auto" w:fill="E6E6E6"/>
            <w:vAlign w:val="center"/>
          </w:tcPr>
          <w:p w14:paraId="466CE0E3"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59FC4472"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3DDABD6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0BA0F927"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398313C0" w14:textId="77777777" w:rsidR="005636C7" w:rsidRPr="0041262C" w:rsidRDefault="005636C7" w:rsidP="005636C7">
            <w:pPr>
              <w:pStyle w:val="E3tabletext1"/>
              <w:rPr>
                <w:rFonts w:ascii="Helvetica" w:hAnsi="Helvetica" w:cs="Helvetica"/>
                <w:sz w:val="15"/>
                <w:szCs w:val="15"/>
              </w:rPr>
            </w:pPr>
          </w:p>
        </w:tc>
      </w:tr>
      <w:tr w:rsidR="005636C7" w:rsidRPr="00701317" w14:paraId="1ADF4AA5" w14:textId="77777777" w:rsidTr="005636C7">
        <w:trPr>
          <w:trHeight w:val="454"/>
        </w:trPr>
        <w:tc>
          <w:tcPr>
            <w:tcW w:w="1874" w:type="dxa"/>
          </w:tcPr>
          <w:p w14:paraId="4168598B"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Fit doors on open display cabinets</w:t>
            </w:r>
          </w:p>
        </w:tc>
        <w:tc>
          <w:tcPr>
            <w:tcW w:w="1553" w:type="dxa"/>
            <w:shd w:val="clear" w:color="auto" w:fill="E6E6E6"/>
            <w:vAlign w:val="center"/>
          </w:tcPr>
          <w:p w14:paraId="5B400A87"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42E0BF80"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431F5EE7"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25888FBF"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02FF655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r>
      <w:tr w:rsidR="005636C7" w:rsidRPr="00701317" w14:paraId="7FEC9A06" w14:textId="77777777" w:rsidTr="005636C7">
        <w:trPr>
          <w:trHeight w:val="454"/>
        </w:trPr>
        <w:tc>
          <w:tcPr>
            <w:tcW w:w="1874" w:type="dxa"/>
          </w:tcPr>
          <w:p w14:paraId="033F4A7A"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High efficiency doors</w:t>
            </w:r>
          </w:p>
        </w:tc>
        <w:tc>
          <w:tcPr>
            <w:tcW w:w="1553" w:type="dxa"/>
            <w:shd w:val="clear" w:color="auto" w:fill="E6E6E6"/>
            <w:vAlign w:val="center"/>
          </w:tcPr>
          <w:p w14:paraId="2E18ED15"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0D4C1268"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3A6AC6BF"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2D57523F"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09FB11F5" w14:textId="77777777" w:rsidR="005636C7" w:rsidRPr="0041262C" w:rsidRDefault="005636C7" w:rsidP="005636C7">
            <w:pPr>
              <w:pStyle w:val="E3tabletext1"/>
              <w:rPr>
                <w:rFonts w:ascii="Helvetica" w:hAnsi="Helvetica" w:cs="Helvetica"/>
                <w:sz w:val="15"/>
                <w:szCs w:val="15"/>
              </w:rPr>
            </w:pPr>
          </w:p>
        </w:tc>
      </w:tr>
      <w:tr w:rsidR="005636C7" w:rsidRPr="007A6253" w14:paraId="038C5BBC" w14:textId="77777777" w:rsidTr="005636C7">
        <w:trPr>
          <w:trHeight w:val="454"/>
        </w:trPr>
        <w:tc>
          <w:tcPr>
            <w:tcW w:w="9639" w:type="dxa"/>
            <w:gridSpan w:val="6"/>
            <w:vAlign w:val="center"/>
          </w:tcPr>
          <w:p w14:paraId="32DDD6F6" w14:textId="77777777" w:rsidR="005636C7" w:rsidRPr="007A6253" w:rsidRDefault="005636C7" w:rsidP="005636C7">
            <w:pPr>
              <w:pStyle w:val="E3TableHeading"/>
            </w:pPr>
            <w:r>
              <w:t>Circumstances where the above groups of EE interventions would be suitable</w:t>
            </w:r>
          </w:p>
        </w:tc>
      </w:tr>
      <w:tr w:rsidR="005636C7" w:rsidRPr="007A6253" w14:paraId="63553BA3" w14:textId="77777777" w:rsidTr="005636C7">
        <w:trPr>
          <w:trHeight w:val="454"/>
        </w:trPr>
        <w:tc>
          <w:tcPr>
            <w:tcW w:w="1874" w:type="dxa"/>
            <w:shd w:val="clear" w:color="auto" w:fill="000000"/>
            <w:vAlign w:val="center"/>
          </w:tcPr>
          <w:p w14:paraId="3AA7EFE6" w14:textId="77777777" w:rsidR="005636C7" w:rsidRPr="0040008A" w:rsidRDefault="005636C7" w:rsidP="005636C7">
            <w:pPr>
              <w:pStyle w:val="E3TableHeading"/>
              <w:jc w:val="center"/>
            </w:pPr>
            <w:r w:rsidRPr="0040008A">
              <w:t xml:space="preserve">EE </w:t>
            </w:r>
            <w:r>
              <w:t>Interventions</w:t>
            </w:r>
          </w:p>
        </w:tc>
        <w:tc>
          <w:tcPr>
            <w:tcW w:w="1553" w:type="dxa"/>
            <w:shd w:val="clear" w:color="auto" w:fill="000000"/>
            <w:vAlign w:val="center"/>
          </w:tcPr>
          <w:p w14:paraId="57AB11A9" w14:textId="77777777" w:rsidR="005636C7" w:rsidRPr="007A6253" w:rsidRDefault="005636C7" w:rsidP="005636C7">
            <w:pPr>
              <w:pStyle w:val="E3TableHeading"/>
              <w:jc w:val="center"/>
              <w:rPr>
                <w:szCs w:val="22"/>
              </w:rPr>
            </w:pPr>
            <w:r>
              <w:rPr>
                <w:szCs w:val="22"/>
              </w:rPr>
              <w:t>I</w:t>
            </w:r>
          </w:p>
        </w:tc>
        <w:tc>
          <w:tcPr>
            <w:tcW w:w="1553" w:type="dxa"/>
            <w:shd w:val="clear" w:color="auto" w:fill="000000"/>
            <w:vAlign w:val="center"/>
          </w:tcPr>
          <w:p w14:paraId="58D168B2" w14:textId="77777777" w:rsidR="005636C7" w:rsidRPr="007A6253" w:rsidRDefault="005636C7" w:rsidP="005636C7">
            <w:pPr>
              <w:pStyle w:val="E3TableHeading"/>
              <w:jc w:val="center"/>
              <w:rPr>
                <w:szCs w:val="22"/>
              </w:rPr>
            </w:pPr>
            <w:r>
              <w:rPr>
                <w:szCs w:val="22"/>
              </w:rPr>
              <w:t>II</w:t>
            </w:r>
          </w:p>
        </w:tc>
        <w:tc>
          <w:tcPr>
            <w:tcW w:w="1553" w:type="dxa"/>
            <w:shd w:val="clear" w:color="auto" w:fill="000000"/>
            <w:vAlign w:val="center"/>
          </w:tcPr>
          <w:p w14:paraId="74AA4882" w14:textId="77777777" w:rsidR="005636C7" w:rsidRPr="007A6253" w:rsidRDefault="005636C7" w:rsidP="005636C7">
            <w:pPr>
              <w:pStyle w:val="E3TableHeading"/>
              <w:jc w:val="center"/>
              <w:rPr>
                <w:szCs w:val="22"/>
              </w:rPr>
            </w:pPr>
            <w:r>
              <w:rPr>
                <w:szCs w:val="22"/>
              </w:rPr>
              <w:t>III</w:t>
            </w:r>
          </w:p>
        </w:tc>
        <w:tc>
          <w:tcPr>
            <w:tcW w:w="1553" w:type="dxa"/>
            <w:shd w:val="clear" w:color="auto" w:fill="000000"/>
            <w:vAlign w:val="center"/>
          </w:tcPr>
          <w:p w14:paraId="43AC86E2" w14:textId="77777777" w:rsidR="005636C7" w:rsidRPr="007A6253" w:rsidRDefault="005636C7" w:rsidP="005636C7">
            <w:pPr>
              <w:pStyle w:val="E3TableHeading"/>
              <w:jc w:val="center"/>
              <w:rPr>
                <w:szCs w:val="22"/>
              </w:rPr>
            </w:pPr>
            <w:r>
              <w:rPr>
                <w:szCs w:val="22"/>
              </w:rPr>
              <w:t>IV</w:t>
            </w:r>
          </w:p>
        </w:tc>
        <w:tc>
          <w:tcPr>
            <w:tcW w:w="1553" w:type="dxa"/>
            <w:shd w:val="clear" w:color="auto" w:fill="000000"/>
            <w:vAlign w:val="center"/>
          </w:tcPr>
          <w:p w14:paraId="4CBF560E" w14:textId="77777777" w:rsidR="005636C7" w:rsidRPr="007A6253" w:rsidRDefault="005636C7" w:rsidP="005636C7">
            <w:pPr>
              <w:pStyle w:val="E3TableHeading"/>
              <w:jc w:val="center"/>
              <w:rPr>
                <w:szCs w:val="22"/>
              </w:rPr>
            </w:pPr>
            <w:r>
              <w:rPr>
                <w:szCs w:val="22"/>
              </w:rPr>
              <w:t>V</w:t>
            </w:r>
          </w:p>
        </w:tc>
      </w:tr>
      <w:tr w:rsidR="005636C7" w:rsidRPr="007A6253" w14:paraId="2699FBCC" w14:textId="77777777" w:rsidTr="005636C7">
        <w:trPr>
          <w:trHeight w:val="454"/>
        </w:trPr>
        <w:tc>
          <w:tcPr>
            <w:tcW w:w="1874" w:type="dxa"/>
            <w:vAlign w:val="center"/>
          </w:tcPr>
          <w:p w14:paraId="57DDD34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Closed solid door cabinets</w:t>
            </w:r>
          </w:p>
        </w:tc>
        <w:tc>
          <w:tcPr>
            <w:tcW w:w="1553" w:type="dxa"/>
            <w:vAlign w:val="center"/>
          </w:tcPr>
          <w:p w14:paraId="73FF165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1C08253A"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7F88E906"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42608BE8"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0CE41F85" w14:textId="77777777" w:rsidR="005636C7" w:rsidRPr="0041262C" w:rsidRDefault="005636C7" w:rsidP="005636C7">
            <w:pPr>
              <w:pStyle w:val="E3tabletext1"/>
              <w:rPr>
                <w:rFonts w:ascii="Helvetica" w:hAnsi="Helvetica" w:cs="Helvetica"/>
                <w:sz w:val="15"/>
                <w:szCs w:val="15"/>
              </w:rPr>
            </w:pPr>
          </w:p>
        </w:tc>
      </w:tr>
      <w:tr w:rsidR="005636C7" w:rsidRPr="007A6253" w14:paraId="6E76F673" w14:textId="77777777" w:rsidTr="005636C7">
        <w:trPr>
          <w:trHeight w:val="454"/>
        </w:trPr>
        <w:tc>
          <w:tcPr>
            <w:tcW w:w="1874" w:type="dxa"/>
            <w:vAlign w:val="center"/>
          </w:tcPr>
          <w:p w14:paraId="7C5D89B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Supermarket – Plugins</w:t>
            </w:r>
          </w:p>
        </w:tc>
        <w:tc>
          <w:tcPr>
            <w:tcW w:w="1553" w:type="dxa"/>
            <w:shd w:val="clear" w:color="auto" w:fill="E6E6E6"/>
            <w:vAlign w:val="center"/>
          </w:tcPr>
          <w:p w14:paraId="2B790BB2"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5DC279D0"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08C80BB7"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7D761536"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618BF7D"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r>
      <w:tr w:rsidR="005636C7" w:rsidRPr="007A6253" w14:paraId="07A29A51" w14:textId="77777777" w:rsidTr="005636C7">
        <w:trPr>
          <w:trHeight w:val="454"/>
        </w:trPr>
        <w:tc>
          <w:tcPr>
            <w:tcW w:w="1874" w:type="dxa"/>
            <w:vAlign w:val="bottom"/>
          </w:tcPr>
          <w:p w14:paraId="64D98406"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color w:val="000000"/>
                <w:sz w:val="15"/>
                <w:szCs w:val="15"/>
              </w:rPr>
              <w:t>All cabinets except solid door</w:t>
            </w:r>
          </w:p>
        </w:tc>
        <w:tc>
          <w:tcPr>
            <w:tcW w:w="1553" w:type="dxa"/>
            <w:shd w:val="clear" w:color="auto" w:fill="E6E6E6"/>
            <w:vAlign w:val="center"/>
          </w:tcPr>
          <w:p w14:paraId="07AAC9E7"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3E104FBA"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12CF5DE0"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vAlign w:val="center"/>
          </w:tcPr>
          <w:p w14:paraId="385122E8" w14:textId="77777777" w:rsidR="005636C7" w:rsidRPr="0041262C" w:rsidRDefault="005636C7" w:rsidP="005636C7">
            <w:pPr>
              <w:jc w:val="center"/>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1BB4F187" w14:textId="77777777" w:rsidR="005636C7" w:rsidRPr="0041262C" w:rsidRDefault="005636C7" w:rsidP="005636C7">
            <w:pPr>
              <w:pStyle w:val="E3tabletext1"/>
              <w:rPr>
                <w:rFonts w:ascii="Helvetica" w:hAnsi="Helvetica" w:cs="Helvetica"/>
                <w:sz w:val="15"/>
                <w:szCs w:val="15"/>
              </w:rPr>
            </w:pPr>
          </w:p>
        </w:tc>
      </w:tr>
      <w:tr w:rsidR="005636C7" w:rsidRPr="007A6253" w14:paraId="300CF9B6" w14:textId="77777777" w:rsidTr="005636C7">
        <w:trPr>
          <w:trHeight w:val="454"/>
        </w:trPr>
        <w:tc>
          <w:tcPr>
            <w:tcW w:w="1874" w:type="dxa"/>
            <w:vAlign w:val="center"/>
          </w:tcPr>
          <w:p w14:paraId="0406D9D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Storage cabinet</w:t>
            </w:r>
          </w:p>
        </w:tc>
        <w:tc>
          <w:tcPr>
            <w:tcW w:w="1553" w:type="dxa"/>
            <w:shd w:val="clear" w:color="auto" w:fill="E6E6E6"/>
            <w:vAlign w:val="center"/>
          </w:tcPr>
          <w:p w14:paraId="15DFBA5D"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42FD508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c>
          <w:tcPr>
            <w:tcW w:w="1553" w:type="dxa"/>
            <w:shd w:val="clear" w:color="auto" w:fill="E6E6E6"/>
            <w:vAlign w:val="center"/>
          </w:tcPr>
          <w:p w14:paraId="0B076DF1" w14:textId="77777777" w:rsidR="005636C7" w:rsidRPr="0041262C" w:rsidRDefault="005636C7" w:rsidP="005636C7">
            <w:pPr>
              <w:pStyle w:val="E3tabletext1"/>
              <w:rPr>
                <w:rFonts w:ascii="Helvetica" w:hAnsi="Helvetica" w:cs="Helvetica"/>
                <w:sz w:val="15"/>
                <w:szCs w:val="15"/>
              </w:rPr>
            </w:pPr>
          </w:p>
        </w:tc>
        <w:tc>
          <w:tcPr>
            <w:tcW w:w="1553" w:type="dxa"/>
            <w:shd w:val="clear" w:color="auto" w:fill="E6E6E6"/>
            <w:vAlign w:val="center"/>
          </w:tcPr>
          <w:p w14:paraId="371165AE" w14:textId="77777777" w:rsidR="005636C7" w:rsidRPr="0041262C" w:rsidRDefault="005636C7" w:rsidP="005636C7">
            <w:pPr>
              <w:pStyle w:val="E3tabletext1"/>
              <w:rPr>
                <w:rFonts w:ascii="Helvetica" w:hAnsi="Helvetica" w:cs="Helvetica"/>
                <w:sz w:val="15"/>
                <w:szCs w:val="15"/>
              </w:rPr>
            </w:pPr>
          </w:p>
        </w:tc>
        <w:tc>
          <w:tcPr>
            <w:tcW w:w="1553" w:type="dxa"/>
            <w:vAlign w:val="center"/>
          </w:tcPr>
          <w:p w14:paraId="3176A7B8"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w:t>
            </w:r>
          </w:p>
        </w:tc>
      </w:tr>
    </w:tbl>
    <w:p w14:paraId="7CD499F9" w14:textId="77777777" w:rsidR="005636C7" w:rsidRDefault="005636C7" w:rsidP="005636C7">
      <w:pPr>
        <w:pStyle w:val="E3Heading2"/>
        <w:rPr>
          <w:rFonts w:ascii="Georgia" w:hAnsi="Georgia"/>
          <w:sz w:val="24"/>
        </w:rPr>
      </w:pPr>
      <w:bookmarkStart w:id="401" w:name="_Toc447533633"/>
      <w:bookmarkStart w:id="402" w:name="_Toc449708807"/>
      <w:bookmarkStart w:id="403" w:name="_Toc494897993"/>
      <w:bookmarkStart w:id="404" w:name="_Toc494955785"/>
      <w:bookmarkStart w:id="405" w:name="_Toc494959593"/>
      <w:bookmarkStart w:id="406" w:name="_Toc494972719"/>
      <w:bookmarkStart w:id="407" w:name="_Toc494973906"/>
      <w:bookmarkStart w:id="408" w:name="_Toc494974595"/>
    </w:p>
    <w:p w14:paraId="0323E404" w14:textId="77777777" w:rsidR="005636C7" w:rsidRDefault="005636C7" w:rsidP="005636C7">
      <w:pPr>
        <w:pStyle w:val="E3Heading2"/>
        <w:rPr>
          <w:rFonts w:ascii="Georgia" w:hAnsi="Georgia"/>
          <w:sz w:val="24"/>
        </w:rPr>
      </w:pPr>
    </w:p>
    <w:p w14:paraId="12EF18FD" w14:textId="77777777" w:rsidR="005636C7" w:rsidRPr="0041262C" w:rsidRDefault="005636C7" w:rsidP="005636C7">
      <w:pPr>
        <w:pStyle w:val="E3Heading2"/>
        <w:rPr>
          <w:rFonts w:ascii="Georgia" w:hAnsi="Georgia"/>
          <w:sz w:val="24"/>
        </w:rPr>
      </w:pPr>
      <w:bookmarkStart w:id="409" w:name="_Toc500151839"/>
      <w:r w:rsidRPr="0041262C">
        <w:rPr>
          <w:rFonts w:ascii="Georgia" w:hAnsi="Georgia"/>
          <w:sz w:val="24"/>
        </w:rPr>
        <w:t>Estimated costs for energy saving technologies</w:t>
      </w:r>
      <w:bookmarkEnd w:id="401"/>
      <w:bookmarkEnd w:id="402"/>
      <w:bookmarkEnd w:id="403"/>
      <w:bookmarkEnd w:id="404"/>
      <w:bookmarkEnd w:id="405"/>
      <w:bookmarkEnd w:id="406"/>
      <w:bookmarkEnd w:id="407"/>
      <w:bookmarkEnd w:id="408"/>
      <w:bookmarkEnd w:id="409"/>
    </w:p>
    <w:p w14:paraId="008AF0C1" w14:textId="77777777" w:rsidR="00AC6998" w:rsidRPr="00D866F8" w:rsidRDefault="005636C7" w:rsidP="005636C7">
      <w:pPr>
        <w:pStyle w:val="E3BodyText"/>
        <w:jc w:val="both"/>
      </w:pPr>
      <w:r w:rsidRPr="00AC7259">
        <w:t xml:space="preserve">The percentage improvement and incremental cost for energy efficiency groupings was estimated for each cabinet group </w:t>
      </w:r>
      <w:r>
        <w:t xml:space="preserve">as shown by </w:t>
      </w:r>
      <w:r w:rsidRPr="0025148C">
        <w:fldChar w:fldCharType="begin"/>
      </w:r>
      <w:r w:rsidRPr="0025148C">
        <w:instrText xml:space="preserve"> REF _Ref450032707 \h  \* MERGEFORMAT </w:instrText>
      </w:r>
      <w:r w:rsidRPr="0025148C">
        <w:fldChar w:fldCharType="separate"/>
      </w:r>
    </w:p>
    <w:p w14:paraId="4D4F5C55" w14:textId="77777777" w:rsidR="005636C7" w:rsidRPr="00D866F8" w:rsidRDefault="00AC6998" w:rsidP="005636C7">
      <w:pPr>
        <w:pStyle w:val="E3BodyText"/>
        <w:jc w:val="both"/>
      </w:pPr>
      <w:r w:rsidRPr="00AC6998">
        <w:rPr>
          <w:b/>
        </w:rPr>
        <w:t xml:space="preserve">Table D </w:t>
      </w:r>
      <w:r w:rsidRPr="00AC6998">
        <w:rPr>
          <w:b/>
          <w:noProof/>
        </w:rPr>
        <w:t>5</w:t>
      </w:r>
      <w:r w:rsidR="005636C7" w:rsidRPr="0025148C">
        <w:fldChar w:fldCharType="end"/>
      </w:r>
      <w:r w:rsidR="005636C7" w:rsidRPr="00AC7259">
        <w:rPr>
          <w:b/>
        </w:rPr>
        <w:t xml:space="preserve"> </w:t>
      </w:r>
      <w:r w:rsidR="005636C7" w:rsidRPr="00AC7259">
        <w:t xml:space="preserve">below.  This information was used in the </w:t>
      </w:r>
      <w:r w:rsidR="005636C7">
        <w:t xml:space="preserve">costs analysis and in the calculation of the </w:t>
      </w:r>
      <w:r w:rsidR="005636C7" w:rsidRPr="00AC7259">
        <w:t xml:space="preserve">costs of changing </w:t>
      </w:r>
      <w:r w:rsidR="005636C7">
        <w:t xml:space="preserve">the </w:t>
      </w:r>
      <w:r w:rsidR="005636C7" w:rsidRPr="00AC7259">
        <w:t>MEPS requirements</w:t>
      </w:r>
      <w:r w:rsidR="005636C7">
        <w:t>.</w:t>
      </w:r>
      <w:bookmarkStart w:id="410" w:name="_Ref450032707"/>
      <w:bookmarkStart w:id="411" w:name="_Toc449708981"/>
      <w:bookmarkStart w:id="412" w:name="_Toc449968537"/>
      <w:bookmarkStart w:id="413" w:name="_Toc456164779"/>
    </w:p>
    <w:p w14:paraId="78961333" w14:textId="77777777" w:rsidR="005636C7" w:rsidRPr="00F428D8" w:rsidRDefault="005636C7" w:rsidP="005636C7">
      <w:pPr>
        <w:pStyle w:val="E3TableTitles"/>
        <w:jc w:val="both"/>
      </w:pPr>
      <w:bookmarkStart w:id="414" w:name="_Toc500159677"/>
      <w:r>
        <w:t xml:space="preserve">Table D </w:t>
      </w:r>
      <w:r>
        <w:fldChar w:fldCharType="begin"/>
      </w:r>
      <w:r>
        <w:instrText xml:space="preserve"> SEQ Table_D \* ARABIC </w:instrText>
      </w:r>
      <w:r>
        <w:fldChar w:fldCharType="separate"/>
      </w:r>
      <w:r w:rsidR="00AC6998">
        <w:rPr>
          <w:noProof/>
        </w:rPr>
        <w:t>5</w:t>
      </w:r>
      <w:r>
        <w:rPr>
          <w:noProof/>
        </w:rPr>
        <w:fldChar w:fldCharType="end"/>
      </w:r>
      <w:bookmarkEnd w:id="410"/>
      <w:r w:rsidRPr="002705A4">
        <w:t>: Percentage improvement and incremental cost for energy efficiency groupings by cabinet type</w:t>
      </w:r>
      <w:bookmarkEnd w:id="411"/>
      <w:bookmarkEnd w:id="412"/>
      <w:bookmarkEnd w:id="413"/>
      <w:bookmarkEnd w:id="41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568"/>
        <w:gridCol w:w="862"/>
        <w:gridCol w:w="863"/>
        <w:gridCol w:w="863"/>
        <w:gridCol w:w="863"/>
        <w:gridCol w:w="863"/>
        <w:gridCol w:w="863"/>
        <w:gridCol w:w="863"/>
        <w:gridCol w:w="863"/>
        <w:gridCol w:w="863"/>
      </w:tblGrid>
      <w:tr w:rsidR="005636C7" w:rsidRPr="007A6253" w14:paraId="6F5A4F78" w14:textId="77777777" w:rsidTr="005636C7">
        <w:trPr>
          <w:trHeight w:val="20"/>
        </w:trPr>
        <w:tc>
          <w:tcPr>
            <w:tcW w:w="1305" w:type="dxa"/>
            <w:shd w:val="clear" w:color="auto" w:fill="000000"/>
            <w:vAlign w:val="center"/>
          </w:tcPr>
          <w:p w14:paraId="306B8211" w14:textId="77777777" w:rsidR="005636C7" w:rsidRPr="007029A0" w:rsidRDefault="005636C7" w:rsidP="005636C7">
            <w:pPr>
              <w:pStyle w:val="E3TableHeading"/>
              <w:jc w:val="both"/>
              <w:rPr>
                <w:szCs w:val="15"/>
              </w:rPr>
            </w:pPr>
            <w:r w:rsidRPr="007029A0">
              <w:rPr>
                <w:szCs w:val="15"/>
              </w:rPr>
              <w:t xml:space="preserve">EE Grouping </w:t>
            </w:r>
          </w:p>
        </w:tc>
        <w:tc>
          <w:tcPr>
            <w:tcW w:w="1430" w:type="dxa"/>
            <w:gridSpan w:val="2"/>
            <w:shd w:val="clear" w:color="auto" w:fill="000000"/>
            <w:vAlign w:val="center"/>
          </w:tcPr>
          <w:p w14:paraId="27698771" w14:textId="77777777" w:rsidR="005636C7" w:rsidRPr="007029A0" w:rsidRDefault="005636C7" w:rsidP="005636C7">
            <w:pPr>
              <w:pStyle w:val="E3TableHeading"/>
              <w:jc w:val="center"/>
              <w:rPr>
                <w:szCs w:val="15"/>
              </w:rPr>
            </w:pPr>
            <w:r w:rsidRPr="007029A0">
              <w:rPr>
                <w:szCs w:val="15"/>
              </w:rPr>
              <w:t>I</w:t>
            </w:r>
          </w:p>
        </w:tc>
        <w:tc>
          <w:tcPr>
            <w:tcW w:w="1726" w:type="dxa"/>
            <w:gridSpan w:val="2"/>
            <w:shd w:val="clear" w:color="auto" w:fill="000000"/>
            <w:vAlign w:val="center"/>
          </w:tcPr>
          <w:p w14:paraId="167DB58C" w14:textId="77777777" w:rsidR="005636C7" w:rsidRPr="007029A0" w:rsidRDefault="005636C7" w:rsidP="005636C7">
            <w:pPr>
              <w:pStyle w:val="E3TableHeading"/>
              <w:jc w:val="center"/>
              <w:rPr>
                <w:szCs w:val="15"/>
              </w:rPr>
            </w:pPr>
            <w:r w:rsidRPr="007029A0">
              <w:rPr>
                <w:szCs w:val="15"/>
              </w:rPr>
              <w:t>II</w:t>
            </w:r>
          </w:p>
        </w:tc>
        <w:tc>
          <w:tcPr>
            <w:tcW w:w="1726" w:type="dxa"/>
            <w:gridSpan w:val="2"/>
            <w:shd w:val="clear" w:color="auto" w:fill="000000"/>
            <w:vAlign w:val="center"/>
          </w:tcPr>
          <w:p w14:paraId="6FAA77E0" w14:textId="77777777" w:rsidR="005636C7" w:rsidRPr="007029A0" w:rsidRDefault="005636C7" w:rsidP="005636C7">
            <w:pPr>
              <w:pStyle w:val="E3TableHeading"/>
              <w:jc w:val="center"/>
              <w:rPr>
                <w:szCs w:val="15"/>
              </w:rPr>
            </w:pPr>
            <w:r w:rsidRPr="007029A0">
              <w:rPr>
                <w:szCs w:val="15"/>
              </w:rPr>
              <w:t>III</w:t>
            </w:r>
          </w:p>
        </w:tc>
        <w:tc>
          <w:tcPr>
            <w:tcW w:w="1726" w:type="dxa"/>
            <w:gridSpan w:val="2"/>
            <w:shd w:val="clear" w:color="auto" w:fill="000000"/>
            <w:vAlign w:val="center"/>
          </w:tcPr>
          <w:p w14:paraId="79C5B92B" w14:textId="77777777" w:rsidR="005636C7" w:rsidRPr="007029A0" w:rsidRDefault="005636C7" w:rsidP="005636C7">
            <w:pPr>
              <w:pStyle w:val="E3TableHeading"/>
              <w:jc w:val="center"/>
              <w:rPr>
                <w:szCs w:val="15"/>
              </w:rPr>
            </w:pPr>
            <w:r w:rsidRPr="007029A0">
              <w:rPr>
                <w:szCs w:val="15"/>
              </w:rPr>
              <w:t>IV</w:t>
            </w:r>
          </w:p>
        </w:tc>
        <w:tc>
          <w:tcPr>
            <w:tcW w:w="1726" w:type="dxa"/>
            <w:gridSpan w:val="2"/>
            <w:shd w:val="clear" w:color="auto" w:fill="000000"/>
            <w:vAlign w:val="center"/>
          </w:tcPr>
          <w:p w14:paraId="315D9CEF" w14:textId="77777777" w:rsidR="005636C7" w:rsidRPr="007029A0" w:rsidRDefault="005636C7" w:rsidP="005636C7">
            <w:pPr>
              <w:pStyle w:val="E3TableHeading"/>
              <w:jc w:val="center"/>
              <w:rPr>
                <w:szCs w:val="15"/>
              </w:rPr>
            </w:pPr>
            <w:r w:rsidRPr="007029A0">
              <w:rPr>
                <w:szCs w:val="15"/>
              </w:rPr>
              <w:t>V</w:t>
            </w:r>
          </w:p>
        </w:tc>
      </w:tr>
      <w:tr w:rsidR="005636C7" w:rsidRPr="00397457" w14:paraId="402B6945" w14:textId="77777777" w:rsidTr="005636C7">
        <w:trPr>
          <w:trHeight w:val="20"/>
        </w:trPr>
        <w:tc>
          <w:tcPr>
            <w:tcW w:w="1305" w:type="dxa"/>
            <w:vMerge w:val="restart"/>
            <w:shd w:val="clear" w:color="auto" w:fill="auto"/>
            <w:vAlign w:val="center"/>
          </w:tcPr>
          <w:p w14:paraId="76A795D8" w14:textId="77777777" w:rsidR="005636C7" w:rsidRPr="007029A0" w:rsidRDefault="005636C7" w:rsidP="005636C7">
            <w:pPr>
              <w:pStyle w:val="E3TableHeading"/>
              <w:jc w:val="both"/>
              <w:rPr>
                <w:szCs w:val="15"/>
              </w:rPr>
            </w:pPr>
            <w:r w:rsidRPr="007029A0">
              <w:rPr>
                <w:szCs w:val="15"/>
              </w:rPr>
              <w:t>Grouped cabinet types</w:t>
            </w:r>
          </w:p>
        </w:tc>
        <w:tc>
          <w:tcPr>
            <w:tcW w:w="8334" w:type="dxa"/>
            <w:gridSpan w:val="10"/>
            <w:shd w:val="clear" w:color="auto" w:fill="auto"/>
            <w:vAlign w:val="center"/>
          </w:tcPr>
          <w:p w14:paraId="162C6500" w14:textId="77777777" w:rsidR="005636C7" w:rsidRPr="007029A0" w:rsidRDefault="005636C7" w:rsidP="005636C7">
            <w:pPr>
              <w:pStyle w:val="E3TableHeading"/>
              <w:jc w:val="both"/>
              <w:rPr>
                <w:szCs w:val="15"/>
              </w:rPr>
            </w:pPr>
            <w:r w:rsidRPr="007029A0">
              <w:rPr>
                <w:szCs w:val="15"/>
              </w:rPr>
              <w:t>Percentage improvement and incremental cost</w:t>
            </w:r>
          </w:p>
        </w:tc>
      </w:tr>
      <w:tr w:rsidR="005636C7" w:rsidRPr="007A6253" w14:paraId="5BD4021B" w14:textId="77777777" w:rsidTr="005636C7">
        <w:trPr>
          <w:trHeight w:val="20"/>
        </w:trPr>
        <w:tc>
          <w:tcPr>
            <w:tcW w:w="1305" w:type="dxa"/>
            <w:vMerge/>
            <w:shd w:val="clear" w:color="auto" w:fill="auto"/>
            <w:vAlign w:val="center"/>
          </w:tcPr>
          <w:p w14:paraId="5C7265B7" w14:textId="77777777" w:rsidR="005636C7" w:rsidRPr="007029A0" w:rsidRDefault="005636C7" w:rsidP="005636C7">
            <w:pPr>
              <w:pStyle w:val="E3tabletext1"/>
              <w:jc w:val="both"/>
              <w:rPr>
                <w:rFonts w:ascii="Helvetica" w:hAnsi="Helvetica" w:cs="Helvetica"/>
                <w:color w:val="000000"/>
                <w:sz w:val="15"/>
                <w:szCs w:val="15"/>
              </w:rPr>
            </w:pPr>
          </w:p>
        </w:tc>
        <w:tc>
          <w:tcPr>
            <w:tcW w:w="568" w:type="dxa"/>
            <w:shd w:val="clear" w:color="auto" w:fill="auto"/>
            <w:vAlign w:val="center"/>
          </w:tcPr>
          <w:p w14:paraId="2BB4FBAB"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2" w:type="dxa"/>
            <w:shd w:val="clear" w:color="auto" w:fill="auto"/>
            <w:vAlign w:val="center"/>
          </w:tcPr>
          <w:p w14:paraId="59278EF5"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A443EA"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01CE4BF7"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6245020B"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0C6C4C80"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31BF6F37"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181A6AF9"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48868BB4"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c>
          <w:tcPr>
            <w:tcW w:w="863" w:type="dxa"/>
            <w:shd w:val="clear" w:color="auto" w:fill="auto"/>
            <w:vAlign w:val="center"/>
          </w:tcPr>
          <w:p w14:paraId="6CAA4989" w14:textId="77777777" w:rsidR="005636C7" w:rsidRPr="007029A0" w:rsidRDefault="005636C7" w:rsidP="005636C7">
            <w:pPr>
              <w:pStyle w:val="E3tabletext1"/>
              <w:jc w:val="both"/>
              <w:rPr>
                <w:rFonts w:ascii="Helvetica" w:hAnsi="Helvetica" w:cs="Helvetica"/>
                <w:color w:val="000000"/>
                <w:sz w:val="15"/>
                <w:szCs w:val="15"/>
              </w:rPr>
            </w:pPr>
            <w:r w:rsidRPr="007029A0">
              <w:rPr>
                <w:rFonts w:ascii="Helvetica" w:hAnsi="Helvetica" w:cs="Helvetica"/>
                <w:color w:val="000000"/>
                <w:sz w:val="15"/>
                <w:szCs w:val="15"/>
              </w:rPr>
              <w:t>$</w:t>
            </w:r>
          </w:p>
        </w:tc>
      </w:tr>
      <w:tr w:rsidR="005636C7" w:rsidRPr="007A6253" w14:paraId="5A08DA23" w14:textId="77777777" w:rsidTr="005636C7">
        <w:trPr>
          <w:trHeight w:val="20"/>
        </w:trPr>
        <w:tc>
          <w:tcPr>
            <w:tcW w:w="1305" w:type="dxa"/>
            <w:shd w:val="clear" w:color="auto" w:fill="auto"/>
            <w:vAlign w:val="center"/>
          </w:tcPr>
          <w:p w14:paraId="6F61B10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IRH</w:t>
            </w:r>
          </w:p>
        </w:tc>
        <w:tc>
          <w:tcPr>
            <w:tcW w:w="568" w:type="dxa"/>
            <w:shd w:val="clear" w:color="auto" w:fill="auto"/>
            <w:vAlign w:val="center"/>
          </w:tcPr>
          <w:p w14:paraId="11D156F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27026AF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2CF78A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3" w:type="dxa"/>
            <w:shd w:val="clear" w:color="auto" w:fill="auto"/>
            <w:vAlign w:val="center"/>
          </w:tcPr>
          <w:p w14:paraId="0C53709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$266</w:t>
            </w:r>
          </w:p>
        </w:tc>
        <w:tc>
          <w:tcPr>
            <w:tcW w:w="863" w:type="dxa"/>
            <w:shd w:val="clear" w:color="auto" w:fill="auto"/>
            <w:vAlign w:val="center"/>
          </w:tcPr>
          <w:p w14:paraId="7813EC6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2F60520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$733</w:t>
            </w:r>
          </w:p>
        </w:tc>
        <w:tc>
          <w:tcPr>
            <w:tcW w:w="863" w:type="dxa"/>
            <w:shd w:val="clear" w:color="auto" w:fill="auto"/>
            <w:vAlign w:val="center"/>
          </w:tcPr>
          <w:p w14:paraId="1D37BC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40%</w:t>
            </w:r>
          </w:p>
        </w:tc>
        <w:tc>
          <w:tcPr>
            <w:tcW w:w="863" w:type="dxa"/>
            <w:shd w:val="clear" w:color="auto" w:fill="auto"/>
            <w:vAlign w:val="center"/>
          </w:tcPr>
          <w:p w14:paraId="7E36DD1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$3,508</w:t>
            </w:r>
          </w:p>
        </w:tc>
        <w:tc>
          <w:tcPr>
            <w:tcW w:w="863" w:type="dxa"/>
            <w:shd w:val="clear" w:color="auto" w:fill="auto"/>
            <w:vAlign w:val="center"/>
          </w:tcPr>
          <w:p w14:paraId="19CCEAC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w:t>
            </w:r>
          </w:p>
        </w:tc>
        <w:tc>
          <w:tcPr>
            <w:tcW w:w="863" w:type="dxa"/>
            <w:shd w:val="clear" w:color="auto" w:fill="auto"/>
            <w:vAlign w:val="center"/>
          </w:tcPr>
          <w:p w14:paraId="65571D3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$437</w:t>
            </w:r>
          </w:p>
        </w:tc>
      </w:tr>
      <w:tr w:rsidR="005636C7" w:rsidRPr="007A6253" w14:paraId="59246253" w14:textId="77777777" w:rsidTr="005636C7">
        <w:trPr>
          <w:trHeight w:val="20"/>
        </w:trPr>
        <w:tc>
          <w:tcPr>
            <w:tcW w:w="1305" w:type="dxa"/>
            <w:shd w:val="clear" w:color="auto" w:fill="auto"/>
            <w:vAlign w:val="center"/>
          </w:tcPr>
          <w:p w14:paraId="20A5670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IRV</w:t>
            </w:r>
          </w:p>
        </w:tc>
        <w:tc>
          <w:tcPr>
            <w:tcW w:w="568" w:type="dxa"/>
            <w:shd w:val="clear" w:color="auto" w:fill="auto"/>
            <w:vAlign w:val="center"/>
          </w:tcPr>
          <w:p w14:paraId="046E4A1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61E1AD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BF7AD6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16%</w:t>
            </w:r>
          </w:p>
        </w:tc>
        <w:tc>
          <w:tcPr>
            <w:tcW w:w="863" w:type="dxa"/>
            <w:shd w:val="clear" w:color="auto" w:fill="auto"/>
            <w:vAlign w:val="center"/>
          </w:tcPr>
          <w:p w14:paraId="07C4FED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$384</w:t>
            </w:r>
          </w:p>
        </w:tc>
        <w:tc>
          <w:tcPr>
            <w:tcW w:w="863" w:type="dxa"/>
            <w:shd w:val="clear" w:color="auto" w:fill="auto"/>
            <w:vAlign w:val="center"/>
          </w:tcPr>
          <w:p w14:paraId="2B7192E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36%</w:t>
            </w:r>
          </w:p>
        </w:tc>
        <w:tc>
          <w:tcPr>
            <w:tcW w:w="863" w:type="dxa"/>
            <w:shd w:val="clear" w:color="auto" w:fill="auto"/>
            <w:vAlign w:val="center"/>
          </w:tcPr>
          <w:p w14:paraId="3F1DEAC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$714</w:t>
            </w:r>
          </w:p>
        </w:tc>
        <w:tc>
          <w:tcPr>
            <w:tcW w:w="863" w:type="dxa"/>
            <w:shd w:val="clear" w:color="auto" w:fill="auto"/>
            <w:vAlign w:val="center"/>
          </w:tcPr>
          <w:p w14:paraId="79C5CBD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51%</w:t>
            </w:r>
          </w:p>
        </w:tc>
        <w:tc>
          <w:tcPr>
            <w:tcW w:w="863" w:type="dxa"/>
            <w:shd w:val="clear" w:color="auto" w:fill="auto"/>
            <w:vAlign w:val="center"/>
          </w:tcPr>
          <w:p w14:paraId="342992E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$4,209</w:t>
            </w:r>
          </w:p>
        </w:tc>
        <w:tc>
          <w:tcPr>
            <w:tcW w:w="863" w:type="dxa"/>
            <w:shd w:val="clear" w:color="auto" w:fill="auto"/>
            <w:vAlign w:val="center"/>
          </w:tcPr>
          <w:p w14:paraId="39F590B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CBEA74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544C0A9E" w14:textId="77777777" w:rsidTr="005636C7">
        <w:trPr>
          <w:trHeight w:val="20"/>
        </w:trPr>
        <w:tc>
          <w:tcPr>
            <w:tcW w:w="1305" w:type="dxa"/>
            <w:shd w:val="clear" w:color="auto" w:fill="auto"/>
            <w:vAlign w:val="center"/>
          </w:tcPr>
          <w:p w14:paraId="63DCFCF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IRV-4</w:t>
            </w:r>
          </w:p>
        </w:tc>
        <w:tc>
          <w:tcPr>
            <w:tcW w:w="568" w:type="dxa"/>
            <w:shd w:val="clear" w:color="auto" w:fill="auto"/>
            <w:vAlign w:val="center"/>
          </w:tcPr>
          <w:p w14:paraId="2FE08DE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54AFD2E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83A731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42%</w:t>
            </w:r>
          </w:p>
        </w:tc>
        <w:tc>
          <w:tcPr>
            <w:tcW w:w="863" w:type="dxa"/>
            <w:shd w:val="clear" w:color="auto" w:fill="auto"/>
            <w:vAlign w:val="center"/>
          </w:tcPr>
          <w:p w14:paraId="755DC8F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$399</w:t>
            </w:r>
          </w:p>
        </w:tc>
        <w:tc>
          <w:tcPr>
            <w:tcW w:w="863" w:type="dxa"/>
            <w:shd w:val="clear" w:color="auto" w:fill="auto"/>
            <w:vAlign w:val="center"/>
          </w:tcPr>
          <w:p w14:paraId="29F2970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A979F8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5D1128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0BFCBB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8F7C23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45%</w:t>
            </w:r>
          </w:p>
        </w:tc>
        <w:tc>
          <w:tcPr>
            <w:tcW w:w="863" w:type="dxa"/>
            <w:shd w:val="clear" w:color="auto" w:fill="auto"/>
            <w:vAlign w:val="center"/>
          </w:tcPr>
          <w:p w14:paraId="73E2866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$713</w:t>
            </w:r>
          </w:p>
        </w:tc>
      </w:tr>
      <w:tr w:rsidR="005636C7" w:rsidRPr="007A6253" w14:paraId="04C6A843" w14:textId="77777777" w:rsidTr="005636C7">
        <w:trPr>
          <w:trHeight w:val="20"/>
        </w:trPr>
        <w:tc>
          <w:tcPr>
            <w:tcW w:w="1305" w:type="dxa"/>
            <w:shd w:val="clear" w:color="auto" w:fill="auto"/>
            <w:vAlign w:val="center"/>
          </w:tcPr>
          <w:p w14:paraId="0440358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IFH</w:t>
            </w:r>
          </w:p>
        </w:tc>
        <w:tc>
          <w:tcPr>
            <w:tcW w:w="568" w:type="dxa"/>
            <w:shd w:val="clear" w:color="auto" w:fill="auto"/>
            <w:vAlign w:val="center"/>
          </w:tcPr>
          <w:p w14:paraId="2E5245A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2545CCD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1D0130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11%</w:t>
            </w:r>
          </w:p>
        </w:tc>
        <w:tc>
          <w:tcPr>
            <w:tcW w:w="863" w:type="dxa"/>
            <w:shd w:val="clear" w:color="auto" w:fill="auto"/>
            <w:vAlign w:val="center"/>
          </w:tcPr>
          <w:p w14:paraId="26777D0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$310</w:t>
            </w:r>
          </w:p>
        </w:tc>
        <w:tc>
          <w:tcPr>
            <w:tcW w:w="863" w:type="dxa"/>
            <w:shd w:val="clear" w:color="auto" w:fill="auto"/>
            <w:vAlign w:val="center"/>
          </w:tcPr>
          <w:p w14:paraId="5103CB2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1994CF8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$589</w:t>
            </w:r>
          </w:p>
        </w:tc>
        <w:tc>
          <w:tcPr>
            <w:tcW w:w="863" w:type="dxa"/>
            <w:shd w:val="clear" w:color="auto" w:fill="auto"/>
            <w:vAlign w:val="center"/>
          </w:tcPr>
          <w:p w14:paraId="7CEAA21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40%</w:t>
            </w:r>
          </w:p>
        </w:tc>
        <w:tc>
          <w:tcPr>
            <w:tcW w:w="863" w:type="dxa"/>
            <w:shd w:val="clear" w:color="auto" w:fill="auto"/>
            <w:vAlign w:val="center"/>
          </w:tcPr>
          <w:p w14:paraId="50595F1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$3,529</w:t>
            </w:r>
          </w:p>
        </w:tc>
        <w:tc>
          <w:tcPr>
            <w:tcW w:w="863" w:type="dxa"/>
            <w:shd w:val="clear" w:color="auto" w:fill="auto"/>
            <w:vAlign w:val="center"/>
          </w:tcPr>
          <w:p w14:paraId="0FA0DBD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291E26E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$426</w:t>
            </w:r>
          </w:p>
        </w:tc>
      </w:tr>
      <w:tr w:rsidR="005636C7" w:rsidRPr="007A6253" w14:paraId="13CA9F12" w14:textId="77777777" w:rsidTr="005636C7">
        <w:trPr>
          <w:trHeight w:val="20"/>
        </w:trPr>
        <w:tc>
          <w:tcPr>
            <w:tcW w:w="1305" w:type="dxa"/>
            <w:shd w:val="clear" w:color="auto" w:fill="auto"/>
            <w:vAlign w:val="center"/>
          </w:tcPr>
          <w:p w14:paraId="5431C4F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IFH-5</w:t>
            </w:r>
          </w:p>
        </w:tc>
        <w:tc>
          <w:tcPr>
            <w:tcW w:w="568" w:type="dxa"/>
            <w:shd w:val="clear" w:color="auto" w:fill="auto"/>
            <w:vAlign w:val="center"/>
          </w:tcPr>
          <w:p w14:paraId="145F160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EDC9E2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0ACEE7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18%</w:t>
            </w:r>
          </w:p>
        </w:tc>
        <w:tc>
          <w:tcPr>
            <w:tcW w:w="863" w:type="dxa"/>
            <w:shd w:val="clear" w:color="auto" w:fill="auto"/>
            <w:vAlign w:val="center"/>
          </w:tcPr>
          <w:p w14:paraId="5544A44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$175</w:t>
            </w:r>
          </w:p>
        </w:tc>
        <w:tc>
          <w:tcPr>
            <w:tcW w:w="863" w:type="dxa"/>
            <w:shd w:val="clear" w:color="auto" w:fill="auto"/>
            <w:vAlign w:val="center"/>
          </w:tcPr>
          <w:p w14:paraId="455EB38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19E7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5E4786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8EBA51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3293A8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28%</w:t>
            </w:r>
          </w:p>
        </w:tc>
        <w:tc>
          <w:tcPr>
            <w:tcW w:w="863" w:type="dxa"/>
            <w:shd w:val="clear" w:color="auto" w:fill="auto"/>
            <w:vAlign w:val="center"/>
          </w:tcPr>
          <w:p w14:paraId="4FB5FD7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$490</w:t>
            </w:r>
          </w:p>
        </w:tc>
      </w:tr>
      <w:tr w:rsidR="005636C7" w:rsidRPr="007A6253" w14:paraId="5BC60E5D" w14:textId="77777777" w:rsidTr="005636C7">
        <w:trPr>
          <w:trHeight w:val="20"/>
        </w:trPr>
        <w:tc>
          <w:tcPr>
            <w:tcW w:w="1305" w:type="dxa"/>
            <w:shd w:val="clear" w:color="auto" w:fill="auto"/>
            <w:vAlign w:val="center"/>
          </w:tcPr>
          <w:p w14:paraId="5F45364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IFV</w:t>
            </w:r>
          </w:p>
        </w:tc>
        <w:tc>
          <w:tcPr>
            <w:tcW w:w="568" w:type="dxa"/>
            <w:shd w:val="clear" w:color="auto" w:fill="auto"/>
            <w:vAlign w:val="center"/>
          </w:tcPr>
          <w:p w14:paraId="7D40193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1F14EBA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0A19CB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53060F0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$261</w:t>
            </w:r>
          </w:p>
        </w:tc>
        <w:tc>
          <w:tcPr>
            <w:tcW w:w="863" w:type="dxa"/>
            <w:shd w:val="clear" w:color="auto" w:fill="auto"/>
            <w:vAlign w:val="center"/>
          </w:tcPr>
          <w:p w14:paraId="2A7AF3E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35%</w:t>
            </w:r>
          </w:p>
        </w:tc>
        <w:tc>
          <w:tcPr>
            <w:tcW w:w="863" w:type="dxa"/>
            <w:shd w:val="clear" w:color="auto" w:fill="auto"/>
            <w:vAlign w:val="center"/>
          </w:tcPr>
          <w:p w14:paraId="49ECD0D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$551</w:t>
            </w:r>
          </w:p>
        </w:tc>
        <w:tc>
          <w:tcPr>
            <w:tcW w:w="863" w:type="dxa"/>
            <w:shd w:val="clear" w:color="auto" w:fill="auto"/>
            <w:vAlign w:val="center"/>
          </w:tcPr>
          <w:p w14:paraId="1D14D11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45%</w:t>
            </w:r>
          </w:p>
        </w:tc>
        <w:tc>
          <w:tcPr>
            <w:tcW w:w="863" w:type="dxa"/>
            <w:shd w:val="clear" w:color="auto" w:fill="auto"/>
            <w:vAlign w:val="center"/>
          </w:tcPr>
          <w:p w14:paraId="42A5A13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$4,046</w:t>
            </w:r>
          </w:p>
        </w:tc>
        <w:tc>
          <w:tcPr>
            <w:tcW w:w="863" w:type="dxa"/>
            <w:shd w:val="clear" w:color="auto" w:fill="auto"/>
            <w:vAlign w:val="center"/>
          </w:tcPr>
          <w:p w14:paraId="67278B1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18%</w:t>
            </w:r>
          </w:p>
        </w:tc>
        <w:tc>
          <w:tcPr>
            <w:tcW w:w="863" w:type="dxa"/>
            <w:shd w:val="clear" w:color="auto" w:fill="auto"/>
            <w:vAlign w:val="center"/>
          </w:tcPr>
          <w:p w14:paraId="731084D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$657</w:t>
            </w:r>
          </w:p>
        </w:tc>
      </w:tr>
      <w:tr w:rsidR="005636C7" w:rsidRPr="007A6253" w14:paraId="605E9EFF" w14:textId="77777777" w:rsidTr="005636C7">
        <w:trPr>
          <w:trHeight w:val="20"/>
        </w:trPr>
        <w:tc>
          <w:tcPr>
            <w:tcW w:w="1305" w:type="dxa"/>
            <w:shd w:val="clear" w:color="auto" w:fill="auto"/>
            <w:vAlign w:val="center"/>
          </w:tcPr>
          <w:p w14:paraId="5821FE3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RRH</w:t>
            </w:r>
          </w:p>
        </w:tc>
        <w:tc>
          <w:tcPr>
            <w:tcW w:w="568" w:type="dxa"/>
            <w:shd w:val="clear" w:color="auto" w:fill="auto"/>
            <w:vAlign w:val="center"/>
          </w:tcPr>
          <w:p w14:paraId="2B219A0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431F04E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80B6C7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19%</w:t>
            </w:r>
          </w:p>
        </w:tc>
        <w:tc>
          <w:tcPr>
            <w:tcW w:w="863" w:type="dxa"/>
            <w:shd w:val="clear" w:color="auto" w:fill="auto"/>
            <w:vAlign w:val="center"/>
          </w:tcPr>
          <w:p w14:paraId="094C7EE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$317</w:t>
            </w:r>
          </w:p>
        </w:tc>
        <w:tc>
          <w:tcPr>
            <w:tcW w:w="863" w:type="dxa"/>
            <w:shd w:val="clear" w:color="auto" w:fill="auto"/>
            <w:vAlign w:val="center"/>
          </w:tcPr>
          <w:p w14:paraId="56AC1D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4061DE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9B57E2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2B5A59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D9D67C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22%</w:t>
            </w:r>
          </w:p>
        </w:tc>
        <w:tc>
          <w:tcPr>
            <w:tcW w:w="863" w:type="dxa"/>
            <w:shd w:val="clear" w:color="auto" w:fill="auto"/>
            <w:vAlign w:val="center"/>
          </w:tcPr>
          <w:p w14:paraId="4AA2BDF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$947</w:t>
            </w:r>
          </w:p>
        </w:tc>
      </w:tr>
      <w:tr w:rsidR="005636C7" w:rsidRPr="007A6253" w14:paraId="0B38BDE6" w14:textId="77777777" w:rsidTr="005636C7">
        <w:trPr>
          <w:trHeight w:val="20"/>
        </w:trPr>
        <w:tc>
          <w:tcPr>
            <w:tcW w:w="1305" w:type="dxa"/>
            <w:shd w:val="clear" w:color="auto" w:fill="auto"/>
            <w:vAlign w:val="center"/>
          </w:tcPr>
          <w:p w14:paraId="2906768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RRV</w:t>
            </w:r>
          </w:p>
        </w:tc>
        <w:tc>
          <w:tcPr>
            <w:tcW w:w="568" w:type="dxa"/>
            <w:shd w:val="clear" w:color="auto" w:fill="auto"/>
            <w:vAlign w:val="center"/>
          </w:tcPr>
          <w:p w14:paraId="77FED7D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20%</w:t>
            </w:r>
          </w:p>
        </w:tc>
        <w:tc>
          <w:tcPr>
            <w:tcW w:w="862" w:type="dxa"/>
            <w:shd w:val="clear" w:color="auto" w:fill="auto"/>
            <w:vAlign w:val="center"/>
          </w:tcPr>
          <w:p w14:paraId="06AC0E8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$128</w:t>
            </w:r>
          </w:p>
        </w:tc>
        <w:tc>
          <w:tcPr>
            <w:tcW w:w="863" w:type="dxa"/>
            <w:shd w:val="clear" w:color="auto" w:fill="auto"/>
            <w:vAlign w:val="center"/>
          </w:tcPr>
          <w:p w14:paraId="11B72C5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19%</w:t>
            </w:r>
          </w:p>
        </w:tc>
        <w:tc>
          <w:tcPr>
            <w:tcW w:w="863" w:type="dxa"/>
            <w:shd w:val="clear" w:color="auto" w:fill="auto"/>
            <w:vAlign w:val="center"/>
          </w:tcPr>
          <w:p w14:paraId="3B2CB56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$539</w:t>
            </w:r>
          </w:p>
        </w:tc>
        <w:tc>
          <w:tcPr>
            <w:tcW w:w="863" w:type="dxa"/>
            <w:shd w:val="clear" w:color="auto" w:fill="auto"/>
            <w:vAlign w:val="center"/>
          </w:tcPr>
          <w:p w14:paraId="3D3852A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30%</w:t>
            </w:r>
          </w:p>
        </w:tc>
        <w:tc>
          <w:tcPr>
            <w:tcW w:w="863" w:type="dxa"/>
            <w:shd w:val="clear" w:color="auto" w:fill="auto"/>
            <w:vAlign w:val="center"/>
          </w:tcPr>
          <w:p w14:paraId="34C71AB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$1,255</w:t>
            </w:r>
          </w:p>
        </w:tc>
        <w:tc>
          <w:tcPr>
            <w:tcW w:w="863" w:type="dxa"/>
            <w:shd w:val="clear" w:color="auto" w:fill="auto"/>
            <w:vAlign w:val="center"/>
          </w:tcPr>
          <w:p w14:paraId="5558E7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46%</w:t>
            </w:r>
          </w:p>
        </w:tc>
        <w:tc>
          <w:tcPr>
            <w:tcW w:w="863" w:type="dxa"/>
            <w:shd w:val="clear" w:color="auto" w:fill="auto"/>
            <w:vAlign w:val="center"/>
          </w:tcPr>
          <w:p w14:paraId="4EA5A2C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$6,217</w:t>
            </w:r>
          </w:p>
        </w:tc>
        <w:tc>
          <w:tcPr>
            <w:tcW w:w="863" w:type="dxa"/>
            <w:shd w:val="clear" w:color="auto" w:fill="auto"/>
            <w:vAlign w:val="center"/>
          </w:tcPr>
          <w:p w14:paraId="4361EB0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47%</w:t>
            </w:r>
          </w:p>
        </w:tc>
        <w:tc>
          <w:tcPr>
            <w:tcW w:w="863" w:type="dxa"/>
            <w:shd w:val="clear" w:color="auto" w:fill="auto"/>
            <w:vAlign w:val="center"/>
          </w:tcPr>
          <w:p w14:paraId="1E8263B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$976</w:t>
            </w:r>
          </w:p>
        </w:tc>
      </w:tr>
      <w:tr w:rsidR="005636C7" w:rsidRPr="007A6253" w14:paraId="72913F28" w14:textId="77777777" w:rsidTr="005636C7">
        <w:trPr>
          <w:trHeight w:val="20"/>
        </w:trPr>
        <w:tc>
          <w:tcPr>
            <w:tcW w:w="1305" w:type="dxa"/>
            <w:shd w:val="clear" w:color="auto" w:fill="auto"/>
            <w:vAlign w:val="center"/>
          </w:tcPr>
          <w:p w14:paraId="1AD9E68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RRV-2</w:t>
            </w:r>
          </w:p>
        </w:tc>
        <w:tc>
          <w:tcPr>
            <w:tcW w:w="568" w:type="dxa"/>
            <w:shd w:val="clear" w:color="auto" w:fill="auto"/>
            <w:vAlign w:val="center"/>
          </w:tcPr>
          <w:p w14:paraId="346E08A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7C4E1A2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B4E01D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w:t>
            </w:r>
          </w:p>
        </w:tc>
        <w:tc>
          <w:tcPr>
            <w:tcW w:w="863" w:type="dxa"/>
            <w:shd w:val="clear" w:color="auto" w:fill="auto"/>
            <w:vAlign w:val="center"/>
          </w:tcPr>
          <w:p w14:paraId="5AA96D7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$512</w:t>
            </w:r>
          </w:p>
        </w:tc>
        <w:tc>
          <w:tcPr>
            <w:tcW w:w="863" w:type="dxa"/>
            <w:shd w:val="clear" w:color="auto" w:fill="auto"/>
            <w:vAlign w:val="center"/>
          </w:tcPr>
          <w:p w14:paraId="30D88E2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37%</w:t>
            </w:r>
          </w:p>
        </w:tc>
        <w:tc>
          <w:tcPr>
            <w:tcW w:w="863" w:type="dxa"/>
            <w:shd w:val="clear" w:color="auto" w:fill="auto"/>
            <w:vAlign w:val="center"/>
          </w:tcPr>
          <w:p w14:paraId="7ED30D1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$1,172</w:t>
            </w:r>
          </w:p>
        </w:tc>
        <w:tc>
          <w:tcPr>
            <w:tcW w:w="863" w:type="dxa"/>
            <w:shd w:val="clear" w:color="auto" w:fill="auto"/>
            <w:vAlign w:val="center"/>
          </w:tcPr>
          <w:p w14:paraId="01A9324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47%</w:t>
            </w:r>
          </w:p>
        </w:tc>
        <w:tc>
          <w:tcPr>
            <w:tcW w:w="863" w:type="dxa"/>
            <w:shd w:val="clear" w:color="auto" w:fill="auto"/>
            <w:vAlign w:val="center"/>
          </w:tcPr>
          <w:p w14:paraId="52FA6CE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$6,249</w:t>
            </w:r>
          </w:p>
        </w:tc>
        <w:tc>
          <w:tcPr>
            <w:tcW w:w="863" w:type="dxa"/>
            <w:shd w:val="clear" w:color="auto" w:fill="auto"/>
            <w:vAlign w:val="center"/>
          </w:tcPr>
          <w:p w14:paraId="6C3028E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E9E864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157357AC" w14:textId="77777777" w:rsidTr="005636C7">
        <w:trPr>
          <w:trHeight w:val="20"/>
        </w:trPr>
        <w:tc>
          <w:tcPr>
            <w:tcW w:w="1305" w:type="dxa"/>
            <w:shd w:val="clear" w:color="auto" w:fill="auto"/>
            <w:vAlign w:val="center"/>
          </w:tcPr>
          <w:p w14:paraId="4930CFA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RFH</w:t>
            </w:r>
          </w:p>
        </w:tc>
        <w:tc>
          <w:tcPr>
            <w:tcW w:w="568" w:type="dxa"/>
            <w:shd w:val="clear" w:color="auto" w:fill="auto"/>
            <w:vAlign w:val="center"/>
          </w:tcPr>
          <w:p w14:paraId="709BFA4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2" w:type="dxa"/>
            <w:shd w:val="clear" w:color="auto" w:fill="auto"/>
            <w:vAlign w:val="center"/>
          </w:tcPr>
          <w:p w14:paraId="2ADDA59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425D75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8%</w:t>
            </w:r>
          </w:p>
        </w:tc>
        <w:tc>
          <w:tcPr>
            <w:tcW w:w="863" w:type="dxa"/>
            <w:shd w:val="clear" w:color="auto" w:fill="auto"/>
            <w:vAlign w:val="center"/>
          </w:tcPr>
          <w:p w14:paraId="0AC2DD6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$299</w:t>
            </w:r>
          </w:p>
        </w:tc>
        <w:tc>
          <w:tcPr>
            <w:tcW w:w="863" w:type="dxa"/>
            <w:shd w:val="clear" w:color="auto" w:fill="auto"/>
            <w:vAlign w:val="center"/>
          </w:tcPr>
          <w:p w14:paraId="70B4861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26%</w:t>
            </w:r>
          </w:p>
        </w:tc>
        <w:tc>
          <w:tcPr>
            <w:tcW w:w="863" w:type="dxa"/>
            <w:shd w:val="clear" w:color="auto" w:fill="auto"/>
            <w:vAlign w:val="center"/>
          </w:tcPr>
          <w:p w14:paraId="588A1499"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$959</w:t>
            </w:r>
          </w:p>
        </w:tc>
        <w:tc>
          <w:tcPr>
            <w:tcW w:w="863" w:type="dxa"/>
            <w:shd w:val="clear" w:color="auto" w:fill="auto"/>
            <w:vAlign w:val="center"/>
          </w:tcPr>
          <w:p w14:paraId="44451A6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38%</w:t>
            </w:r>
          </w:p>
        </w:tc>
        <w:tc>
          <w:tcPr>
            <w:tcW w:w="863" w:type="dxa"/>
            <w:shd w:val="clear" w:color="auto" w:fill="auto"/>
            <w:vAlign w:val="center"/>
          </w:tcPr>
          <w:p w14:paraId="2A12E60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$5,204</w:t>
            </w:r>
          </w:p>
        </w:tc>
        <w:tc>
          <w:tcPr>
            <w:tcW w:w="863" w:type="dxa"/>
            <w:shd w:val="clear" w:color="auto" w:fill="auto"/>
            <w:vAlign w:val="center"/>
          </w:tcPr>
          <w:p w14:paraId="320FFAC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A157D4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5A585743" w14:textId="77777777" w:rsidTr="005636C7">
        <w:trPr>
          <w:trHeight w:val="20"/>
        </w:trPr>
        <w:tc>
          <w:tcPr>
            <w:tcW w:w="1305" w:type="dxa"/>
            <w:shd w:val="clear" w:color="auto" w:fill="auto"/>
            <w:vAlign w:val="center"/>
          </w:tcPr>
          <w:p w14:paraId="04F71D4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RFV</w:t>
            </w:r>
          </w:p>
        </w:tc>
        <w:tc>
          <w:tcPr>
            <w:tcW w:w="568" w:type="dxa"/>
            <w:shd w:val="clear" w:color="auto" w:fill="auto"/>
            <w:vAlign w:val="center"/>
          </w:tcPr>
          <w:p w14:paraId="172B04B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w:t>
            </w:r>
          </w:p>
        </w:tc>
        <w:tc>
          <w:tcPr>
            <w:tcW w:w="862" w:type="dxa"/>
            <w:shd w:val="clear" w:color="auto" w:fill="auto"/>
            <w:vAlign w:val="center"/>
          </w:tcPr>
          <w:p w14:paraId="685F89E2"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$126</w:t>
            </w:r>
          </w:p>
        </w:tc>
        <w:tc>
          <w:tcPr>
            <w:tcW w:w="863" w:type="dxa"/>
            <w:shd w:val="clear" w:color="auto" w:fill="auto"/>
            <w:vAlign w:val="center"/>
          </w:tcPr>
          <w:p w14:paraId="34399AE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w:t>
            </w:r>
          </w:p>
        </w:tc>
        <w:tc>
          <w:tcPr>
            <w:tcW w:w="863" w:type="dxa"/>
            <w:shd w:val="clear" w:color="auto" w:fill="auto"/>
            <w:vAlign w:val="center"/>
          </w:tcPr>
          <w:p w14:paraId="20F8C77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$479</w:t>
            </w:r>
          </w:p>
        </w:tc>
        <w:tc>
          <w:tcPr>
            <w:tcW w:w="863" w:type="dxa"/>
            <w:shd w:val="clear" w:color="auto" w:fill="auto"/>
            <w:vAlign w:val="center"/>
          </w:tcPr>
          <w:p w14:paraId="030A075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31%</w:t>
            </w:r>
          </w:p>
        </w:tc>
        <w:tc>
          <w:tcPr>
            <w:tcW w:w="863" w:type="dxa"/>
            <w:shd w:val="clear" w:color="auto" w:fill="auto"/>
            <w:vAlign w:val="center"/>
          </w:tcPr>
          <w:p w14:paraId="32C9456A"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$1,061</w:t>
            </w:r>
          </w:p>
        </w:tc>
        <w:tc>
          <w:tcPr>
            <w:tcW w:w="863" w:type="dxa"/>
            <w:shd w:val="clear" w:color="auto" w:fill="auto"/>
            <w:vAlign w:val="center"/>
          </w:tcPr>
          <w:p w14:paraId="6E78CA0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41%</w:t>
            </w:r>
          </w:p>
        </w:tc>
        <w:tc>
          <w:tcPr>
            <w:tcW w:w="863" w:type="dxa"/>
            <w:shd w:val="clear" w:color="auto" w:fill="auto"/>
            <w:vAlign w:val="center"/>
          </w:tcPr>
          <w:p w14:paraId="2AEC3DB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$6,138</w:t>
            </w:r>
          </w:p>
        </w:tc>
        <w:tc>
          <w:tcPr>
            <w:tcW w:w="863" w:type="dxa"/>
            <w:shd w:val="clear" w:color="auto" w:fill="auto"/>
            <w:vAlign w:val="center"/>
          </w:tcPr>
          <w:p w14:paraId="4407C1E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8%</w:t>
            </w:r>
          </w:p>
        </w:tc>
        <w:tc>
          <w:tcPr>
            <w:tcW w:w="863" w:type="dxa"/>
            <w:shd w:val="clear" w:color="auto" w:fill="auto"/>
            <w:vAlign w:val="center"/>
          </w:tcPr>
          <w:p w14:paraId="78A7D9B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$1,135</w:t>
            </w:r>
          </w:p>
        </w:tc>
      </w:tr>
      <w:tr w:rsidR="005636C7" w:rsidRPr="007A6253" w14:paraId="4BC6AD63" w14:textId="77777777" w:rsidTr="005636C7">
        <w:trPr>
          <w:trHeight w:val="20"/>
        </w:trPr>
        <w:tc>
          <w:tcPr>
            <w:tcW w:w="1305" w:type="dxa"/>
            <w:shd w:val="clear" w:color="auto" w:fill="auto"/>
            <w:vAlign w:val="center"/>
          </w:tcPr>
          <w:p w14:paraId="0A18831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SRH</w:t>
            </w:r>
          </w:p>
        </w:tc>
        <w:tc>
          <w:tcPr>
            <w:tcW w:w="568" w:type="dxa"/>
            <w:shd w:val="clear" w:color="auto" w:fill="auto"/>
            <w:vAlign w:val="center"/>
          </w:tcPr>
          <w:p w14:paraId="696952A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2" w:type="dxa"/>
            <w:shd w:val="clear" w:color="auto" w:fill="auto"/>
            <w:vAlign w:val="center"/>
          </w:tcPr>
          <w:p w14:paraId="0894E04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$179</w:t>
            </w:r>
          </w:p>
        </w:tc>
        <w:tc>
          <w:tcPr>
            <w:tcW w:w="863" w:type="dxa"/>
            <w:shd w:val="clear" w:color="auto" w:fill="auto"/>
            <w:vAlign w:val="center"/>
          </w:tcPr>
          <w:p w14:paraId="526DF20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EEB647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77911B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AA9DBC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160EE2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E9E3DD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7B746F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D2912E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740F8251" w14:textId="77777777" w:rsidTr="005636C7">
        <w:trPr>
          <w:trHeight w:val="20"/>
        </w:trPr>
        <w:tc>
          <w:tcPr>
            <w:tcW w:w="1305" w:type="dxa"/>
            <w:shd w:val="clear" w:color="auto" w:fill="auto"/>
            <w:vAlign w:val="center"/>
          </w:tcPr>
          <w:p w14:paraId="1FF692C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SRV</w:t>
            </w:r>
          </w:p>
        </w:tc>
        <w:tc>
          <w:tcPr>
            <w:tcW w:w="568" w:type="dxa"/>
            <w:shd w:val="clear" w:color="auto" w:fill="auto"/>
            <w:vAlign w:val="center"/>
          </w:tcPr>
          <w:p w14:paraId="5169674F"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20%</w:t>
            </w:r>
          </w:p>
        </w:tc>
        <w:tc>
          <w:tcPr>
            <w:tcW w:w="862" w:type="dxa"/>
            <w:shd w:val="clear" w:color="auto" w:fill="auto"/>
            <w:vAlign w:val="center"/>
          </w:tcPr>
          <w:p w14:paraId="53AD10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$179</w:t>
            </w:r>
          </w:p>
        </w:tc>
        <w:tc>
          <w:tcPr>
            <w:tcW w:w="863" w:type="dxa"/>
            <w:shd w:val="clear" w:color="auto" w:fill="auto"/>
            <w:vAlign w:val="center"/>
          </w:tcPr>
          <w:p w14:paraId="314E829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BF4C4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834A64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6DB98E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7185CF13"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566011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544AC7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69A2F2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4AFC9152" w14:textId="77777777" w:rsidTr="005636C7">
        <w:trPr>
          <w:trHeight w:val="20"/>
        </w:trPr>
        <w:tc>
          <w:tcPr>
            <w:tcW w:w="1305" w:type="dxa"/>
            <w:shd w:val="clear" w:color="auto" w:fill="auto"/>
            <w:vAlign w:val="center"/>
          </w:tcPr>
          <w:p w14:paraId="12076280"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SFH</w:t>
            </w:r>
          </w:p>
        </w:tc>
        <w:tc>
          <w:tcPr>
            <w:tcW w:w="568" w:type="dxa"/>
            <w:shd w:val="clear" w:color="auto" w:fill="auto"/>
            <w:vAlign w:val="center"/>
          </w:tcPr>
          <w:p w14:paraId="405A92C1"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9%</w:t>
            </w:r>
          </w:p>
        </w:tc>
        <w:tc>
          <w:tcPr>
            <w:tcW w:w="862" w:type="dxa"/>
            <w:shd w:val="clear" w:color="auto" w:fill="auto"/>
            <w:vAlign w:val="center"/>
          </w:tcPr>
          <w:p w14:paraId="6DBCD02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$137</w:t>
            </w:r>
          </w:p>
        </w:tc>
        <w:tc>
          <w:tcPr>
            <w:tcW w:w="863" w:type="dxa"/>
            <w:shd w:val="clear" w:color="auto" w:fill="auto"/>
            <w:vAlign w:val="center"/>
          </w:tcPr>
          <w:p w14:paraId="7F8B34E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1A7A3534"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D57BBE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09D110C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47D2CB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128FF1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CCFA97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25A5215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r w:rsidR="005636C7" w:rsidRPr="007A6253" w14:paraId="19777C80" w14:textId="77777777" w:rsidTr="005636C7">
        <w:trPr>
          <w:trHeight w:val="20"/>
        </w:trPr>
        <w:tc>
          <w:tcPr>
            <w:tcW w:w="1305" w:type="dxa"/>
            <w:shd w:val="clear" w:color="auto" w:fill="auto"/>
            <w:vAlign w:val="center"/>
          </w:tcPr>
          <w:p w14:paraId="565FCFA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SFV</w:t>
            </w:r>
          </w:p>
        </w:tc>
        <w:tc>
          <w:tcPr>
            <w:tcW w:w="568" w:type="dxa"/>
            <w:shd w:val="clear" w:color="auto" w:fill="auto"/>
            <w:vAlign w:val="center"/>
          </w:tcPr>
          <w:p w14:paraId="34AE23D8"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14%</w:t>
            </w:r>
          </w:p>
        </w:tc>
        <w:tc>
          <w:tcPr>
            <w:tcW w:w="862" w:type="dxa"/>
            <w:shd w:val="clear" w:color="auto" w:fill="auto"/>
            <w:vAlign w:val="center"/>
          </w:tcPr>
          <w:p w14:paraId="17A1D7B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$165</w:t>
            </w:r>
          </w:p>
        </w:tc>
        <w:tc>
          <w:tcPr>
            <w:tcW w:w="863" w:type="dxa"/>
            <w:shd w:val="clear" w:color="auto" w:fill="auto"/>
            <w:vAlign w:val="center"/>
          </w:tcPr>
          <w:p w14:paraId="36DD041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57F37957"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282F046"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44875F5"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4AE2319D"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6296264E"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548691C"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c>
          <w:tcPr>
            <w:tcW w:w="863" w:type="dxa"/>
            <w:shd w:val="clear" w:color="auto" w:fill="auto"/>
            <w:vAlign w:val="center"/>
          </w:tcPr>
          <w:p w14:paraId="35F52ACB" w14:textId="77777777" w:rsidR="005636C7" w:rsidRPr="007029A0" w:rsidRDefault="005636C7" w:rsidP="005636C7">
            <w:pPr>
              <w:pStyle w:val="E3tabletext1"/>
              <w:jc w:val="both"/>
              <w:rPr>
                <w:rFonts w:ascii="Helvetica" w:hAnsi="Helvetica" w:cs="Helvetica"/>
                <w:sz w:val="15"/>
                <w:szCs w:val="15"/>
              </w:rPr>
            </w:pPr>
            <w:r w:rsidRPr="007029A0">
              <w:rPr>
                <w:rFonts w:ascii="Helvetica" w:hAnsi="Helvetica" w:cs="Helvetica"/>
                <w:color w:val="000000"/>
                <w:sz w:val="15"/>
                <w:szCs w:val="15"/>
              </w:rPr>
              <w:t>-</w:t>
            </w:r>
          </w:p>
        </w:tc>
      </w:tr>
    </w:tbl>
    <w:p w14:paraId="17EFEA4F" w14:textId="77777777" w:rsidR="005636C7" w:rsidRPr="0041262C" w:rsidRDefault="005636C7" w:rsidP="005636C7">
      <w:pPr>
        <w:pStyle w:val="E3Heading2"/>
        <w:spacing w:before="360"/>
        <w:jc w:val="both"/>
        <w:rPr>
          <w:rFonts w:ascii="Georgia" w:hAnsi="Georgia"/>
          <w:sz w:val="24"/>
        </w:rPr>
      </w:pPr>
      <w:bookmarkStart w:id="415" w:name="_Toc447533634"/>
      <w:bookmarkStart w:id="416" w:name="_Toc449708808"/>
      <w:bookmarkStart w:id="417" w:name="_Toc494897994"/>
      <w:bookmarkStart w:id="418" w:name="_Toc494955786"/>
      <w:bookmarkStart w:id="419" w:name="_Toc494959594"/>
      <w:bookmarkStart w:id="420" w:name="_Toc494972720"/>
      <w:bookmarkStart w:id="421" w:name="_Toc494973907"/>
      <w:bookmarkStart w:id="422" w:name="_Toc494974596"/>
      <w:bookmarkStart w:id="423" w:name="_Toc500151840"/>
      <w:r w:rsidRPr="0041262C">
        <w:rPr>
          <w:rFonts w:ascii="Georgia" w:hAnsi="Georgia"/>
          <w:sz w:val="24"/>
        </w:rPr>
        <w:t>Cost of improving efficiency with current registered models</w:t>
      </w:r>
      <w:bookmarkEnd w:id="415"/>
      <w:bookmarkEnd w:id="416"/>
      <w:bookmarkEnd w:id="417"/>
      <w:bookmarkEnd w:id="418"/>
      <w:bookmarkEnd w:id="419"/>
      <w:bookmarkEnd w:id="420"/>
      <w:bookmarkEnd w:id="421"/>
      <w:bookmarkEnd w:id="422"/>
      <w:bookmarkEnd w:id="423"/>
    </w:p>
    <w:p w14:paraId="69FC87D4" w14:textId="77777777" w:rsidR="005636C7" w:rsidRPr="00AC7259" w:rsidRDefault="005636C7" w:rsidP="005636C7">
      <w:pPr>
        <w:pStyle w:val="E3BodyText"/>
        <w:jc w:val="both"/>
      </w:pPr>
      <w:r w:rsidRPr="00AC7259">
        <w:t xml:space="preserve">Improving the MEPS levels has the effect of removing the least energy efficient registered models and encourages suppliers to introduce performance enhancements to satisfy the more onerous MEPS levels.  </w:t>
      </w:r>
    </w:p>
    <w:p w14:paraId="17F3B386" w14:textId="77777777" w:rsidR="005636C7" w:rsidRPr="00AC7259" w:rsidRDefault="005636C7" w:rsidP="005636C7">
      <w:pPr>
        <w:pStyle w:val="E3BodyText"/>
        <w:jc w:val="both"/>
      </w:pPr>
      <w:r w:rsidRPr="00AC7259">
        <w:t>If the MEPS levels were made 24% more onerous, around 425 to 440 currently registered models would be affected and become non-compliant. The potential level of efficiency improvement required where approximately 145 of these products (33% of non-compliant products) would require energy efficiency improvements of between 0% and 8%. A</w:t>
      </w:r>
      <w:r>
        <w:t xml:space="preserve"> further </w:t>
      </w:r>
      <w:r w:rsidRPr="00AC7259">
        <w:t xml:space="preserve">145 cabinets would need an improvement of 8% to 16% and the final 145 </w:t>
      </w:r>
      <w:r>
        <w:t xml:space="preserve">would require </w:t>
      </w:r>
      <w:r w:rsidRPr="00AC7259">
        <w:t>more significant improvements of between 16%</w:t>
      </w:r>
      <w:r>
        <w:t xml:space="preserve"> and 24%. The cost of higher level improvements will </w:t>
      </w:r>
      <w:r w:rsidRPr="00AC7259">
        <w:t>vary considerably depending on the type of product and the market it is sold into.</w:t>
      </w:r>
    </w:p>
    <w:p w14:paraId="7B3AD78B" w14:textId="77777777" w:rsidR="005636C7" w:rsidRPr="00AC7259" w:rsidRDefault="005636C7" w:rsidP="005636C7">
      <w:pPr>
        <w:pStyle w:val="E3BodyText"/>
        <w:jc w:val="both"/>
      </w:pPr>
      <w:r w:rsidRPr="00AC7259">
        <w:t>One of the objects of MEPS is to drive the lower efficiency refrigeration equipment to adopt the newer more efficient technologies</w:t>
      </w:r>
      <w:r>
        <w:t>.  This means that the greater</w:t>
      </w:r>
      <w:r w:rsidRPr="00AC7259">
        <w:t xml:space="preserve"> the “efficiency gap” </w:t>
      </w:r>
      <w:r>
        <w:t xml:space="preserve">is </w:t>
      </w:r>
      <w:r w:rsidRPr="00AC7259">
        <w:t>between a product and MEPS levels, the higher the cost of bringing the low performing product up to a new standard.</w:t>
      </w:r>
    </w:p>
    <w:p w14:paraId="1B6BF4B9" w14:textId="77777777" w:rsidR="005636C7" w:rsidRPr="00AC7259" w:rsidRDefault="005636C7" w:rsidP="005636C7">
      <w:pPr>
        <w:pStyle w:val="E3BodyText"/>
        <w:jc w:val="both"/>
      </w:pPr>
      <w:r w:rsidRPr="00AC7259">
        <w:t xml:space="preserve">Overseas studies both in the US and Europe have produced information showing the efficiency improvements and the cost incurred as well as payback periods. However due to the considerable time frames involved in developing this data, technology has moved forward rapidly. The products at the top end of the market tend to be more sophisticated in the technology being incorporated and so in general, </w:t>
      </w:r>
      <w:r>
        <w:t xml:space="preserve">this part of the market has seen the adoption of newer and more </w:t>
      </w:r>
      <w:r w:rsidRPr="00AC7259">
        <w:t>advanced technologies. Those products at the lower end of the market tend to be slower in the uptake of new technology partly in an effort to keep manufacturing and development costs down.</w:t>
      </w:r>
    </w:p>
    <w:p w14:paraId="17980F30" w14:textId="77777777" w:rsidR="005636C7" w:rsidRPr="00AC7259" w:rsidRDefault="005636C7" w:rsidP="005636C7">
      <w:pPr>
        <w:pStyle w:val="E3BodyText"/>
        <w:jc w:val="both"/>
      </w:pPr>
      <w:r w:rsidRPr="00AC7259">
        <w:t>Thus some of the claims of the efficiency gains from new technology appear to relate to product</w:t>
      </w:r>
      <w:r>
        <w:t>s that have</w:t>
      </w:r>
      <w:r w:rsidRPr="00AC7259">
        <w:t xml:space="preserve"> been in the market for some time and </w:t>
      </w:r>
      <w:r>
        <w:t xml:space="preserve">are </w:t>
      </w:r>
      <w:r w:rsidRPr="00AC7259">
        <w:t>u</w:t>
      </w:r>
      <w:r>
        <w:t xml:space="preserve">sing less advanced, </w:t>
      </w:r>
      <w:r w:rsidRPr="00AC7259">
        <w:t>lower cost components.</w:t>
      </w:r>
    </w:p>
    <w:p w14:paraId="3F8B5DD5" w14:textId="77777777" w:rsidR="005636C7" w:rsidRDefault="005636C7" w:rsidP="005636C7">
      <w:pPr>
        <w:pStyle w:val="E3BodyText"/>
        <w:jc w:val="both"/>
      </w:pPr>
      <w:r>
        <w:t>LED lighting that by</w:t>
      </w:r>
      <w:r w:rsidRPr="00AC7259">
        <w:t xml:space="preserve"> necessity uses electronic power supplies is a case in point. As an example</w:t>
      </w:r>
      <w:r>
        <w:t>,</w:t>
      </w:r>
      <w:r w:rsidRPr="00AC7259">
        <w:t xml:space="preserve"> fluorescent lighting with smaller diameter higher efficacy lamps powered by electronic ballasts has been widely used for some time in sectors of the refrigerated display cabinet market in Australia and New Zealand</w:t>
      </w:r>
      <w:r>
        <w:t xml:space="preserve">, while </w:t>
      </w:r>
      <w:r w:rsidRPr="00AC7259">
        <w:t xml:space="preserve">other sectors still use magnetic ballasts and large diameter fluorescent lamps.  Upgrading from older and less expensive technologies to LEDs will be a greater cost step then upgrading from T5 to LEDs, see </w:t>
      </w:r>
      <w:r w:rsidRPr="00AC7259">
        <w:rPr>
          <w:b/>
        </w:rPr>
        <w:fldChar w:fldCharType="begin"/>
      </w:r>
      <w:r w:rsidRPr="00AC7259">
        <w:rPr>
          <w:b/>
        </w:rPr>
        <w:instrText xml:space="preserve"> REF _Ref450032742 \h  \* MERGEFORMAT </w:instrText>
      </w:r>
      <w:r w:rsidRPr="00AC7259">
        <w:rPr>
          <w:b/>
        </w:rPr>
      </w:r>
      <w:r w:rsidRPr="00AC7259">
        <w:rPr>
          <w:b/>
        </w:rPr>
        <w:fldChar w:fldCharType="separate"/>
      </w:r>
      <w:r w:rsidR="00AC6998" w:rsidRPr="00AC6998">
        <w:rPr>
          <w:b/>
        </w:rPr>
        <w:t xml:space="preserve">Table D </w:t>
      </w:r>
      <w:r w:rsidR="00AC6998" w:rsidRPr="00AC6998">
        <w:rPr>
          <w:b/>
          <w:noProof/>
        </w:rPr>
        <w:t>6</w:t>
      </w:r>
      <w:r w:rsidRPr="00AC7259">
        <w:rPr>
          <w:b/>
        </w:rPr>
        <w:fldChar w:fldCharType="end"/>
      </w:r>
      <w:r w:rsidRPr="00AC7259">
        <w:t xml:space="preserve"> below.</w:t>
      </w:r>
    </w:p>
    <w:p w14:paraId="609B9376" w14:textId="77777777" w:rsidR="005636C7" w:rsidRDefault="005636C7" w:rsidP="005636C7">
      <w:pPr>
        <w:rPr>
          <w:rFonts w:eastAsia="Calibri" w:cs="Georgia"/>
          <w:color w:val="000000"/>
          <w:szCs w:val="19"/>
          <w:lang w:val="en-US"/>
        </w:rPr>
      </w:pPr>
      <w:r>
        <w:br w:type="page"/>
      </w:r>
    </w:p>
    <w:p w14:paraId="4B7502F6" w14:textId="77777777" w:rsidR="005636C7" w:rsidRPr="00F428D8" w:rsidRDefault="005636C7" w:rsidP="005636C7">
      <w:pPr>
        <w:pStyle w:val="E3TableTitles"/>
        <w:spacing w:before="100" w:beforeAutospacing="1"/>
      </w:pPr>
      <w:bookmarkStart w:id="424" w:name="_Ref450032742"/>
      <w:bookmarkStart w:id="425" w:name="_Toc449708982"/>
      <w:bookmarkStart w:id="426" w:name="_Toc456164780"/>
      <w:bookmarkStart w:id="427" w:name="_Toc500159678"/>
      <w:r>
        <w:t xml:space="preserve">Table D </w:t>
      </w:r>
      <w:r>
        <w:fldChar w:fldCharType="begin"/>
      </w:r>
      <w:r>
        <w:instrText xml:space="preserve"> SEQ Table_D \* ARABIC </w:instrText>
      </w:r>
      <w:r>
        <w:fldChar w:fldCharType="separate"/>
      </w:r>
      <w:r w:rsidR="00AC6998">
        <w:rPr>
          <w:noProof/>
        </w:rPr>
        <w:t>6</w:t>
      </w:r>
      <w:r>
        <w:rPr>
          <w:noProof/>
        </w:rPr>
        <w:fldChar w:fldCharType="end"/>
      </w:r>
      <w:bookmarkEnd w:id="424"/>
      <w:r w:rsidRPr="002705A4">
        <w:t>: Energy efficiency and technology upgrade potential of fan motors and cabinet lighting</w:t>
      </w:r>
      <w:bookmarkEnd w:id="425"/>
      <w:bookmarkEnd w:id="426"/>
      <w:bookmarkEnd w:id="4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8"/>
        <w:gridCol w:w="7003"/>
      </w:tblGrid>
      <w:tr w:rsidR="005636C7" w14:paraId="0886D640" w14:textId="77777777" w:rsidTr="005636C7">
        <w:trPr>
          <w:trHeight w:val="20"/>
        </w:trPr>
        <w:tc>
          <w:tcPr>
            <w:tcW w:w="1701" w:type="dxa"/>
            <w:shd w:val="clear" w:color="auto" w:fill="000000"/>
          </w:tcPr>
          <w:p w14:paraId="62FF8330" w14:textId="77777777" w:rsidR="005636C7" w:rsidRDefault="005636C7" w:rsidP="005636C7">
            <w:pPr>
              <w:pStyle w:val="E3TableHeading"/>
            </w:pPr>
            <w:r>
              <w:t>Product</w:t>
            </w:r>
          </w:p>
        </w:tc>
        <w:tc>
          <w:tcPr>
            <w:tcW w:w="8039" w:type="dxa"/>
            <w:gridSpan w:val="2"/>
            <w:shd w:val="clear" w:color="auto" w:fill="000000"/>
          </w:tcPr>
          <w:p w14:paraId="7F58B0E2" w14:textId="77777777" w:rsidR="005636C7" w:rsidRDefault="005636C7" w:rsidP="005636C7">
            <w:pPr>
              <w:pStyle w:val="E3TableHeading"/>
            </w:pPr>
            <w:r>
              <w:t>Technological improvements</w:t>
            </w:r>
          </w:p>
        </w:tc>
      </w:tr>
      <w:tr w:rsidR="005636C7" w14:paraId="56099BB1" w14:textId="77777777" w:rsidTr="005636C7">
        <w:trPr>
          <w:trHeight w:val="20"/>
        </w:trPr>
        <w:tc>
          <w:tcPr>
            <w:tcW w:w="1701" w:type="dxa"/>
            <w:vMerge w:val="restart"/>
            <w:vAlign w:val="center"/>
          </w:tcPr>
          <w:p w14:paraId="37D60A60" w14:textId="77777777" w:rsidR="005636C7" w:rsidRDefault="005636C7" w:rsidP="005636C7">
            <w:pPr>
              <w:pStyle w:val="E3TableHeading"/>
            </w:pPr>
            <w:r>
              <w:t>Fan motors</w:t>
            </w:r>
          </w:p>
        </w:tc>
        <w:tc>
          <w:tcPr>
            <w:tcW w:w="851" w:type="dxa"/>
            <w:vAlign w:val="center"/>
          </w:tcPr>
          <w:p w14:paraId="2958D666" w14:textId="77777777" w:rsidR="005636C7" w:rsidRPr="0041262C" w:rsidRDefault="005636C7" w:rsidP="005636C7">
            <w:pPr>
              <w:pStyle w:val="E3tabletext1"/>
              <w:rPr>
                <w:rFonts w:ascii="Wingdings" w:hAnsi="Wingdings" w:cs="Helvetica"/>
                <w:sz w:val="15"/>
                <w:szCs w:val="15"/>
              </w:rPr>
            </w:pPr>
          </w:p>
        </w:tc>
        <w:tc>
          <w:tcPr>
            <w:tcW w:w="7188" w:type="dxa"/>
            <w:vAlign w:val="center"/>
          </w:tcPr>
          <w:p w14:paraId="5025D28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Shaded Pole</w:t>
            </w:r>
          </w:p>
        </w:tc>
      </w:tr>
      <w:tr w:rsidR="005636C7" w14:paraId="158926FA" w14:textId="77777777" w:rsidTr="005636C7">
        <w:trPr>
          <w:trHeight w:val="20"/>
        </w:trPr>
        <w:tc>
          <w:tcPr>
            <w:tcW w:w="1701" w:type="dxa"/>
            <w:vMerge/>
            <w:vAlign w:val="center"/>
          </w:tcPr>
          <w:p w14:paraId="49A6C6AB" w14:textId="77777777" w:rsidR="005636C7" w:rsidRDefault="005636C7" w:rsidP="005636C7">
            <w:pPr>
              <w:pStyle w:val="E3TableHeading"/>
            </w:pPr>
          </w:p>
        </w:tc>
        <w:tc>
          <w:tcPr>
            <w:tcW w:w="851" w:type="dxa"/>
            <w:vAlign w:val="center"/>
          </w:tcPr>
          <w:p w14:paraId="1E206125"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5B3B85C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Permanent Split Capacitor (PSC)</w:t>
            </w:r>
          </w:p>
        </w:tc>
      </w:tr>
      <w:tr w:rsidR="005636C7" w14:paraId="3BE2C14A" w14:textId="77777777" w:rsidTr="005636C7">
        <w:trPr>
          <w:trHeight w:val="20"/>
        </w:trPr>
        <w:tc>
          <w:tcPr>
            <w:tcW w:w="1701" w:type="dxa"/>
            <w:vMerge/>
            <w:vAlign w:val="center"/>
          </w:tcPr>
          <w:p w14:paraId="49A8F0F4" w14:textId="77777777" w:rsidR="005636C7" w:rsidRDefault="005636C7" w:rsidP="005636C7">
            <w:pPr>
              <w:pStyle w:val="E3TableHeading"/>
            </w:pPr>
          </w:p>
        </w:tc>
        <w:tc>
          <w:tcPr>
            <w:tcW w:w="851" w:type="dxa"/>
            <w:vAlign w:val="center"/>
          </w:tcPr>
          <w:p w14:paraId="713099F4"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708F134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Electronically commutated (EC) or Brushless dc (BLDC)</w:t>
            </w:r>
          </w:p>
        </w:tc>
      </w:tr>
      <w:tr w:rsidR="005636C7" w14:paraId="6BED504B" w14:textId="77777777" w:rsidTr="005636C7">
        <w:trPr>
          <w:trHeight w:val="20"/>
        </w:trPr>
        <w:tc>
          <w:tcPr>
            <w:tcW w:w="9740" w:type="dxa"/>
            <w:gridSpan w:val="3"/>
            <w:shd w:val="clear" w:color="auto" w:fill="D9D9D9" w:themeFill="background1" w:themeFillShade="D9"/>
            <w:vAlign w:val="center"/>
          </w:tcPr>
          <w:p w14:paraId="051E0688" w14:textId="77777777" w:rsidR="005636C7" w:rsidRPr="00CD2BF0" w:rsidRDefault="005636C7" w:rsidP="005636C7">
            <w:pPr>
              <w:pStyle w:val="E3TableHeading"/>
              <w:rPr>
                <w:rFonts w:ascii="Wingdings" w:hAnsi="Wingdings"/>
              </w:rPr>
            </w:pPr>
          </w:p>
        </w:tc>
      </w:tr>
      <w:tr w:rsidR="005636C7" w14:paraId="40EDD826" w14:textId="77777777" w:rsidTr="005636C7">
        <w:trPr>
          <w:trHeight w:val="20"/>
        </w:trPr>
        <w:tc>
          <w:tcPr>
            <w:tcW w:w="1701" w:type="dxa"/>
            <w:vMerge w:val="restart"/>
            <w:vAlign w:val="center"/>
          </w:tcPr>
          <w:p w14:paraId="0A2E32A1" w14:textId="77777777" w:rsidR="005636C7" w:rsidRDefault="005636C7" w:rsidP="005636C7">
            <w:pPr>
              <w:pStyle w:val="E3TableHeading"/>
            </w:pPr>
            <w:r>
              <w:t>Cabinet lighting</w:t>
            </w:r>
          </w:p>
        </w:tc>
        <w:tc>
          <w:tcPr>
            <w:tcW w:w="851" w:type="dxa"/>
            <w:vAlign w:val="center"/>
          </w:tcPr>
          <w:p w14:paraId="2958F4D3" w14:textId="77777777" w:rsidR="005636C7" w:rsidRPr="0041262C" w:rsidRDefault="005636C7" w:rsidP="005636C7">
            <w:pPr>
              <w:pStyle w:val="E3tabletext1"/>
              <w:rPr>
                <w:rFonts w:ascii="Wingdings" w:hAnsi="Wingdings" w:cs="Helvetica"/>
                <w:sz w:val="15"/>
                <w:szCs w:val="15"/>
              </w:rPr>
            </w:pPr>
          </w:p>
        </w:tc>
        <w:tc>
          <w:tcPr>
            <w:tcW w:w="7188" w:type="dxa"/>
            <w:vAlign w:val="center"/>
          </w:tcPr>
          <w:p w14:paraId="54B50E2E"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T12 (38 mm diameter) fluorescent lamps with magnetic ballasts</w:t>
            </w:r>
          </w:p>
        </w:tc>
      </w:tr>
      <w:tr w:rsidR="005636C7" w14:paraId="214ED265" w14:textId="77777777" w:rsidTr="005636C7">
        <w:trPr>
          <w:trHeight w:val="20"/>
        </w:trPr>
        <w:tc>
          <w:tcPr>
            <w:tcW w:w="1701" w:type="dxa"/>
            <w:vMerge/>
            <w:vAlign w:val="center"/>
          </w:tcPr>
          <w:p w14:paraId="7F89F0AF"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69E36355"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53669429"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T8 (25 mm diameter) fluorescent lamps with magnetic ballasts</w:t>
            </w:r>
          </w:p>
        </w:tc>
      </w:tr>
      <w:tr w:rsidR="005636C7" w14:paraId="40CAC24D" w14:textId="77777777" w:rsidTr="005636C7">
        <w:trPr>
          <w:trHeight w:val="20"/>
        </w:trPr>
        <w:tc>
          <w:tcPr>
            <w:tcW w:w="1701" w:type="dxa"/>
            <w:vMerge/>
            <w:vAlign w:val="center"/>
          </w:tcPr>
          <w:p w14:paraId="67EA3CF0"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2030B1A2"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071B63A7"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T8 (25 mm diameter) fluorescent lamps with energy efficient magnetic ballasts</w:t>
            </w:r>
          </w:p>
        </w:tc>
      </w:tr>
      <w:tr w:rsidR="005636C7" w14:paraId="30157868" w14:textId="77777777" w:rsidTr="005636C7">
        <w:trPr>
          <w:trHeight w:val="20"/>
        </w:trPr>
        <w:tc>
          <w:tcPr>
            <w:tcW w:w="1701" w:type="dxa"/>
            <w:vMerge/>
            <w:vAlign w:val="center"/>
          </w:tcPr>
          <w:p w14:paraId="3D8CEC80"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6259ACE2"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254A57C2"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T8 (25 mm diameter) fluorescent lamps with electronic control gear</w:t>
            </w:r>
          </w:p>
        </w:tc>
      </w:tr>
      <w:tr w:rsidR="005636C7" w14:paraId="0EF1F466" w14:textId="77777777" w:rsidTr="005636C7">
        <w:trPr>
          <w:trHeight w:val="20"/>
        </w:trPr>
        <w:tc>
          <w:tcPr>
            <w:tcW w:w="1701" w:type="dxa"/>
            <w:vMerge/>
            <w:vAlign w:val="center"/>
          </w:tcPr>
          <w:p w14:paraId="42B8F9D5"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4D55483B"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5BC0CFD5"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T5 (16 mm diameter) fluorescent lamps with electronic control gear</w:t>
            </w:r>
          </w:p>
        </w:tc>
      </w:tr>
      <w:tr w:rsidR="005636C7" w14:paraId="3FB95457" w14:textId="77777777" w:rsidTr="005636C7">
        <w:trPr>
          <w:trHeight w:val="20"/>
        </w:trPr>
        <w:tc>
          <w:tcPr>
            <w:tcW w:w="1701" w:type="dxa"/>
            <w:vMerge/>
            <w:vAlign w:val="center"/>
          </w:tcPr>
          <w:p w14:paraId="7339B49C" w14:textId="77777777" w:rsidR="005636C7" w:rsidRPr="0041262C" w:rsidRDefault="005636C7" w:rsidP="005636C7">
            <w:pPr>
              <w:pStyle w:val="E3tabletext1"/>
              <w:rPr>
                <w:rFonts w:ascii="Helvetica" w:hAnsi="Helvetica" w:cs="Helvetica"/>
                <w:sz w:val="15"/>
                <w:szCs w:val="15"/>
              </w:rPr>
            </w:pPr>
          </w:p>
        </w:tc>
        <w:tc>
          <w:tcPr>
            <w:tcW w:w="851" w:type="dxa"/>
            <w:vAlign w:val="center"/>
          </w:tcPr>
          <w:p w14:paraId="07D2B06C" w14:textId="77777777" w:rsidR="005636C7" w:rsidRPr="0041262C" w:rsidRDefault="005636C7" w:rsidP="005636C7">
            <w:pPr>
              <w:pStyle w:val="E3tabletext1"/>
              <w:rPr>
                <w:rFonts w:ascii="Wingdings" w:hAnsi="Wingdings" w:cs="Helvetica"/>
                <w:sz w:val="15"/>
                <w:szCs w:val="15"/>
              </w:rPr>
            </w:pPr>
            <w:r w:rsidRPr="0041262C">
              <w:rPr>
                <w:rFonts w:ascii="Wingdings" w:hAnsi="Wingdings" w:cs="Helvetica"/>
                <w:sz w:val="15"/>
                <w:szCs w:val="15"/>
              </w:rPr>
              <w:t></w:t>
            </w:r>
          </w:p>
        </w:tc>
        <w:tc>
          <w:tcPr>
            <w:tcW w:w="7188" w:type="dxa"/>
            <w:vAlign w:val="center"/>
          </w:tcPr>
          <w:p w14:paraId="38C6DA81" w14:textId="77777777" w:rsidR="005636C7" w:rsidRPr="0041262C" w:rsidRDefault="005636C7" w:rsidP="005636C7">
            <w:pPr>
              <w:pStyle w:val="E3tabletext1"/>
              <w:rPr>
                <w:rFonts w:ascii="Helvetica" w:hAnsi="Helvetica" w:cs="Helvetica"/>
                <w:sz w:val="15"/>
                <w:szCs w:val="15"/>
              </w:rPr>
            </w:pPr>
            <w:r w:rsidRPr="0041262C">
              <w:rPr>
                <w:rFonts w:ascii="Helvetica" w:hAnsi="Helvetica" w:cs="Helvetica"/>
                <w:sz w:val="15"/>
                <w:szCs w:val="15"/>
              </w:rPr>
              <w:t>LED lamps with electronic control gear</w:t>
            </w:r>
          </w:p>
        </w:tc>
      </w:tr>
    </w:tbl>
    <w:p w14:paraId="43E56067" w14:textId="77777777" w:rsidR="005636C7" w:rsidRDefault="005636C7" w:rsidP="000F6ACF">
      <w:pPr>
        <w:pStyle w:val="E3Caption"/>
        <w:numPr>
          <w:ilvl w:val="0"/>
          <w:numId w:val="19"/>
        </w:numPr>
        <w:spacing w:before="60" w:after="120"/>
      </w:pPr>
      <w:r>
        <w:t xml:space="preserve">In </w:t>
      </w:r>
      <w:r w:rsidRPr="000D518E">
        <w:t>2003 MEPS was introduced into AU and NZ for fluorescent lamp ballasts.</w:t>
      </w:r>
    </w:p>
    <w:p w14:paraId="51B01E3E" w14:textId="77777777" w:rsidR="005636C7" w:rsidRPr="000D518E" w:rsidRDefault="005636C7" w:rsidP="000F6ACF">
      <w:pPr>
        <w:pStyle w:val="E3Caption"/>
        <w:numPr>
          <w:ilvl w:val="0"/>
          <w:numId w:val="19"/>
        </w:numPr>
        <w:spacing w:before="60" w:after="120"/>
      </w:pPr>
      <w:r w:rsidRPr="000D518E">
        <w:t>In 2004 MEPS was introduced into AU and NZ for fluorescent lamps</w:t>
      </w:r>
      <w:r>
        <w:t>.</w:t>
      </w:r>
    </w:p>
    <w:p w14:paraId="6C850DA8" w14:textId="77777777" w:rsidR="005636C7" w:rsidRDefault="005636C7" w:rsidP="005636C7"/>
    <w:p w14:paraId="4769DDC4" w14:textId="77777777" w:rsidR="005636C7" w:rsidRDefault="005636C7" w:rsidP="005636C7">
      <w:pPr>
        <w:pStyle w:val="E3BodyText"/>
      </w:pPr>
    </w:p>
    <w:p w14:paraId="436D8C3C" w14:textId="77777777" w:rsidR="005636C7" w:rsidRPr="00AC7259" w:rsidRDefault="005636C7" w:rsidP="005636C7">
      <w:pPr>
        <w:pStyle w:val="E3BodyText"/>
        <w:jc w:val="both"/>
      </w:pPr>
      <w:r w:rsidRPr="00AC7259">
        <w:t>This is similar to the scenario with electric motors driving fans. EC and brushless DC motors are now widely used both as original equipment and in the replacement market. In some instances these are taking the place of low efficiency, lower cost, shaded pole motors</w:t>
      </w:r>
      <w:r>
        <w:t xml:space="preserve">. However </w:t>
      </w:r>
      <w:r w:rsidRPr="00AC7259">
        <w:t xml:space="preserve">in other </w:t>
      </w:r>
      <w:r>
        <w:t xml:space="preserve">cases </w:t>
      </w:r>
      <w:r w:rsidRPr="00AC7259">
        <w:t xml:space="preserve">suppliers had already moved to more efficient motors such as PSC motors, thus an EC motor does not bring the same efficiency gains. </w:t>
      </w:r>
    </w:p>
    <w:p w14:paraId="5CA9A014" w14:textId="77777777" w:rsidR="005636C7" w:rsidRPr="0041262C" w:rsidRDefault="005636C7" w:rsidP="005636C7">
      <w:pPr>
        <w:pStyle w:val="E3Heading2"/>
        <w:jc w:val="both"/>
        <w:rPr>
          <w:rFonts w:ascii="Georgia" w:hAnsi="Georgia"/>
          <w:sz w:val="24"/>
        </w:rPr>
      </w:pPr>
      <w:bookmarkStart w:id="428" w:name="_Toc447533635"/>
      <w:bookmarkStart w:id="429" w:name="_Toc449708809"/>
      <w:bookmarkStart w:id="430" w:name="_Toc494897995"/>
      <w:bookmarkStart w:id="431" w:name="_Toc494955787"/>
      <w:bookmarkStart w:id="432" w:name="_Toc494959595"/>
      <w:bookmarkStart w:id="433" w:name="_Toc494972721"/>
      <w:bookmarkStart w:id="434" w:name="_Toc494973908"/>
      <w:bookmarkStart w:id="435" w:name="_Toc494974597"/>
      <w:bookmarkStart w:id="436" w:name="_Toc500151841"/>
      <w:r w:rsidRPr="0041262C">
        <w:rPr>
          <w:rFonts w:ascii="Georgia" w:hAnsi="Georgia"/>
          <w:sz w:val="24"/>
        </w:rPr>
        <w:t>Assumptions relating to cost of efficiency improvement</w:t>
      </w:r>
      <w:bookmarkEnd w:id="428"/>
      <w:bookmarkEnd w:id="429"/>
      <w:bookmarkEnd w:id="430"/>
      <w:bookmarkEnd w:id="431"/>
      <w:bookmarkEnd w:id="432"/>
      <w:bookmarkEnd w:id="433"/>
      <w:bookmarkEnd w:id="434"/>
      <w:bookmarkEnd w:id="435"/>
      <w:bookmarkEnd w:id="436"/>
    </w:p>
    <w:p w14:paraId="726F07A3" w14:textId="77777777" w:rsidR="005636C7" w:rsidRPr="00DA7667" w:rsidRDefault="005636C7" w:rsidP="005636C7">
      <w:pPr>
        <w:pStyle w:val="E3BodyText"/>
        <w:jc w:val="both"/>
      </w:pPr>
      <w:r w:rsidRPr="00DA7667">
        <w:t>The costs of components incorporated into a refrigerated cabinet are subject to a number of variables that can have a considerable effect on price. These include:</w:t>
      </w:r>
    </w:p>
    <w:p w14:paraId="2884F965" w14:textId="77777777" w:rsidR="005636C7" w:rsidRPr="00DA7667" w:rsidRDefault="005636C7" w:rsidP="005636C7">
      <w:pPr>
        <w:pStyle w:val="E3SubSubBullets"/>
        <w:tabs>
          <w:tab w:val="clear" w:pos="720"/>
        </w:tabs>
        <w:ind w:left="964"/>
        <w:jc w:val="both"/>
      </w:pPr>
      <w:r w:rsidRPr="00DA7667">
        <w:t>Buying power of the purchaser</w:t>
      </w:r>
      <w:r>
        <w:t>.</w:t>
      </w:r>
    </w:p>
    <w:p w14:paraId="106050DD" w14:textId="77777777" w:rsidR="005636C7" w:rsidRPr="00AC7259" w:rsidRDefault="005636C7" w:rsidP="005636C7">
      <w:pPr>
        <w:pStyle w:val="E3SubSubBullets"/>
        <w:tabs>
          <w:tab w:val="clear" w:pos="720"/>
        </w:tabs>
        <w:ind w:left="964"/>
        <w:jc w:val="both"/>
      </w:pPr>
      <w:r w:rsidRPr="00AC7259">
        <w:t>Quantity purchased</w:t>
      </w:r>
      <w:r>
        <w:t>.</w:t>
      </w:r>
    </w:p>
    <w:p w14:paraId="5A0AF877" w14:textId="77777777" w:rsidR="005636C7" w:rsidRPr="00AC7259" w:rsidRDefault="005636C7" w:rsidP="005636C7">
      <w:pPr>
        <w:pStyle w:val="E3SubSubBullets"/>
        <w:tabs>
          <w:tab w:val="clear" w:pos="720"/>
        </w:tabs>
        <w:ind w:left="964"/>
        <w:jc w:val="both"/>
      </w:pPr>
      <w:r w:rsidRPr="00AC7259">
        <w:t>Source of supply</w:t>
      </w:r>
      <w:r>
        <w:t>.</w:t>
      </w:r>
    </w:p>
    <w:p w14:paraId="71EAC053" w14:textId="77777777" w:rsidR="005636C7" w:rsidRPr="00AC7259" w:rsidRDefault="005636C7" w:rsidP="005636C7">
      <w:pPr>
        <w:pStyle w:val="E3SubSubBullets"/>
        <w:tabs>
          <w:tab w:val="clear" w:pos="720"/>
        </w:tabs>
        <w:ind w:left="964"/>
        <w:jc w:val="both"/>
      </w:pPr>
      <w:r w:rsidRPr="00AC7259">
        <w:t>Size, duty and capacity of the component</w:t>
      </w:r>
      <w:r>
        <w:t>.</w:t>
      </w:r>
      <w:r w:rsidRPr="00AC7259">
        <w:t xml:space="preserve"> </w:t>
      </w:r>
    </w:p>
    <w:p w14:paraId="55E11AD9" w14:textId="77777777" w:rsidR="005636C7" w:rsidRPr="00AC7259" w:rsidRDefault="005636C7" w:rsidP="005636C7">
      <w:pPr>
        <w:pStyle w:val="E3SubSubBullets"/>
        <w:tabs>
          <w:tab w:val="clear" w:pos="720"/>
        </w:tabs>
        <w:ind w:left="964"/>
        <w:jc w:val="both"/>
      </w:pPr>
      <w:r w:rsidRPr="00AC7259">
        <w:t>Maturity of the technology</w:t>
      </w:r>
      <w:r>
        <w:t>.</w:t>
      </w:r>
      <w:r w:rsidRPr="00AC7259">
        <w:t xml:space="preserve"> </w:t>
      </w:r>
    </w:p>
    <w:p w14:paraId="37CFE9D9" w14:textId="77777777" w:rsidR="005636C7" w:rsidRPr="00AC7259" w:rsidRDefault="005636C7" w:rsidP="005636C7">
      <w:pPr>
        <w:pStyle w:val="E3SubSubBullets"/>
        <w:tabs>
          <w:tab w:val="clear" w:pos="720"/>
        </w:tabs>
        <w:ind w:left="964"/>
        <w:jc w:val="both"/>
      </w:pPr>
      <w:r w:rsidRPr="00AC7259">
        <w:t>Development cost in applying the technology</w:t>
      </w:r>
      <w:r>
        <w:t>.</w:t>
      </w:r>
    </w:p>
    <w:p w14:paraId="3E4AFCB4" w14:textId="77777777" w:rsidR="005636C7" w:rsidRPr="00AC7259" w:rsidRDefault="005636C7" w:rsidP="005636C7">
      <w:pPr>
        <w:pStyle w:val="E3SubSubBullets"/>
        <w:tabs>
          <w:tab w:val="clear" w:pos="720"/>
        </w:tabs>
        <w:ind w:left="964"/>
        <w:jc w:val="both"/>
      </w:pPr>
      <w:r w:rsidRPr="00AC7259">
        <w:t>Testing costs</w:t>
      </w:r>
      <w:r>
        <w:t>.</w:t>
      </w:r>
    </w:p>
    <w:p w14:paraId="5DCD5B2F" w14:textId="77777777" w:rsidR="005636C7" w:rsidRPr="00AC7259" w:rsidRDefault="005636C7" w:rsidP="005636C7">
      <w:pPr>
        <w:pStyle w:val="E3SubSubBullets"/>
        <w:tabs>
          <w:tab w:val="clear" w:pos="720"/>
        </w:tabs>
        <w:ind w:left="964"/>
        <w:jc w:val="both"/>
      </w:pPr>
      <w:r w:rsidRPr="00AC7259">
        <w:t>Assembly costs</w:t>
      </w:r>
      <w:r>
        <w:t>.</w:t>
      </w:r>
    </w:p>
    <w:p w14:paraId="2A2FF317" w14:textId="77777777" w:rsidR="005636C7" w:rsidRPr="00AC7259" w:rsidRDefault="005636C7" w:rsidP="005636C7">
      <w:pPr>
        <w:pStyle w:val="E3SubSubBullets"/>
        <w:tabs>
          <w:tab w:val="clear" w:pos="720"/>
        </w:tabs>
        <w:ind w:left="964"/>
        <w:jc w:val="both"/>
      </w:pPr>
      <w:r w:rsidRPr="00AC7259">
        <w:t>Type and complexity of the component</w:t>
      </w:r>
      <w:r>
        <w:t>.</w:t>
      </w:r>
      <w:r w:rsidRPr="00AC7259">
        <w:t xml:space="preserve"> </w:t>
      </w:r>
    </w:p>
    <w:p w14:paraId="0C8D8B1B" w14:textId="77777777" w:rsidR="005636C7" w:rsidRPr="00AC7259" w:rsidRDefault="005636C7" w:rsidP="005636C7">
      <w:pPr>
        <w:pStyle w:val="E3SubSubBullets"/>
        <w:tabs>
          <w:tab w:val="clear" w:pos="720"/>
        </w:tabs>
        <w:ind w:left="964"/>
        <w:jc w:val="both"/>
      </w:pPr>
      <w:r w:rsidRPr="00AC7259">
        <w:t>Type and complexity of the refrigerated product involved</w:t>
      </w:r>
      <w:r>
        <w:t>.</w:t>
      </w:r>
      <w:r w:rsidRPr="00AC7259">
        <w:t xml:space="preserve"> </w:t>
      </w:r>
    </w:p>
    <w:p w14:paraId="2D1E44CE" w14:textId="77777777" w:rsidR="005636C7" w:rsidRDefault="005636C7" w:rsidP="005636C7">
      <w:pPr>
        <w:pStyle w:val="E3BodyText"/>
        <w:jc w:val="both"/>
      </w:pPr>
    </w:p>
    <w:p w14:paraId="7D425CF0" w14:textId="77777777" w:rsidR="005636C7" w:rsidRPr="00AC7259" w:rsidRDefault="005636C7" w:rsidP="005636C7">
      <w:pPr>
        <w:pStyle w:val="E3BodyText"/>
        <w:jc w:val="both"/>
      </w:pPr>
      <w:r>
        <w:t>T</w:t>
      </w:r>
      <w:r w:rsidRPr="00AC7259">
        <w:t xml:space="preserve">he estimated typical cost increases that have been used in the calculation of efficiency improvement are </w:t>
      </w:r>
      <w:r>
        <w:t xml:space="preserve">therefore </w:t>
      </w:r>
      <w:r w:rsidRPr="00AC7259">
        <w:t>based on multiple purchases and the substitution of one technology with another rather than retrofitting to existing products. No development, testing or registration costs have been allowed for or apportioned. Due to the wide range of equipment in the market and the varying degrees of uptake of the efficient technologies it is not possible to specify exact costs for improving each sub-type or product group. However every effort has been made to ensure the estimates are as realistic and accurate as can be established.</w:t>
      </w:r>
    </w:p>
    <w:p w14:paraId="75F455AD" w14:textId="77777777" w:rsidR="005636C7" w:rsidRPr="00AC7259" w:rsidRDefault="005636C7" w:rsidP="005636C7">
      <w:pPr>
        <w:pStyle w:val="E3BodyText"/>
        <w:jc w:val="both"/>
      </w:pPr>
      <w:r w:rsidRPr="00AC7259">
        <w:t>It has been assumed that:</w:t>
      </w:r>
    </w:p>
    <w:p w14:paraId="3987BCAB" w14:textId="77777777" w:rsidR="005636C7" w:rsidRPr="00AC7259" w:rsidRDefault="005636C7" w:rsidP="005636C7">
      <w:pPr>
        <w:pStyle w:val="E3SubSubBullets"/>
        <w:tabs>
          <w:tab w:val="clear" w:pos="720"/>
        </w:tabs>
        <w:ind w:left="964"/>
        <w:jc w:val="both"/>
      </w:pPr>
      <w:r w:rsidRPr="00AC7259">
        <w:t>Remote cabinet types have a standard length of 2.5 to 3.0 meters, and typical closed integral cabinets have 1 or 2 doors.</w:t>
      </w:r>
    </w:p>
    <w:p w14:paraId="275DB87A" w14:textId="77777777" w:rsidR="005636C7" w:rsidRPr="00AC7259" w:rsidRDefault="005636C7" w:rsidP="005636C7">
      <w:pPr>
        <w:pStyle w:val="E3SubSubBullets"/>
        <w:tabs>
          <w:tab w:val="clear" w:pos="720"/>
        </w:tabs>
        <w:ind w:left="964"/>
        <w:jc w:val="both"/>
      </w:pPr>
      <w:r w:rsidRPr="00AC7259">
        <w:t xml:space="preserve">Similarly the direct energy savings for electrical components are based on manufacturer’s data and known information. </w:t>
      </w:r>
    </w:p>
    <w:p w14:paraId="517AD751" w14:textId="77777777" w:rsidR="005636C7" w:rsidRPr="00AC7259" w:rsidRDefault="005636C7" w:rsidP="005636C7">
      <w:pPr>
        <w:pStyle w:val="E3SubSubBullets"/>
        <w:tabs>
          <w:tab w:val="clear" w:pos="720"/>
        </w:tabs>
        <w:ind w:left="964"/>
        <w:jc w:val="both"/>
      </w:pPr>
      <w:r w:rsidRPr="00AC7259">
        <w:t>Lighting is based on replacing standard T8 1200 mm fluorescent lamps with electromagnetic ballast progressing to time controlled LEDs with electronic power supply.</w:t>
      </w:r>
    </w:p>
    <w:p w14:paraId="70A324B3" w14:textId="77777777" w:rsidR="005636C7" w:rsidRPr="00AC7259" w:rsidRDefault="005636C7" w:rsidP="005636C7">
      <w:pPr>
        <w:pStyle w:val="E3SubSubBullets"/>
        <w:tabs>
          <w:tab w:val="clear" w:pos="720"/>
        </w:tabs>
        <w:ind w:left="964"/>
        <w:jc w:val="both"/>
      </w:pPr>
      <w:r w:rsidRPr="00AC7259">
        <w:t>Fan motor improvements are based on 10 Watt output shaded pole motor(s) progressing to an equivalent EC motor(s).</w:t>
      </w:r>
    </w:p>
    <w:p w14:paraId="3DC3E4E8" w14:textId="77777777" w:rsidR="005636C7" w:rsidRPr="00AC7259" w:rsidRDefault="005636C7" w:rsidP="005636C7">
      <w:pPr>
        <w:pStyle w:val="E3SubSubBullets"/>
        <w:tabs>
          <w:tab w:val="clear" w:pos="720"/>
        </w:tabs>
        <w:ind w:left="964"/>
        <w:jc w:val="both"/>
      </w:pPr>
      <w:r w:rsidRPr="00AC7259">
        <w:t>Thermostat improvement is based on a mechanical thermostat progressing to a simple electronic controller.</w:t>
      </w:r>
    </w:p>
    <w:p w14:paraId="1F31781E" w14:textId="77777777" w:rsidR="005636C7" w:rsidRPr="00AC7259" w:rsidRDefault="005636C7" w:rsidP="005636C7">
      <w:pPr>
        <w:pStyle w:val="E3SubSubBullets"/>
        <w:tabs>
          <w:tab w:val="clear" w:pos="720"/>
        </w:tabs>
        <w:ind w:left="964"/>
        <w:jc w:val="both"/>
      </w:pPr>
      <w:r w:rsidRPr="00AC7259">
        <w:t>High efficiency glass doors improvement</w:t>
      </w:r>
      <w:r>
        <w:t>s are</w:t>
      </w:r>
      <w:r w:rsidRPr="00AC7259">
        <w:t xml:space="preserve"> based, for medium temperature, on double glazed glass door unit</w:t>
      </w:r>
      <w:r>
        <w:t>s</w:t>
      </w:r>
      <w:r w:rsidRPr="00AC7259">
        <w:t xml:space="preserve"> progressing to a reflective film, inert gas filled door unit and for low temperature based, on reflective film, and low energy, inert gas filled door triple pane unit.</w:t>
      </w:r>
    </w:p>
    <w:p w14:paraId="47D9D696" w14:textId="77777777" w:rsidR="005636C7" w:rsidRPr="00AC7259" w:rsidRDefault="005636C7" w:rsidP="005636C7">
      <w:pPr>
        <w:pStyle w:val="E3SubSubBullets"/>
        <w:tabs>
          <w:tab w:val="clear" w:pos="720"/>
        </w:tabs>
        <w:ind w:left="964"/>
        <w:jc w:val="both"/>
      </w:pPr>
      <w:r w:rsidRPr="00AC7259">
        <w:t>Improvements from the addition of night blinds are based on manually operated blinds being applied to an open display cabinet.</w:t>
      </w:r>
    </w:p>
    <w:p w14:paraId="0B0A2178" w14:textId="77777777" w:rsidR="005636C7" w:rsidRPr="00AC7259" w:rsidRDefault="005636C7" w:rsidP="005636C7">
      <w:pPr>
        <w:pStyle w:val="E3SubSubBullets"/>
        <w:tabs>
          <w:tab w:val="clear" w:pos="720"/>
        </w:tabs>
        <w:ind w:left="964"/>
        <w:jc w:val="both"/>
      </w:pPr>
      <w:r w:rsidRPr="00AC7259">
        <w:t>Glass door improvements for open display cabinets are based on replacing an air curtain with glass doors (i.e. standard or HE).</w:t>
      </w:r>
    </w:p>
    <w:p w14:paraId="1EB2BE6E" w14:textId="77777777" w:rsidR="005636C7" w:rsidRDefault="005636C7" w:rsidP="005636C7">
      <w:pPr>
        <w:pStyle w:val="E3Heading2"/>
        <w:spacing w:line="360" w:lineRule="auto"/>
        <w:jc w:val="both"/>
        <w:rPr>
          <w:rFonts w:ascii="Georgia" w:hAnsi="Georgia"/>
          <w:color w:val="auto"/>
          <w:sz w:val="24"/>
        </w:rPr>
      </w:pPr>
      <w:bookmarkStart w:id="437" w:name="_Toc449708810"/>
      <w:bookmarkStart w:id="438" w:name="_Toc494897996"/>
      <w:bookmarkStart w:id="439" w:name="_Toc494955788"/>
      <w:bookmarkStart w:id="440" w:name="_Toc494959596"/>
      <w:bookmarkStart w:id="441" w:name="_Toc494972722"/>
      <w:bookmarkStart w:id="442" w:name="_Toc494973909"/>
      <w:bookmarkStart w:id="443" w:name="_Toc494974598"/>
    </w:p>
    <w:p w14:paraId="4A404087" w14:textId="77777777" w:rsidR="005636C7" w:rsidRPr="0041262C" w:rsidRDefault="005636C7" w:rsidP="005636C7">
      <w:pPr>
        <w:pStyle w:val="E3Heading2"/>
        <w:spacing w:line="360" w:lineRule="auto"/>
        <w:jc w:val="both"/>
        <w:rPr>
          <w:rFonts w:ascii="Georgia" w:hAnsi="Georgia"/>
          <w:color w:val="auto"/>
          <w:sz w:val="24"/>
        </w:rPr>
      </w:pPr>
      <w:bookmarkStart w:id="444" w:name="_Toc500151842"/>
      <w:r w:rsidRPr="0041262C">
        <w:rPr>
          <w:rFonts w:ascii="Georgia" w:hAnsi="Georgia"/>
          <w:color w:val="auto"/>
          <w:sz w:val="24"/>
        </w:rPr>
        <w:t>Cost Benefit Analysis</w:t>
      </w:r>
      <w:bookmarkEnd w:id="437"/>
      <w:bookmarkEnd w:id="438"/>
      <w:bookmarkEnd w:id="439"/>
      <w:bookmarkEnd w:id="440"/>
      <w:bookmarkEnd w:id="441"/>
      <w:bookmarkEnd w:id="442"/>
      <w:bookmarkEnd w:id="443"/>
      <w:bookmarkEnd w:id="444"/>
    </w:p>
    <w:p w14:paraId="1DF84839" w14:textId="77777777" w:rsidR="005636C7" w:rsidRPr="00AC7259" w:rsidRDefault="005636C7" w:rsidP="005636C7">
      <w:pPr>
        <w:pStyle w:val="E3BodyText"/>
        <w:jc w:val="both"/>
      </w:pPr>
      <w:r w:rsidRPr="00AC7259">
        <w:t xml:space="preserve">The </w:t>
      </w:r>
      <w:r>
        <w:t xml:space="preserve">cost benefit estimates have </w:t>
      </w:r>
      <w:r w:rsidRPr="00AC7259">
        <w:t xml:space="preserve">been prepared to cover the range of potential policy options consistent with international developments, stakeholder feedback and the current market and regulatory environment. </w:t>
      </w:r>
    </w:p>
    <w:p w14:paraId="58F769A1" w14:textId="77777777" w:rsidR="005636C7" w:rsidRPr="0041262C" w:rsidDel="00D56E46" w:rsidRDefault="005636C7" w:rsidP="005636C7">
      <w:pPr>
        <w:pStyle w:val="E3Heading4"/>
        <w:jc w:val="both"/>
      </w:pPr>
      <w:bookmarkStart w:id="445" w:name="_Toc447533595"/>
      <w:r w:rsidRPr="0041262C" w:rsidDel="00D56E46">
        <w:t>Method</w:t>
      </w:r>
      <w:r w:rsidRPr="0041262C">
        <w:t xml:space="preserve"> </w:t>
      </w:r>
      <w:r w:rsidRPr="0041262C" w:rsidDel="00D56E46">
        <w:t>and Key Assumptions</w:t>
      </w:r>
      <w:bookmarkEnd w:id="445"/>
    </w:p>
    <w:p w14:paraId="269C24CD" w14:textId="77777777" w:rsidR="005636C7" w:rsidRPr="00AC7259" w:rsidRDefault="005636C7" w:rsidP="005636C7">
      <w:pPr>
        <w:pStyle w:val="E3BodyText"/>
        <w:jc w:val="both"/>
      </w:pPr>
      <w:r w:rsidRPr="00AC7259" w:rsidDel="00D56E46">
        <w:t xml:space="preserve">The cost </w:t>
      </w:r>
      <w:r w:rsidRPr="00AC7259">
        <w:t xml:space="preserve">benefit </w:t>
      </w:r>
      <w:r w:rsidRPr="00AC7259" w:rsidDel="00D56E46">
        <w:t>analysis was undertaken by first modelling t</w:t>
      </w:r>
      <w:r w:rsidRPr="00AC7259">
        <w:t>he current and future stock of Refrigerated d</w:t>
      </w:r>
      <w:r w:rsidRPr="00AC7259" w:rsidDel="00D56E46">
        <w:t>isplay cabinets/</w:t>
      </w:r>
      <w:r w:rsidRPr="00AC7259">
        <w:t>s</w:t>
      </w:r>
      <w:r w:rsidRPr="00AC7259" w:rsidDel="00D56E46">
        <w:t xml:space="preserve">torage cabinets.  This stock model also contained information on the numbers, capacity, efficiency and energy consumption of the </w:t>
      </w:r>
      <w:r w:rsidRPr="00AC7259">
        <w:t xml:space="preserve">cabinets, </w:t>
      </w:r>
      <w:r w:rsidRPr="00AC7259" w:rsidDel="00D56E46">
        <w:t>as well as div</w:t>
      </w:r>
      <w:r w:rsidRPr="00AC7259">
        <w:t>iding the stock by cabinet type</w:t>
      </w:r>
      <w:r w:rsidRPr="00AC7259" w:rsidDel="00D56E46">
        <w:t xml:space="preserve">.  Estimates of future sales </w:t>
      </w:r>
      <w:r w:rsidRPr="00AC7259">
        <w:t xml:space="preserve">and the operating life were assumed to </w:t>
      </w:r>
      <w:r w:rsidRPr="00AC7259" w:rsidDel="00D56E46">
        <w:t>drive the stock model</w:t>
      </w:r>
      <w:r w:rsidRPr="00AC7259">
        <w:t>.</w:t>
      </w:r>
    </w:p>
    <w:p w14:paraId="4F3C81BF" w14:textId="77777777" w:rsidR="005636C7" w:rsidRPr="00AC7259" w:rsidRDefault="005636C7" w:rsidP="005636C7">
      <w:pPr>
        <w:pStyle w:val="E3BodyText"/>
        <w:jc w:val="both"/>
      </w:pPr>
      <w:r w:rsidRPr="00AC7259" w:rsidDel="00D56E46">
        <w:t xml:space="preserve">The stock model </w:t>
      </w:r>
      <w:r w:rsidRPr="00AC7259">
        <w:t xml:space="preserve">was </w:t>
      </w:r>
      <w:r w:rsidRPr="00AC7259" w:rsidDel="00D56E46">
        <w:t>used to develop energy usage estimates based on the num</w:t>
      </w:r>
      <w:r w:rsidRPr="00AC7259">
        <w:t>ber and characteristics of the d</w:t>
      </w:r>
      <w:r w:rsidRPr="00AC7259" w:rsidDel="00D56E46">
        <w:t xml:space="preserve">isplay cabinet stock.  Energy consumption estimates for </w:t>
      </w:r>
      <w:r w:rsidRPr="00AC7259">
        <w:t>B</w:t>
      </w:r>
      <w:r w:rsidRPr="00AC7259" w:rsidDel="00D56E46">
        <w:t xml:space="preserve">usiness as </w:t>
      </w:r>
      <w:r w:rsidRPr="00AC7259">
        <w:t>U</w:t>
      </w:r>
      <w:r w:rsidRPr="00AC7259" w:rsidDel="00D56E46">
        <w:t xml:space="preserve">sual (BAU) </w:t>
      </w:r>
      <w:r w:rsidRPr="00AC7259">
        <w:t xml:space="preserve">were </w:t>
      </w:r>
      <w:r w:rsidRPr="00AC7259" w:rsidDel="00D56E46">
        <w:t xml:space="preserve">established, and then the energy consumption under </w:t>
      </w:r>
      <w:r w:rsidRPr="00AC7259">
        <w:t xml:space="preserve">the </w:t>
      </w:r>
      <w:r w:rsidRPr="00AC7259" w:rsidDel="00D56E46">
        <w:t xml:space="preserve">different policy options </w:t>
      </w:r>
      <w:r w:rsidRPr="00AC7259">
        <w:t xml:space="preserve">was </w:t>
      </w:r>
      <w:r w:rsidRPr="00AC7259" w:rsidDel="00D56E46">
        <w:t xml:space="preserve">calculated and compared to the BAU consumption.  </w:t>
      </w:r>
    </w:p>
    <w:p w14:paraId="5F4A5BD8" w14:textId="77777777" w:rsidR="005636C7" w:rsidRPr="00AC7259" w:rsidDel="00D56E46" w:rsidRDefault="005636C7" w:rsidP="005636C7">
      <w:pPr>
        <w:pStyle w:val="E3BodyText"/>
        <w:jc w:val="both"/>
      </w:pPr>
      <w:r w:rsidRPr="00AC7259" w:rsidDel="00D56E46">
        <w:t>Benefits, such as reduced energy consumption an</w:t>
      </w:r>
      <w:r w:rsidRPr="00AC7259">
        <w:t>d carbon emission reductions, were</w:t>
      </w:r>
      <w:r w:rsidRPr="00AC7259" w:rsidDel="00D56E46">
        <w:t xml:space="preserve"> calculated and assigned monetary values, so the total aggregate cost savings </w:t>
      </w:r>
      <w:r w:rsidRPr="00AC7259">
        <w:t xml:space="preserve">could </w:t>
      </w:r>
      <w:r w:rsidRPr="00AC7259" w:rsidDel="00D56E46">
        <w:t xml:space="preserve">be calculated.   </w:t>
      </w:r>
      <w:r w:rsidRPr="00AC7259">
        <w:t xml:space="preserve">Both </w:t>
      </w:r>
      <w:r w:rsidRPr="00AC7259" w:rsidDel="00D56E46">
        <w:t>government and private costs</w:t>
      </w:r>
      <w:r w:rsidRPr="00AC7259">
        <w:t xml:space="preserve"> were </w:t>
      </w:r>
      <w:r w:rsidRPr="00AC7259" w:rsidDel="00D56E46">
        <w:t xml:space="preserve">calculated and aggregated.  All </w:t>
      </w:r>
      <w:r w:rsidRPr="00AC7259">
        <w:t>Net Present Value (</w:t>
      </w:r>
      <w:r w:rsidRPr="00AC7259" w:rsidDel="00D56E46">
        <w:t>NPV</w:t>
      </w:r>
      <w:r w:rsidRPr="00AC7259">
        <w:t>)</w:t>
      </w:r>
      <w:r w:rsidRPr="00AC7259" w:rsidDel="00D56E46">
        <w:t xml:space="preserve"> costs and benefits</w:t>
      </w:r>
      <w:r>
        <w:t>,</w:t>
      </w:r>
      <w:r w:rsidRPr="00AC7259" w:rsidDel="00D56E46">
        <w:t xml:space="preserve"> </w:t>
      </w:r>
      <w:r>
        <w:t xml:space="preserve">which </w:t>
      </w:r>
      <w:r w:rsidRPr="00AC7259" w:rsidDel="00D56E46">
        <w:t>are presented in the summary tables</w:t>
      </w:r>
      <w:r>
        <w:t>,</w:t>
      </w:r>
      <w:r w:rsidRPr="00AC7259" w:rsidDel="00D56E46">
        <w:t xml:space="preserve"> are based on Australia using </w:t>
      </w:r>
      <w:r>
        <w:t xml:space="preserve">a </w:t>
      </w:r>
      <w:r w:rsidRPr="00AC7259" w:rsidDel="00D56E46">
        <w:t xml:space="preserve">7% discount rate and New Zealand a </w:t>
      </w:r>
      <w:r>
        <w:t>6</w:t>
      </w:r>
      <w:r w:rsidRPr="00AC7259" w:rsidDel="00D56E46">
        <w:t xml:space="preserve">% discount rate. </w:t>
      </w:r>
      <w:r w:rsidRPr="00AC7259">
        <w:t xml:space="preserve"> </w:t>
      </w:r>
    </w:p>
    <w:p w14:paraId="42B2570B" w14:textId="77777777" w:rsidR="005636C7" w:rsidRPr="00AC7259" w:rsidRDefault="005636C7" w:rsidP="005636C7">
      <w:pPr>
        <w:pStyle w:val="E3BodyText"/>
        <w:jc w:val="both"/>
      </w:pPr>
      <w:r w:rsidRPr="00AC7259">
        <w:t>Developing the policy options for modelling purposes involved:</w:t>
      </w:r>
    </w:p>
    <w:p w14:paraId="4EC21836" w14:textId="77777777" w:rsidR="005636C7" w:rsidRPr="00AC7259" w:rsidRDefault="005636C7" w:rsidP="005636C7">
      <w:pPr>
        <w:pStyle w:val="E3SubSubBullets"/>
        <w:tabs>
          <w:tab w:val="clear" w:pos="720"/>
        </w:tabs>
        <w:ind w:left="964"/>
        <w:jc w:val="both"/>
      </w:pPr>
      <w:r w:rsidRPr="00AC7259">
        <w:t>Efficiency impacts were derived from the lowest MEPS level to remove 10% and 30% of current registrations. The resultant sales weighted efficiency of the remaining products sold in NZ over the period 2011 and 2012 was used as the basis of calculating the policy intervention impacts.</w:t>
      </w:r>
    </w:p>
    <w:p w14:paraId="0727B9F2" w14:textId="77777777" w:rsidR="005636C7" w:rsidRPr="00AC7259" w:rsidRDefault="005636C7" w:rsidP="005636C7">
      <w:pPr>
        <w:pStyle w:val="E3SubSubBullets"/>
        <w:tabs>
          <w:tab w:val="clear" w:pos="720"/>
        </w:tabs>
        <w:ind w:left="964"/>
        <w:jc w:val="both"/>
      </w:pPr>
      <w:r w:rsidRPr="00AC7259">
        <w:t xml:space="preserve">Cost impact was derived from the price versus efficiency data developed for all the units. A price efficiency ratio of 0.5 was found (i.e., incremental prices are increased by 5% for each 10% improvement in efficiency). This is very comparable to </w:t>
      </w:r>
      <w:r>
        <w:t>the earlier air conditioner RIS</w:t>
      </w:r>
      <w:r w:rsidRPr="00AC7259">
        <w:t xml:space="preserve">.  A reduction in the incremental costs of efficiency measures of 5% pa was applied to account for the learning effect (the ability of the manufacturers to improve the supply processes and reduce costs of the efficiency measures).  </w:t>
      </w:r>
    </w:p>
    <w:p w14:paraId="1A1522BA" w14:textId="77777777" w:rsidR="005636C7" w:rsidRPr="00AC7259" w:rsidRDefault="005636C7" w:rsidP="005636C7">
      <w:pPr>
        <w:pStyle w:val="E3SubSubBullets"/>
        <w:tabs>
          <w:tab w:val="clear" w:pos="720"/>
        </w:tabs>
        <w:ind w:left="964"/>
        <w:jc w:val="both"/>
      </w:pPr>
      <w:r w:rsidRPr="00AC7259">
        <w:t xml:space="preserve">Benefits are based on savings from forecast tariffs </w:t>
      </w:r>
      <w:r>
        <w:t>for Australia (</w:t>
      </w:r>
      <w:r w:rsidRPr="00AC7259">
        <w:t>as per RIS guidelines)</w:t>
      </w:r>
      <w:r>
        <w:t>.</w:t>
      </w:r>
    </w:p>
    <w:p w14:paraId="37E1FAAF" w14:textId="77777777" w:rsidR="005636C7" w:rsidRPr="00AC7259" w:rsidRDefault="005636C7" w:rsidP="005636C7">
      <w:pPr>
        <w:pStyle w:val="E3SubSubBullets"/>
        <w:tabs>
          <w:tab w:val="clear" w:pos="720"/>
        </w:tabs>
        <w:ind w:left="964"/>
        <w:jc w:val="both"/>
      </w:pPr>
      <w:r>
        <w:t>Online energy rating information</w:t>
      </w:r>
      <w:r w:rsidRPr="00AC7259">
        <w:t>:</w:t>
      </w:r>
    </w:p>
    <w:p w14:paraId="735ADF7E" w14:textId="77777777" w:rsidR="005636C7" w:rsidRPr="00AC7259" w:rsidRDefault="005636C7" w:rsidP="000F6ACF">
      <w:pPr>
        <w:pStyle w:val="E3SubSubBullets"/>
        <w:numPr>
          <w:ilvl w:val="1"/>
          <w:numId w:val="27"/>
        </w:numPr>
        <w:autoSpaceDE/>
        <w:autoSpaceDN/>
        <w:adjustRightInd/>
        <w:spacing w:before="120" w:after="113" w:line="278" w:lineRule="auto"/>
        <w:contextualSpacing w:val="0"/>
        <w:jc w:val="both"/>
      </w:pPr>
      <w:r w:rsidRPr="00AC7259">
        <w:t>Sales weighted efficiency was assumed to increase above BAU by 0.5% pa for 5 years post label introduction, then by 0.2% above BAU for following years (similar to post impact evaluations from refrigerator studies).</w:t>
      </w:r>
      <w:r w:rsidRPr="00AC7259">
        <w:rPr>
          <w:rStyle w:val="FootnoteReference"/>
        </w:rPr>
        <w:footnoteReference w:id="56"/>
      </w:r>
      <w:r w:rsidRPr="00AC7259">
        <w:t xml:space="preserve">  </w:t>
      </w:r>
    </w:p>
    <w:p w14:paraId="003CCF67" w14:textId="77777777" w:rsidR="005636C7" w:rsidRPr="00AC7259" w:rsidRDefault="005636C7" w:rsidP="000F6ACF">
      <w:pPr>
        <w:pStyle w:val="E3SubSubBullets"/>
        <w:numPr>
          <w:ilvl w:val="1"/>
          <w:numId w:val="27"/>
        </w:numPr>
        <w:autoSpaceDE/>
        <w:autoSpaceDN/>
        <w:adjustRightInd/>
        <w:spacing w:before="120" w:after="113" w:line="278" w:lineRule="auto"/>
        <w:contextualSpacing w:val="0"/>
        <w:jc w:val="both"/>
      </w:pPr>
      <w:r w:rsidRPr="00AC7259">
        <w:t>Costs impact for labelling is as derived for MEPS (price efficiency ratio of 0.5), however the learning effect was assumed to be higher due to competition and purchaser demand for higher efficiency products.  The learning/ competition effect was assumed to reduce the incremental efficiency costs by 33% p.a. for labelling induced efficiency improvements. The cost of labelling products is estimated to be $2.50 per product sold.</w:t>
      </w:r>
    </w:p>
    <w:p w14:paraId="37ED41D0" w14:textId="77777777" w:rsidR="005636C7" w:rsidRPr="00DD102F" w:rsidRDefault="005636C7" w:rsidP="005636C7">
      <w:pPr>
        <w:pStyle w:val="E3SubSubBullets"/>
        <w:tabs>
          <w:tab w:val="clear" w:pos="720"/>
        </w:tabs>
        <w:ind w:left="964"/>
        <w:jc w:val="both"/>
      </w:pPr>
      <w:r w:rsidRPr="00DD102F">
        <w:t xml:space="preserve">The business costs from the regulatory burden (RB) calculations were taken from the spreadsheet developed by the Department of Industry for these products.  The business costs were found by the following formula: CBA Business Costs = RB Incremental Business Costs – RB Purchase Costs. </w:t>
      </w:r>
    </w:p>
    <w:p w14:paraId="2402A687" w14:textId="77777777" w:rsidR="005636C7" w:rsidRPr="00DD102F" w:rsidRDefault="005636C7" w:rsidP="005636C7">
      <w:pPr>
        <w:pStyle w:val="E3SubSubBullets"/>
        <w:tabs>
          <w:tab w:val="clear" w:pos="720"/>
        </w:tabs>
        <w:ind w:left="964"/>
        <w:jc w:val="both"/>
      </w:pPr>
      <w:r w:rsidRPr="00DD102F">
        <w:t xml:space="preserve">These annualised costs from the RB calculation were input for each year for the life of the option being examined (until 2035).  The Regulatory Burden calculations assumed only ten years.  The CBA examines the costs over the entire period. </w:t>
      </w:r>
    </w:p>
    <w:p w14:paraId="14BB425E" w14:textId="77777777" w:rsidR="005636C7" w:rsidRPr="00DD102F" w:rsidRDefault="005636C7" w:rsidP="005636C7">
      <w:pPr>
        <w:pStyle w:val="E3SubSubBullets"/>
        <w:tabs>
          <w:tab w:val="clear" w:pos="720"/>
        </w:tabs>
        <w:ind w:left="964"/>
        <w:jc w:val="both"/>
      </w:pPr>
      <w:r w:rsidRPr="00DD102F">
        <w:t xml:space="preserve">The model was then run to determine the BAU energy consumption and greenhouse emissions of the BAU baseline scenario and then modified to model each of the policy scenario options.  </w:t>
      </w:r>
    </w:p>
    <w:p w14:paraId="6EEDC1E6" w14:textId="77777777" w:rsidR="005636C7" w:rsidRPr="0028109D" w:rsidRDefault="005636C7" w:rsidP="005636C7">
      <w:pPr>
        <w:pStyle w:val="E3BodyText"/>
        <w:jc w:val="both"/>
      </w:pPr>
      <w:r w:rsidRPr="00AC7259">
        <w:t>In addition to the financial analysis, the costs and benefits of the policy proposals have also be</w:t>
      </w:r>
      <w:r>
        <w:t>en considered from the perspective of</w:t>
      </w:r>
      <w:r w:rsidRPr="00AC7259">
        <w:t xml:space="preserve"> society</w:t>
      </w:r>
      <w:r>
        <w:t xml:space="preserve"> and the consumer</w:t>
      </w:r>
      <w:r w:rsidRPr="00AC7259">
        <w:t>. The following costs and benefits have b</w:t>
      </w:r>
      <w:bookmarkStart w:id="446" w:name="_Toc447533596"/>
      <w:r>
        <w:t>een factored into the analysis:</w:t>
      </w:r>
    </w:p>
    <w:p w14:paraId="323485C6" w14:textId="77777777" w:rsidR="005636C7" w:rsidRDefault="005636C7" w:rsidP="005636C7">
      <w:pPr>
        <w:pStyle w:val="E3Heading4"/>
      </w:pPr>
    </w:p>
    <w:p w14:paraId="23FCC217" w14:textId="77777777" w:rsidR="005636C7" w:rsidRPr="000F4EA8" w:rsidRDefault="005636C7" w:rsidP="005636C7">
      <w:pPr>
        <w:pStyle w:val="E3Heading4"/>
        <w:jc w:val="both"/>
      </w:pPr>
      <w:r w:rsidRPr="000F4EA8">
        <w:t>Costs</w:t>
      </w:r>
      <w:bookmarkEnd w:id="446"/>
    </w:p>
    <w:p w14:paraId="32AEB8EF" w14:textId="77777777" w:rsidR="005636C7" w:rsidRPr="00AC7259" w:rsidRDefault="005636C7" w:rsidP="005636C7">
      <w:pPr>
        <w:pStyle w:val="E3SubSubBullets"/>
        <w:tabs>
          <w:tab w:val="clear" w:pos="720"/>
        </w:tabs>
        <w:ind w:left="964"/>
        <w:jc w:val="both"/>
      </w:pPr>
      <w:r w:rsidRPr="00AC7259">
        <w:t>To the consumer, due to the  upfront price of products reflecting costs passed on by suppliers;</w:t>
      </w:r>
    </w:p>
    <w:p w14:paraId="73F974B9" w14:textId="77777777" w:rsidR="005636C7" w:rsidRPr="00AC7259" w:rsidRDefault="005636C7" w:rsidP="005636C7">
      <w:pPr>
        <w:pStyle w:val="E3SubSubBullets"/>
        <w:tabs>
          <w:tab w:val="clear" w:pos="720"/>
        </w:tabs>
        <w:ind w:left="964"/>
        <w:jc w:val="both"/>
      </w:pPr>
      <w:r w:rsidRPr="00AC7259">
        <w:t>To government, as a result of implementing and administering the requirements,</w:t>
      </w:r>
    </w:p>
    <w:p w14:paraId="43FFDD7C" w14:textId="77777777" w:rsidR="005636C7" w:rsidRPr="00AC7259" w:rsidRDefault="005636C7" w:rsidP="005636C7">
      <w:pPr>
        <w:pStyle w:val="E3SubSubBullets"/>
        <w:tabs>
          <w:tab w:val="clear" w:pos="720"/>
        </w:tabs>
        <w:ind w:left="964"/>
        <w:jc w:val="both"/>
      </w:pPr>
      <w:r w:rsidRPr="00AC7259">
        <w:t xml:space="preserve">To the product supply businesses, as a result of complying with the new or modified regulatory requirements of the proposals (for </w:t>
      </w:r>
      <w:r>
        <w:t xml:space="preserve">example testing, </w:t>
      </w:r>
      <w:r w:rsidRPr="00AC7259">
        <w:t>administration and training).</w:t>
      </w:r>
    </w:p>
    <w:p w14:paraId="49E0B6B0" w14:textId="77777777" w:rsidR="005636C7" w:rsidRPr="000F4EA8" w:rsidRDefault="005636C7" w:rsidP="005636C7">
      <w:pPr>
        <w:pStyle w:val="E3Heading4"/>
        <w:jc w:val="both"/>
      </w:pPr>
      <w:bookmarkStart w:id="447" w:name="_Toc447533597"/>
      <w:r>
        <w:br/>
      </w:r>
      <w:r w:rsidRPr="000F4EA8">
        <w:t>Benefits</w:t>
      </w:r>
      <w:bookmarkEnd w:id="447"/>
    </w:p>
    <w:p w14:paraId="4CCD5335" w14:textId="77777777" w:rsidR="005636C7" w:rsidRPr="00AC7259" w:rsidRDefault="005636C7" w:rsidP="005636C7">
      <w:pPr>
        <w:pStyle w:val="E3SubSubBullets"/>
        <w:tabs>
          <w:tab w:val="clear" w:pos="720"/>
        </w:tabs>
        <w:ind w:left="964"/>
        <w:jc w:val="both"/>
      </w:pPr>
      <w:r w:rsidRPr="00AC7259">
        <w:t>To the consumer, due to improving the information available for comparing the energy efficiency of products and from improved energy efficiency (and flow-on consequences such as lower long-term running costs);</w:t>
      </w:r>
    </w:p>
    <w:p w14:paraId="7BFDE6DA" w14:textId="77777777" w:rsidR="005636C7" w:rsidRPr="00AC7259" w:rsidRDefault="005636C7" w:rsidP="005636C7">
      <w:pPr>
        <w:pStyle w:val="E3SubSubBullets"/>
        <w:tabs>
          <w:tab w:val="clear" w:pos="720"/>
        </w:tabs>
        <w:ind w:left="964"/>
        <w:jc w:val="both"/>
      </w:pPr>
      <w:r w:rsidRPr="00AC7259">
        <w:t>To government and suppliers from simplification of the regulatory frameworks;</w:t>
      </w:r>
    </w:p>
    <w:p w14:paraId="568E27CA" w14:textId="77777777" w:rsidR="005636C7" w:rsidRDefault="005636C7" w:rsidP="005636C7">
      <w:pPr>
        <w:pStyle w:val="E3SubSubBullets"/>
        <w:tabs>
          <w:tab w:val="clear" w:pos="720"/>
        </w:tabs>
        <w:ind w:left="964"/>
        <w:jc w:val="both"/>
      </w:pPr>
      <w:r w:rsidRPr="00AC7259">
        <w:t>To society from energy savings and reduced greenhouse gas emissions.</w:t>
      </w:r>
    </w:p>
    <w:p w14:paraId="26994E1F" w14:textId="77777777" w:rsidR="005636C7" w:rsidRDefault="005636C7" w:rsidP="005636C7">
      <w:pPr>
        <w:pStyle w:val="E3BodyText"/>
        <w:jc w:val="both"/>
      </w:pPr>
      <w:r w:rsidRPr="00DA482C">
        <w:t xml:space="preserve">It is necessary to approach the cost-benefit analysis from either a consumer or societal perspective. The social approach is the appropriate methodology for the analysis, but the consumer approach can be used where it approximates the results that would be obtained from the societal perspective. An analysis from a consumer perspective involves the use of retail product prices and marginal retail energy prices. Since the objective is to assess whether product buyers (consumers) as a group would be better off, transfer payments such as taxes are included. The analysis includes retail mark-ups and taxes that are passed onto the consumer and including these in the costs will simplify the analysis process, while still remaining appropriate. </w:t>
      </w:r>
    </w:p>
    <w:p w14:paraId="6256B7A7" w14:textId="77777777" w:rsidR="005636C7" w:rsidRPr="00DA482C" w:rsidRDefault="005636C7" w:rsidP="005636C7">
      <w:pPr>
        <w:pStyle w:val="E3BodyText"/>
        <w:jc w:val="both"/>
      </w:pPr>
      <w:r w:rsidRPr="00DA482C">
        <w:t xml:space="preserve">The New Zealand analysis has been undertaken to also approximate the societal perspective, using the long run marginal cost of electricity (required by their cost benefit methodology) and wholesale product prices (including quantifying the benefits of reduced emissions).  </w:t>
      </w:r>
      <w:r>
        <w:t>A higher discount rate has also been used (6% rather than 5% in the Consultation RIS). The CBA figures for New Zealand are therefore lower.</w:t>
      </w:r>
    </w:p>
    <w:p w14:paraId="33D06AF1" w14:textId="77777777" w:rsidR="005636C7" w:rsidRPr="00DA482C" w:rsidRDefault="005636C7" w:rsidP="005636C7">
      <w:pPr>
        <w:pStyle w:val="E3BodyText"/>
        <w:jc w:val="both"/>
      </w:pPr>
      <w:r w:rsidRPr="00DA482C">
        <w:t>All Net Present Value (NPV</w:t>
      </w:r>
      <w:r>
        <w:t>) figures are real 2016/17 dollars</w:t>
      </w:r>
      <w:r w:rsidRPr="00DA482C">
        <w:t>.</w:t>
      </w:r>
    </w:p>
    <w:p w14:paraId="27682E9B" w14:textId="77777777" w:rsidR="00256F14" w:rsidRDefault="00256F14" w:rsidP="005636C7">
      <w:pPr>
        <w:pStyle w:val="E3Heading2"/>
        <w:jc w:val="both"/>
        <w:rPr>
          <w:rFonts w:ascii="Georgia" w:hAnsi="Georgia"/>
          <w:sz w:val="24"/>
        </w:rPr>
      </w:pPr>
      <w:bookmarkStart w:id="448" w:name="_Toc449708811"/>
      <w:bookmarkStart w:id="449" w:name="_Toc494897997"/>
      <w:bookmarkStart w:id="450" w:name="_Toc494955789"/>
      <w:bookmarkStart w:id="451" w:name="_Toc494959597"/>
      <w:bookmarkStart w:id="452" w:name="_Toc494972723"/>
      <w:bookmarkStart w:id="453" w:name="_Toc494973910"/>
      <w:bookmarkStart w:id="454" w:name="_Toc494974599"/>
      <w:bookmarkStart w:id="455" w:name="_Toc500151843"/>
    </w:p>
    <w:p w14:paraId="243B1FA1" w14:textId="77777777" w:rsidR="00256F14" w:rsidRDefault="00256F14" w:rsidP="005636C7">
      <w:pPr>
        <w:pStyle w:val="E3Heading2"/>
        <w:jc w:val="both"/>
        <w:rPr>
          <w:rFonts w:ascii="Georgia" w:hAnsi="Georgia"/>
          <w:sz w:val="24"/>
        </w:rPr>
      </w:pPr>
    </w:p>
    <w:p w14:paraId="45DEED5C" w14:textId="77777777" w:rsidR="00256F14" w:rsidRDefault="00256F14" w:rsidP="005636C7">
      <w:pPr>
        <w:pStyle w:val="E3Heading2"/>
        <w:jc w:val="both"/>
        <w:rPr>
          <w:rFonts w:ascii="Georgia" w:hAnsi="Georgia"/>
          <w:sz w:val="24"/>
        </w:rPr>
      </w:pPr>
    </w:p>
    <w:p w14:paraId="5DA38141" w14:textId="77777777" w:rsidR="005636C7" w:rsidRPr="00CD2BF0" w:rsidRDefault="005636C7" w:rsidP="005636C7">
      <w:pPr>
        <w:pStyle w:val="E3Heading2"/>
        <w:jc w:val="both"/>
        <w:rPr>
          <w:rFonts w:ascii="Georgia" w:hAnsi="Georgia"/>
          <w:sz w:val="24"/>
        </w:rPr>
      </w:pPr>
      <w:r w:rsidRPr="00CD2BF0">
        <w:rPr>
          <w:rFonts w:ascii="Georgia" w:hAnsi="Georgia"/>
          <w:sz w:val="24"/>
        </w:rPr>
        <w:t>Heat rejection considerations</w:t>
      </w:r>
      <w:bookmarkEnd w:id="448"/>
      <w:bookmarkEnd w:id="449"/>
      <w:bookmarkEnd w:id="450"/>
      <w:bookmarkEnd w:id="451"/>
      <w:bookmarkEnd w:id="452"/>
      <w:bookmarkEnd w:id="453"/>
      <w:bookmarkEnd w:id="454"/>
      <w:bookmarkEnd w:id="455"/>
    </w:p>
    <w:p w14:paraId="64A2956B" w14:textId="77777777" w:rsidR="005636C7" w:rsidRPr="00AC7259" w:rsidRDefault="005636C7" w:rsidP="005636C7">
      <w:pPr>
        <w:pStyle w:val="E3BodyText"/>
        <w:jc w:val="both"/>
      </w:pPr>
      <w:r w:rsidRPr="00AC7259">
        <w:t>In some instances different equipment configurations such as external (i.e. remote condensing unit) or internal (i.e. integral cabinet) heat rejection may impact on refrigeration loads, equipment operating times and energy consumption values.</w:t>
      </w:r>
    </w:p>
    <w:p w14:paraId="4C4B1EE9" w14:textId="77777777" w:rsidR="005636C7" w:rsidRPr="00AC7259" w:rsidRDefault="005636C7" w:rsidP="005636C7">
      <w:pPr>
        <w:pStyle w:val="E3BodyText"/>
        <w:jc w:val="both"/>
      </w:pPr>
      <w:r w:rsidRPr="00AC7259">
        <w:t>If an integral display cabinet that rejects heat into the conditioned space were compared to a display case of equal duty and function with a remote condensing unit that rejects heat externally; an allowance for the heat rejection treatment would need to be included in the total energy calculation. This allowance may take into account the additional air conditioner operating time or energy required to remove the heat added by the integral display cabinet on hot days less the energy savings or free heating on cold days (AIRAH 2012).</w:t>
      </w:r>
    </w:p>
    <w:p w14:paraId="78ED9FD7" w14:textId="77777777" w:rsidR="005636C7" w:rsidRPr="00AC7259" w:rsidRDefault="005636C7" w:rsidP="005636C7">
      <w:pPr>
        <w:pStyle w:val="E3BodyText"/>
        <w:jc w:val="both"/>
      </w:pPr>
      <w:r w:rsidRPr="00AC7259">
        <w:t>Therefore in this context heat rejection is not relevant for remote display cabinets, and in the case of storage cabinets, many of them operate in non-conditioned spaces such as kitchens where there are extraction fans and many other sources of heat</w:t>
      </w:r>
      <w:r>
        <w:t>, such as cookers.</w:t>
      </w:r>
      <w:r w:rsidRPr="00AC7259">
        <w:t xml:space="preserve"> In the case of integral display cabinets the energy penalty would be higher in hotter climates where there is more operating hours above air conditioning design conditions (i.e. 24</w:t>
      </w:r>
      <w:r w:rsidRPr="00AC7259">
        <w:rPr>
          <w:vertAlign w:val="superscript"/>
        </w:rPr>
        <w:t>o</w:t>
      </w:r>
      <w:r w:rsidRPr="00AC7259">
        <w:t xml:space="preserve">C) than below. The energy efficiency model used in this study comprises national models for Australia and New Zealand where the colder climates would cancel out the hotter climates, and removal of the heat is often relatively efficient so this assessment assumes the heat rejection portion to be insignificant. </w:t>
      </w:r>
    </w:p>
    <w:p w14:paraId="4F19FB15" w14:textId="77777777" w:rsidR="005636C7" w:rsidRPr="00AC7259" w:rsidRDefault="005636C7" w:rsidP="005636C7">
      <w:pPr>
        <w:pStyle w:val="E3BodyText"/>
        <w:jc w:val="both"/>
      </w:pPr>
      <w:r w:rsidRPr="00AC7259">
        <w:t>There is another heat rejection consideration that is associated with the cold air spilling into supermarkets or conditioned spaces from open display cases, however this is far more complicated and outside the scope of this assessment. The heat rejection effects were not included in the Ecodesign energy consumption assessments of display cabinets and storage cabinets throughout their product life cycles. Rather, there was some mention of the benefit of managing the interaction of refrigeration and HVAC systems relative to the specific climatic conditions or application in order to harness heat recovery and/or utilise free energy from either system (EC 2011).</w:t>
      </w:r>
    </w:p>
    <w:p w14:paraId="32C237C3" w14:textId="77777777" w:rsidR="005636C7" w:rsidRPr="00CD2BF0" w:rsidRDefault="005636C7" w:rsidP="005636C7">
      <w:pPr>
        <w:pStyle w:val="E3Heading2"/>
        <w:spacing w:before="240"/>
        <w:jc w:val="both"/>
        <w:rPr>
          <w:rFonts w:ascii="Georgia" w:hAnsi="Georgia"/>
          <w:sz w:val="24"/>
        </w:rPr>
      </w:pPr>
      <w:bookmarkStart w:id="456" w:name="_Toc449708812"/>
      <w:bookmarkStart w:id="457" w:name="_Toc494897998"/>
      <w:bookmarkStart w:id="458" w:name="_Toc494955790"/>
      <w:bookmarkStart w:id="459" w:name="_Toc494959598"/>
      <w:bookmarkStart w:id="460" w:name="_Toc494972724"/>
      <w:bookmarkStart w:id="461" w:name="_Toc494973911"/>
      <w:bookmarkStart w:id="462" w:name="_Toc494974600"/>
      <w:bookmarkStart w:id="463" w:name="_Toc500151844"/>
      <w:r w:rsidRPr="00CD2BF0">
        <w:rPr>
          <w:rFonts w:ascii="Georgia" w:hAnsi="Georgia"/>
          <w:sz w:val="24"/>
        </w:rPr>
        <w:t>Potential Impacts on peak demand electricity</w:t>
      </w:r>
      <w:bookmarkEnd w:id="456"/>
      <w:bookmarkEnd w:id="457"/>
      <w:bookmarkEnd w:id="458"/>
      <w:bookmarkEnd w:id="459"/>
      <w:bookmarkEnd w:id="460"/>
      <w:bookmarkEnd w:id="461"/>
      <w:bookmarkEnd w:id="462"/>
      <w:bookmarkEnd w:id="463"/>
    </w:p>
    <w:p w14:paraId="5FE1F33A" w14:textId="77777777" w:rsidR="005636C7" w:rsidRPr="00AC7259" w:rsidRDefault="005636C7" w:rsidP="005636C7">
      <w:pPr>
        <w:pStyle w:val="E3BodyText"/>
        <w:jc w:val="both"/>
      </w:pPr>
      <w:r w:rsidRPr="00AC7259">
        <w:t xml:space="preserve">The potential peak demand impacts of all the policy cases were also modelled.  The average power reduction was calculated in the model by assuming that the improved efficiency as a result of the policy case translated to a reduction in the average power demand.  As display cabinets/storage cabinets are operating 100% of the time, the average power is determined by dividing the daily energy consumption by 24 hours.  Also due </w:t>
      </w:r>
      <w:r>
        <w:t xml:space="preserve">to </w:t>
      </w:r>
      <w:r w:rsidRPr="00AC7259">
        <w:t>the continuous nature of the operation, the power demand of the equipment is assumed to be coincident with system summer peaks, but the contribution to winter peaks will be less as the power demand of the equipment will be much lower when external temperatures are lower.</w:t>
      </w:r>
    </w:p>
    <w:p w14:paraId="7A3CEB88" w14:textId="77777777" w:rsidR="005636C7" w:rsidRDefault="005636C7" w:rsidP="005636C7">
      <w:pPr>
        <w:pStyle w:val="E3Heading2"/>
        <w:rPr>
          <w:rFonts w:ascii="Georgia" w:hAnsi="Georgia"/>
          <w:sz w:val="24"/>
        </w:rPr>
      </w:pPr>
      <w:bookmarkStart w:id="464" w:name="_Toc494897999"/>
      <w:bookmarkStart w:id="465" w:name="_Toc494955791"/>
      <w:bookmarkStart w:id="466" w:name="_Toc494959599"/>
      <w:bookmarkStart w:id="467" w:name="_Toc494972725"/>
      <w:bookmarkStart w:id="468" w:name="_Toc494973912"/>
      <w:bookmarkStart w:id="469" w:name="_Toc494974601"/>
    </w:p>
    <w:p w14:paraId="0E24BD17" w14:textId="77777777" w:rsidR="005636C7" w:rsidRDefault="005636C7" w:rsidP="005636C7">
      <w:pPr>
        <w:pStyle w:val="E3Heading2"/>
        <w:rPr>
          <w:rFonts w:ascii="Georgia" w:hAnsi="Georgia"/>
          <w:sz w:val="24"/>
        </w:rPr>
      </w:pPr>
    </w:p>
    <w:p w14:paraId="3276D86C" w14:textId="77777777" w:rsidR="005636C7" w:rsidRDefault="005636C7" w:rsidP="005636C7">
      <w:pPr>
        <w:pStyle w:val="E3Heading2"/>
        <w:rPr>
          <w:rFonts w:ascii="Georgia" w:hAnsi="Georgia"/>
          <w:sz w:val="24"/>
        </w:rPr>
      </w:pPr>
    </w:p>
    <w:p w14:paraId="14598280" w14:textId="77777777" w:rsidR="005636C7" w:rsidRPr="004C7417" w:rsidRDefault="005636C7" w:rsidP="005636C7">
      <w:pPr>
        <w:pStyle w:val="E3Heading2"/>
        <w:rPr>
          <w:rFonts w:ascii="Georgia" w:hAnsi="Georgia"/>
          <w:sz w:val="24"/>
        </w:rPr>
      </w:pPr>
      <w:bookmarkStart w:id="470" w:name="_Toc500151845"/>
      <w:r w:rsidRPr="004C7417">
        <w:rPr>
          <w:rFonts w:ascii="Georgia" w:hAnsi="Georgia"/>
          <w:sz w:val="24"/>
        </w:rPr>
        <w:t>Electricity tariffs used in this cost-benefit analysis</w:t>
      </w:r>
      <w:bookmarkStart w:id="471" w:name="_Ref453661689"/>
      <w:bookmarkEnd w:id="464"/>
      <w:bookmarkEnd w:id="465"/>
      <w:bookmarkEnd w:id="466"/>
      <w:bookmarkEnd w:id="467"/>
      <w:bookmarkEnd w:id="468"/>
      <w:bookmarkEnd w:id="469"/>
      <w:bookmarkEnd w:id="470"/>
    </w:p>
    <w:p w14:paraId="376A824C" w14:textId="77777777" w:rsidR="00AC6998" w:rsidRPr="00E50722" w:rsidRDefault="005636C7" w:rsidP="005636C7">
      <w:pPr>
        <w:pStyle w:val="E3BodyText"/>
        <w:jc w:val="both"/>
        <w:rPr>
          <w:b/>
        </w:rPr>
      </w:pPr>
      <w:r w:rsidRPr="00AC7259">
        <w:t>The electricity tariffs are outlined below (</w:t>
      </w:r>
      <w:r w:rsidRPr="00A91C07">
        <w:rPr>
          <w:b/>
        </w:rPr>
        <w:fldChar w:fldCharType="begin"/>
      </w:r>
      <w:r w:rsidRPr="00A91C07">
        <w:rPr>
          <w:b/>
        </w:rPr>
        <w:instrText xml:space="preserve"> REF _Ref455386391 \h  \* MERGEFORMAT </w:instrText>
      </w:r>
      <w:r w:rsidRPr="00A91C07">
        <w:rPr>
          <w:b/>
        </w:rPr>
      </w:r>
      <w:r w:rsidRPr="00A91C07">
        <w:rPr>
          <w:b/>
        </w:rPr>
        <w:fldChar w:fldCharType="separate"/>
      </w:r>
    </w:p>
    <w:p w14:paraId="3FCCC7B7" w14:textId="77777777" w:rsidR="005636C7" w:rsidRPr="00E50722" w:rsidRDefault="00AC6998" w:rsidP="005636C7">
      <w:pPr>
        <w:pStyle w:val="E3BodyText"/>
        <w:jc w:val="both"/>
        <w:rPr>
          <w:b/>
        </w:rPr>
      </w:pPr>
      <w:r w:rsidRPr="00AC6998">
        <w:rPr>
          <w:b/>
          <w:noProof/>
        </w:rPr>
        <w:t xml:space="preserve">Table </w:t>
      </w:r>
      <w:r>
        <w:rPr>
          <w:noProof/>
        </w:rPr>
        <w:t>D 7</w:t>
      </w:r>
      <w:r w:rsidR="005636C7" w:rsidRPr="00A91C07">
        <w:rPr>
          <w:b/>
        </w:rPr>
        <w:fldChar w:fldCharType="end"/>
      </w:r>
      <w:r w:rsidR="005636C7" w:rsidRPr="00AC7259">
        <w:t>).</w:t>
      </w:r>
      <w:bookmarkStart w:id="472" w:name="_Ref455386391"/>
      <w:bookmarkStart w:id="473" w:name="_Toc456164781"/>
    </w:p>
    <w:p w14:paraId="2E168CD3" w14:textId="77777777" w:rsidR="005636C7" w:rsidRDefault="005636C7" w:rsidP="005636C7">
      <w:pPr>
        <w:pStyle w:val="E3TableTitles"/>
      </w:pPr>
      <w:bookmarkStart w:id="474" w:name="_Toc500159679"/>
      <w:r>
        <w:t xml:space="preserve">Table D </w:t>
      </w:r>
      <w:r>
        <w:fldChar w:fldCharType="begin"/>
      </w:r>
      <w:r>
        <w:instrText xml:space="preserve"> SEQ Table_D \* ARABIC </w:instrText>
      </w:r>
      <w:r>
        <w:fldChar w:fldCharType="separate"/>
      </w:r>
      <w:r w:rsidR="00AC6998">
        <w:rPr>
          <w:noProof/>
        </w:rPr>
        <w:t>7</w:t>
      </w:r>
      <w:r>
        <w:rPr>
          <w:noProof/>
        </w:rPr>
        <w:fldChar w:fldCharType="end"/>
      </w:r>
      <w:bookmarkEnd w:id="471"/>
      <w:bookmarkEnd w:id="472"/>
      <w:r>
        <w:t>: Business electricity prices (real 20116/17 cents/kWh) for Australia and New Zealand</w:t>
      </w:r>
      <w:bookmarkEnd w:id="473"/>
      <w:bookmarkEnd w:id="474"/>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me as above until year 2030"/>
      </w:tblPr>
      <w:tblGrid>
        <w:gridCol w:w="1162"/>
        <w:gridCol w:w="672"/>
        <w:gridCol w:w="672"/>
        <w:gridCol w:w="727"/>
        <w:gridCol w:w="853"/>
        <w:gridCol w:w="854"/>
        <w:gridCol w:w="854"/>
        <w:gridCol w:w="722"/>
        <w:gridCol w:w="802"/>
        <w:gridCol w:w="803"/>
        <w:gridCol w:w="802"/>
        <w:gridCol w:w="932"/>
      </w:tblGrid>
      <w:tr w:rsidR="005636C7" w:rsidRPr="004C2A7B" w14:paraId="7D526908" w14:textId="77777777" w:rsidTr="005636C7">
        <w:trPr>
          <w:trHeight w:val="315"/>
          <w:tblHeader/>
        </w:trPr>
        <w:tc>
          <w:tcPr>
            <w:tcW w:w="1162" w:type="dxa"/>
            <w:tcBorders>
              <w:left w:val="nil"/>
            </w:tcBorders>
          </w:tcPr>
          <w:p w14:paraId="32255039" w14:textId="77777777" w:rsidR="005636C7" w:rsidRPr="00CD2BF0" w:rsidRDefault="005636C7" w:rsidP="005636C7">
            <w:pPr>
              <w:pStyle w:val="E3TableHeading"/>
              <w:rPr>
                <w:szCs w:val="15"/>
                <w:lang w:val="en-NZ"/>
              </w:rPr>
            </w:pPr>
            <w:r w:rsidRPr="00CD2BF0">
              <w:rPr>
                <w:szCs w:val="15"/>
              </w:rPr>
              <w:t>Region/year</w:t>
            </w:r>
          </w:p>
        </w:tc>
        <w:tc>
          <w:tcPr>
            <w:tcW w:w="672" w:type="dxa"/>
          </w:tcPr>
          <w:p w14:paraId="5C835ED1" w14:textId="77777777" w:rsidR="005636C7" w:rsidRPr="00CD2BF0" w:rsidRDefault="005636C7" w:rsidP="005636C7">
            <w:pPr>
              <w:pStyle w:val="E3TableHeading"/>
              <w:rPr>
                <w:szCs w:val="15"/>
              </w:rPr>
            </w:pPr>
            <w:r w:rsidRPr="00CD2BF0">
              <w:rPr>
                <w:szCs w:val="15"/>
              </w:rPr>
              <w:t>2020</w:t>
            </w:r>
          </w:p>
        </w:tc>
        <w:tc>
          <w:tcPr>
            <w:tcW w:w="672" w:type="dxa"/>
            <w:noWrap/>
            <w:hideMark/>
          </w:tcPr>
          <w:p w14:paraId="36D95609" w14:textId="77777777" w:rsidR="005636C7" w:rsidRPr="00CD2BF0" w:rsidRDefault="005636C7" w:rsidP="005636C7">
            <w:pPr>
              <w:pStyle w:val="E3TableHeading"/>
              <w:rPr>
                <w:szCs w:val="15"/>
                <w:lang w:val="en-NZ"/>
              </w:rPr>
            </w:pPr>
            <w:r w:rsidRPr="00CD2BF0">
              <w:rPr>
                <w:szCs w:val="15"/>
              </w:rPr>
              <w:t>2021</w:t>
            </w:r>
          </w:p>
        </w:tc>
        <w:tc>
          <w:tcPr>
            <w:tcW w:w="727" w:type="dxa"/>
            <w:noWrap/>
            <w:hideMark/>
          </w:tcPr>
          <w:p w14:paraId="4AC67681" w14:textId="77777777" w:rsidR="005636C7" w:rsidRPr="00CD2BF0" w:rsidRDefault="005636C7" w:rsidP="005636C7">
            <w:pPr>
              <w:pStyle w:val="E3TableHeading"/>
              <w:rPr>
                <w:szCs w:val="15"/>
                <w:lang w:val="en-NZ"/>
              </w:rPr>
            </w:pPr>
            <w:r w:rsidRPr="00CD2BF0">
              <w:rPr>
                <w:szCs w:val="15"/>
              </w:rPr>
              <w:t>2022</w:t>
            </w:r>
          </w:p>
        </w:tc>
        <w:tc>
          <w:tcPr>
            <w:tcW w:w="853" w:type="dxa"/>
            <w:noWrap/>
            <w:hideMark/>
          </w:tcPr>
          <w:p w14:paraId="3ABD0788" w14:textId="77777777" w:rsidR="005636C7" w:rsidRPr="00CD2BF0" w:rsidRDefault="005636C7" w:rsidP="005636C7">
            <w:pPr>
              <w:pStyle w:val="E3TableHeading"/>
              <w:rPr>
                <w:szCs w:val="15"/>
                <w:lang w:val="en-NZ"/>
              </w:rPr>
            </w:pPr>
            <w:r w:rsidRPr="00CD2BF0">
              <w:rPr>
                <w:szCs w:val="15"/>
              </w:rPr>
              <w:t>2023</w:t>
            </w:r>
          </w:p>
        </w:tc>
        <w:tc>
          <w:tcPr>
            <w:tcW w:w="854" w:type="dxa"/>
            <w:noWrap/>
            <w:hideMark/>
          </w:tcPr>
          <w:p w14:paraId="00D6CFFD" w14:textId="77777777" w:rsidR="005636C7" w:rsidRPr="00CD2BF0" w:rsidRDefault="005636C7" w:rsidP="005636C7">
            <w:pPr>
              <w:pStyle w:val="E3TableHeading"/>
              <w:rPr>
                <w:szCs w:val="15"/>
                <w:lang w:val="en-NZ"/>
              </w:rPr>
            </w:pPr>
            <w:r w:rsidRPr="00CD2BF0">
              <w:rPr>
                <w:szCs w:val="15"/>
              </w:rPr>
              <w:t>2024</w:t>
            </w:r>
          </w:p>
        </w:tc>
        <w:tc>
          <w:tcPr>
            <w:tcW w:w="854" w:type="dxa"/>
            <w:noWrap/>
            <w:hideMark/>
          </w:tcPr>
          <w:p w14:paraId="4BF5DFBF" w14:textId="77777777" w:rsidR="005636C7" w:rsidRPr="00CD2BF0" w:rsidRDefault="005636C7" w:rsidP="005636C7">
            <w:pPr>
              <w:pStyle w:val="E3TableHeading"/>
              <w:rPr>
                <w:szCs w:val="15"/>
                <w:lang w:val="en-NZ"/>
              </w:rPr>
            </w:pPr>
            <w:r w:rsidRPr="00CD2BF0">
              <w:rPr>
                <w:szCs w:val="15"/>
              </w:rPr>
              <w:t>2025</w:t>
            </w:r>
          </w:p>
        </w:tc>
        <w:tc>
          <w:tcPr>
            <w:tcW w:w="722" w:type="dxa"/>
            <w:noWrap/>
            <w:hideMark/>
          </w:tcPr>
          <w:p w14:paraId="32957D21" w14:textId="77777777" w:rsidR="005636C7" w:rsidRPr="00CD2BF0" w:rsidRDefault="005636C7" w:rsidP="005636C7">
            <w:pPr>
              <w:pStyle w:val="E3TableHeading"/>
              <w:rPr>
                <w:szCs w:val="15"/>
                <w:lang w:val="en-NZ"/>
              </w:rPr>
            </w:pPr>
            <w:r w:rsidRPr="00CD2BF0">
              <w:rPr>
                <w:szCs w:val="15"/>
              </w:rPr>
              <w:t>2026</w:t>
            </w:r>
          </w:p>
        </w:tc>
        <w:tc>
          <w:tcPr>
            <w:tcW w:w="802" w:type="dxa"/>
            <w:noWrap/>
            <w:hideMark/>
          </w:tcPr>
          <w:p w14:paraId="2BEE18A8" w14:textId="77777777" w:rsidR="005636C7" w:rsidRPr="00CD2BF0" w:rsidRDefault="005636C7" w:rsidP="005636C7">
            <w:pPr>
              <w:pStyle w:val="E3TableHeading"/>
              <w:rPr>
                <w:szCs w:val="15"/>
                <w:lang w:val="en-NZ"/>
              </w:rPr>
            </w:pPr>
            <w:r w:rsidRPr="00CD2BF0">
              <w:rPr>
                <w:szCs w:val="15"/>
              </w:rPr>
              <w:t>2027</w:t>
            </w:r>
          </w:p>
        </w:tc>
        <w:tc>
          <w:tcPr>
            <w:tcW w:w="803" w:type="dxa"/>
            <w:noWrap/>
            <w:hideMark/>
          </w:tcPr>
          <w:p w14:paraId="6834AB50" w14:textId="77777777" w:rsidR="005636C7" w:rsidRPr="00CD2BF0" w:rsidRDefault="005636C7" w:rsidP="005636C7">
            <w:pPr>
              <w:pStyle w:val="E3TableHeading"/>
              <w:rPr>
                <w:szCs w:val="15"/>
                <w:lang w:val="en-NZ"/>
              </w:rPr>
            </w:pPr>
            <w:r w:rsidRPr="00CD2BF0">
              <w:rPr>
                <w:szCs w:val="15"/>
              </w:rPr>
              <w:t>2028</w:t>
            </w:r>
          </w:p>
        </w:tc>
        <w:tc>
          <w:tcPr>
            <w:tcW w:w="802" w:type="dxa"/>
            <w:noWrap/>
            <w:hideMark/>
          </w:tcPr>
          <w:p w14:paraId="479D0470" w14:textId="77777777" w:rsidR="005636C7" w:rsidRPr="00CD2BF0" w:rsidRDefault="005636C7" w:rsidP="005636C7">
            <w:pPr>
              <w:pStyle w:val="E3TableHeading"/>
              <w:rPr>
                <w:szCs w:val="15"/>
                <w:lang w:val="en-NZ"/>
              </w:rPr>
            </w:pPr>
            <w:r w:rsidRPr="00CD2BF0">
              <w:rPr>
                <w:szCs w:val="15"/>
              </w:rPr>
              <w:t>2029</w:t>
            </w:r>
          </w:p>
        </w:tc>
        <w:tc>
          <w:tcPr>
            <w:tcW w:w="932" w:type="dxa"/>
            <w:noWrap/>
            <w:hideMark/>
          </w:tcPr>
          <w:p w14:paraId="6DC01780" w14:textId="77777777" w:rsidR="005636C7" w:rsidRPr="00CD2BF0" w:rsidRDefault="005636C7" w:rsidP="005636C7">
            <w:pPr>
              <w:pStyle w:val="E3TableHeading"/>
              <w:rPr>
                <w:szCs w:val="15"/>
                <w:lang w:val="en-NZ"/>
              </w:rPr>
            </w:pPr>
            <w:r w:rsidRPr="00CD2BF0">
              <w:rPr>
                <w:szCs w:val="15"/>
              </w:rPr>
              <w:t>2030</w:t>
            </w:r>
          </w:p>
        </w:tc>
      </w:tr>
      <w:tr w:rsidR="005636C7" w:rsidRPr="004C2A7B" w14:paraId="3A4352BC" w14:textId="77777777" w:rsidTr="005636C7">
        <w:trPr>
          <w:trHeight w:val="315"/>
        </w:trPr>
        <w:tc>
          <w:tcPr>
            <w:tcW w:w="1162" w:type="dxa"/>
            <w:tcBorders>
              <w:left w:val="nil"/>
              <w:right w:val="single" w:sz="12" w:space="0" w:color="auto"/>
            </w:tcBorders>
          </w:tcPr>
          <w:p w14:paraId="5D94488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NSW</w:t>
            </w:r>
          </w:p>
        </w:tc>
        <w:tc>
          <w:tcPr>
            <w:tcW w:w="672" w:type="dxa"/>
            <w:tcBorders>
              <w:left w:val="single" w:sz="12" w:space="0" w:color="auto"/>
              <w:right w:val="single" w:sz="12" w:space="0" w:color="auto"/>
            </w:tcBorders>
          </w:tcPr>
          <w:p w14:paraId="1CAF16D2"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19.61</w:t>
            </w:r>
          </w:p>
        </w:tc>
        <w:tc>
          <w:tcPr>
            <w:tcW w:w="672" w:type="dxa"/>
            <w:tcBorders>
              <w:left w:val="single" w:sz="12" w:space="0" w:color="auto"/>
            </w:tcBorders>
            <w:noWrap/>
          </w:tcPr>
          <w:p w14:paraId="040B3D7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20.47</w:t>
            </w:r>
          </w:p>
        </w:tc>
        <w:tc>
          <w:tcPr>
            <w:tcW w:w="727" w:type="dxa"/>
            <w:noWrap/>
          </w:tcPr>
          <w:p w14:paraId="3E4213D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21.28</w:t>
            </w:r>
          </w:p>
        </w:tc>
        <w:tc>
          <w:tcPr>
            <w:tcW w:w="853" w:type="dxa"/>
            <w:noWrap/>
          </w:tcPr>
          <w:p w14:paraId="0800D50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22.12</w:t>
            </w:r>
          </w:p>
        </w:tc>
        <w:tc>
          <w:tcPr>
            <w:tcW w:w="854" w:type="dxa"/>
            <w:noWrap/>
          </w:tcPr>
          <w:p w14:paraId="22F891C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22.91</w:t>
            </w:r>
          </w:p>
        </w:tc>
        <w:tc>
          <w:tcPr>
            <w:tcW w:w="854" w:type="dxa"/>
            <w:noWrap/>
          </w:tcPr>
          <w:p w14:paraId="34FC85C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23.77</w:t>
            </w:r>
          </w:p>
        </w:tc>
        <w:tc>
          <w:tcPr>
            <w:tcW w:w="722" w:type="dxa"/>
            <w:noWrap/>
          </w:tcPr>
          <w:p w14:paraId="56A44BD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24.44</w:t>
            </w:r>
          </w:p>
        </w:tc>
        <w:tc>
          <w:tcPr>
            <w:tcW w:w="802" w:type="dxa"/>
            <w:noWrap/>
          </w:tcPr>
          <w:p w14:paraId="77FEC50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25.21</w:t>
            </w:r>
          </w:p>
        </w:tc>
        <w:tc>
          <w:tcPr>
            <w:tcW w:w="803" w:type="dxa"/>
            <w:noWrap/>
          </w:tcPr>
          <w:p w14:paraId="03D8BD4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25.79</w:t>
            </w:r>
          </w:p>
        </w:tc>
        <w:tc>
          <w:tcPr>
            <w:tcW w:w="802" w:type="dxa"/>
            <w:noWrap/>
          </w:tcPr>
          <w:p w14:paraId="2CE17D9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25.96</w:t>
            </w:r>
          </w:p>
        </w:tc>
        <w:tc>
          <w:tcPr>
            <w:tcW w:w="932" w:type="dxa"/>
            <w:noWrap/>
          </w:tcPr>
          <w:p w14:paraId="619C0A4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26.31</w:t>
            </w:r>
          </w:p>
        </w:tc>
      </w:tr>
      <w:tr w:rsidR="005636C7" w:rsidRPr="004C2A7B" w14:paraId="12EBD963" w14:textId="77777777" w:rsidTr="005636C7">
        <w:trPr>
          <w:trHeight w:val="315"/>
        </w:trPr>
        <w:tc>
          <w:tcPr>
            <w:tcW w:w="1162" w:type="dxa"/>
            <w:tcBorders>
              <w:left w:val="nil"/>
              <w:right w:val="single" w:sz="12" w:space="0" w:color="auto"/>
            </w:tcBorders>
          </w:tcPr>
          <w:p w14:paraId="43C9C35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ACT</w:t>
            </w:r>
          </w:p>
        </w:tc>
        <w:tc>
          <w:tcPr>
            <w:tcW w:w="672" w:type="dxa"/>
            <w:tcBorders>
              <w:left w:val="single" w:sz="12" w:space="0" w:color="auto"/>
              <w:right w:val="single" w:sz="12" w:space="0" w:color="auto"/>
            </w:tcBorders>
          </w:tcPr>
          <w:p w14:paraId="2E571681"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25.03</w:t>
            </w:r>
          </w:p>
        </w:tc>
        <w:tc>
          <w:tcPr>
            <w:tcW w:w="672" w:type="dxa"/>
            <w:tcBorders>
              <w:left w:val="single" w:sz="12" w:space="0" w:color="auto"/>
            </w:tcBorders>
            <w:noWrap/>
          </w:tcPr>
          <w:p w14:paraId="5E07140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26.13</w:t>
            </w:r>
          </w:p>
        </w:tc>
        <w:tc>
          <w:tcPr>
            <w:tcW w:w="727" w:type="dxa"/>
            <w:noWrap/>
          </w:tcPr>
          <w:p w14:paraId="5099119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27.16</w:t>
            </w:r>
          </w:p>
        </w:tc>
        <w:tc>
          <w:tcPr>
            <w:tcW w:w="853" w:type="dxa"/>
            <w:noWrap/>
          </w:tcPr>
          <w:p w14:paraId="1B45742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28.23</w:t>
            </w:r>
          </w:p>
        </w:tc>
        <w:tc>
          <w:tcPr>
            <w:tcW w:w="854" w:type="dxa"/>
            <w:noWrap/>
          </w:tcPr>
          <w:p w14:paraId="5286A86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29.24</w:t>
            </w:r>
          </w:p>
        </w:tc>
        <w:tc>
          <w:tcPr>
            <w:tcW w:w="854" w:type="dxa"/>
            <w:noWrap/>
          </w:tcPr>
          <w:p w14:paraId="12F7714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30.35</w:t>
            </w:r>
          </w:p>
        </w:tc>
        <w:tc>
          <w:tcPr>
            <w:tcW w:w="722" w:type="dxa"/>
            <w:noWrap/>
          </w:tcPr>
          <w:p w14:paraId="39C08B6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31.20</w:t>
            </w:r>
          </w:p>
        </w:tc>
        <w:tc>
          <w:tcPr>
            <w:tcW w:w="802" w:type="dxa"/>
            <w:noWrap/>
          </w:tcPr>
          <w:p w14:paraId="2AB1B30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32.18</w:t>
            </w:r>
          </w:p>
        </w:tc>
        <w:tc>
          <w:tcPr>
            <w:tcW w:w="803" w:type="dxa"/>
            <w:noWrap/>
          </w:tcPr>
          <w:p w14:paraId="7E2D287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32.92</w:t>
            </w:r>
          </w:p>
        </w:tc>
        <w:tc>
          <w:tcPr>
            <w:tcW w:w="802" w:type="dxa"/>
            <w:noWrap/>
          </w:tcPr>
          <w:p w14:paraId="25766E2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33.14</w:t>
            </w:r>
          </w:p>
        </w:tc>
        <w:tc>
          <w:tcPr>
            <w:tcW w:w="932" w:type="dxa"/>
            <w:noWrap/>
          </w:tcPr>
          <w:p w14:paraId="4B6C404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33.59</w:t>
            </w:r>
          </w:p>
        </w:tc>
      </w:tr>
      <w:tr w:rsidR="005636C7" w:rsidRPr="004C2A7B" w14:paraId="5E7EFC12" w14:textId="77777777" w:rsidTr="005636C7">
        <w:trPr>
          <w:trHeight w:val="315"/>
        </w:trPr>
        <w:tc>
          <w:tcPr>
            <w:tcW w:w="1162" w:type="dxa"/>
            <w:tcBorders>
              <w:left w:val="nil"/>
              <w:right w:val="single" w:sz="12" w:space="0" w:color="auto"/>
            </w:tcBorders>
          </w:tcPr>
          <w:p w14:paraId="7CFF77C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NT</w:t>
            </w:r>
          </w:p>
        </w:tc>
        <w:tc>
          <w:tcPr>
            <w:tcW w:w="672" w:type="dxa"/>
            <w:tcBorders>
              <w:left w:val="single" w:sz="12" w:space="0" w:color="auto"/>
              <w:right w:val="single" w:sz="12" w:space="0" w:color="auto"/>
            </w:tcBorders>
          </w:tcPr>
          <w:p w14:paraId="6FA27B02"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32.32</w:t>
            </w:r>
          </w:p>
        </w:tc>
        <w:tc>
          <w:tcPr>
            <w:tcW w:w="672" w:type="dxa"/>
            <w:tcBorders>
              <w:left w:val="single" w:sz="12" w:space="0" w:color="auto"/>
            </w:tcBorders>
            <w:noWrap/>
          </w:tcPr>
          <w:p w14:paraId="4755EFA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33.13</w:t>
            </w:r>
          </w:p>
        </w:tc>
        <w:tc>
          <w:tcPr>
            <w:tcW w:w="727" w:type="dxa"/>
            <w:noWrap/>
          </w:tcPr>
          <w:p w14:paraId="46D7406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33.95</w:t>
            </w:r>
          </w:p>
        </w:tc>
        <w:tc>
          <w:tcPr>
            <w:tcW w:w="853" w:type="dxa"/>
            <w:noWrap/>
          </w:tcPr>
          <w:p w14:paraId="4ACF1A8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34.80</w:t>
            </w:r>
          </w:p>
        </w:tc>
        <w:tc>
          <w:tcPr>
            <w:tcW w:w="854" w:type="dxa"/>
            <w:noWrap/>
          </w:tcPr>
          <w:p w14:paraId="063A1FE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35.67</w:t>
            </w:r>
          </w:p>
        </w:tc>
        <w:tc>
          <w:tcPr>
            <w:tcW w:w="854" w:type="dxa"/>
            <w:noWrap/>
          </w:tcPr>
          <w:p w14:paraId="7EE615B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36.56</w:t>
            </w:r>
          </w:p>
        </w:tc>
        <w:tc>
          <w:tcPr>
            <w:tcW w:w="722" w:type="dxa"/>
            <w:noWrap/>
          </w:tcPr>
          <w:p w14:paraId="5BDAF30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37.48</w:t>
            </w:r>
          </w:p>
        </w:tc>
        <w:tc>
          <w:tcPr>
            <w:tcW w:w="802" w:type="dxa"/>
            <w:noWrap/>
          </w:tcPr>
          <w:p w14:paraId="79AB2C2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38.42</w:t>
            </w:r>
          </w:p>
        </w:tc>
        <w:tc>
          <w:tcPr>
            <w:tcW w:w="803" w:type="dxa"/>
            <w:noWrap/>
          </w:tcPr>
          <w:p w14:paraId="36C9229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39.38</w:t>
            </w:r>
          </w:p>
        </w:tc>
        <w:tc>
          <w:tcPr>
            <w:tcW w:w="802" w:type="dxa"/>
            <w:noWrap/>
          </w:tcPr>
          <w:p w14:paraId="5D3FE53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40.36</w:t>
            </w:r>
          </w:p>
        </w:tc>
        <w:tc>
          <w:tcPr>
            <w:tcW w:w="932" w:type="dxa"/>
            <w:noWrap/>
          </w:tcPr>
          <w:p w14:paraId="77499FA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41.37</w:t>
            </w:r>
          </w:p>
        </w:tc>
      </w:tr>
      <w:tr w:rsidR="005636C7" w:rsidRPr="004C2A7B" w14:paraId="7A6AC8B2" w14:textId="77777777" w:rsidTr="005636C7">
        <w:trPr>
          <w:trHeight w:val="315"/>
        </w:trPr>
        <w:tc>
          <w:tcPr>
            <w:tcW w:w="1162" w:type="dxa"/>
            <w:tcBorders>
              <w:left w:val="nil"/>
              <w:right w:val="single" w:sz="12" w:space="0" w:color="auto"/>
            </w:tcBorders>
          </w:tcPr>
          <w:p w14:paraId="48992B1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QLD</w:t>
            </w:r>
          </w:p>
        </w:tc>
        <w:tc>
          <w:tcPr>
            <w:tcW w:w="672" w:type="dxa"/>
            <w:tcBorders>
              <w:left w:val="single" w:sz="12" w:space="0" w:color="auto"/>
              <w:right w:val="single" w:sz="12" w:space="0" w:color="auto"/>
            </w:tcBorders>
          </w:tcPr>
          <w:p w14:paraId="3717B294"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17.61</w:t>
            </w:r>
          </w:p>
        </w:tc>
        <w:tc>
          <w:tcPr>
            <w:tcW w:w="672" w:type="dxa"/>
            <w:tcBorders>
              <w:left w:val="single" w:sz="12" w:space="0" w:color="auto"/>
            </w:tcBorders>
            <w:noWrap/>
          </w:tcPr>
          <w:p w14:paraId="232AB6B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18.47</w:t>
            </w:r>
          </w:p>
        </w:tc>
        <w:tc>
          <w:tcPr>
            <w:tcW w:w="727" w:type="dxa"/>
            <w:noWrap/>
          </w:tcPr>
          <w:p w14:paraId="38AFD03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19.15</w:t>
            </w:r>
          </w:p>
        </w:tc>
        <w:tc>
          <w:tcPr>
            <w:tcW w:w="853" w:type="dxa"/>
            <w:noWrap/>
          </w:tcPr>
          <w:p w14:paraId="4BD28F2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19.70</w:t>
            </w:r>
          </w:p>
        </w:tc>
        <w:tc>
          <w:tcPr>
            <w:tcW w:w="854" w:type="dxa"/>
            <w:noWrap/>
          </w:tcPr>
          <w:p w14:paraId="67CA196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19.97</w:t>
            </w:r>
          </w:p>
        </w:tc>
        <w:tc>
          <w:tcPr>
            <w:tcW w:w="854" w:type="dxa"/>
            <w:noWrap/>
          </w:tcPr>
          <w:p w14:paraId="4F3DE05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20.28</w:t>
            </w:r>
          </w:p>
        </w:tc>
        <w:tc>
          <w:tcPr>
            <w:tcW w:w="722" w:type="dxa"/>
            <w:noWrap/>
          </w:tcPr>
          <w:p w14:paraId="13D3FB2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20.73</w:t>
            </w:r>
          </w:p>
        </w:tc>
        <w:tc>
          <w:tcPr>
            <w:tcW w:w="802" w:type="dxa"/>
            <w:noWrap/>
          </w:tcPr>
          <w:p w14:paraId="46565AE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21.27</w:t>
            </w:r>
          </w:p>
        </w:tc>
        <w:tc>
          <w:tcPr>
            <w:tcW w:w="803" w:type="dxa"/>
            <w:noWrap/>
          </w:tcPr>
          <w:p w14:paraId="79E982E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21.68</w:t>
            </w:r>
          </w:p>
        </w:tc>
        <w:tc>
          <w:tcPr>
            <w:tcW w:w="802" w:type="dxa"/>
            <w:noWrap/>
          </w:tcPr>
          <w:p w14:paraId="0E4F492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21.88</w:t>
            </w:r>
          </w:p>
        </w:tc>
        <w:tc>
          <w:tcPr>
            <w:tcW w:w="932" w:type="dxa"/>
            <w:noWrap/>
          </w:tcPr>
          <w:p w14:paraId="12B665C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22.05</w:t>
            </w:r>
          </w:p>
        </w:tc>
      </w:tr>
      <w:tr w:rsidR="005636C7" w:rsidRPr="004C2A7B" w14:paraId="3839975C" w14:textId="77777777" w:rsidTr="005636C7">
        <w:trPr>
          <w:trHeight w:val="315"/>
        </w:trPr>
        <w:tc>
          <w:tcPr>
            <w:tcW w:w="1162" w:type="dxa"/>
            <w:tcBorders>
              <w:left w:val="nil"/>
              <w:right w:val="single" w:sz="12" w:space="0" w:color="auto"/>
            </w:tcBorders>
          </w:tcPr>
          <w:p w14:paraId="6DA25337"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SA</w:t>
            </w:r>
          </w:p>
        </w:tc>
        <w:tc>
          <w:tcPr>
            <w:tcW w:w="672" w:type="dxa"/>
            <w:tcBorders>
              <w:left w:val="single" w:sz="12" w:space="0" w:color="auto"/>
              <w:right w:val="single" w:sz="12" w:space="0" w:color="auto"/>
            </w:tcBorders>
          </w:tcPr>
          <w:p w14:paraId="075F5D3F"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18.29</w:t>
            </w:r>
          </w:p>
        </w:tc>
        <w:tc>
          <w:tcPr>
            <w:tcW w:w="672" w:type="dxa"/>
            <w:tcBorders>
              <w:left w:val="single" w:sz="12" w:space="0" w:color="auto"/>
            </w:tcBorders>
            <w:noWrap/>
          </w:tcPr>
          <w:p w14:paraId="7088DB87"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17.80</w:t>
            </w:r>
          </w:p>
        </w:tc>
        <w:tc>
          <w:tcPr>
            <w:tcW w:w="727" w:type="dxa"/>
            <w:noWrap/>
          </w:tcPr>
          <w:p w14:paraId="4D5AB93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18.51</w:t>
            </w:r>
          </w:p>
        </w:tc>
        <w:tc>
          <w:tcPr>
            <w:tcW w:w="853" w:type="dxa"/>
            <w:noWrap/>
          </w:tcPr>
          <w:p w14:paraId="2C8121E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19.29</w:t>
            </w:r>
          </w:p>
        </w:tc>
        <w:tc>
          <w:tcPr>
            <w:tcW w:w="854" w:type="dxa"/>
            <w:noWrap/>
          </w:tcPr>
          <w:p w14:paraId="70FEF62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20.09</w:t>
            </w:r>
          </w:p>
        </w:tc>
        <w:tc>
          <w:tcPr>
            <w:tcW w:w="854" w:type="dxa"/>
            <w:noWrap/>
          </w:tcPr>
          <w:p w14:paraId="003648C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21.07</w:t>
            </w:r>
          </w:p>
        </w:tc>
        <w:tc>
          <w:tcPr>
            <w:tcW w:w="722" w:type="dxa"/>
            <w:noWrap/>
          </w:tcPr>
          <w:p w14:paraId="3D93CC7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22.05</w:t>
            </w:r>
          </w:p>
        </w:tc>
        <w:tc>
          <w:tcPr>
            <w:tcW w:w="802" w:type="dxa"/>
            <w:noWrap/>
          </w:tcPr>
          <w:p w14:paraId="6A17017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22.53</w:t>
            </w:r>
          </w:p>
        </w:tc>
        <w:tc>
          <w:tcPr>
            <w:tcW w:w="803" w:type="dxa"/>
            <w:noWrap/>
          </w:tcPr>
          <w:p w14:paraId="0F9F0D9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22.66</w:t>
            </w:r>
          </w:p>
        </w:tc>
        <w:tc>
          <w:tcPr>
            <w:tcW w:w="802" w:type="dxa"/>
            <w:noWrap/>
          </w:tcPr>
          <w:p w14:paraId="63DA176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22.86</w:t>
            </w:r>
          </w:p>
        </w:tc>
        <w:tc>
          <w:tcPr>
            <w:tcW w:w="932" w:type="dxa"/>
            <w:noWrap/>
          </w:tcPr>
          <w:p w14:paraId="40C09C5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23.43</w:t>
            </w:r>
          </w:p>
        </w:tc>
      </w:tr>
      <w:tr w:rsidR="005636C7" w:rsidRPr="004C2A7B" w14:paraId="73D97937" w14:textId="77777777" w:rsidTr="005636C7">
        <w:trPr>
          <w:trHeight w:val="315"/>
        </w:trPr>
        <w:tc>
          <w:tcPr>
            <w:tcW w:w="1162" w:type="dxa"/>
            <w:tcBorders>
              <w:left w:val="nil"/>
              <w:right w:val="single" w:sz="12" w:space="0" w:color="auto"/>
            </w:tcBorders>
          </w:tcPr>
          <w:p w14:paraId="1470664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TAS</w:t>
            </w:r>
          </w:p>
        </w:tc>
        <w:tc>
          <w:tcPr>
            <w:tcW w:w="672" w:type="dxa"/>
            <w:tcBorders>
              <w:left w:val="single" w:sz="12" w:space="0" w:color="auto"/>
              <w:right w:val="single" w:sz="12" w:space="0" w:color="auto"/>
            </w:tcBorders>
          </w:tcPr>
          <w:p w14:paraId="3710CB66"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13.49</w:t>
            </w:r>
          </w:p>
        </w:tc>
        <w:tc>
          <w:tcPr>
            <w:tcW w:w="672" w:type="dxa"/>
            <w:tcBorders>
              <w:left w:val="single" w:sz="12" w:space="0" w:color="auto"/>
            </w:tcBorders>
            <w:noWrap/>
          </w:tcPr>
          <w:p w14:paraId="1A57C97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14.05</w:t>
            </w:r>
          </w:p>
        </w:tc>
        <w:tc>
          <w:tcPr>
            <w:tcW w:w="727" w:type="dxa"/>
            <w:noWrap/>
          </w:tcPr>
          <w:p w14:paraId="34D8CA0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14.81</w:t>
            </w:r>
          </w:p>
        </w:tc>
        <w:tc>
          <w:tcPr>
            <w:tcW w:w="853" w:type="dxa"/>
            <w:noWrap/>
          </w:tcPr>
          <w:p w14:paraId="7BCB225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15.72</w:t>
            </w:r>
          </w:p>
        </w:tc>
        <w:tc>
          <w:tcPr>
            <w:tcW w:w="854" w:type="dxa"/>
            <w:noWrap/>
          </w:tcPr>
          <w:p w14:paraId="3AF06AF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16.72</w:t>
            </w:r>
          </w:p>
        </w:tc>
        <w:tc>
          <w:tcPr>
            <w:tcW w:w="854" w:type="dxa"/>
            <w:noWrap/>
          </w:tcPr>
          <w:p w14:paraId="34449B8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18.11</w:t>
            </w:r>
          </w:p>
        </w:tc>
        <w:tc>
          <w:tcPr>
            <w:tcW w:w="722" w:type="dxa"/>
            <w:noWrap/>
          </w:tcPr>
          <w:p w14:paraId="470ECE4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19.34</w:t>
            </w:r>
          </w:p>
        </w:tc>
        <w:tc>
          <w:tcPr>
            <w:tcW w:w="802" w:type="dxa"/>
            <w:noWrap/>
          </w:tcPr>
          <w:p w14:paraId="1E0B490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19.60</w:t>
            </w:r>
          </w:p>
        </w:tc>
        <w:tc>
          <w:tcPr>
            <w:tcW w:w="803" w:type="dxa"/>
            <w:noWrap/>
          </w:tcPr>
          <w:p w14:paraId="31FDCBA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19.33</w:t>
            </w:r>
          </w:p>
        </w:tc>
        <w:tc>
          <w:tcPr>
            <w:tcW w:w="802" w:type="dxa"/>
            <w:noWrap/>
          </w:tcPr>
          <w:p w14:paraId="707B1A1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19.21</w:t>
            </w:r>
          </w:p>
        </w:tc>
        <w:tc>
          <w:tcPr>
            <w:tcW w:w="932" w:type="dxa"/>
            <w:noWrap/>
          </w:tcPr>
          <w:p w14:paraId="3DA4BC52"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19.52</w:t>
            </w:r>
          </w:p>
        </w:tc>
      </w:tr>
      <w:tr w:rsidR="005636C7" w:rsidRPr="004C2A7B" w14:paraId="33772F65" w14:textId="77777777" w:rsidTr="005636C7">
        <w:trPr>
          <w:trHeight w:val="315"/>
        </w:trPr>
        <w:tc>
          <w:tcPr>
            <w:tcW w:w="1162" w:type="dxa"/>
            <w:tcBorders>
              <w:left w:val="nil"/>
              <w:right w:val="single" w:sz="12" w:space="0" w:color="auto"/>
            </w:tcBorders>
          </w:tcPr>
          <w:p w14:paraId="790C349A"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VIC</w:t>
            </w:r>
          </w:p>
        </w:tc>
        <w:tc>
          <w:tcPr>
            <w:tcW w:w="672" w:type="dxa"/>
            <w:tcBorders>
              <w:left w:val="single" w:sz="12" w:space="0" w:color="auto"/>
              <w:right w:val="single" w:sz="12" w:space="0" w:color="auto"/>
            </w:tcBorders>
          </w:tcPr>
          <w:p w14:paraId="644B0170"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18.94</w:t>
            </w:r>
          </w:p>
        </w:tc>
        <w:tc>
          <w:tcPr>
            <w:tcW w:w="672" w:type="dxa"/>
            <w:tcBorders>
              <w:left w:val="single" w:sz="12" w:space="0" w:color="auto"/>
            </w:tcBorders>
            <w:noWrap/>
          </w:tcPr>
          <w:p w14:paraId="2C830B8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19.63</w:t>
            </w:r>
          </w:p>
        </w:tc>
        <w:tc>
          <w:tcPr>
            <w:tcW w:w="727" w:type="dxa"/>
            <w:noWrap/>
          </w:tcPr>
          <w:p w14:paraId="3A5D9B0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20.26</w:t>
            </w:r>
          </w:p>
        </w:tc>
        <w:tc>
          <w:tcPr>
            <w:tcW w:w="853" w:type="dxa"/>
            <w:noWrap/>
          </w:tcPr>
          <w:p w14:paraId="3411076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21.11</w:t>
            </w:r>
          </w:p>
        </w:tc>
        <w:tc>
          <w:tcPr>
            <w:tcW w:w="854" w:type="dxa"/>
            <w:noWrap/>
          </w:tcPr>
          <w:p w14:paraId="0C54D1A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22.01</w:t>
            </w:r>
          </w:p>
        </w:tc>
        <w:tc>
          <w:tcPr>
            <w:tcW w:w="854" w:type="dxa"/>
            <w:noWrap/>
          </w:tcPr>
          <w:p w14:paraId="2CFCD7F4"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23.21</w:t>
            </w:r>
          </w:p>
        </w:tc>
        <w:tc>
          <w:tcPr>
            <w:tcW w:w="722" w:type="dxa"/>
            <w:noWrap/>
          </w:tcPr>
          <w:p w14:paraId="7AF57A0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24.22</w:t>
            </w:r>
          </w:p>
        </w:tc>
        <w:tc>
          <w:tcPr>
            <w:tcW w:w="802" w:type="dxa"/>
            <w:noWrap/>
          </w:tcPr>
          <w:p w14:paraId="3656C52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24.55</w:t>
            </w:r>
          </w:p>
        </w:tc>
        <w:tc>
          <w:tcPr>
            <w:tcW w:w="803" w:type="dxa"/>
            <w:noWrap/>
          </w:tcPr>
          <w:p w14:paraId="39D5E04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24.67</w:t>
            </w:r>
          </w:p>
        </w:tc>
        <w:tc>
          <w:tcPr>
            <w:tcW w:w="802" w:type="dxa"/>
            <w:noWrap/>
          </w:tcPr>
          <w:p w14:paraId="5D08DFD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25.07</w:t>
            </w:r>
          </w:p>
        </w:tc>
        <w:tc>
          <w:tcPr>
            <w:tcW w:w="932" w:type="dxa"/>
            <w:noWrap/>
          </w:tcPr>
          <w:p w14:paraId="3880778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25.80</w:t>
            </w:r>
          </w:p>
        </w:tc>
      </w:tr>
      <w:tr w:rsidR="005636C7" w:rsidRPr="004C2A7B" w14:paraId="193582B2" w14:textId="77777777" w:rsidTr="005636C7">
        <w:trPr>
          <w:trHeight w:val="315"/>
        </w:trPr>
        <w:tc>
          <w:tcPr>
            <w:tcW w:w="1162" w:type="dxa"/>
            <w:tcBorders>
              <w:left w:val="nil"/>
              <w:right w:val="single" w:sz="12" w:space="0" w:color="auto"/>
            </w:tcBorders>
          </w:tcPr>
          <w:p w14:paraId="7E6200F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WA</w:t>
            </w:r>
          </w:p>
        </w:tc>
        <w:tc>
          <w:tcPr>
            <w:tcW w:w="672" w:type="dxa"/>
            <w:tcBorders>
              <w:left w:val="single" w:sz="12" w:space="0" w:color="auto"/>
              <w:right w:val="single" w:sz="12" w:space="0" w:color="auto"/>
            </w:tcBorders>
          </w:tcPr>
          <w:p w14:paraId="10CCFF2C"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29.74</w:t>
            </w:r>
          </w:p>
        </w:tc>
        <w:tc>
          <w:tcPr>
            <w:tcW w:w="672" w:type="dxa"/>
            <w:tcBorders>
              <w:left w:val="single" w:sz="12" w:space="0" w:color="auto"/>
            </w:tcBorders>
            <w:noWrap/>
          </w:tcPr>
          <w:p w14:paraId="2365E7D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30.48</w:t>
            </w:r>
          </w:p>
        </w:tc>
        <w:tc>
          <w:tcPr>
            <w:tcW w:w="727" w:type="dxa"/>
            <w:noWrap/>
          </w:tcPr>
          <w:p w14:paraId="177D01E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31.25</w:t>
            </w:r>
          </w:p>
        </w:tc>
        <w:tc>
          <w:tcPr>
            <w:tcW w:w="853" w:type="dxa"/>
            <w:noWrap/>
          </w:tcPr>
          <w:p w14:paraId="31BF7F25"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32.03</w:t>
            </w:r>
          </w:p>
        </w:tc>
        <w:tc>
          <w:tcPr>
            <w:tcW w:w="854" w:type="dxa"/>
            <w:noWrap/>
          </w:tcPr>
          <w:p w14:paraId="1A7D821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32.83</w:t>
            </w:r>
          </w:p>
        </w:tc>
        <w:tc>
          <w:tcPr>
            <w:tcW w:w="854" w:type="dxa"/>
            <w:noWrap/>
          </w:tcPr>
          <w:p w14:paraId="5BF36E9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33.65</w:t>
            </w:r>
          </w:p>
        </w:tc>
        <w:tc>
          <w:tcPr>
            <w:tcW w:w="722" w:type="dxa"/>
            <w:noWrap/>
          </w:tcPr>
          <w:p w14:paraId="24E5607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34.49</w:t>
            </w:r>
          </w:p>
        </w:tc>
        <w:tc>
          <w:tcPr>
            <w:tcW w:w="802" w:type="dxa"/>
            <w:noWrap/>
          </w:tcPr>
          <w:p w14:paraId="0EB3242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35.35</w:t>
            </w:r>
          </w:p>
        </w:tc>
        <w:tc>
          <w:tcPr>
            <w:tcW w:w="803" w:type="dxa"/>
            <w:noWrap/>
          </w:tcPr>
          <w:p w14:paraId="097FB5DB"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36.24</w:t>
            </w:r>
          </w:p>
        </w:tc>
        <w:tc>
          <w:tcPr>
            <w:tcW w:w="802" w:type="dxa"/>
            <w:noWrap/>
          </w:tcPr>
          <w:p w14:paraId="03704E6E"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37.14</w:t>
            </w:r>
          </w:p>
        </w:tc>
        <w:tc>
          <w:tcPr>
            <w:tcW w:w="932" w:type="dxa"/>
            <w:noWrap/>
          </w:tcPr>
          <w:p w14:paraId="067D8A76"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38.07</w:t>
            </w:r>
          </w:p>
        </w:tc>
      </w:tr>
      <w:tr w:rsidR="005636C7" w:rsidRPr="004C2A7B" w14:paraId="53274A62" w14:textId="77777777" w:rsidTr="005636C7">
        <w:trPr>
          <w:trHeight w:val="315"/>
        </w:trPr>
        <w:tc>
          <w:tcPr>
            <w:tcW w:w="1162" w:type="dxa"/>
            <w:tcBorders>
              <w:left w:val="nil"/>
              <w:right w:val="single" w:sz="12" w:space="0" w:color="auto"/>
            </w:tcBorders>
          </w:tcPr>
          <w:p w14:paraId="34E3B87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color w:val="000000"/>
                <w:sz w:val="15"/>
                <w:szCs w:val="15"/>
                <w:lang w:val="en-US"/>
              </w:rPr>
              <w:t>NZ (NZ cents)</w:t>
            </w:r>
          </w:p>
        </w:tc>
        <w:tc>
          <w:tcPr>
            <w:tcW w:w="672" w:type="dxa"/>
            <w:tcBorders>
              <w:left w:val="single" w:sz="12" w:space="0" w:color="auto"/>
              <w:right w:val="single" w:sz="12" w:space="0" w:color="auto"/>
            </w:tcBorders>
          </w:tcPr>
          <w:p w14:paraId="1F295460" w14:textId="77777777" w:rsidR="005636C7" w:rsidRPr="00CD2BF0" w:rsidRDefault="005636C7" w:rsidP="005636C7">
            <w:pPr>
              <w:pStyle w:val="E3tabletext1"/>
              <w:rPr>
                <w:rFonts w:ascii="Helvetica" w:hAnsi="Helvetica" w:cs="Helvetica"/>
                <w:color w:val="000000"/>
                <w:sz w:val="15"/>
                <w:szCs w:val="15"/>
                <w:lang w:val="en-US"/>
              </w:rPr>
            </w:pPr>
            <w:r w:rsidRPr="00CD2BF0">
              <w:rPr>
                <w:rFonts w:ascii="Helvetica" w:hAnsi="Helvetica" w:cs="Helvetica"/>
                <w:sz w:val="15"/>
                <w:szCs w:val="15"/>
              </w:rPr>
              <w:t>16.62</w:t>
            </w:r>
          </w:p>
        </w:tc>
        <w:tc>
          <w:tcPr>
            <w:tcW w:w="672" w:type="dxa"/>
            <w:tcBorders>
              <w:left w:val="single" w:sz="12" w:space="0" w:color="auto"/>
            </w:tcBorders>
            <w:noWrap/>
          </w:tcPr>
          <w:p w14:paraId="0F96ACDC"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727" w:type="dxa"/>
            <w:noWrap/>
          </w:tcPr>
          <w:p w14:paraId="2272406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3" w:type="dxa"/>
            <w:noWrap/>
          </w:tcPr>
          <w:p w14:paraId="141E5A89"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4" w:type="dxa"/>
            <w:noWrap/>
          </w:tcPr>
          <w:p w14:paraId="6B83F170"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54" w:type="dxa"/>
            <w:noWrap/>
          </w:tcPr>
          <w:p w14:paraId="3FD25451"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722" w:type="dxa"/>
            <w:noWrap/>
          </w:tcPr>
          <w:p w14:paraId="02F9805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2" w:type="dxa"/>
            <w:noWrap/>
          </w:tcPr>
          <w:p w14:paraId="38BE60ED"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3" w:type="dxa"/>
            <w:noWrap/>
          </w:tcPr>
          <w:p w14:paraId="7A994893"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802" w:type="dxa"/>
            <w:noWrap/>
          </w:tcPr>
          <w:p w14:paraId="6582367F"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c>
          <w:tcPr>
            <w:tcW w:w="932" w:type="dxa"/>
            <w:noWrap/>
          </w:tcPr>
          <w:p w14:paraId="4F719328" w14:textId="77777777" w:rsidR="005636C7" w:rsidRPr="00CD2BF0" w:rsidRDefault="005636C7" w:rsidP="005636C7">
            <w:pPr>
              <w:pStyle w:val="E3tabletext1"/>
              <w:rPr>
                <w:rFonts w:ascii="Helvetica" w:hAnsi="Helvetica" w:cs="Helvetica"/>
                <w:color w:val="000000"/>
                <w:sz w:val="15"/>
                <w:szCs w:val="15"/>
                <w:lang w:val="en-NZ"/>
              </w:rPr>
            </w:pPr>
            <w:r w:rsidRPr="00CD2BF0">
              <w:rPr>
                <w:rFonts w:ascii="Helvetica" w:hAnsi="Helvetica" w:cs="Helvetica"/>
                <w:sz w:val="15"/>
                <w:szCs w:val="15"/>
              </w:rPr>
              <w:t>16.62</w:t>
            </w:r>
          </w:p>
        </w:tc>
      </w:tr>
      <w:tr w:rsidR="005636C7" w14:paraId="2A26F5CD" w14:textId="77777777" w:rsidTr="005636C7">
        <w:trPr>
          <w:trHeight w:val="300"/>
        </w:trPr>
        <w:tc>
          <w:tcPr>
            <w:tcW w:w="1162" w:type="dxa"/>
            <w:tcBorders>
              <w:left w:val="nil"/>
              <w:right w:val="single" w:sz="12" w:space="0" w:color="auto"/>
            </w:tcBorders>
          </w:tcPr>
          <w:p w14:paraId="255D7E2D"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NZ Long run marginal cost</w:t>
            </w:r>
          </w:p>
        </w:tc>
        <w:tc>
          <w:tcPr>
            <w:tcW w:w="672" w:type="dxa"/>
            <w:tcBorders>
              <w:left w:val="single" w:sz="12" w:space="0" w:color="auto"/>
              <w:right w:val="single" w:sz="12" w:space="0" w:color="auto"/>
            </w:tcBorders>
          </w:tcPr>
          <w:p w14:paraId="0EBE3F65"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672" w:type="dxa"/>
            <w:tcBorders>
              <w:left w:val="single" w:sz="12" w:space="0" w:color="auto"/>
            </w:tcBorders>
            <w:noWrap/>
          </w:tcPr>
          <w:p w14:paraId="3392BE43"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727" w:type="dxa"/>
            <w:noWrap/>
          </w:tcPr>
          <w:p w14:paraId="1F99EF80"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53" w:type="dxa"/>
            <w:noWrap/>
          </w:tcPr>
          <w:p w14:paraId="6F85CF33"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54" w:type="dxa"/>
            <w:noWrap/>
          </w:tcPr>
          <w:p w14:paraId="7B6ABF3A"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54" w:type="dxa"/>
            <w:noWrap/>
          </w:tcPr>
          <w:p w14:paraId="4936FCE5"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722" w:type="dxa"/>
            <w:noWrap/>
          </w:tcPr>
          <w:p w14:paraId="5D90BB86"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02" w:type="dxa"/>
            <w:noWrap/>
          </w:tcPr>
          <w:p w14:paraId="1476F7D2"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03" w:type="dxa"/>
            <w:noWrap/>
          </w:tcPr>
          <w:p w14:paraId="330DFB99"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802" w:type="dxa"/>
            <w:noWrap/>
          </w:tcPr>
          <w:p w14:paraId="3A79DAEC"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c>
          <w:tcPr>
            <w:tcW w:w="932" w:type="dxa"/>
            <w:noWrap/>
          </w:tcPr>
          <w:p w14:paraId="6FD06E5E"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8.79</w:t>
            </w:r>
          </w:p>
        </w:tc>
      </w:tr>
      <w:tr w:rsidR="005636C7" w14:paraId="613FF612" w14:textId="77777777" w:rsidTr="005636C7">
        <w:trPr>
          <w:trHeight w:val="300"/>
        </w:trPr>
        <w:tc>
          <w:tcPr>
            <w:tcW w:w="1162" w:type="dxa"/>
            <w:tcBorders>
              <w:left w:val="nil"/>
              <w:right w:val="single" w:sz="12" w:space="0" w:color="auto"/>
            </w:tcBorders>
          </w:tcPr>
          <w:p w14:paraId="33B07172"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Region/year</w:t>
            </w:r>
          </w:p>
        </w:tc>
        <w:tc>
          <w:tcPr>
            <w:tcW w:w="672" w:type="dxa"/>
            <w:tcBorders>
              <w:left w:val="single" w:sz="12" w:space="0" w:color="auto"/>
              <w:right w:val="single" w:sz="12" w:space="0" w:color="auto"/>
            </w:tcBorders>
          </w:tcPr>
          <w:p w14:paraId="12FCF031" w14:textId="77777777" w:rsidR="005636C7" w:rsidRPr="00CD2BF0" w:rsidRDefault="005636C7" w:rsidP="005636C7">
            <w:pPr>
              <w:pStyle w:val="E3tabletext1"/>
              <w:rPr>
                <w:rFonts w:ascii="Helvetica" w:hAnsi="Helvetica" w:cs="Helvetica"/>
                <w:sz w:val="15"/>
                <w:szCs w:val="15"/>
              </w:rPr>
            </w:pPr>
            <w:r w:rsidRPr="00CD2BF0">
              <w:rPr>
                <w:rFonts w:ascii="Helvetica" w:hAnsi="Helvetica" w:cs="Helvetica"/>
                <w:sz w:val="15"/>
                <w:szCs w:val="15"/>
              </w:rPr>
              <w:t>2020</w:t>
            </w:r>
          </w:p>
        </w:tc>
        <w:tc>
          <w:tcPr>
            <w:tcW w:w="672" w:type="dxa"/>
            <w:tcBorders>
              <w:left w:val="single" w:sz="12" w:space="0" w:color="auto"/>
            </w:tcBorders>
            <w:noWrap/>
            <w:hideMark/>
          </w:tcPr>
          <w:p w14:paraId="0C97501C"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2021</w:t>
            </w:r>
          </w:p>
        </w:tc>
        <w:tc>
          <w:tcPr>
            <w:tcW w:w="727" w:type="dxa"/>
            <w:noWrap/>
            <w:hideMark/>
          </w:tcPr>
          <w:p w14:paraId="23E90084"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2022</w:t>
            </w:r>
          </w:p>
        </w:tc>
        <w:tc>
          <w:tcPr>
            <w:tcW w:w="853" w:type="dxa"/>
            <w:noWrap/>
            <w:hideMark/>
          </w:tcPr>
          <w:p w14:paraId="3CC5803A"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2023</w:t>
            </w:r>
          </w:p>
        </w:tc>
        <w:tc>
          <w:tcPr>
            <w:tcW w:w="854" w:type="dxa"/>
            <w:noWrap/>
            <w:hideMark/>
          </w:tcPr>
          <w:p w14:paraId="7FD4F45A"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2024</w:t>
            </w:r>
          </w:p>
        </w:tc>
        <w:tc>
          <w:tcPr>
            <w:tcW w:w="854" w:type="dxa"/>
            <w:noWrap/>
            <w:hideMark/>
          </w:tcPr>
          <w:p w14:paraId="27AF253F"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2025</w:t>
            </w:r>
          </w:p>
        </w:tc>
        <w:tc>
          <w:tcPr>
            <w:tcW w:w="722" w:type="dxa"/>
            <w:noWrap/>
            <w:hideMark/>
          </w:tcPr>
          <w:p w14:paraId="0534A1CE"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2026</w:t>
            </w:r>
          </w:p>
        </w:tc>
        <w:tc>
          <w:tcPr>
            <w:tcW w:w="802" w:type="dxa"/>
            <w:noWrap/>
            <w:hideMark/>
          </w:tcPr>
          <w:p w14:paraId="4F300CFD"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2027</w:t>
            </w:r>
          </w:p>
        </w:tc>
        <w:tc>
          <w:tcPr>
            <w:tcW w:w="803" w:type="dxa"/>
            <w:noWrap/>
            <w:hideMark/>
          </w:tcPr>
          <w:p w14:paraId="016F25BF"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2028</w:t>
            </w:r>
          </w:p>
        </w:tc>
        <w:tc>
          <w:tcPr>
            <w:tcW w:w="802" w:type="dxa"/>
            <w:noWrap/>
            <w:hideMark/>
          </w:tcPr>
          <w:p w14:paraId="2007D014"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2029</w:t>
            </w:r>
          </w:p>
        </w:tc>
        <w:tc>
          <w:tcPr>
            <w:tcW w:w="932" w:type="dxa"/>
            <w:noWrap/>
            <w:hideMark/>
          </w:tcPr>
          <w:p w14:paraId="66C651E0" w14:textId="77777777" w:rsidR="005636C7" w:rsidRPr="00CD2BF0" w:rsidRDefault="005636C7" w:rsidP="005636C7">
            <w:pPr>
              <w:pStyle w:val="E3tabletext1"/>
              <w:rPr>
                <w:rFonts w:ascii="Helvetica" w:hAnsi="Helvetica" w:cs="Helvetica"/>
                <w:sz w:val="15"/>
                <w:szCs w:val="15"/>
                <w:lang w:val="en-US"/>
              </w:rPr>
            </w:pPr>
            <w:r w:rsidRPr="00CD2BF0">
              <w:rPr>
                <w:rFonts w:ascii="Helvetica" w:hAnsi="Helvetica" w:cs="Helvetica"/>
                <w:sz w:val="15"/>
                <w:szCs w:val="15"/>
              </w:rPr>
              <w:t>2030</w:t>
            </w:r>
          </w:p>
        </w:tc>
      </w:tr>
    </w:tbl>
    <w:p w14:paraId="6DD00413" w14:textId="77777777" w:rsidR="005636C7" w:rsidRPr="00BD1402" w:rsidRDefault="005636C7" w:rsidP="005636C7">
      <w:pPr>
        <w:rPr>
          <w:sz w:val="8"/>
        </w:rPr>
      </w:pPr>
    </w:p>
    <w:p w14:paraId="6039508D" w14:textId="77777777" w:rsidR="005636C7" w:rsidRPr="00AC7259" w:rsidRDefault="005636C7" w:rsidP="005636C7">
      <w:pPr>
        <w:pStyle w:val="E3BodyText"/>
      </w:pPr>
      <w:r w:rsidRPr="00AC7259">
        <w:t>The electricity pric</w:t>
      </w:r>
      <w:r>
        <w:t>es and forecasts are based on</w:t>
      </w:r>
      <w:r w:rsidRPr="00AC7259">
        <w:t>.</w:t>
      </w:r>
    </w:p>
    <w:p w14:paraId="11D4109C" w14:textId="77777777" w:rsidR="005636C7" w:rsidRPr="00AC7259" w:rsidRDefault="005636C7" w:rsidP="005636C7">
      <w:pPr>
        <w:pStyle w:val="E3SubSubBullets"/>
        <w:tabs>
          <w:tab w:val="clear" w:pos="720"/>
        </w:tabs>
        <w:ind w:left="964"/>
      </w:pPr>
      <w:r>
        <w:t>I</w:t>
      </w:r>
      <w:r w:rsidRPr="00AC7259">
        <w:t>n Australia</w:t>
      </w:r>
      <w:r>
        <w:t>,</w:t>
      </w:r>
      <w:r w:rsidRPr="00AC7259">
        <w:t xml:space="preserve"> </w:t>
      </w:r>
      <w:r w:rsidRPr="008A797E">
        <w:t xml:space="preserve">Electricity price index for Australia, from the Australian Energy Market Operator (AEMO). These were updated to 2016/17 real dollars, based on AEMO projections.  </w:t>
      </w:r>
    </w:p>
    <w:p w14:paraId="0F8DECEB" w14:textId="77777777" w:rsidR="005636C7" w:rsidRPr="00AC7259" w:rsidRDefault="005636C7" w:rsidP="005636C7">
      <w:pPr>
        <w:pStyle w:val="E3SubSubBullets"/>
        <w:tabs>
          <w:tab w:val="clear" w:pos="720"/>
        </w:tabs>
        <w:ind w:left="964"/>
      </w:pPr>
      <w:r>
        <w:t>I</w:t>
      </w:r>
      <w:r w:rsidRPr="00AC7259">
        <w:t xml:space="preserve">n New Zealand they are based on </w:t>
      </w:r>
      <w:r>
        <w:t xml:space="preserve">the long run marginal cost of electricity provided by EECA.  The business retail price is not used for the cost benefit modelling but provided for cases where the benefits to the business are calculated. </w:t>
      </w:r>
    </w:p>
    <w:p w14:paraId="52C6A858" w14:textId="77777777" w:rsidR="005636C7" w:rsidRDefault="005636C7" w:rsidP="005636C7">
      <w:pPr>
        <w:pStyle w:val="E3BodyText"/>
      </w:pPr>
      <w:r w:rsidRPr="00AC7259">
        <w:t xml:space="preserve">The electricity price index for businesses was not published in the AEMO 2014 report, but was provided by the Department of </w:t>
      </w:r>
      <w:r>
        <w:t>the Environment and Energy</w:t>
      </w:r>
      <w:r w:rsidRPr="00AC7259">
        <w:t xml:space="preserve"> in confidence, and therefore cannot be published.</w:t>
      </w:r>
    </w:p>
    <w:p w14:paraId="2A3521EB" w14:textId="77777777" w:rsidR="005636C7" w:rsidRPr="003A61D9" w:rsidRDefault="005636C7" w:rsidP="005636C7">
      <w:pPr>
        <w:pStyle w:val="E3Heading2"/>
        <w:rPr>
          <w:rFonts w:ascii="Georgia" w:hAnsi="Georgia"/>
          <w:sz w:val="24"/>
        </w:rPr>
      </w:pPr>
      <w:bookmarkStart w:id="475" w:name="_Toc494898000"/>
      <w:bookmarkStart w:id="476" w:name="_Toc494955792"/>
      <w:bookmarkStart w:id="477" w:name="_Toc494959600"/>
      <w:bookmarkStart w:id="478" w:name="_Toc494972726"/>
      <w:bookmarkStart w:id="479" w:name="_Toc494973913"/>
      <w:bookmarkStart w:id="480" w:name="_Toc494974602"/>
      <w:bookmarkStart w:id="481" w:name="_Toc500151846"/>
      <w:r w:rsidRPr="003A61D9">
        <w:rPr>
          <w:rFonts w:ascii="Georgia" w:hAnsi="Georgia"/>
          <w:sz w:val="24"/>
        </w:rPr>
        <w:t>Greenhouse gas factors</w:t>
      </w:r>
      <w:bookmarkEnd w:id="475"/>
      <w:bookmarkEnd w:id="476"/>
      <w:bookmarkEnd w:id="477"/>
      <w:bookmarkEnd w:id="478"/>
      <w:bookmarkEnd w:id="479"/>
      <w:bookmarkEnd w:id="480"/>
      <w:bookmarkEnd w:id="481"/>
    </w:p>
    <w:p w14:paraId="53630811" w14:textId="77777777" w:rsidR="005636C7" w:rsidRPr="00DA482C" w:rsidRDefault="005636C7" w:rsidP="005636C7">
      <w:pPr>
        <w:pStyle w:val="E3BodyText"/>
      </w:pPr>
      <w:r w:rsidRPr="00DA482C">
        <w:t>Updated projected emission factors for Australia and New Zealand have been included. In Australia they are based on the Scope 3 emission factors for the consumption of electricity by the consumer. The projected Scope 1 emission factors (of electricity sent out by State) were provided by the Department of the Environment and Energy (March 2017). The New Zealand estimates were provided by the Ministry of Business, Innovation and Employment.</w:t>
      </w:r>
    </w:p>
    <w:p w14:paraId="193949E5" w14:textId="77777777" w:rsidR="005636C7" w:rsidRDefault="005636C7" w:rsidP="005636C7">
      <w:pPr>
        <w:pStyle w:val="E3BodyText"/>
      </w:pPr>
      <w:r w:rsidRPr="00DA482C">
        <w:t xml:space="preserve">For New Zealand, a carbon price of $25 per tonne of CO2-e has been used to estimate the benefits of lower levels of greenhouse gas emissions.  </w:t>
      </w:r>
    </w:p>
    <w:p w14:paraId="45D4A83D" w14:textId="77777777" w:rsidR="005636C7" w:rsidRDefault="005636C7" w:rsidP="005636C7">
      <w:pPr>
        <w:pStyle w:val="E3BodyText"/>
      </w:pPr>
      <w:r w:rsidRPr="003616D8">
        <w:rPr>
          <w:b/>
        </w:rPr>
        <w:fldChar w:fldCharType="begin"/>
      </w:r>
      <w:r w:rsidRPr="003616D8">
        <w:rPr>
          <w:b/>
        </w:rPr>
        <w:instrText xml:space="preserve"> REF _Ref500152916 \h  \* MERGEFORMAT </w:instrText>
      </w:r>
      <w:r w:rsidRPr="003616D8">
        <w:rPr>
          <w:b/>
        </w:rPr>
      </w:r>
      <w:r w:rsidRPr="003616D8">
        <w:rPr>
          <w:b/>
        </w:rPr>
        <w:fldChar w:fldCharType="separate"/>
      </w:r>
      <w:r w:rsidR="00AC6998" w:rsidRPr="00AC6998">
        <w:rPr>
          <w:b/>
        </w:rPr>
        <w:t xml:space="preserve">Table </w:t>
      </w:r>
      <w:r w:rsidR="00AC6998" w:rsidRPr="00AC6998">
        <w:rPr>
          <w:b/>
          <w:noProof/>
        </w:rPr>
        <w:t>8</w:t>
      </w:r>
      <w:r w:rsidRPr="003616D8">
        <w:rPr>
          <w:b/>
        </w:rPr>
        <w:fldChar w:fldCharType="end"/>
      </w:r>
      <w:r w:rsidRPr="00517EBA">
        <w:t xml:space="preserve"> shows the emis</w:t>
      </w:r>
      <w:r>
        <w:t>sions factors used in the model</w:t>
      </w:r>
      <w:r w:rsidRPr="00517EBA">
        <w:t>.</w:t>
      </w:r>
      <w:bookmarkStart w:id="482" w:name="_Toc482021734"/>
    </w:p>
    <w:p w14:paraId="0A470208" w14:textId="77777777" w:rsidR="005636C7" w:rsidRDefault="005636C7" w:rsidP="005636C7">
      <w:pPr>
        <w:pStyle w:val="E3Figuretitles"/>
      </w:pPr>
      <w:bookmarkStart w:id="483" w:name="_Ref500152916"/>
      <w:bookmarkStart w:id="484" w:name="_Toc494142466"/>
      <w:r>
        <w:t xml:space="preserve">Table </w:t>
      </w:r>
      <w:r>
        <w:fldChar w:fldCharType="begin"/>
      </w:r>
      <w:r>
        <w:instrText xml:space="preserve"> SEQ Table \* ARABIC </w:instrText>
      </w:r>
      <w:r>
        <w:fldChar w:fldCharType="separate"/>
      </w:r>
      <w:r w:rsidR="00AC6998">
        <w:rPr>
          <w:noProof/>
        </w:rPr>
        <w:t>8</w:t>
      </w:r>
      <w:r>
        <w:rPr>
          <w:noProof/>
        </w:rPr>
        <w:fldChar w:fldCharType="end"/>
      </w:r>
      <w:bookmarkEnd w:id="483"/>
      <w:r>
        <w:t xml:space="preserve"> E</w:t>
      </w:r>
      <w:r w:rsidRPr="00B852DB">
        <w:t>mission factors for electricity (kg CO2-e/kWh) - Australia and New Zealand</w:t>
      </w:r>
      <w:bookmarkEnd w:id="482"/>
      <w:bookmarkEnd w:id="484"/>
    </w:p>
    <w:tbl>
      <w:tblPr>
        <w:tblStyle w:val="TableGrid5"/>
        <w:tblW w:w="8750" w:type="dxa"/>
        <w:tblLayout w:type="fixed"/>
        <w:tblLook w:val="04A0" w:firstRow="1" w:lastRow="0" w:firstColumn="1" w:lastColumn="0" w:noHBand="0" w:noVBand="1"/>
        <w:tblDescription w:val="Table shows emission factors for electricity from 2015-2030 by state and New Zealand."/>
      </w:tblPr>
      <w:tblGrid>
        <w:gridCol w:w="846"/>
        <w:gridCol w:w="798"/>
        <w:gridCol w:w="961"/>
        <w:gridCol w:w="850"/>
        <w:gridCol w:w="961"/>
        <w:gridCol w:w="850"/>
        <w:gridCol w:w="822"/>
        <w:gridCol w:w="853"/>
        <w:gridCol w:w="851"/>
        <w:gridCol w:w="958"/>
      </w:tblGrid>
      <w:tr w:rsidR="005636C7" w:rsidRPr="004C0DBD" w14:paraId="25666EAE" w14:textId="77777777" w:rsidTr="005636C7">
        <w:trPr>
          <w:trHeight w:val="300"/>
        </w:trPr>
        <w:tc>
          <w:tcPr>
            <w:tcW w:w="846" w:type="dxa"/>
            <w:noWrap/>
          </w:tcPr>
          <w:p w14:paraId="6125A686"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Year</w:t>
            </w:r>
          </w:p>
        </w:tc>
        <w:tc>
          <w:tcPr>
            <w:tcW w:w="798" w:type="dxa"/>
            <w:noWrap/>
          </w:tcPr>
          <w:p w14:paraId="7C7256AA"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NSW</w:t>
            </w:r>
          </w:p>
        </w:tc>
        <w:tc>
          <w:tcPr>
            <w:tcW w:w="961" w:type="dxa"/>
            <w:noWrap/>
          </w:tcPr>
          <w:p w14:paraId="4973BEDA"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ACT</w:t>
            </w:r>
          </w:p>
        </w:tc>
        <w:tc>
          <w:tcPr>
            <w:tcW w:w="850" w:type="dxa"/>
            <w:noWrap/>
          </w:tcPr>
          <w:p w14:paraId="786D9E36"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NT</w:t>
            </w:r>
          </w:p>
        </w:tc>
        <w:tc>
          <w:tcPr>
            <w:tcW w:w="961" w:type="dxa"/>
            <w:noWrap/>
          </w:tcPr>
          <w:p w14:paraId="205B88D6"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QLD</w:t>
            </w:r>
          </w:p>
        </w:tc>
        <w:tc>
          <w:tcPr>
            <w:tcW w:w="850" w:type="dxa"/>
            <w:noWrap/>
          </w:tcPr>
          <w:p w14:paraId="729D4019"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SA</w:t>
            </w:r>
          </w:p>
        </w:tc>
        <w:tc>
          <w:tcPr>
            <w:tcW w:w="822" w:type="dxa"/>
            <w:noWrap/>
          </w:tcPr>
          <w:p w14:paraId="15B0EE6E"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TAS</w:t>
            </w:r>
          </w:p>
        </w:tc>
        <w:tc>
          <w:tcPr>
            <w:tcW w:w="853" w:type="dxa"/>
            <w:noWrap/>
          </w:tcPr>
          <w:p w14:paraId="3FB7A271"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VIC</w:t>
            </w:r>
          </w:p>
        </w:tc>
        <w:tc>
          <w:tcPr>
            <w:tcW w:w="851" w:type="dxa"/>
            <w:noWrap/>
          </w:tcPr>
          <w:p w14:paraId="02DF9089"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WA</w:t>
            </w:r>
          </w:p>
        </w:tc>
        <w:tc>
          <w:tcPr>
            <w:tcW w:w="958" w:type="dxa"/>
            <w:noWrap/>
          </w:tcPr>
          <w:p w14:paraId="55B8962F" w14:textId="77777777" w:rsidR="005636C7" w:rsidRPr="003A61D9" w:rsidRDefault="005636C7" w:rsidP="005636C7">
            <w:pPr>
              <w:pStyle w:val="E3Tabletext"/>
              <w:rPr>
                <w:rFonts w:ascii="Helvetica" w:hAnsi="Helvetica" w:cs="Helvetica"/>
                <w:sz w:val="15"/>
                <w:szCs w:val="15"/>
              </w:rPr>
            </w:pPr>
            <w:r w:rsidRPr="003A61D9">
              <w:rPr>
                <w:rFonts w:ascii="Helvetica" w:eastAsia="Cambria" w:hAnsi="Helvetica" w:cs="Helvetica"/>
                <w:b/>
                <w:sz w:val="15"/>
                <w:szCs w:val="15"/>
              </w:rPr>
              <w:t>NZ</w:t>
            </w:r>
          </w:p>
        </w:tc>
      </w:tr>
      <w:tr w:rsidR="005636C7" w:rsidRPr="004C0DBD" w14:paraId="1399B8F2" w14:textId="77777777" w:rsidTr="005636C7">
        <w:trPr>
          <w:trHeight w:val="300"/>
        </w:trPr>
        <w:tc>
          <w:tcPr>
            <w:tcW w:w="846" w:type="dxa"/>
            <w:noWrap/>
          </w:tcPr>
          <w:p w14:paraId="65B0DF6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2020</w:t>
            </w:r>
          </w:p>
        </w:tc>
        <w:tc>
          <w:tcPr>
            <w:tcW w:w="798" w:type="dxa"/>
            <w:noWrap/>
          </w:tcPr>
          <w:p w14:paraId="4D7661B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0.841</w:t>
            </w:r>
          </w:p>
        </w:tc>
        <w:tc>
          <w:tcPr>
            <w:tcW w:w="961" w:type="dxa"/>
            <w:noWrap/>
          </w:tcPr>
          <w:p w14:paraId="5190267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0.841</w:t>
            </w:r>
          </w:p>
        </w:tc>
        <w:tc>
          <w:tcPr>
            <w:tcW w:w="850" w:type="dxa"/>
            <w:noWrap/>
          </w:tcPr>
          <w:p w14:paraId="221F78E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0.929</w:t>
            </w:r>
          </w:p>
        </w:tc>
        <w:tc>
          <w:tcPr>
            <w:tcW w:w="961" w:type="dxa"/>
            <w:noWrap/>
          </w:tcPr>
          <w:p w14:paraId="2C6EAE3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0.901</w:t>
            </w:r>
          </w:p>
        </w:tc>
        <w:tc>
          <w:tcPr>
            <w:tcW w:w="850" w:type="dxa"/>
            <w:noWrap/>
          </w:tcPr>
          <w:p w14:paraId="2D1EE5A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0.195</w:t>
            </w:r>
          </w:p>
        </w:tc>
        <w:tc>
          <w:tcPr>
            <w:tcW w:w="822" w:type="dxa"/>
            <w:noWrap/>
          </w:tcPr>
          <w:p w14:paraId="155BFCF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503B73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0.896</w:t>
            </w:r>
          </w:p>
        </w:tc>
        <w:tc>
          <w:tcPr>
            <w:tcW w:w="851" w:type="dxa"/>
            <w:noWrap/>
          </w:tcPr>
          <w:p w14:paraId="7A998B8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0.706</w:t>
            </w:r>
          </w:p>
        </w:tc>
        <w:tc>
          <w:tcPr>
            <w:tcW w:w="958" w:type="dxa"/>
            <w:noWrap/>
          </w:tcPr>
          <w:p w14:paraId="6F89C6BA"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1E3771A1" w14:textId="77777777" w:rsidTr="005636C7">
        <w:trPr>
          <w:trHeight w:val="300"/>
        </w:trPr>
        <w:tc>
          <w:tcPr>
            <w:tcW w:w="846" w:type="dxa"/>
            <w:noWrap/>
          </w:tcPr>
          <w:p w14:paraId="0B58DAA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2021</w:t>
            </w:r>
          </w:p>
        </w:tc>
        <w:tc>
          <w:tcPr>
            <w:tcW w:w="798" w:type="dxa"/>
            <w:noWrap/>
          </w:tcPr>
          <w:p w14:paraId="6AC82D9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w:t>
            </w:r>
          </w:p>
        </w:tc>
        <w:tc>
          <w:tcPr>
            <w:tcW w:w="961" w:type="dxa"/>
            <w:noWrap/>
          </w:tcPr>
          <w:p w14:paraId="1C8A41F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w:t>
            </w:r>
          </w:p>
        </w:tc>
        <w:tc>
          <w:tcPr>
            <w:tcW w:w="850" w:type="dxa"/>
            <w:noWrap/>
          </w:tcPr>
          <w:p w14:paraId="7F12670A"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0.905</w:t>
            </w:r>
          </w:p>
        </w:tc>
        <w:tc>
          <w:tcPr>
            <w:tcW w:w="961" w:type="dxa"/>
            <w:noWrap/>
          </w:tcPr>
          <w:p w14:paraId="0007EC9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0.899</w:t>
            </w:r>
          </w:p>
        </w:tc>
        <w:tc>
          <w:tcPr>
            <w:tcW w:w="850" w:type="dxa"/>
            <w:noWrap/>
          </w:tcPr>
          <w:p w14:paraId="4B0B0297"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0.196</w:t>
            </w:r>
          </w:p>
        </w:tc>
        <w:tc>
          <w:tcPr>
            <w:tcW w:w="822" w:type="dxa"/>
            <w:noWrap/>
          </w:tcPr>
          <w:p w14:paraId="006F302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49617D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0.886</w:t>
            </w:r>
          </w:p>
        </w:tc>
        <w:tc>
          <w:tcPr>
            <w:tcW w:w="851" w:type="dxa"/>
            <w:noWrap/>
          </w:tcPr>
          <w:p w14:paraId="4D1E43C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0.698</w:t>
            </w:r>
          </w:p>
        </w:tc>
        <w:tc>
          <w:tcPr>
            <w:tcW w:w="958" w:type="dxa"/>
            <w:noWrap/>
          </w:tcPr>
          <w:p w14:paraId="1D1A8A46"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539D42F6" w14:textId="77777777" w:rsidTr="005636C7">
        <w:trPr>
          <w:trHeight w:val="300"/>
        </w:trPr>
        <w:tc>
          <w:tcPr>
            <w:tcW w:w="846" w:type="dxa"/>
            <w:noWrap/>
          </w:tcPr>
          <w:p w14:paraId="500EEAE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2022</w:t>
            </w:r>
          </w:p>
        </w:tc>
        <w:tc>
          <w:tcPr>
            <w:tcW w:w="798" w:type="dxa"/>
            <w:noWrap/>
          </w:tcPr>
          <w:p w14:paraId="6757843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0.831</w:t>
            </w:r>
          </w:p>
        </w:tc>
        <w:tc>
          <w:tcPr>
            <w:tcW w:w="961" w:type="dxa"/>
            <w:noWrap/>
          </w:tcPr>
          <w:p w14:paraId="23778D4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0.831</w:t>
            </w:r>
          </w:p>
        </w:tc>
        <w:tc>
          <w:tcPr>
            <w:tcW w:w="850" w:type="dxa"/>
            <w:noWrap/>
          </w:tcPr>
          <w:p w14:paraId="3C73436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0.888</w:t>
            </w:r>
          </w:p>
        </w:tc>
        <w:tc>
          <w:tcPr>
            <w:tcW w:w="961" w:type="dxa"/>
            <w:noWrap/>
          </w:tcPr>
          <w:p w14:paraId="2CED3D6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0.892</w:t>
            </w:r>
          </w:p>
        </w:tc>
        <w:tc>
          <w:tcPr>
            <w:tcW w:w="850" w:type="dxa"/>
            <w:noWrap/>
          </w:tcPr>
          <w:p w14:paraId="245A603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0.192</w:t>
            </w:r>
          </w:p>
        </w:tc>
        <w:tc>
          <w:tcPr>
            <w:tcW w:w="822" w:type="dxa"/>
            <w:noWrap/>
          </w:tcPr>
          <w:p w14:paraId="3A2A84E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C39B17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w:t>
            </w:r>
          </w:p>
        </w:tc>
        <w:tc>
          <w:tcPr>
            <w:tcW w:w="851" w:type="dxa"/>
            <w:noWrap/>
          </w:tcPr>
          <w:p w14:paraId="1C590AE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0.694</w:t>
            </w:r>
          </w:p>
        </w:tc>
        <w:tc>
          <w:tcPr>
            <w:tcW w:w="958" w:type="dxa"/>
            <w:noWrap/>
          </w:tcPr>
          <w:p w14:paraId="1F031083"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1254B32F" w14:textId="77777777" w:rsidTr="005636C7">
        <w:trPr>
          <w:trHeight w:val="300"/>
        </w:trPr>
        <w:tc>
          <w:tcPr>
            <w:tcW w:w="846" w:type="dxa"/>
            <w:noWrap/>
          </w:tcPr>
          <w:p w14:paraId="531EBB3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2023</w:t>
            </w:r>
          </w:p>
        </w:tc>
        <w:tc>
          <w:tcPr>
            <w:tcW w:w="798" w:type="dxa"/>
            <w:noWrap/>
          </w:tcPr>
          <w:p w14:paraId="5D023E9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0.812</w:t>
            </w:r>
          </w:p>
        </w:tc>
        <w:tc>
          <w:tcPr>
            <w:tcW w:w="961" w:type="dxa"/>
            <w:noWrap/>
          </w:tcPr>
          <w:p w14:paraId="3A283DD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0.812</w:t>
            </w:r>
          </w:p>
        </w:tc>
        <w:tc>
          <w:tcPr>
            <w:tcW w:w="850" w:type="dxa"/>
            <w:noWrap/>
          </w:tcPr>
          <w:p w14:paraId="34D914C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0.883</w:t>
            </w:r>
          </w:p>
        </w:tc>
        <w:tc>
          <w:tcPr>
            <w:tcW w:w="961" w:type="dxa"/>
            <w:noWrap/>
          </w:tcPr>
          <w:p w14:paraId="0700096B"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0.89</w:t>
            </w:r>
          </w:p>
        </w:tc>
        <w:tc>
          <w:tcPr>
            <w:tcW w:w="850" w:type="dxa"/>
            <w:noWrap/>
          </w:tcPr>
          <w:p w14:paraId="2775F48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0.208</w:t>
            </w:r>
          </w:p>
        </w:tc>
        <w:tc>
          <w:tcPr>
            <w:tcW w:w="822" w:type="dxa"/>
            <w:noWrap/>
          </w:tcPr>
          <w:p w14:paraId="7332FB1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5D8957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0.877</w:t>
            </w:r>
          </w:p>
        </w:tc>
        <w:tc>
          <w:tcPr>
            <w:tcW w:w="851" w:type="dxa"/>
            <w:noWrap/>
          </w:tcPr>
          <w:p w14:paraId="60EA37D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0.691</w:t>
            </w:r>
          </w:p>
        </w:tc>
        <w:tc>
          <w:tcPr>
            <w:tcW w:w="958" w:type="dxa"/>
            <w:noWrap/>
          </w:tcPr>
          <w:p w14:paraId="146C1B01"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42A01548" w14:textId="77777777" w:rsidTr="005636C7">
        <w:trPr>
          <w:trHeight w:val="300"/>
        </w:trPr>
        <w:tc>
          <w:tcPr>
            <w:tcW w:w="846" w:type="dxa"/>
            <w:noWrap/>
          </w:tcPr>
          <w:p w14:paraId="566ABFE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2024</w:t>
            </w:r>
          </w:p>
        </w:tc>
        <w:tc>
          <w:tcPr>
            <w:tcW w:w="798" w:type="dxa"/>
            <w:noWrap/>
          </w:tcPr>
          <w:p w14:paraId="5851ED9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0.796</w:t>
            </w:r>
          </w:p>
        </w:tc>
        <w:tc>
          <w:tcPr>
            <w:tcW w:w="961" w:type="dxa"/>
            <w:noWrap/>
          </w:tcPr>
          <w:p w14:paraId="5A14BBC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0.796</w:t>
            </w:r>
          </w:p>
        </w:tc>
        <w:tc>
          <w:tcPr>
            <w:tcW w:w="850" w:type="dxa"/>
            <w:noWrap/>
          </w:tcPr>
          <w:p w14:paraId="6874C02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0.878</w:t>
            </w:r>
          </w:p>
        </w:tc>
        <w:tc>
          <w:tcPr>
            <w:tcW w:w="961" w:type="dxa"/>
            <w:noWrap/>
          </w:tcPr>
          <w:p w14:paraId="61FC392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0.885</w:t>
            </w:r>
          </w:p>
        </w:tc>
        <w:tc>
          <w:tcPr>
            <w:tcW w:w="850" w:type="dxa"/>
            <w:noWrap/>
          </w:tcPr>
          <w:p w14:paraId="2428CA8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0.206</w:t>
            </w:r>
          </w:p>
        </w:tc>
        <w:tc>
          <w:tcPr>
            <w:tcW w:w="822" w:type="dxa"/>
            <w:noWrap/>
          </w:tcPr>
          <w:p w14:paraId="4BEF976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1913BB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0.867</w:t>
            </w:r>
          </w:p>
        </w:tc>
        <w:tc>
          <w:tcPr>
            <w:tcW w:w="851" w:type="dxa"/>
            <w:noWrap/>
          </w:tcPr>
          <w:p w14:paraId="7BADA74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0.689</w:t>
            </w:r>
          </w:p>
        </w:tc>
        <w:tc>
          <w:tcPr>
            <w:tcW w:w="958" w:type="dxa"/>
            <w:noWrap/>
          </w:tcPr>
          <w:p w14:paraId="4FF69ADE"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7831C0E0" w14:textId="77777777" w:rsidTr="005636C7">
        <w:trPr>
          <w:trHeight w:val="300"/>
        </w:trPr>
        <w:tc>
          <w:tcPr>
            <w:tcW w:w="846" w:type="dxa"/>
            <w:noWrap/>
          </w:tcPr>
          <w:p w14:paraId="125D54C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2025</w:t>
            </w:r>
          </w:p>
        </w:tc>
        <w:tc>
          <w:tcPr>
            <w:tcW w:w="798" w:type="dxa"/>
            <w:noWrap/>
          </w:tcPr>
          <w:p w14:paraId="218B410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0.792</w:t>
            </w:r>
          </w:p>
        </w:tc>
        <w:tc>
          <w:tcPr>
            <w:tcW w:w="961" w:type="dxa"/>
            <w:noWrap/>
          </w:tcPr>
          <w:p w14:paraId="764A430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0.792</w:t>
            </w:r>
          </w:p>
        </w:tc>
        <w:tc>
          <w:tcPr>
            <w:tcW w:w="850" w:type="dxa"/>
            <w:noWrap/>
          </w:tcPr>
          <w:p w14:paraId="19F9E75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0.874</w:t>
            </w:r>
          </w:p>
        </w:tc>
        <w:tc>
          <w:tcPr>
            <w:tcW w:w="961" w:type="dxa"/>
            <w:noWrap/>
          </w:tcPr>
          <w:p w14:paraId="232DBED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0.885</w:t>
            </w:r>
          </w:p>
        </w:tc>
        <w:tc>
          <w:tcPr>
            <w:tcW w:w="850" w:type="dxa"/>
            <w:noWrap/>
          </w:tcPr>
          <w:p w14:paraId="2CFE1E3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0.204</w:t>
            </w:r>
          </w:p>
        </w:tc>
        <w:tc>
          <w:tcPr>
            <w:tcW w:w="822" w:type="dxa"/>
            <w:noWrap/>
          </w:tcPr>
          <w:p w14:paraId="2BD9BFA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5B995E4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0.859</w:t>
            </w:r>
          </w:p>
        </w:tc>
        <w:tc>
          <w:tcPr>
            <w:tcW w:w="851" w:type="dxa"/>
            <w:noWrap/>
          </w:tcPr>
          <w:p w14:paraId="25C38F8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0.688</w:t>
            </w:r>
          </w:p>
        </w:tc>
        <w:tc>
          <w:tcPr>
            <w:tcW w:w="958" w:type="dxa"/>
            <w:noWrap/>
          </w:tcPr>
          <w:p w14:paraId="5A653867"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698B7E12" w14:textId="77777777" w:rsidTr="005636C7">
        <w:trPr>
          <w:trHeight w:val="300"/>
        </w:trPr>
        <w:tc>
          <w:tcPr>
            <w:tcW w:w="846" w:type="dxa"/>
            <w:noWrap/>
          </w:tcPr>
          <w:p w14:paraId="27C13C1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2026</w:t>
            </w:r>
          </w:p>
        </w:tc>
        <w:tc>
          <w:tcPr>
            <w:tcW w:w="798" w:type="dxa"/>
            <w:noWrap/>
          </w:tcPr>
          <w:p w14:paraId="3B2A718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0.791</w:t>
            </w:r>
          </w:p>
        </w:tc>
        <w:tc>
          <w:tcPr>
            <w:tcW w:w="961" w:type="dxa"/>
            <w:noWrap/>
          </w:tcPr>
          <w:p w14:paraId="6653277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0.791</w:t>
            </w:r>
          </w:p>
        </w:tc>
        <w:tc>
          <w:tcPr>
            <w:tcW w:w="850" w:type="dxa"/>
            <w:noWrap/>
          </w:tcPr>
          <w:p w14:paraId="1F1D894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w:t>
            </w:r>
          </w:p>
        </w:tc>
        <w:tc>
          <w:tcPr>
            <w:tcW w:w="961" w:type="dxa"/>
            <w:noWrap/>
          </w:tcPr>
          <w:p w14:paraId="4B2901A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0.879</w:t>
            </w:r>
          </w:p>
        </w:tc>
        <w:tc>
          <w:tcPr>
            <w:tcW w:w="850" w:type="dxa"/>
            <w:noWrap/>
          </w:tcPr>
          <w:p w14:paraId="7F3028D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0.203</w:t>
            </w:r>
          </w:p>
        </w:tc>
        <w:tc>
          <w:tcPr>
            <w:tcW w:w="822" w:type="dxa"/>
            <w:noWrap/>
          </w:tcPr>
          <w:p w14:paraId="759CD35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1C65ADC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0.849</w:t>
            </w:r>
          </w:p>
        </w:tc>
        <w:tc>
          <w:tcPr>
            <w:tcW w:w="851" w:type="dxa"/>
            <w:noWrap/>
          </w:tcPr>
          <w:p w14:paraId="03C81259"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0.686</w:t>
            </w:r>
          </w:p>
        </w:tc>
        <w:tc>
          <w:tcPr>
            <w:tcW w:w="958" w:type="dxa"/>
            <w:noWrap/>
          </w:tcPr>
          <w:p w14:paraId="2D748127"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1E31FB18" w14:textId="77777777" w:rsidTr="005636C7">
        <w:trPr>
          <w:trHeight w:val="300"/>
        </w:trPr>
        <w:tc>
          <w:tcPr>
            <w:tcW w:w="846" w:type="dxa"/>
            <w:noWrap/>
          </w:tcPr>
          <w:p w14:paraId="27706EA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2027</w:t>
            </w:r>
          </w:p>
        </w:tc>
        <w:tc>
          <w:tcPr>
            <w:tcW w:w="798" w:type="dxa"/>
            <w:noWrap/>
          </w:tcPr>
          <w:p w14:paraId="1F50D42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0.785</w:t>
            </w:r>
          </w:p>
        </w:tc>
        <w:tc>
          <w:tcPr>
            <w:tcW w:w="961" w:type="dxa"/>
            <w:noWrap/>
          </w:tcPr>
          <w:p w14:paraId="7AE7C8D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0.785</w:t>
            </w:r>
          </w:p>
        </w:tc>
        <w:tc>
          <w:tcPr>
            <w:tcW w:w="850" w:type="dxa"/>
            <w:noWrap/>
          </w:tcPr>
          <w:p w14:paraId="290FBBF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0.867</w:t>
            </w:r>
          </w:p>
        </w:tc>
        <w:tc>
          <w:tcPr>
            <w:tcW w:w="961" w:type="dxa"/>
            <w:noWrap/>
          </w:tcPr>
          <w:p w14:paraId="5BA9C11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0.877</w:t>
            </w:r>
          </w:p>
        </w:tc>
        <w:tc>
          <w:tcPr>
            <w:tcW w:w="850" w:type="dxa"/>
            <w:noWrap/>
          </w:tcPr>
          <w:p w14:paraId="1A60DC6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0.206</w:t>
            </w:r>
          </w:p>
        </w:tc>
        <w:tc>
          <w:tcPr>
            <w:tcW w:w="822" w:type="dxa"/>
            <w:noWrap/>
          </w:tcPr>
          <w:p w14:paraId="10F447D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0674D69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0.84</w:t>
            </w:r>
          </w:p>
        </w:tc>
        <w:tc>
          <w:tcPr>
            <w:tcW w:w="851" w:type="dxa"/>
            <w:noWrap/>
          </w:tcPr>
          <w:p w14:paraId="4B58AC9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0.684</w:t>
            </w:r>
          </w:p>
        </w:tc>
        <w:tc>
          <w:tcPr>
            <w:tcW w:w="958" w:type="dxa"/>
            <w:noWrap/>
          </w:tcPr>
          <w:p w14:paraId="23E1882D"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2197B684" w14:textId="77777777" w:rsidTr="005636C7">
        <w:trPr>
          <w:trHeight w:val="300"/>
        </w:trPr>
        <w:tc>
          <w:tcPr>
            <w:tcW w:w="846" w:type="dxa"/>
            <w:noWrap/>
          </w:tcPr>
          <w:p w14:paraId="7E7A8BE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2028</w:t>
            </w:r>
          </w:p>
        </w:tc>
        <w:tc>
          <w:tcPr>
            <w:tcW w:w="798" w:type="dxa"/>
            <w:noWrap/>
          </w:tcPr>
          <w:p w14:paraId="3E5601FF"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0.781</w:t>
            </w:r>
          </w:p>
        </w:tc>
        <w:tc>
          <w:tcPr>
            <w:tcW w:w="961" w:type="dxa"/>
            <w:noWrap/>
          </w:tcPr>
          <w:p w14:paraId="04976ED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0.781</w:t>
            </w:r>
          </w:p>
        </w:tc>
        <w:tc>
          <w:tcPr>
            <w:tcW w:w="850" w:type="dxa"/>
            <w:noWrap/>
          </w:tcPr>
          <w:p w14:paraId="408370AA"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0.862</w:t>
            </w:r>
          </w:p>
        </w:tc>
        <w:tc>
          <w:tcPr>
            <w:tcW w:w="961" w:type="dxa"/>
            <w:noWrap/>
          </w:tcPr>
          <w:p w14:paraId="0D8605B3"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0.869</w:t>
            </w:r>
          </w:p>
        </w:tc>
        <w:tc>
          <w:tcPr>
            <w:tcW w:w="850" w:type="dxa"/>
            <w:noWrap/>
          </w:tcPr>
          <w:p w14:paraId="699552A1"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0.214</w:t>
            </w:r>
          </w:p>
        </w:tc>
        <w:tc>
          <w:tcPr>
            <w:tcW w:w="822" w:type="dxa"/>
            <w:noWrap/>
          </w:tcPr>
          <w:p w14:paraId="208FE9F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4C0E9B4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0.832</w:t>
            </w:r>
          </w:p>
        </w:tc>
        <w:tc>
          <w:tcPr>
            <w:tcW w:w="851" w:type="dxa"/>
            <w:noWrap/>
          </w:tcPr>
          <w:p w14:paraId="67675BF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0.682</w:t>
            </w:r>
          </w:p>
        </w:tc>
        <w:tc>
          <w:tcPr>
            <w:tcW w:w="958" w:type="dxa"/>
            <w:noWrap/>
          </w:tcPr>
          <w:p w14:paraId="033EF709"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7B2542DB" w14:textId="77777777" w:rsidTr="005636C7">
        <w:trPr>
          <w:trHeight w:val="300"/>
        </w:trPr>
        <w:tc>
          <w:tcPr>
            <w:tcW w:w="846" w:type="dxa"/>
            <w:noWrap/>
          </w:tcPr>
          <w:p w14:paraId="544199C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2029</w:t>
            </w:r>
          </w:p>
        </w:tc>
        <w:tc>
          <w:tcPr>
            <w:tcW w:w="798" w:type="dxa"/>
            <w:noWrap/>
          </w:tcPr>
          <w:p w14:paraId="73B658F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0.777</w:t>
            </w:r>
          </w:p>
        </w:tc>
        <w:tc>
          <w:tcPr>
            <w:tcW w:w="961" w:type="dxa"/>
            <w:noWrap/>
          </w:tcPr>
          <w:p w14:paraId="3580C3F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0.777</w:t>
            </w:r>
          </w:p>
        </w:tc>
        <w:tc>
          <w:tcPr>
            <w:tcW w:w="850" w:type="dxa"/>
            <w:noWrap/>
          </w:tcPr>
          <w:p w14:paraId="27EBB846"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0.858</w:t>
            </w:r>
          </w:p>
        </w:tc>
        <w:tc>
          <w:tcPr>
            <w:tcW w:w="961" w:type="dxa"/>
            <w:noWrap/>
          </w:tcPr>
          <w:p w14:paraId="1909167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0.867</w:t>
            </w:r>
          </w:p>
        </w:tc>
        <w:tc>
          <w:tcPr>
            <w:tcW w:w="850" w:type="dxa"/>
            <w:noWrap/>
          </w:tcPr>
          <w:p w14:paraId="0CAFC68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0.226</w:t>
            </w:r>
          </w:p>
        </w:tc>
        <w:tc>
          <w:tcPr>
            <w:tcW w:w="822" w:type="dxa"/>
            <w:noWrap/>
          </w:tcPr>
          <w:p w14:paraId="4E60B13D"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6E7C5CD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0.829</w:t>
            </w:r>
          </w:p>
        </w:tc>
        <w:tc>
          <w:tcPr>
            <w:tcW w:w="851" w:type="dxa"/>
            <w:noWrap/>
          </w:tcPr>
          <w:p w14:paraId="340231E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0.677</w:t>
            </w:r>
          </w:p>
        </w:tc>
        <w:tc>
          <w:tcPr>
            <w:tcW w:w="958" w:type="dxa"/>
            <w:noWrap/>
          </w:tcPr>
          <w:p w14:paraId="5340E1DA"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r w:rsidR="005636C7" w:rsidRPr="004C0DBD" w14:paraId="5C597452" w14:textId="77777777" w:rsidTr="005636C7">
        <w:trPr>
          <w:trHeight w:val="300"/>
        </w:trPr>
        <w:tc>
          <w:tcPr>
            <w:tcW w:w="846" w:type="dxa"/>
            <w:noWrap/>
          </w:tcPr>
          <w:p w14:paraId="5F82C38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2030</w:t>
            </w:r>
          </w:p>
        </w:tc>
        <w:tc>
          <w:tcPr>
            <w:tcW w:w="798" w:type="dxa"/>
            <w:noWrap/>
          </w:tcPr>
          <w:p w14:paraId="369397D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0.776</w:t>
            </w:r>
          </w:p>
        </w:tc>
        <w:tc>
          <w:tcPr>
            <w:tcW w:w="961" w:type="dxa"/>
            <w:noWrap/>
          </w:tcPr>
          <w:p w14:paraId="5733DFE0"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0.776</w:t>
            </w:r>
          </w:p>
        </w:tc>
        <w:tc>
          <w:tcPr>
            <w:tcW w:w="850" w:type="dxa"/>
            <w:noWrap/>
          </w:tcPr>
          <w:p w14:paraId="7C2081FE"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0.851</w:t>
            </w:r>
          </w:p>
        </w:tc>
        <w:tc>
          <w:tcPr>
            <w:tcW w:w="961" w:type="dxa"/>
            <w:noWrap/>
          </w:tcPr>
          <w:p w14:paraId="0627E384"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0.859</w:t>
            </w:r>
          </w:p>
        </w:tc>
        <w:tc>
          <w:tcPr>
            <w:tcW w:w="850" w:type="dxa"/>
            <w:noWrap/>
          </w:tcPr>
          <w:p w14:paraId="434FE458"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0.231</w:t>
            </w:r>
          </w:p>
        </w:tc>
        <w:tc>
          <w:tcPr>
            <w:tcW w:w="822" w:type="dxa"/>
            <w:noWrap/>
          </w:tcPr>
          <w:p w14:paraId="6AF7CFF2"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0.003</w:t>
            </w:r>
          </w:p>
        </w:tc>
        <w:tc>
          <w:tcPr>
            <w:tcW w:w="853" w:type="dxa"/>
            <w:noWrap/>
          </w:tcPr>
          <w:p w14:paraId="3FF157CC"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0.827</w:t>
            </w:r>
          </w:p>
        </w:tc>
        <w:tc>
          <w:tcPr>
            <w:tcW w:w="851" w:type="dxa"/>
            <w:noWrap/>
          </w:tcPr>
          <w:p w14:paraId="28C201B5" w14:textId="77777777" w:rsidR="005636C7" w:rsidRPr="003A61D9" w:rsidRDefault="005636C7" w:rsidP="005636C7">
            <w:pPr>
              <w:pStyle w:val="E3Tabletext"/>
              <w:rPr>
                <w:rFonts w:ascii="Helvetica" w:hAnsi="Helvetica" w:cs="Helvetica"/>
                <w:sz w:val="15"/>
                <w:szCs w:val="15"/>
              </w:rPr>
            </w:pPr>
            <w:r w:rsidRPr="003A61D9">
              <w:rPr>
                <w:rFonts w:ascii="Helvetica" w:hAnsi="Helvetica" w:cs="Helvetica"/>
                <w:sz w:val="15"/>
                <w:szCs w:val="15"/>
              </w:rPr>
              <w:t>0.672</w:t>
            </w:r>
          </w:p>
        </w:tc>
        <w:tc>
          <w:tcPr>
            <w:tcW w:w="958" w:type="dxa"/>
            <w:noWrap/>
          </w:tcPr>
          <w:p w14:paraId="35C83301" w14:textId="77777777" w:rsidR="005636C7" w:rsidRPr="003A61D9" w:rsidRDefault="005636C7" w:rsidP="005636C7">
            <w:pPr>
              <w:pStyle w:val="E3Tabletext"/>
              <w:rPr>
                <w:rFonts w:ascii="Helvetica" w:hAnsi="Helvetica" w:cs="Helvetica"/>
                <w:sz w:val="15"/>
                <w:szCs w:val="15"/>
                <w:highlight w:val="yellow"/>
              </w:rPr>
            </w:pPr>
            <w:r w:rsidRPr="003A61D9">
              <w:rPr>
                <w:rFonts w:ascii="Helvetica" w:hAnsi="Helvetica" w:cs="Helvetica"/>
                <w:sz w:val="15"/>
                <w:szCs w:val="15"/>
              </w:rPr>
              <w:t>0.1287</w:t>
            </w:r>
          </w:p>
        </w:tc>
      </w:tr>
    </w:tbl>
    <w:p w14:paraId="6ED04826" w14:textId="77777777" w:rsidR="005636C7" w:rsidRPr="00AC7259" w:rsidRDefault="005636C7" w:rsidP="005636C7">
      <w:pPr>
        <w:pStyle w:val="E3BodyText"/>
      </w:pPr>
    </w:p>
    <w:p w14:paraId="476CDC41" w14:textId="77777777" w:rsidR="005636C7" w:rsidRPr="003A61D9" w:rsidRDefault="005636C7" w:rsidP="005636C7">
      <w:pPr>
        <w:pStyle w:val="E3Heading2"/>
        <w:spacing w:before="360"/>
        <w:rPr>
          <w:rFonts w:ascii="Georgia" w:hAnsi="Georgia"/>
          <w:sz w:val="24"/>
        </w:rPr>
      </w:pPr>
      <w:bookmarkStart w:id="485" w:name="_Toc494898001"/>
      <w:bookmarkStart w:id="486" w:name="_Toc494955793"/>
      <w:bookmarkStart w:id="487" w:name="_Toc494959601"/>
      <w:bookmarkStart w:id="488" w:name="_Toc494972727"/>
      <w:bookmarkStart w:id="489" w:name="_Toc494973914"/>
      <w:bookmarkStart w:id="490" w:name="_Toc494974603"/>
      <w:bookmarkStart w:id="491" w:name="_Toc500151847"/>
      <w:r w:rsidRPr="003A61D9">
        <w:rPr>
          <w:rFonts w:ascii="Georgia" w:hAnsi="Georgia"/>
          <w:sz w:val="24"/>
        </w:rPr>
        <w:t>Model parameters and key assumptions</w:t>
      </w:r>
      <w:bookmarkEnd w:id="485"/>
      <w:bookmarkEnd w:id="486"/>
      <w:bookmarkEnd w:id="487"/>
      <w:bookmarkEnd w:id="488"/>
      <w:bookmarkEnd w:id="489"/>
      <w:bookmarkEnd w:id="490"/>
      <w:bookmarkEnd w:id="491"/>
    </w:p>
    <w:p w14:paraId="364A8C98" w14:textId="77777777" w:rsidR="005636C7" w:rsidRPr="00AC7259" w:rsidRDefault="005636C7" w:rsidP="005636C7">
      <w:pPr>
        <w:pStyle w:val="E3BodyText"/>
      </w:pPr>
      <w:r w:rsidRPr="00AC7259">
        <w:t>The assumptions about the model parameters</w:t>
      </w:r>
      <w:r>
        <w:t>, including the sensitivity analysis,</w:t>
      </w:r>
      <w:r w:rsidRPr="00AC7259">
        <w:t xml:space="preserve"> are outlined </w:t>
      </w:r>
      <w:r>
        <w:t xml:space="preserve">in </w:t>
      </w:r>
      <w:r>
        <w:rPr>
          <w:b/>
        </w:rPr>
        <w:t xml:space="preserve">Table D 8 </w:t>
      </w:r>
      <w:r>
        <w:t>below.</w:t>
      </w:r>
    </w:p>
    <w:p w14:paraId="65007B08" w14:textId="77777777" w:rsidR="005636C7" w:rsidRDefault="005636C7" w:rsidP="005636C7">
      <w:pPr>
        <w:pStyle w:val="E3TableTitles"/>
      </w:pPr>
      <w:bookmarkStart w:id="492" w:name="_Ref453579750"/>
      <w:bookmarkStart w:id="493" w:name="_Toc456164782"/>
      <w:bookmarkStart w:id="494" w:name="_Toc500159680"/>
      <w:r>
        <w:t xml:space="preserve">Table D </w:t>
      </w:r>
      <w:r>
        <w:fldChar w:fldCharType="begin"/>
      </w:r>
      <w:r>
        <w:instrText xml:space="preserve"> SEQ Table_D \* ARABIC </w:instrText>
      </w:r>
      <w:r>
        <w:fldChar w:fldCharType="separate"/>
      </w:r>
      <w:r w:rsidR="00AC6998">
        <w:rPr>
          <w:noProof/>
        </w:rPr>
        <w:t>8</w:t>
      </w:r>
      <w:r>
        <w:rPr>
          <w:noProof/>
        </w:rPr>
        <w:fldChar w:fldCharType="end"/>
      </w:r>
      <w:bookmarkEnd w:id="492"/>
      <w:r>
        <w:t xml:space="preserve"> Model parameters and key assumptions.</w:t>
      </w:r>
      <w:bookmarkEnd w:id="493"/>
      <w:bookmarkEnd w:id="494"/>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il"/>
      </w:tblPr>
      <w:tblGrid>
        <w:gridCol w:w="1555"/>
        <w:gridCol w:w="8300"/>
      </w:tblGrid>
      <w:tr w:rsidR="005636C7" w:rsidRPr="00162644" w14:paraId="1F33EF6C" w14:textId="77777777" w:rsidTr="00256F14">
        <w:trPr>
          <w:tblHeader/>
        </w:trPr>
        <w:tc>
          <w:tcPr>
            <w:tcW w:w="1555" w:type="dxa"/>
            <w:shd w:val="clear" w:color="auto" w:fill="000000"/>
          </w:tcPr>
          <w:p w14:paraId="5E7CDD9C" w14:textId="77777777" w:rsidR="005636C7" w:rsidRPr="00162644" w:rsidRDefault="005636C7" w:rsidP="005636C7">
            <w:pPr>
              <w:spacing w:before="60" w:after="60"/>
              <w:rPr>
                <w:rFonts w:ascii="Helvetica" w:hAnsi="Helvetica" w:cs="Helvetica"/>
                <w:b/>
                <w:color w:val="FFFFFF"/>
                <w:sz w:val="15"/>
                <w:szCs w:val="15"/>
              </w:rPr>
            </w:pPr>
            <w:r w:rsidRPr="00162644">
              <w:rPr>
                <w:rFonts w:ascii="Helvetica" w:hAnsi="Helvetica" w:cs="Helvetica"/>
                <w:b/>
                <w:color w:val="FFFFFF"/>
                <w:sz w:val="15"/>
                <w:szCs w:val="15"/>
              </w:rPr>
              <w:t>KEY FEATURES</w:t>
            </w:r>
          </w:p>
        </w:tc>
        <w:tc>
          <w:tcPr>
            <w:tcW w:w="8300" w:type="dxa"/>
            <w:shd w:val="clear" w:color="auto" w:fill="000000"/>
          </w:tcPr>
          <w:p w14:paraId="774EA59A" w14:textId="77777777" w:rsidR="005636C7" w:rsidRPr="00162644" w:rsidRDefault="005636C7" w:rsidP="005636C7">
            <w:pPr>
              <w:tabs>
                <w:tab w:val="left" w:pos="3293"/>
              </w:tabs>
              <w:spacing w:before="60" w:after="120"/>
              <w:rPr>
                <w:rFonts w:ascii="Helvetica" w:hAnsi="Helvetica" w:cs="Helvetica"/>
                <w:b/>
                <w:color w:val="FFFFFF"/>
                <w:sz w:val="15"/>
                <w:szCs w:val="15"/>
              </w:rPr>
            </w:pPr>
            <w:r w:rsidRPr="00162644">
              <w:rPr>
                <w:rFonts w:ascii="Helvetica" w:hAnsi="Helvetica" w:cs="Helvetica"/>
                <w:b/>
                <w:color w:val="FFFFFF"/>
                <w:sz w:val="15"/>
                <w:szCs w:val="15"/>
              </w:rPr>
              <w:t>MODEL PARAMETER</w:t>
            </w:r>
          </w:p>
        </w:tc>
      </w:tr>
      <w:tr w:rsidR="005636C7" w:rsidRPr="00162644" w14:paraId="08236CE1" w14:textId="77777777" w:rsidTr="00256F14">
        <w:tc>
          <w:tcPr>
            <w:tcW w:w="1555" w:type="dxa"/>
            <w:shd w:val="clear" w:color="auto" w:fill="auto"/>
          </w:tcPr>
          <w:p w14:paraId="2674BA0F"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Scenarios</w:t>
            </w:r>
          </w:p>
        </w:tc>
        <w:tc>
          <w:tcPr>
            <w:tcW w:w="8300" w:type="dxa"/>
          </w:tcPr>
          <w:p w14:paraId="67129149"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Several policy options (shown below) were combined in multiple scenarios;</w:t>
            </w:r>
          </w:p>
          <w:p w14:paraId="4E5C946E"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BAU;</w:t>
            </w:r>
          </w:p>
          <w:p w14:paraId="50B723EA"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Au-NZ MEPS for display and storage cabinets, using ISO and EN test standards, MEPS to affect the least efficient 10% of models, labelling is voluntary. From 2019; </w:t>
            </w:r>
          </w:p>
          <w:p w14:paraId="1CE9ADB0"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Au-NZ MEPS for display and storage cabinets, using ISO and EN test standards, MEPS to affect the least efficient 30% of models, labelling is voluntary. From 2019; </w:t>
            </w:r>
          </w:p>
          <w:p w14:paraId="4BB8FF12"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Copy European MEPS levels in 2019 for display and storage cabinets, using ISO and EN test standards, labelling is voluntary. From 2019; </w:t>
            </w:r>
          </w:p>
          <w:p w14:paraId="131E2FFB" w14:textId="77777777" w:rsidR="005636C7" w:rsidRPr="00162644" w:rsidRDefault="005636C7" w:rsidP="000F6ACF">
            <w:pPr>
              <w:framePr w:hSpace="180" w:wrap="around" w:vAnchor="text" w:hAnchor="text" w:x="108" w:y="1"/>
              <w:numPr>
                <w:ilvl w:val="0"/>
                <w:numId w:val="21"/>
              </w:numPr>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Non-regulatory options.</w:t>
            </w:r>
          </w:p>
        </w:tc>
      </w:tr>
      <w:tr w:rsidR="005636C7" w:rsidRPr="00162644" w14:paraId="53392522" w14:textId="77777777" w:rsidTr="00256F14">
        <w:tc>
          <w:tcPr>
            <w:tcW w:w="1555" w:type="dxa"/>
          </w:tcPr>
          <w:p w14:paraId="5214AC29" w14:textId="77777777" w:rsidR="005636C7" w:rsidRPr="00162644" w:rsidRDefault="005636C7" w:rsidP="005636C7">
            <w:pPr>
              <w:spacing w:before="60" w:after="60"/>
              <w:rPr>
                <w:rFonts w:ascii="Helvetica" w:hAnsi="Helvetica" w:cs="Helvetica"/>
                <w:b/>
                <w:color w:val="FFFFFF"/>
                <w:sz w:val="15"/>
                <w:szCs w:val="15"/>
              </w:rPr>
            </w:pPr>
            <w:r w:rsidRPr="00162644">
              <w:rPr>
                <w:rFonts w:ascii="Helvetica" w:hAnsi="Helvetica" w:cs="Helvetica"/>
                <w:b/>
                <w:sz w:val="15"/>
                <w:szCs w:val="15"/>
              </w:rPr>
              <w:t>Sales</w:t>
            </w:r>
          </w:p>
        </w:tc>
        <w:tc>
          <w:tcPr>
            <w:tcW w:w="8300" w:type="dxa"/>
          </w:tcPr>
          <w:p w14:paraId="7E1D721D"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Sales data for Australia for display cabinets were not available. However New Zealand has been collecting mandatory sales data since 2005 under the Energy Efficiency (Energy Using Products) Regulations 2002. Australian sales patterns are assumed to closely match New Zealand’s and these data was used to devise a local sales profile for groups of cabinets. </w:t>
            </w:r>
          </w:p>
          <w:p w14:paraId="4AAFBED7"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color w:val="FFFFFF"/>
                <w:sz w:val="15"/>
                <w:szCs w:val="15"/>
              </w:rPr>
            </w:pPr>
            <w:r w:rsidRPr="00162644">
              <w:rPr>
                <w:rFonts w:ascii="Helvetica" w:hAnsi="Helvetica" w:cs="Helvetica"/>
                <w:sz w:val="15"/>
                <w:szCs w:val="15"/>
              </w:rPr>
              <w:t xml:space="preserve">Stock models were devised by three methods: aggregated sales data, lifespans and growth rates; using the number of outlets with an estimate of cabinet numbers per outlet – and estimates according to European data on a per capita basis. </w:t>
            </w:r>
          </w:p>
        </w:tc>
      </w:tr>
      <w:tr w:rsidR="005636C7" w:rsidRPr="00162644" w14:paraId="40674A36" w14:textId="77777777" w:rsidTr="00256F14">
        <w:tc>
          <w:tcPr>
            <w:tcW w:w="1555" w:type="dxa"/>
          </w:tcPr>
          <w:p w14:paraId="525259D3"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Projection Period</w:t>
            </w:r>
          </w:p>
        </w:tc>
        <w:tc>
          <w:tcPr>
            <w:tcW w:w="8300" w:type="dxa"/>
          </w:tcPr>
          <w:p w14:paraId="3C4CD0A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17 years (2017-2035) </w:t>
            </w:r>
          </w:p>
          <w:p w14:paraId="69ECE703"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model uses survival functions with average lifespans for 11 years for integral display cabinets, 13 years for remote display cabinets and 11 years for storage cabinets. The sales growth has slowed from around 7% per annum throughout the 1990s to 4% over the past decade to around 2.5% per annum now and medium term future.</w:t>
            </w:r>
          </w:p>
        </w:tc>
      </w:tr>
      <w:tr w:rsidR="005636C7" w:rsidRPr="00162644" w14:paraId="52270009" w14:textId="77777777" w:rsidTr="00256F14">
        <w:tc>
          <w:tcPr>
            <w:tcW w:w="1555" w:type="dxa"/>
          </w:tcPr>
          <w:p w14:paraId="5596D794"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 xml:space="preserve">Efficiency </w:t>
            </w:r>
          </w:p>
        </w:tc>
        <w:tc>
          <w:tcPr>
            <w:tcW w:w="8300" w:type="dxa"/>
          </w:tcPr>
          <w:p w14:paraId="16D91A11"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Efficiency impacts were derived from the lowest MEPS level to remove 10% and 30% of current registrations. The resultant sales weighted efficiency of the remaining products sold in NZ over the period 2011 and 2012 was used as the basis of calculating the policy intervention impacts.</w:t>
            </w:r>
          </w:p>
          <w:p w14:paraId="21C9B4BA"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Sales weighted efficiency is assumed to increase above BAU by 0.3% pa for 5 years post label introduction, then by 0.2% above BAU for following years (similar to post impact evaluations from refrigerator studies).  Evidence of labelling impacts in the business sector is not available.</w:t>
            </w:r>
          </w:p>
        </w:tc>
      </w:tr>
      <w:tr w:rsidR="005636C7" w:rsidRPr="00162644" w14:paraId="026EC7C7" w14:textId="77777777" w:rsidTr="00256F14">
        <w:tc>
          <w:tcPr>
            <w:tcW w:w="1555" w:type="dxa"/>
          </w:tcPr>
          <w:p w14:paraId="3D394983"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Registration Admin costs and Costs of Compliance</w:t>
            </w:r>
          </w:p>
        </w:tc>
        <w:tc>
          <w:tcPr>
            <w:tcW w:w="8300" w:type="dxa"/>
          </w:tcPr>
          <w:p w14:paraId="59C6042D"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Total incremental cost to Government per annum for Australia and New Zealand ranged from $240,000 per annum to $290,000 per annum.</w:t>
            </w:r>
          </w:p>
          <w:p w14:paraId="1C9B072B"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highlight w:val="yellow"/>
              </w:rPr>
            </w:pPr>
            <w:r w:rsidRPr="00162644">
              <w:rPr>
                <w:rFonts w:ascii="Helvetica" w:hAnsi="Helvetica" w:cs="Helvetica"/>
                <w:sz w:val="15"/>
                <w:szCs w:val="15"/>
              </w:rPr>
              <w:t>Establishment cost to government in Australia and New Zealand to prepare the RIS and introduce the new regime are assumed to be $250,000.</w:t>
            </w:r>
          </w:p>
        </w:tc>
      </w:tr>
      <w:tr w:rsidR="005636C7" w:rsidRPr="00162644" w14:paraId="3EB84B2A" w14:textId="77777777" w:rsidTr="00256F14">
        <w:tc>
          <w:tcPr>
            <w:tcW w:w="1555" w:type="dxa"/>
          </w:tcPr>
          <w:p w14:paraId="6EF2D7E2"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Energy Consumption</w:t>
            </w:r>
          </w:p>
        </w:tc>
        <w:tc>
          <w:tcPr>
            <w:tcW w:w="8300" w:type="dxa"/>
          </w:tcPr>
          <w:p w14:paraId="7550FAF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stock model used contained information on the numbers, capacity, efficiency and energy consumption of display and storage cabinets. Energy consumption estimates for the business as usual (BAU) baseline established, and then the energy consumption under different policy options are calculated and compared to the BAU consumption.</w:t>
            </w:r>
          </w:p>
        </w:tc>
      </w:tr>
      <w:tr w:rsidR="005636C7" w:rsidRPr="00162644" w14:paraId="606460A4" w14:textId="77777777" w:rsidTr="00256F14">
        <w:tc>
          <w:tcPr>
            <w:tcW w:w="1555" w:type="dxa"/>
          </w:tcPr>
          <w:p w14:paraId="3F287315"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GHG emissions</w:t>
            </w:r>
          </w:p>
        </w:tc>
        <w:tc>
          <w:tcPr>
            <w:tcW w:w="8300" w:type="dxa"/>
          </w:tcPr>
          <w:p w14:paraId="0DD3CAE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Scope 3 emission factors for the consumption of electricity by the consumer. The projected Scope 1 emission factors (of electricity sent out by State) were provided by the Department of the Environment and Energy (March 2017). The New Zealand estimates were provided by the Ministry of Business, Innovation and Employment..</w:t>
            </w:r>
          </w:p>
          <w:p w14:paraId="111B53A3"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p>
        </w:tc>
      </w:tr>
      <w:tr w:rsidR="005636C7" w:rsidRPr="00162644" w14:paraId="3C99F4CA" w14:textId="77777777" w:rsidTr="00256F14">
        <w:tc>
          <w:tcPr>
            <w:tcW w:w="1555" w:type="dxa"/>
          </w:tcPr>
          <w:p w14:paraId="05DC57E9"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Industry costs</w:t>
            </w:r>
          </w:p>
        </w:tc>
        <w:tc>
          <w:tcPr>
            <w:tcW w:w="8300" w:type="dxa"/>
          </w:tcPr>
          <w:p w14:paraId="7125416F"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Incremental cost per supplier per year ranged from $18,000 to $35,000 (approx. $12 – $23 per sale)</w:t>
            </w:r>
          </w:p>
          <w:p w14:paraId="3D4C3D94"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Model test cost is around $6,500.00 each.</w:t>
            </w:r>
          </w:p>
          <w:p w14:paraId="30E33327"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Current number registered is 1,485, assumed around 50 may need to be tested under a changed regime as they may have just passed MEPS under the existing regime and no longer meet the changed regime.</w:t>
            </w:r>
          </w:p>
          <w:p w14:paraId="172E3796"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Additional number of registrations is 35% to 40% of the existing number.</w:t>
            </w:r>
          </w:p>
          <w:p w14:paraId="631735DB"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incremental cost to industry is shared across 75 suppliers in Australian and New Zealand.</w:t>
            </w:r>
          </w:p>
          <w:p w14:paraId="0C79ED86"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Government test 2% of registrations per annum (i.e. 30 units under current regime), at an average purchase cost of $5,000 per unit incurring individual test costs of $6,500 plus $1,500 for further evaluation.</w:t>
            </w:r>
          </w:p>
        </w:tc>
      </w:tr>
      <w:tr w:rsidR="005636C7" w:rsidRPr="00162644" w14:paraId="721B7DD2" w14:textId="77777777" w:rsidTr="00256F14">
        <w:tc>
          <w:tcPr>
            <w:tcW w:w="1555" w:type="dxa"/>
          </w:tcPr>
          <w:p w14:paraId="7950AB51"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Sensitivity Analysis</w:t>
            </w:r>
          </w:p>
        </w:tc>
        <w:tc>
          <w:tcPr>
            <w:tcW w:w="8300" w:type="dxa"/>
          </w:tcPr>
          <w:p w14:paraId="26C93CA3"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The sensitivity of the results was tested under the following cases:</w:t>
            </w:r>
          </w:p>
          <w:p w14:paraId="1127F696"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Discount rates - Australia = 0%, 3%, 7%, 11%; New Zealand = 0%, 3%, 5%, 8%</w:t>
            </w:r>
          </w:p>
          <w:p w14:paraId="452B82E7"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Price Efficiency ratios – 0.5, 1.0, 1.5, 2.0</w:t>
            </w:r>
          </w:p>
          <w:p w14:paraId="3149AA6A"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Caron price -  Australia = $0, $11.82, $35;  New Zealand = $0, $25, $50</w:t>
            </w:r>
          </w:p>
        </w:tc>
      </w:tr>
      <w:tr w:rsidR="005636C7" w:rsidRPr="00162644" w14:paraId="43B3E9CA" w14:textId="77777777" w:rsidTr="00256F14">
        <w:tc>
          <w:tcPr>
            <w:tcW w:w="1555" w:type="dxa"/>
          </w:tcPr>
          <w:p w14:paraId="23B6CEE9" w14:textId="77777777" w:rsidR="005636C7" w:rsidRPr="00162644" w:rsidRDefault="005636C7" w:rsidP="005636C7">
            <w:pPr>
              <w:spacing w:before="60" w:after="60"/>
              <w:rPr>
                <w:rFonts w:ascii="Helvetica" w:hAnsi="Helvetica" w:cs="Helvetica"/>
                <w:b/>
                <w:sz w:val="15"/>
                <w:szCs w:val="15"/>
              </w:rPr>
            </w:pPr>
            <w:r w:rsidRPr="00162644">
              <w:rPr>
                <w:rFonts w:ascii="Helvetica" w:hAnsi="Helvetica" w:cs="Helvetica"/>
                <w:b/>
                <w:sz w:val="15"/>
                <w:szCs w:val="15"/>
              </w:rPr>
              <w:t>Key Assumptions</w:t>
            </w:r>
          </w:p>
        </w:tc>
        <w:tc>
          <w:tcPr>
            <w:tcW w:w="8300" w:type="dxa"/>
          </w:tcPr>
          <w:p w14:paraId="372C9098" w14:textId="77777777" w:rsidR="005636C7" w:rsidRPr="00162644" w:rsidRDefault="005636C7" w:rsidP="005636C7">
            <w:pPr>
              <w:framePr w:hSpace="180" w:wrap="around" w:vAnchor="text" w:hAnchor="text" w:x="108" w:y="1"/>
              <w:tabs>
                <w:tab w:val="left" w:pos="3293"/>
              </w:tabs>
              <w:spacing w:before="60" w:after="120"/>
              <w:suppressOverlap/>
              <w:rPr>
                <w:rFonts w:ascii="Helvetica" w:hAnsi="Helvetica" w:cs="Helvetica"/>
                <w:sz w:val="15"/>
                <w:szCs w:val="15"/>
              </w:rPr>
            </w:pPr>
            <w:r w:rsidRPr="00162644">
              <w:rPr>
                <w:rFonts w:ascii="Helvetica" w:hAnsi="Helvetica" w:cs="Helvetica"/>
                <w:sz w:val="15"/>
                <w:szCs w:val="15"/>
              </w:rPr>
              <w:t xml:space="preserve">Energy consumption estimates for the business as usual (BAU) baseline is established, and then the energy consumption under different policy options are calculated and compared to the BAU consumption.  Benefits, such as reduced energy consumption and carbon emission reductions are calculated and can be assigned monetary values, so the total aggregate cost savings can be calculated.   Cost, both government and private costs are also calculated and aggregated.  All net present value costs and benefits presented in the summary tables are based on Australia using 7% discount rate and New Zealand with a 6% discount rate. </w:t>
            </w:r>
          </w:p>
        </w:tc>
      </w:tr>
    </w:tbl>
    <w:p w14:paraId="681CCAAA" w14:textId="77777777" w:rsidR="005636C7" w:rsidRDefault="005636C7" w:rsidP="005636C7"/>
    <w:p w14:paraId="3397C542" w14:textId="77777777" w:rsidR="005636C7" w:rsidRPr="00A91C07" w:rsidRDefault="005636C7" w:rsidP="005636C7">
      <w:r>
        <w:t>The following sensitivity testing was carried out as part of the sensitivity analysis.</w:t>
      </w:r>
    </w:p>
    <w:p w14:paraId="60774539" w14:textId="77777777" w:rsidR="005636C7" w:rsidRPr="000F4EA8" w:rsidRDefault="005636C7" w:rsidP="005636C7">
      <w:pPr>
        <w:spacing w:before="240"/>
        <w:rPr>
          <w:b/>
        </w:rPr>
      </w:pPr>
      <w:r w:rsidRPr="000F4EA8">
        <w:rPr>
          <w:b/>
        </w:rPr>
        <w:t>Sensitivity test – discount rates</w:t>
      </w:r>
    </w:p>
    <w:p w14:paraId="5AA78A26" w14:textId="77777777" w:rsidR="005636C7" w:rsidRDefault="005636C7" w:rsidP="005636C7">
      <w:r>
        <w:t xml:space="preserve">The impact on the cost benefit estimates of varying the discount rate for the recommended option 4 are shown in </w:t>
      </w:r>
      <w:r>
        <w:rPr>
          <w:b/>
        </w:rPr>
        <w:t>Table D 9 and Figure D 1</w:t>
      </w:r>
      <w:r>
        <w:t>.</w:t>
      </w:r>
    </w:p>
    <w:p w14:paraId="686BC9F7" w14:textId="77777777" w:rsidR="005636C7" w:rsidRPr="00FA1D23" w:rsidRDefault="005636C7" w:rsidP="005636C7">
      <w:pPr>
        <w:keepNext/>
        <w:spacing w:before="240"/>
      </w:pPr>
      <w:r>
        <w:rPr>
          <w:b/>
          <w:sz w:val="18"/>
          <w:szCs w:val="18"/>
        </w:rPr>
        <w:t>Table D 9 – discount rates for Australia and New Zealand.</w:t>
      </w:r>
    </w:p>
    <w:p w14:paraId="0A2FF3BB" w14:textId="77777777" w:rsidR="005636C7" w:rsidRDefault="005636C7" w:rsidP="005636C7">
      <w:r>
        <w:rPr>
          <w:noProof/>
        </w:rPr>
        <w:drawing>
          <wp:inline distT="0" distB="0" distL="0" distR="0" wp14:anchorId="3C72D5D4" wp14:editId="1C8209F9">
            <wp:extent cx="6120765" cy="68644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6864409"/>
                    </a:xfrm>
                    <a:prstGeom prst="rect">
                      <a:avLst/>
                    </a:prstGeom>
                    <a:noFill/>
                    <a:ln>
                      <a:noFill/>
                    </a:ln>
                  </pic:spPr>
                </pic:pic>
              </a:graphicData>
            </a:graphic>
          </wp:inline>
        </w:drawing>
      </w:r>
    </w:p>
    <w:p w14:paraId="6CA60F18" w14:textId="77777777" w:rsidR="005636C7" w:rsidRPr="00CA455C" w:rsidRDefault="005636C7" w:rsidP="005636C7">
      <w:pPr>
        <w:rPr>
          <w:b/>
          <w:sz w:val="18"/>
          <w:szCs w:val="18"/>
        </w:rPr>
      </w:pPr>
      <w:r w:rsidRPr="00F23060">
        <w:rPr>
          <w:b/>
          <w:sz w:val="18"/>
          <w:szCs w:val="18"/>
        </w:rPr>
        <w:t>Figure D 1</w:t>
      </w:r>
      <w:r>
        <w:rPr>
          <w:b/>
          <w:sz w:val="18"/>
          <w:szCs w:val="18"/>
        </w:rPr>
        <w:t xml:space="preserve"> – Demand reductions for Australia and New Zealand.</w:t>
      </w:r>
    </w:p>
    <w:p w14:paraId="399DF478" w14:textId="77777777" w:rsidR="005636C7" w:rsidRDefault="005636C7" w:rsidP="005636C7">
      <w:pPr>
        <w:rPr>
          <w:b/>
        </w:rPr>
      </w:pPr>
    </w:p>
    <w:p w14:paraId="7BB87708" w14:textId="77777777" w:rsidR="005636C7" w:rsidRDefault="005636C7" w:rsidP="005636C7">
      <w:pPr>
        <w:rPr>
          <w:b/>
        </w:rPr>
      </w:pPr>
    </w:p>
    <w:p w14:paraId="6EBB6D22" w14:textId="77777777" w:rsidR="005636C7" w:rsidRDefault="005636C7" w:rsidP="005636C7">
      <w:pPr>
        <w:rPr>
          <w:b/>
        </w:rPr>
      </w:pPr>
    </w:p>
    <w:p w14:paraId="27569BAD" w14:textId="77777777" w:rsidR="005636C7" w:rsidRDefault="005636C7" w:rsidP="005636C7">
      <w:pPr>
        <w:rPr>
          <w:b/>
        </w:rPr>
      </w:pPr>
    </w:p>
    <w:p w14:paraId="409F0C19" w14:textId="77777777" w:rsidR="005636C7" w:rsidRDefault="005636C7" w:rsidP="005636C7">
      <w:pPr>
        <w:rPr>
          <w:b/>
        </w:rPr>
      </w:pPr>
    </w:p>
    <w:p w14:paraId="309FE32A" w14:textId="77777777" w:rsidR="005636C7" w:rsidRDefault="005636C7" w:rsidP="005636C7">
      <w:pPr>
        <w:rPr>
          <w:b/>
        </w:rPr>
      </w:pPr>
    </w:p>
    <w:p w14:paraId="162A8A94" w14:textId="77777777" w:rsidR="00256F14" w:rsidRDefault="00256F14">
      <w:pPr>
        <w:rPr>
          <w:b/>
        </w:rPr>
      </w:pPr>
      <w:r>
        <w:rPr>
          <w:b/>
        </w:rPr>
        <w:br w:type="page"/>
      </w:r>
    </w:p>
    <w:p w14:paraId="00DA9210" w14:textId="66B7043D" w:rsidR="005636C7" w:rsidRPr="00256F14" w:rsidRDefault="005636C7" w:rsidP="00256F14">
      <w:pPr>
        <w:spacing w:line="276" w:lineRule="auto"/>
        <w:rPr>
          <w:rFonts w:ascii="Georgia" w:hAnsi="Georgia"/>
          <w:b/>
        </w:rPr>
      </w:pPr>
      <w:r w:rsidRPr="00256F14">
        <w:rPr>
          <w:rFonts w:ascii="Georgia" w:hAnsi="Georgia"/>
          <w:b/>
        </w:rPr>
        <w:t>Sensitivity test: Price Efficiency Ratio</w:t>
      </w:r>
    </w:p>
    <w:p w14:paraId="5C220E15" w14:textId="77777777" w:rsidR="005636C7" w:rsidRPr="00256F14" w:rsidRDefault="005636C7" w:rsidP="00256F14">
      <w:pPr>
        <w:spacing w:before="240" w:line="276" w:lineRule="auto"/>
        <w:jc w:val="both"/>
        <w:rPr>
          <w:rFonts w:ascii="Georgia" w:hAnsi="Georgia"/>
        </w:rPr>
      </w:pPr>
      <w:r w:rsidRPr="00256F14">
        <w:rPr>
          <w:rFonts w:ascii="Georgia" w:hAnsi="Georgia"/>
        </w:rPr>
        <w:t xml:space="preserve">The impact on the cost benefit estimates of varying the price efficiency ratio (which shows the cost impact of efficiency improvement on the price of the product to the consumer) is shown in </w:t>
      </w:r>
      <w:r w:rsidRPr="00256F14">
        <w:rPr>
          <w:rFonts w:ascii="Georgia" w:hAnsi="Georgia"/>
          <w:b/>
        </w:rPr>
        <w:t xml:space="preserve">tables D10, D11 and D12 </w:t>
      </w:r>
      <w:r w:rsidRPr="00256F14">
        <w:rPr>
          <w:rFonts w:ascii="Georgia" w:hAnsi="Georgia"/>
        </w:rPr>
        <w:t>below.</w:t>
      </w:r>
    </w:p>
    <w:p w14:paraId="21832428" w14:textId="77777777" w:rsidR="005636C7" w:rsidRPr="0016101C" w:rsidRDefault="005636C7" w:rsidP="005636C7">
      <w:pPr>
        <w:jc w:val="both"/>
        <w:rPr>
          <w:b/>
          <w:color w:val="FF0000"/>
        </w:rPr>
      </w:pPr>
    </w:p>
    <w:p w14:paraId="3F0EE062" w14:textId="77777777" w:rsidR="005636C7" w:rsidRPr="00C22857" w:rsidRDefault="005636C7" w:rsidP="005636C7">
      <w:pPr>
        <w:rPr>
          <w:b/>
          <w:sz w:val="18"/>
          <w:szCs w:val="20"/>
        </w:rPr>
      </w:pPr>
      <w:r w:rsidRPr="00256F14">
        <w:rPr>
          <w:rFonts w:ascii="Georgia" w:hAnsi="Georgia"/>
          <w:b/>
          <w:sz w:val="18"/>
          <w:szCs w:val="20"/>
        </w:rPr>
        <w:t>Tables D10, D11 and D12 – Summary results of varying the Price Efficiency Ratio.</w:t>
      </w:r>
      <w:r w:rsidRPr="00256F14">
        <w:rPr>
          <w:rFonts w:ascii="Georgia" w:hAnsi="Georgia"/>
          <w:b/>
        </w:rPr>
        <w:t xml:space="preserve"> </w:t>
      </w:r>
      <w:r>
        <w:rPr>
          <w:b/>
          <w:noProof/>
        </w:rPr>
        <w:drawing>
          <wp:inline distT="0" distB="0" distL="0" distR="0" wp14:anchorId="43C554C6" wp14:editId="0451F611">
            <wp:extent cx="6120765" cy="646423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6464232"/>
                    </a:xfrm>
                    <a:prstGeom prst="rect">
                      <a:avLst/>
                    </a:prstGeom>
                    <a:noFill/>
                    <a:ln>
                      <a:noFill/>
                    </a:ln>
                  </pic:spPr>
                </pic:pic>
              </a:graphicData>
            </a:graphic>
          </wp:inline>
        </w:drawing>
      </w:r>
    </w:p>
    <w:p w14:paraId="38C2DEE0" w14:textId="77777777" w:rsidR="005636C7" w:rsidRDefault="005636C7" w:rsidP="005636C7">
      <w:pPr>
        <w:rPr>
          <w:b/>
        </w:rPr>
      </w:pPr>
    </w:p>
    <w:p w14:paraId="26ED17F6" w14:textId="77777777" w:rsidR="005636C7" w:rsidRDefault="005636C7" w:rsidP="005636C7">
      <w:pPr>
        <w:rPr>
          <w:b/>
        </w:rPr>
      </w:pPr>
    </w:p>
    <w:p w14:paraId="70BCF103" w14:textId="77777777" w:rsidR="005636C7" w:rsidRDefault="005636C7" w:rsidP="005636C7">
      <w:pPr>
        <w:rPr>
          <w:b/>
        </w:rPr>
      </w:pPr>
    </w:p>
    <w:p w14:paraId="1B76E638" w14:textId="77777777" w:rsidR="005636C7" w:rsidRDefault="005636C7" w:rsidP="005636C7">
      <w:pPr>
        <w:rPr>
          <w:b/>
        </w:rPr>
      </w:pPr>
    </w:p>
    <w:p w14:paraId="2635BEF6" w14:textId="77777777" w:rsidR="00256F14" w:rsidRDefault="00256F14">
      <w:pPr>
        <w:rPr>
          <w:b/>
        </w:rPr>
      </w:pPr>
      <w:r>
        <w:rPr>
          <w:b/>
        </w:rPr>
        <w:br w:type="page"/>
      </w:r>
    </w:p>
    <w:p w14:paraId="3B6ABC00" w14:textId="5E2756B1" w:rsidR="005636C7" w:rsidRPr="00256F14" w:rsidRDefault="005636C7" w:rsidP="005636C7">
      <w:pPr>
        <w:rPr>
          <w:rFonts w:ascii="Georgia" w:hAnsi="Georgia"/>
          <w:b/>
        </w:rPr>
      </w:pPr>
      <w:r w:rsidRPr="00256F14">
        <w:rPr>
          <w:rFonts w:ascii="Georgia" w:hAnsi="Georgia"/>
          <w:b/>
        </w:rPr>
        <w:t>Sensitivity test: Learning Effect</w:t>
      </w:r>
    </w:p>
    <w:p w14:paraId="08BB14AF" w14:textId="77777777" w:rsidR="005636C7" w:rsidRPr="00256F14" w:rsidRDefault="005636C7" w:rsidP="00256F14">
      <w:pPr>
        <w:spacing w:before="240" w:after="240" w:line="276" w:lineRule="auto"/>
        <w:rPr>
          <w:rFonts w:ascii="Georgia" w:hAnsi="Georgia"/>
        </w:rPr>
      </w:pPr>
      <w:r w:rsidRPr="00256F14">
        <w:rPr>
          <w:rFonts w:ascii="Georgia" w:hAnsi="Georgia"/>
        </w:rPr>
        <w:t xml:space="preserve">The impact on the cost benefit estimates from applying a 0% learning rate (the rate at which costs reduce) compared with a varied learning rate is shown by </w:t>
      </w:r>
      <w:r w:rsidRPr="00256F14">
        <w:rPr>
          <w:rFonts w:ascii="Georgia" w:hAnsi="Georgia"/>
          <w:b/>
        </w:rPr>
        <w:t xml:space="preserve">Table D13 and D 14 </w:t>
      </w:r>
      <w:r w:rsidRPr="00256F14">
        <w:rPr>
          <w:rFonts w:ascii="Georgia" w:hAnsi="Georgia"/>
        </w:rPr>
        <w:t xml:space="preserve">below. </w:t>
      </w:r>
    </w:p>
    <w:p w14:paraId="0C153865" w14:textId="77777777" w:rsidR="005636C7" w:rsidRPr="00256F14" w:rsidRDefault="005636C7" w:rsidP="005636C7">
      <w:pPr>
        <w:rPr>
          <w:rFonts w:ascii="Georgia" w:hAnsi="Georgia"/>
        </w:rPr>
      </w:pPr>
    </w:p>
    <w:p w14:paraId="252144B9" w14:textId="77777777" w:rsidR="005636C7" w:rsidRDefault="005636C7" w:rsidP="005636C7">
      <w:pPr>
        <w:rPr>
          <w:b/>
          <w:sz w:val="18"/>
          <w:szCs w:val="20"/>
        </w:rPr>
      </w:pPr>
      <w:r w:rsidRPr="00256F14">
        <w:rPr>
          <w:rFonts w:ascii="Georgia" w:hAnsi="Georgia"/>
          <w:b/>
          <w:sz w:val="18"/>
          <w:szCs w:val="20"/>
        </w:rPr>
        <w:t>Table D13</w:t>
      </w:r>
      <w:r w:rsidRPr="00CA455C">
        <w:rPr>
          <w:b/>
          <w:sz w:val="18"/>
          <w:szCs w:val="20"/>
        </w:rPr>
        <w:t xml:space="preserve">  </w:t>
      </w:r>
      <w:r>
        <w:rPr>
          <w:b/>
          <w:noProof/>
          <w:sz w:val="20"/>
          <w:szCs w:val="20"/>
        </w:rPr>
        <w:drawing>
          <wp:inline distT="0" distB="0" distL="0" distR="0" wp14:anchorId="57599E40" wp14:editId="2418E04F">
            <wp:extent cx="6120765" cy="227216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2272169"/>
                    </a:xfrm>
                    <a:prstGeom prst="rect">
                      <a:avLst/>
                    </a:prstGeom>
                    <a:noFill/>
                    <a:ln>
                      <a:noFill/>
                    </a:ln>
                  </pic:spPr>
                </pic:pic>
              </a:graphicData>
            </a:graphic>
          </wp:inline>
        </w:drawing>
      </w:r>
    </w:p>
    <w:p w14:paraId="0856325F" w14:textId="77777777" w:rsidR="005636C7" w:rsidRDefault="005636C7" w:rsidP="005636C7">
      <w:pPr>
        <w:rPr>
          <w:b/>
        </w:rPr>
      </w:pPr>
      <w:r w:rsidRPr="00256F14">
        <w:rPr>
          <w:rFonts w:ascii="Georgia" w:hAnsi="Georgia"/>
          <w:b/>
          <w:sz w:val="18"/>
          <w:szCs w:val="22"/>
        </w:rPr>
        <w:t>Table D 14</w:t>
      </w:r>
      <w:r w:rsidRPr="00C4215A">
        <w:rPr>
          <w:b/>
          <w:sz w:val="18"/>
          <w:szCs w:val="22"/>
        </w:rPr>
        <w:t xml:space="preserve">  </w:t>
      </w:r>
      <w:r>
        <w:rPr>
          <w:b/>
          <w:noProof/>
          <w:sz w:val="22"/>
          <w:szCs w:val="22"/>
        </w:rPr>
        <w:drawing>
          <wp:inline distT="0" distB="0" distL="0" distR="0" wp14:anchorId="6961EF1E" wp14:editId="6D1F497B">
            <wp:extent cx="6120765" cy="6834120"/>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6834120"/>
                    </a:xfrm>
                    <a:prstGeom prst="rect">
                      <a:avLst/>
                    </a:prstGeom>
                    <a:noFill/>
                    <a:ln>
                      <a:noFill/>
                    </a:ln>
                  </pic:spPr>
                </pic:pic>
              </a:graphicData>
            </a:graphic>
          </wp:inline>
        </w:drawing>
      </w:r>
    </w:p>
    <w:p w14:paraId="6DD70CB9" w14:textId="77777777" w:rsidR="005636C7" w:rsidRDefault="005636C7" w:rsidP="005636C7">
      <w:pPr>
        <w:rPr>
          <w:b/>
          <w:color w:val="FF0000"/>
        </w:rPr>
      </w:pPr>
    </w:p>
    <w:p w14:paraId="6E100778" w14:textId="77777777" w:rsidR="005636C7" w:rsidRDefault="005636C7" w:rsidP="005636C7">
      <w:pPr>
        <w:rPr>
          <w:b/>
          <w:color w:val="FF0000"/>
        </w:rPr>
      </w:pPr>
    </w:p>
    <w:p w14:paraId="77FB86F1" w14:textId="77777777" w:rsidR="005636C7" w:rsidRDefault="005636C7" w:rsidP="005636C7">
      <w:pPr>
        <w:rPr>
          <w:b/>
          <w:color w:val="FF0000"/>
        </w:rPr>
      </w:pPr>
    </w:p>
    <w:p w14:paraId="0774D19A" w14:textId="77777777" w:rsidR="005636C7" w:rsidRDefault="005636C7" w:rsidP="005636C7">
      <w:pPr>
        <w:rPr>
          <w:b/>
          <w:color w:val="FF0000"/>
        </w:rPr>
      </w:pPr>
    </w:p>
    <w:p w14:paraId="2799B2C6" w14:textId="77777777" w:rsidR="005636C7" w:rsidRDefault="005636C7" w:rsidP="005636C7">
      <w:pPr>
        <w:rPr>
          <w:b/>
          <w:color w:val="FF0000"/>
        </w:rPr>
      </w:pPr>
    </w:p>
    <w:p w14:paraId="4E6C27C0" w14:textId="77777777" w:rsidR="005636C7" w:rsidRDefault="005636C7" w:rsidP="005636C7">
      <w:pPr>
        <w:rPr>
          <w:b/>
          <w:color w:val="FF0000"/>
        </w:rPr>
      </w:pPr>
    </w:p>
    <w:p w14:paraId="263DD814" w14:textId="77777777" w:rsidR="005636C7" w:rsidRDefault="005636C7" w:rsidP="005636C7">
      <w:pPr>
        <w:rPr>
          <w:b/>
          <w:color w:val="FF0000"/>
        </w:rPr>
      </w:pPr>
    </w:p>
    <w:p w14:paraId="2336CB71" w14:textId="77777777" w:rsidR="00256F14" w:rsidRDefault="00256F14">
      <w:pPr>
        <w:rPr>
          <w:b/>
        </w:rPr>
      </w:pPr>
      <w:r>
        <w:rPr>
          <w:b/>
        </w:rPr>
        <w:br w:type="page"/>
      </w:r>
    </w:p>
    <w:p w14:paraId="2D973D40" w14:textId="17975223" w:rsidR="005636C7" w:rsidRPr="00256F14" w:rsidRDefault="005636C7" w:rsidP="005636C7">
      <w:pPr>
        <w:rPr>
          <w:rFonts w:ascii="Georgia" w:hAnsi="Georgia"/>
          <w:b/>
        </w:rPr>
      </w:pPr>
      <w:r w:rsidRPr="00256F14">
        <w:rPr>
          <w:rFonts w:ascii="Georgia" w:hAnsi="Georgia"/>
          <w:b/>
        </w:rPr>
        <w:t>Other inputs</w:t>
      </w:r>
    </w:p>
    <w:p w14:paraId="1E158CC1" w14:textId="77777777" w:rsidR="005636C7" w:rsidRPr="00256F14" w:rsidRDefault="005636C7" w:rsidP="00256F14">
      <w:pPr>
        <w:spacing w:before="240" w:after="240" w:line="276" w:lineRule="auto"/>
        <w:rPr>
          <w:rFonts w:ascii="Georgia" w:hAnsi="Georgia"/>
        </w:rPr>
      </w:pPr>
      <w:r w:rsidRPr="00256F14">
        <w:rPr>
          <w:rFonts w:ascii="Georgia" w:hAnsi="Georgia"/>
        </w:rPr>
        <w:t xml:space="preserve">Australia requested that as part of the modelling savings be provided through to 2030, see </w:t>
      </w:r>
      <w:r w:rsidRPr="00256F14">
        <w:rPr>
          <w:rFonts w:ascii="Georgia" w:hAnsi="Georgia"/>
          <w:b/>
        </w:rPr>
        <w:t xml:space="preserve">table D 15 </w:t>
      </w:r>
      <w:r w:rsidRPr="00256F14">
        <w:rPr>
          <w:rFonts w:ascii="Georgia" w:hAnsi="Georgia"/>
        </w:rPr>
        <w:t>below.</w:t>
      </w:r>
    </w:p>
    <w:p w14:paraId="3BC58D0C" w14:textId="77777777" w:rsidR="005636C7" w:rsidRPr="00256F14" w:rsidRDefault="005636C7" w:rsidP="005636C7">
      <w:pPr>
        <w:rPr>
          <w:rFonts w:ascii="Georgia" w:hAnsi="Georgia"/>
        </w:rPr>
      </w:pPr>
    </w:p>
    <w:p w14:paraId="24C0E365" w14:textId="77777777" w:rsidR="005636C7" w:rsidRPr="00256F14" w:rsidRDefault="005636C7" w:rsidP="005636C7">
      <w:pPr>
        <w:rPr>
          <w:rFonts w:ascii="Georgia" w:hAnsi="Georgia"/>
          <w:b/>
          <w:sz w:val="18"/>
        </w:rPr>
      </w:pPr>
      <w:r w:rsidRPr="00256F14">
        <w:rPr>
          <w:rFonts w:ascii="Georgia" w:hAnsi="Georgia"/>
          <w:b/>
          <w:sz w:val="18"/>
        </w:rPr>
        <w:t>Table D 15</w:t>
      </w:r>
    </w:p>
    <w:p w14:paraId="16E071F6" w14:textId="77777777" w:rsidR="005636C7" w:rsidRDefault="005636C7" w:rsidP="005636C7">
      <w:pPr>
        <w:tabs>
          <w:tab w:val="left" w:pos="1440"/>
        </w:tabs>
      </w:pPr>
      <w:r>
        <w:rPr>
          <w:b/>
          <w:noProof/>
          <w:color w:val="FF0000"/>
        </w:rPr>
        <w:drawing>
          <wp:inline distT="0" distB="0" distL="0" distR="0" wp14:anchorId="6452EFFD" wp14:editId="5CCDA3EF">
            <wp:extent cx="4543425" cy="3133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43425" cy="3133725"/>
                    </a:xfrm>
                    <a:prstGeom prst="rect">
                      <a:avLst/>
                    </a:prstGeom>
                    <a:noFill/>
                    <a:ln>
                      <a:noFill/>
                    </a:ln>
                  </pic:spPr>
                </pic:pic>
              </a:graphicData>
            </a:graphic>
          </wp:inline>
        </w:drawing>
      </w:r>
    </w:p>
    <w:p w14:paraId="3B809CCB" w14:textId="77777777" w:rsidR="005636C7" w:rsidRDefault="005636C7" w:rsidP="005636C7">
      <w:pPr>
        <w:tabs>
          <w:tab w:val="left" w:pos="1440"/>
        </w:tabs>
      </w:pPr>
    </w:p>
    <w:p w14:paraId="500BFAF3" w14:textId="77777777" w:rsidR="005636C7" w:rsidRDefault="005636C7" w:rsidP="005636C7">
      <w:pPr>
        <w:tabs>
          <w:tab w:val="left" w:pos="1440"/>
        </w:tabs>
      </w:pPr>
    </w:p>
    <w:p w14:paraId="76A728FF" w14:textId="77777777" w:rsidR="005636C7" w:rsidRDefault="005636C7" w:rsidP="005636C7">
      <w:pPr>
        <w:tabs>
          <w:tab w:val="left" w:pos="1440"/>
        </w:tabs>
      </w:pPr>
    </w:p>
    <w:p w14:paraId="05DCADFC" w14:textId="77777777" w:rsidR="005636C7" w:rsidRDefault="005636C7" w:rsidP="005636C7">
      <w:pPr>
        <w:tabs>
          <w:tab w:val="left" w:pos="1440"/>
        </w:tabs>
      </w:pPr>
    </w:p>
    <w:p w14:paraId="7E0B4D06" w14:textId="77777777" w:rsidR="005636C7" w:rsidRDefault="005636C7" w:rsidP="005636C7">
      <w:pPr>
        <w:tabs>
          <w:tab w:val="left" w:pos="1440"/>
        </w:tabs>
      </w:pPr>
    </w:p>
    <w:p w14:paraId="1296CD07" w14:textId="77777777" w:rsidR="005636C7" w:rsidRDefault="005636C7" w:rsidP="005636C7">
      <w:pPr>
        <w:tabs>
          <w:tab w:val="left" w:pos="1440"/>
        </w:tabs>
      </w:pPr>
    </w:p>
    <w:p w14:paraId="3E44441C" w14:textId="77777777" w:rsidR="005636C7" w:rsidRDefault="005636C7" w:rsidP="005636C7">
      <w:pPr>
        <w:tabs>
          <w:tab w:val="left" w:pos="1440"/>
        </w:tabs>
      </w:pPr>
    </w:p>
    <w:p w14:paraId="5BF5B359" w14:textId="77777777" w:rsidR="005636C7" w:rsidRDefault="005636C7" w:rsidP="005636C7">
      <w:pPr>
        <w:tabs>
          <w:tab w:val="left" w:pos="1440"/>
        </w:tabs>
      </w:pPr>
    </w:p>
    <w:p w14:paraId="7BEE3A9D" w14:textId="77777777" w:rsidR="005636C7" w:rsidRDefault="005636C7" w:rsidP="005636C7">
      <w:pPr>
        <w:tabs>
          <w:tab w:val="left" w:pos="1440"/>
        </w:tabs>
      </w:pPr>
    </w:p>
    <w:p w14:paraId="7D4B9EB4" w14:textId="77777777" w:rsidR="005636C7" w:rsidRDefault="005636C7" w:rsidP="005636C7">
      <w:pPr>
        <w:tabs>
          <w:tab w:val="left" w:pos="1440"/>
        </w:tabs>
      </w:pPr>
    </w:p>
    <w:p w14:paraId="59146164" w14:textId="77777777" w:rsidR="005636C7" w:rsidRDefault="005636C7" w:rsidP="005636C7">
      <w:pPr>
        <w:tabs>
          <w:tab w:val="left" w:pos="1440"/>
        </w:tabs>
      </w:pPr>
    </w:p>
    <w:p w14:paraId="7DE918DC" w14:textId="77777777" w:rsidR="005636C7" w:rsidRDefault="005636C7" w:rsidP="005636C7">
      <w:pPr>
        <w:tabs>
          <w:tab w:val="left" w:pos="1440"/>
        </w:tabs>
      </w:pPr>
    </w:p>
    <w:p w14:paraId="726BA076" w14:textId="77777777" w:rsidR="005636C7" w:rsidRDefault="005636C7" w:rsidP="005636C7">
      <w:pPr>
        <w:tabs>
          <w:tab w:val="left" w:pos="1440"/>
        </w:tabs>
      </w:pPr>
    </w:p>
    <w:p w14:paraId="25F7C87A" w14:textId="77777777" w:rsidR="005636C7" w:rsidRDefault="005636C7" w:rsidP="005636C7">
      <w:pPr>
        <w:tabs>
          <w:tab w:val="left" w:pos="1440"/>
        </w:tabs>
      </w:pPr>
    </w:p>
    <w:p w14:paraId="2DD2C2AB" w14:textId="77777777" w:rsidR="005636C7" w:rsidRDefault="005636C7" w:rsidP="005636C7">
      <w:pPr>
        <w:tabs>
          <w:tab w:val="left" w:pos="1440"/>
        </w:tabs>
      </w:pPr>
    </w:p>
    <w:p w14:paraId="0982E581" w14:textId="77777777" w:rsidR="005636C7" w:rsidRDefault="005636C7" w:rsidP="005636C7">
      <w:pPr>
        <w:tabs>
          <w:tab w:val="left" w:pos="1440"/>
        </w:tabs>
      </w:pPr>
    </w:p>
    <w:p w14:paraId="7DAB2EFF" w14:textId="77777777" w:rsidR="005636C7" w:rsidRDefault="005636C7" w:rsidP="005636C7">
      <w:pPr>
        <w:tabs>
          <w:tab w:val="left" w:pos="1440"/>
        </w:tabs>
      </w:pPr>
    </w:p>
    <w:p w14:paraId="2B36E220" w14:textId="77777777" w:rsidR="005636C7" w:rsidRDefault="005636C7" w:rsidP="005636C7">
      <w:pPr>
        <w:tabs>
          <w:tab w:val="left" w:pos="1440"/>
        </w:tabs>
      </w:pPr>
    </w:p>
    <w:p w14:paraId="738DB845" w14:textId="77777777" w:rsidR="005636C7" w:rsidRDefault="005636C7" w:rsidP="005636C7">
      <w:pPr>
        <w:tabs>
          <w:tab w:val="left" w:pos="1440"/>
        </w:tabs>
      </w:pPr>
    </w:p>
    <w:p w14:paraId="1EE31652" w14:textId="77777777" w:rsidR="005636C7" w:rsidRDefault="005636C7" w:rsidP="005636C7">
      <w:pPr>
        <w:tabs>
          <w:tab w:val="left" w:pos="1440"/>
        </w:tabs>
      </w:pPr>
    </w:p>
    <w:p w14:paraId="08DC06F5" w14:textId="77777777" w:rsidR="005636C7" w:rsidRDefault="005636C7" w:rsidP="005636C7">
      <w:pPr>
        <w:tabs>
          <w:tab w:val="left" w:pos="1440"/>
        </w:tabs>
      </w:pPr>
    </w:p>
    <w:p w14:paraId="7C039D32" w14:textId="77777777" w:rsidR="005636C7" w:rsidRDefault="005636C7" w:rsidP="005636C7">
      <w:pPr>
        <w:pStyle w:val="E3ChapterTitle"/>
      </w:pPr>
      <w:bookmarkStart w:id="495" w:name="_Toc500151848"/>
      <w:r>
        <w:rPr>
          <w:noProof/>
          <w:lang w:eastAsia="en-AU"/>
        </w:rPr>
        <w:drawing>
          <wp:anchor distT="0" distB="0" distL="114300" distR="114300" simplePos="0" relativeHeight="251671552" behindDoc="1" locked="1" layoutInCell="1" allowOverlap="1" wp14:anchorId="5816FEA9" wp14:editId="05347662">
            <wp:simplePos x="0" y="0"/>
            <wp:positionH relativeFrom="margin">
              <wp:align>left</wp:align>
            </wp:positionH>
            <wp:positionV relativeFrom="margin">
              <wp:posOffset>-264795</wp:posOffset>
            </wp:positionV>
            <wp:extent cx="6124575" cy="1800225"/>
            <wp:effectExtent l="0" t="0" r="9525" b="9525"/>
            <wp:wrapNone/>
            <wp:docPr id="239"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D- Manufacturers and importers</w:t>
      </w:r>
      <w:bookmarkEnd w:id="495"/>
    </w:p>
    <w:p w14:paraId="3D7BF95A" w14:textId="77777777" w:rsidR="00256F14" w:rsidRDefault="00256F14" w:rsidP="005636C7">
      <w:pPr>
        <w:pStyle w:val="E3Heading4"/>
      </w:pPr>
      <w:bookmarkStart w:id="496" w:name="_Toc447533637"/>
    </w:p>
    <w:p w14:paraId="31B29036" w14:textId="77777777" w:rsidR="005636C7" w:rsidRPr="00F879AF" w:rsidRDefault="005636C7" w:rsidP="00256F14">
      <w:pPr>
        <w:pStyle w:val="E3Heading4"/>
        <w:spacing w:before="240"/>
      </w:pPr>
      <w:r w:rsidRPr="00F879AF">
        <w:t>Businesses in Australia that manufacture and may import refrigerated equipment</w:t>
      </w:r>
      <w:bookmarkEnd w:id="496"/>
      <w:r w:rsidRPr="00F879AF">
        <w:t xml:space="preserve"> for supply.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3658B241" w14:textId="77777777" w:rsidTr="005636C7">
        <w:tc>
          <w:tcPr>
            <w:tcW w:w="3715" w:type="dxa"/>
            <w:shd w:val="clear" w:color="auto" w:fill="0C0C0C"/>
            <w:vAlign w:val="center"/>
          </w:tcPr>
          <w:p w14:paraId="2A5323A3"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Manufacturer/Supplier</w:t>
            </w:r>
          </w:p>
        </w:tc>
        <w:tc>
          <w:tcPr>
            <w:tcW w:w="4677" w:type="dxa"/>
            <w:shd w:val="clear" w:color="auto" w:fill="0C0C0C"/>
            <w:vAlign w:val="center"/>
          </w:tcPr>
          <w:p w14:paraId="528AEAA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540B758F" w14:textId="77777777" w:rsidTr="005636C7">
        <w:tc>
          <w:tcPr>
            <w:tcW w:w="3715" w:type="dxa"/>
            <w:vAlign w:val="center"/>
          </w:tcPr>
          <w:p w14:paraId="03BB3A3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Advanced Refrigeration Technology</w:t>
            </w:r>
          </w:p>
        </w:tc>
        <w:tc>
          <w:tcPr>
            <w:tcW w:w="4677" w:type="dxa"/>
            <w:vAlign w:val="center"/>
          </w:tcPr>
          <w:p w14:paraId="40B3FD5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JCM Industries, Maslen</w:t>
            </w:r>
          </w:p>
        </w:tc>
      </w:tr>
      <w:tr w:rsidR="005636C7" w:rsidRPr="00F879AF" w14:paraId="57E16378" w14:textId="77777777" w:rsidTr="005636C7">
        <w:tc>
          <w:tcPr>
            <w:tcW w:w="3715" w:type="dxa"/>
          </w:tcPr>
          <w:p w14:paraId="56A9BF32"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 xml:space="preserve">Arcus </w:t>
            </w:r>
          </w:p>
        </w:tc>
        <w:tc>
          <w:tcPr>
            <w:tcW w:w="4677" w:type="dxa"/>
          </w:tcPr>
          <w:p w14:paraId="4918CF9C"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Arcus</w:t>
            </w:r>
          </w:p>
        </w:tc>
      </w:tr>
      <w:tr w:rsidR="005636C7" w:rsidRPr="00F879AF" w14:paraId="5829BC10" w14:textId="77777777" w:rsidTr="005636C7">
        <w:tc>
          <w:tcPr>
            <w:tcW w:w="3715" w:type="dxa"/>
          </w:tcPr>
          <w:p w14:paraId="7CB1DD97"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Channon Refrigeration</w:t>
            </w:r>
          </w:p>
        </w:tc>
        <w:tc>
          <w:tcPr>
            <w:tcW w:w="4677" w:type="dxa"/>
          </w:tcPr>
          <w:p w14:paraId="4E8ED26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Channon</w:t>
            </w:r>
          </w:p>
        </w:tc>
      </w:tr>
      <w:tr w:rsidR="005636C7" w:rsidRPr="00F879AF" w14:paraId="494FE58B" w14:textId="77777777" w:rsidTr="005636C7">
        <w:tc>
          <w:tcPr>
            <w:tcW w:w="3715" w:type="dxa"/>
          </w:tcPr>
          <w:p w14:paraId="54209012"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Lazco</w:t>
            </w:r>
          </w:p>
        </w:tc>
        <w:tc>
          <w:tcPr>
            <w:tcW w:w="4677" w:type="dxa"/>
          </w:tcPr>
          <w:p w14:paraId="0043EFB7" w14:textId="77777777" w:rsidR="005636C7" w:rsidRPr="00F879AF" w:rsidRDefault="005636C7" w:rsidP="005636C7">
            <w:pPr>
              <w:spacing w:before="60" w:after="60"/>
              <w:rPr>
                <w:rFonts w:ascii="Helvetica" w:hAnsi="Helvetica" w:cs="Helvetica"/>
                <w:b/>
                <w:sz w:val="15"/>
                <w:szCs w:val="14"/>
              </w:rPr>
            </w:pPr>
          </w:p>
        </w:tc>
      </w:tr>
      <w:tr w:rsidR="005636C7" w:rsidRPr="00F879AF" w14:paraId="2A473543" w14:textId="77777777" w:rsidTr="005636C7">
        <w:tc>
          <w:tcPr>
            <w:tcW w:w="3715" w:type="dxa"/>
          </w:tcPr>
          <w:p w14:paraId="1925E9D4"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McAlpine Hussmann (Panasonic Corp)</w:t>
            </w:r>
          </w:p>
        </w:tc>
        <w:tc>
          <w:tcPr>
            <w:tcW w:w="4677" w:type="dxa"/>
          </w:tcPr>
          <w:p w14:paraId="5E88343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Hussmann, Austral, Hussmann ICE, Hussmann Impact, Hussmann Specialty, McAlpine Hussmann</w:t>
            </w:r>
          </w:p>
        </w:tc>
      </w:tr>
      <w:tr w:rsidR="005636C7" w:rsidRPr="00F879AF" w14:paraId="2870FD5F" w14:textId="77777777" w:rsidTr="005636C7">
        <w:tc>
          <w:tcPr>
            <w:tcW w:w="3715" w:type="dxa"/>
          </w:tcPr>
          <w:p w14:paraId="08D30FA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Practical Products</w:t>
            </w:r>
          </w:p>
        </w:tc>
        <w:tc>
          <w:tcPr>
            <w:tcW w:w="4677" w:type="dxa"/>
          </w:tcPr>
          <w:p w14:paraId="240D2C8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Practical Products</w:t>
            </w:r>
          </w:p>
        </w:tc>
      </w:tr>
      <w:tr w:rsidR="005636C7" w:rsidRPr="00F879AF" w14:paraId="60C22671" w14:textId="77777777" w:rsidTr="005636C7">
        <w:tc>
          <w:tcPr>
            <w:tcW w:w="3715" w:type="dxa"/>
          </w:tcPr>
          <w:p w14:paraId="11B4FB4F"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Spilsbury &amp; Wenzel</w:t>
            </w:r>
          </w:p>
        </w:tc>
        <w:tc>
          <w:tcPr>
            <w:tcW w:w="4677" w:type="dxa"/>
          </w:tcPr>
          <w:p w14:paraId="6719B859"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Spilsbury &amp; Wenzel</w:t>
            </w:r>
          </w:p>
        </w:tc>
      </w:tr>
      <w:tr w:rsidR="005636C7" w:rsidRPr="00F879AF" w14:paraId="510C5660" w14:textId="77777777" w:rsidTr="005636C7">
        <w:tc>
          <w:tcPr>
            <w:tcW w:w="3715" w:type="dxa"/>
          </w:tcPr>
          <w:p w14:paraId="13499D69"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Stoddart</w:t>
            </w:r>
          </w:p>
        </w:tc>
        <w:tc>
          <w:tcPr>
            <w:tcW w:w="4677" w:type="dxa"/>
          </w:tcPr>
          <w:p w14:paraId="0A288F4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Stoddart, Woodson, Culinaire, Adande, Koldtech</w:t>
            </w:r>
          </w:p>
        </w:tc>
      </w:tr>
      <w:tr w:rsidR="005636C7" w:rsidRPr="00F879AF" w14:paraId="5104D2F1" w14:textId="77777777" w:rsidTr="005636C7">
        <w:tc>
          <w:tcPr>
            <w:tcW w:w="3715" w:type="dxa"/>
            <w:vAlign w:val="center"/>
          </w:tcPr>
          <w:p w14:paraId="615A8FB1"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22"/>
              </w:rPr>
              <w:t>Trent Refrigeration</w:t>
            </w:r>
          </w:p>
        </w:tc>
        <w:tc>
          <w:tcPr>
            <w:tcW w:w="4677" w:type="dxa"/>
            <w:vAlign w:val="center"/>
          </w:tcPr>
          <w:p w14:paraId="6A476BF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22"/>
              </w:rPr>
              <w:t xml:space="preserve">Trent </w:t>
            </w:r>
          </w:p>
        </w:tc>
      </w:tr>
      <w:tr w:rsidR="005636C7" w:rsidRPr="00F879AF" w14:paraId="7F792239" w14:textId="77777777" w:rsidTr="005636C7">
        <w:tc>
          <w:tcPr>
            <w:tcW w:w="3715" w:type="dxa"/>
          </w:tcPr>
          <w:p w14:paraId="411D51F3"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Williams Refrigeration</w:t>
            </w:r>
          </w:p>
        </w:tc>
        <w:tc>
          <w:tcPr>
            <w:tcW w:w="4677" w:type="dxa"/>
          </w:tcPr>
          <w:p w14:paraId="1CDDAE6C"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Williams</w:t>
            </w:r>
          </w:p>
        </w:tc>
      </w:tr>
    </w:tbl>
    <w:p w14:paraId="6522DF5D" w14:textId="77777777" w:rsidR="005636C7" w:rsidRDefault="005636C7" w:rsidP="005636C7">
      <w:pPr>
        <w:pStyle w:val="E3Heading4"/>
      </w:pPr>
      <w:bookmarkStart w:id="497" w:name="_Toc447533638"/>
    </w:p>
    <w:p w14:paraId="05DFD9F7" w14:textId="77777777" w:rsidR="005636C7" w:rsidRPr="00F879AF" w:rsidRDefault="005636C7" w:rsidP="005636C7">
      <w:pPr>
        <w:pStyle w:val="E3Heading4"/>
      </w:pPr>
      <w:r w:rsidRPr="00F879AF">
        <w:t>Businesses in Australia that import refrigerated equipment</w:t>
      </w:r>
      <w:bookmarkEnd w:id="497"/>
      <w:r w:rsidRPr="00F879AF">
        <w:t xml:space="preserve"> for supply</w:t>
      </w:r>
      <w:r w:rsidRPr="00F879AF">
        <w:rPr>
          <w:vertAlign w:val="superscript"/>
        </w:rPr>
        <w:footnoteReference w:customMarkFollows="1" w:id="57"/>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3E58FEE5" w14:textId="77777777" w:rsidTr="005636C7">
        <w:trPr>
          <w:tblHeader/>
        </w:trPr>
        <w:tc>
          <w:tcPr>
            <w:tcW w:w="3715" w:type="dxa"/>
            <w:shd w:val="clear" w:color="auto" w:fill="0C0C0C"/>
            <w:vAlign w:val="center"/>
          </w:tcPr>
          <w:p w14:paraId="77B990C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Importer/supplier</w:t>
            </w:r>
          </w:p>
        </w:tc>
        <w:tc>
          <w:tcPr>
            <w:tcW w:w="4677" w:type="dxa"/>
            <w:shd w:val="clear" w:color="auto" w:fill="0C0C0C"/>
            <w:vAlign w:val="center"/>
          </w:tcPr>
          <w:p w14:paraId="24F3F70A"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7BC9EFA3" w14:textId="77777777" w:rsidTr="005636C7">
        <w:tc>
          <w:tcPr>
            <w:tcW w:w="3715" w:type="dxa"/>
            <w:vAlign w:val="center"/>
          </w:tcPr>
          <w:p w14:paraId="77375CDF"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888 Importing (see Kitchen Equipment Australia)</w:t>
            </w:r>
          </w:p>
        </w:tc>
        <w:tc>
          <w:tcPr>
            <w:tcW w:w="4677" w:type="dxa"/>
          </w:tcPr>
          <w:p w14:paraId="21F2D45E"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Mitchel Refrigeration, KEA</w:t>
            </w:r>
          </w:p>
        </w:tc>
      </w:tr>
      <w:tr w:rsidR="005636C7" w:rsidRPr="00F879AF" w14:paraId="3DF97BC8" w14:textId="77777777" w:rsidTr="005636C7">
        <w:tc>
          <w:tcPr>
            <w:tcW w:w="3715" w:type="dxa"/>
            <w:vAlign w:val="center"/>
          </w:tcPr>
          <w:p w14:paraId="0CFB4A16"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A J Baker &amp; Sons</w:t>
            </w:r>
          </w:p>
        </w:tc>
        <w:tc>
          <w:tcPr>
            <w:tcW w:w="4677" w:type="dxa"/>
          </w:tcPr>
          <w:p w14:paraId="1F55E9DD"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Vienna, Bonnet Neve, IARP</w:t>
            </w:r>
          </w:p>
        </w:tc>
      </w:tr>
      <w:tr w:rsidR="005636C7" w:rsidRPr="00F879AF" w14:paraId="5486E2FE" w14:textId="77777777" w:rsidTr="005636C7">
        <w:tc>
          <w:tcPr>
            <w:tcW w:w="3715" w:type="dxa"/>
          </w:tcPr>
          <w:p w14:paraId="270E7FD9"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Able Products</w:t>
            </w:r>
          </w:p>
        </w:tc>
        <w:tc>
          <w:tcPr>
            <w:tcW w:w="4677" w:type="dxa"/>
          </w:tcPr>
          <w:p w14:paraId="724B79A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Afinox</w:t>
            </w:r>
          </w:p>
        </w:tc>
      </w:tr>
      <w:tr w:rsidR="005636C7" w:rsidRPr="00F879AF" w14:paraId="2FF3AA74" w14:textId="77777777" w:rsidTr="005636C7">
        <w:tc>
          <w:tcPr>
            <w:tcW w:w="3715" w:type="dxa"/>
          </w:tcPr>
          <w:p w14:paraId="55BF16B2"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Adgemis</w:t>
            </w:r>
          </w:p>
          <w:p w14:paraId="1ED67E23"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(Albany Refrigeration Australia)</w:t>
            </w:r>
          </w:p>
        </w:tc>
        <w:tc>
          <w:tcPr>
            <w:tcW w:w="4677" w:type="dxa"/>
          </w:tcPr>
          <w:p w14:paraId="25B1C588"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(Distributor and reseller)</w:t>
            </w:r>
          </w:p>
        </w:tc>
      </w:tr>
      <w:tr w:rsidR="005636C7" w:rsidRPr="00F879AF" w14:paraId="39FD2562" w14:textId="77777777" w:rsidTr="005636C7">
        <w:tc>
          <w:tcPr>
            <w:tcW w:w="3715" w:type="dxa"/>
          </w:tcPr>
          <w:p w14:paraId="31DEF8E3"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Alpha Catering Equipment</w:t>
            </w:r>
          </w:p>
        </w:tc>
        <w:tc>
          <w:tcPr>
            <w:tcW w:w="4677" w:type="dxa"/>
          </w:tcPr>
          <w:p w14:paraId="51FEE0A6"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Alpha Catering Equipment</w:t>
            </w:r>
          </w:p>
        </w:tc>
      </w:tr>
      <w:tr w:rsidR="005636C7" w:rsidRPr="00F879AF" w14:paraId="6BC1A4BC" w14:textId="77777777" w:rsidTr="005636C7">
        <w:tc>
          <w:tcPr>
            <w:tcW w:w="3715" w:type="dxa"/>
          </w:tcPr>
          <w:p w14:paraId="3F8FFBB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Anaconda Wholesale</w:t>
            </w:r>
          </w:p>
        </w:tc>
        <w:tc>
          <w:tcPr>
            <w:tcW w:w="4677" w:type="dxa"/>
          </w:tcPr>
          <w:p w14:paraId="11B8708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Beerkool, Norsk</w:t>
            </w:r>
          </w:p>
        </w:tc>
      </w:tr>
      <w:tr w:rsidR="005636C7" w:rsidRPr="00F879AF" w14:paraId="2A2D1CFA" w14:textId="77777777" w:rsidTr="005636C7">
        <w:tc>
          <w:tcPr>
            <w:tcW w:w="3715" w:type="dxa"/>
          </w:tcPr>
          <w:p w14:paraId="7ED9BB40"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Arneg Oceania</w:t>
            </w:r>
          </w:p>
        </w:tc>
        <w:tc>
          <w:tcPr>
            <w:tcW w:w="4677" w:type="dxa"/>
          </w:tcPr>
          <w:p w14:paraId="01F1894E"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Arneg</w:t>
            </w:r>
          </w:p>
        </w:tc>
      </w:tr>
      <w:tr w:rsidR="005636C7" w:rsidRPr="00F879AF" w14:paraId="4EBA7FEC" w14:textId="77777777" w:rsidTr="005636C7">
        <w:tc>
          <w:tcPr>
            <w:tcW w:w="3715" w:type="dxa"/>
          </w:tcPr>
          <w:p w14:paraId="1FBD59AC"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Artisan Group</w:t>
            </w:r>
          </w:p>
        </w:tc>
        <w:tc>
          <w:tcPr>
            <w:tcW w:w="4677" w:type="dxa"/>
          </w:tcPr>
          <w:p w14:paraId="3E25E477"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Artisan, Coldmart</w:t>
            </w:r>
          </w:p>
        </w:tc>
      </w:tr>
      <w:tr w:rsidR="005636C7" w:rsidRPr="00F879AF" w14:paraId="6B88B26F" w14:textId="77777777" w:rsidTr="005636C7">
        <w:tc>
          <w:tcPr>
            <w:tcW w:w="3715" w:type="dxa"/>
          </w:tcPr>
          <w:p w14:paraId="63CA60A4"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Austwide</w:t>
            </w:r>
          </w:p>
        </w:tc>
        <w:tc>
          <w:tcPr>
            <w:tcW w:w="4677" w:type="dxa"/>
          </w:tcPr>
          <w:p w14:paraId="65EA6099"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Tropicale , ASR and Shamrock</w:t>
            </w:r>
          </w:p>
        </w:tc>
      </w:tr>
      <w:tr w:rsidR="005636C7" w:rsidRPr="00F879AF" w14:paraId="257DCE77" w14:textId="77777777" w:rsidTr="005636C7">
        <w:tc>
          <w:tcPr>
            <w:tcW w:w="3715" w:type="dxa"/>
          </w:tcPr>
          <w:p w14:paraId="763238E4"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Avem</w:t>
            </w:r>
          </w:p>
        </w:tc>
        <w:tc>
          <w:tcPr>
            <w:tcW w:w="4677" w:type="dxa"/>
          </w:tcPr>
          <w:p w14:paraId="7FBD8AAB"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Fri-Jado</w:t>
            </w:r>
          </w:p>
        </w:tc>
      </w:tr>
      <w:tr w:rsidR="005636C7" w:rsidRPr="00F879AF" w14:paraId="646D09F5" w14:textId="77777777" w:rsidTr="005636C7">
        <w:tc>
          <w:tcPr>
            <w:tcW w:w="3715" w:type="dxa"/>
          </w:tcPr>
          <w:p w14:paraId="666666F2"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Bevwizz Group</w:t>
            </w:r>
          </w:p>
        </w:tc>
        <w:tc>
          <w:tcPr>
            <w:tcW w:w="4677" w:type="dxa"/>
          </w:tcPr>
          <w:p w14:paraId="01884934" w14:textId="77777777" w:rsidR="005636C7" w:rsidRPr="00F879AF" w:rsidRDefault="005636C7" w:rsidP="005636C7">
            <w:pPr>
              <w:spacing w:before="60" w:after="60"/>
              <w:rPr>
                <w:rFonts w:ascii="Helvetica" w:hAnsi="Helvetica"/>
                <w:b/>
                <w:sz w:val="15"/>
                <w:szCs w:val="14"/>
              </w:rPr>
            </w:pPr>
            <w:r w:rsidRPr="00F879AF">
              <w:rPr>
                <w:rFonts w:ascii="Helvetica" w:hAnsi="Helvetica"/>
                <w:b/>
                <w:sz w:val="15"/>
                <w:szCs w:val="14"/>
              </w:rPr>
              <w:t>Bevwizz</w:t>
            </w:r>
          </w:p>
        </w:tc>
      </w:tr>
      <w:tr w:rsidR="005636C7" w:rsidRPr="00F879AF" w14:paraId="495D1A7E" w14:textId="77777777" w:rsidTr="005636C7">
        <w:tc>
          <w:tcPr>
            <w:tcW w:w="3715" w:type="dxa"/>
            <w:vAlign w:val="center"/>
          </w:tcPr>
          <w:p w14:paraId="4623F371"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Bromic</w:t>
            </w:r>
          </w:p>
        </w:tc>
        <w:tc>
          <w:tcPr>
            <w:tcW w:w="4677" w:type="dxa"/>
            <w:vAlign w:val="center"/>
          </w:tcPr>
          <w:p w14:paraId="6C3F0985"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Bromic, Jordao, Ugur</w:t>
            </w:r>
          </w:p>
        </w:tc>
      </w:tr>
      <w:tr w:rsidR="005636C7" w:rsidRPr="00F879AF" w14:paraId="6893EB5D" w14:textId="77777777" w:rsidTr="005636C7">
        <w:tc>
          <w:tcPr>
            <w:tcW w:w="3715" w:type="dxa"/>
            <w:vAlign w:val="center"/>
          </w:tcPr>
          <w:p w14:paraId="13CE3243"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Bryry Pty Ltd</w:t>
            </w:r>
          </w:p>
        </w:tc>
        <w:tc>
          <w:tcPr>
            <w:tcW w:w="4677" w:type="dxa"/>
            <w:vAlign w:val="center"/>
          </w:tcPr>
          <w:p w14:paraId="686AE9B0"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 xml:space="preserve">Turbo Line </w:t>
            </w:r>
          </w:p>
        </w:tc>
      </w:tr>
      <w:tr w:rsidR="005636C7" w:rsidRPr="00F879AF" w14:paraId="0335AF8E" w14:textId="77777777" w:rsidTr="005636C7">
        <w:tc>
          <w:tcPr>
            <w:tcW w:w="3715" w:type="dxa"/>
            <w:vAlign w:val="center"/>
          </w:tcPr>
          <w:p w14:paraId="0DB9343E"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Carrier Australia (United technologies)</w:t>
            </w:r>
          </w:p>
        </w:tc>
        <w:tc>
          <w:tcPr>
            <w:tcW w:w="4677" w:type="dxa"/>
            <w:vAlign w:val="center"/>
          </w:tcPr>
          <w:p w14:paraId="1515DFC1" w14:textId="77777777" w:rsidR="005636C7" w:rsidRPr="00F879AF" w:rsidRDefault="005636C7" w:rsidP="005636C7">
            <w:pPr>
              <w:spacing w:before="60" w:after="60"/>
              <w:rPr>
                <w:rFonts w:ascii="Helvetica" w:hAnsi="Helvetica"/>
                <w:b/>
                <w:sz w:val="15"/>
                <w:szCs w:val="14"/>
              </w:rPr>
            </w:pPr>
            <w:r w:rsidRPr="00F879AF">
              <w:rPr>
                <w:rFonts w:ascii="Helvetica" w:hAnsi="Helvetica" w:cs="Helvetica"/>
                <w:b/>
                <w:color w:val="000000"/>
                <w:sz w:val="15"/>
                <w:szCs w:val="22"/>
              </w:rPr>
              <w:t xml:space="preserve">Carrier </w:t>
            </w:r>
          </w:p>
        </w:tc>
      </w:tr>
      <w:tr w:rsidR="005636C7" w:rsidRPr="00F879AF" w14:paraId="1E46AAA2" w14:textId="77777777" w:rsidTr="005636C7">
        <w:tc>
          <w:tcPr>
            <w:tcW w:w="3715" w:type="dxa"/>
            <w:vAlign w:val="center"/>
          </w:tcPr>
          <w:p w14:paraId="3D9C96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Coca-Cola Amatil</w:t>
            </w:r>
          </w:p>
        </w:tc>
        <w:tc>
          <w:tcPr>
            <w:tcW w:w="4677" w:type="dxa"/>
            <w:vAlign w:val="center"/>
          </w:tcPr>
          <w:p w14:paraId="3B393F8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Coca-Cola Amatil </w:t>
            </w:r>
          </w:p>
        </w:tc>
      </w:tr>
      <w:tr w:rsidR="005636C7" w:rsidRPr="00F879AF" w14:paraId="7E27A1F5" w14:textId="77777777" w:rsidTr="005636C7">
        <w:tc>
          <w:tcPr>
            <w:tcW w:w="3715" w:type="dxa"/>
            <w:vAlign w:val="center"/>
          </w:tcPr>
          <w:p w14:paraId="180CD01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Central West Refrigeration</w:t>
            </w:r>
          </w:p>
        </w:tc>
        <w:tc>
          <w:tcPr>
            <w:tcW w:w="4677" w:type="dxa"/>
            <w:vAlign w:val="center"/>
          </w:tcPr>
          <w:p w14:paraId="3E98920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A00FE11" w14:textId="77777777" w:rsidTr="005636C7">
        <w:tc>
          <w:tcPr>
            <w:tcW w:w="3715" w:type="dxa"/>
            <w:vAlign w:val="center"/>
          </w:tcPr>
          <w:p w14:paraId="517D3EC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Commercial Fridge &amp; Freezer Sales Australia</w:t>
            </w:r>
          </w:p>
        </w:tc>
        <w:tc>
          <w:tcPr>
            <w:tcW w:w="4677" w:type="dxa"/>
            <w:vAlign w:val="center"/>
          </w:tcPr>
          <w:p w14:paraId="4CDDF4B1"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(Distributor and reseller)</w:t>
            </w:r>
          </w:p>
        </w:tc>
      </w:tr>
      <w:tr w:rsidR="005636C7" w:rsidRPr="00F879AF" w14:paraId="11F7EFC1" w14:textId="77777777" w:rsidTr="005636C7">
        <w:tc>
          <w:tcPr>
            <w:tcW w:w="3715" w:type="dxa"/>
            <w:vAlign w:val="center"/>
          </w:tcPr>
          <w:p w14:paraId="131FD53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Complete Beverage Services</w:t>
            </w:r>
          </w:p>
        </w:tc>
        <w:tc>
          <w:tcPr>
            <w:tcW w:w="4677" w:type="dxa"/>
            <w:vAlign w:val="center"/>
          </w:tcPr>
          <w:p w14:paraId="4743E01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Crystal Cooler</w:t>
            </w:r>
            <w:r w:rsidRPr="00F879AF">
              <w:rPr>
                <w:rFonts w:ascii="Helvetica" w:hAnsi="Helvetica" w:cs="Helvetica"/>
                <w:b/>
                <w:color w:val="FF0000"/>
                <w:sz w:val="15"/>
                <w:szCs w:val="22"/>
              </w:rPr>
              <w:t xml:space="preserve"> </w:t>
            </w:r>
          </w:p>
        </w:tc>
      </w:tr>
      <w:tr w:rsidR="005636C7" w:rsidRPr="00F879AF" w14:paraId="550DBAC5" w14:textId="77777777" w:rsidTr="005636C7">
        <w:tc>
          <w:tcPr>
            <w:tcW w:w="3715" w:type="dxa"/>
            <w:vAlign w:val="center"/>
          </w:tcPr>
          <w:p w14:paraId="6FB5711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Cyberchill Refrigeration</w:t>
            </w:r>
          </w:p>
        </w:tc>
        <w:tc>
          <w:tcPr>
            <w:tcW w:w="4677" w:type="dxa"/>
            <w:vAlign w:val="center"/>
          </w:tcPr>
          <w:p w14:paraId="1EC05F1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Cyberchill </w:t>
            </w:r>
          </w:p>
        </w:tc>
      </w:tr>
      <w:tr w:rsidR="005636C7" w:rsidRPr="00F879AF" w14:paraId="20BB5514" w14:textId="77777777" w:rsidTr="005636C7">
        <w:tc>
          <w:tcPr>
            <w:tcW w:w="3715" w:type="dxa"/>
            <w:vAlign w:val="center"/>
          </w:tcPr>
          <w:p w14:paraId="0AC2EC3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Delta Refrigeration Services</w:t>
            </w:r>
          </w:p>
        </w:tc>
        <w:tc>
          <w:tcPr>
            <w:tcW w:w="4677" w:type="dxa"/>
            <w:vAlign w:val="center"/>
          </w:tcPr>
          <w:p w14:paraId="72ED9D6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63DC9BD" w14:textId="77777777" w:rsidTr="005636C7">
        <w:tc>
          <w:tcPr>
            <w:tcW w:w="3715" w:type="dxa"/>
            <w:vAlign w:val="center"/>
          </w:tcPr>
          <w:p w14:paraId="4DBB94A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Exquisite Marketing Australia</w:t>
            </w:r>
          </w:p>
        </w:tc>
        <w:tc>
          <w:tcPr>
            <w:tcW w:w="4677" w:type="dxa"/>
            <w:vAlign w:val="center"/>
          </w:tcPr>
          <w:p w14:paraId="3042302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Liebherr, Exquisite, Exquisite Marketing Australia</w:t>
            </w:r>
          </w:p>
        </w:tc>
      </w:tr>
      <w:tr w:rsidR="005636C7" w:rsidRPr="00F879AF" w14:paraId="227266C8" w14:textId="77777777" w:rsidTr="005636C7">
        <w:tc>
          <w:tcPr>
            <w:tcW w:w="3715" w:type="dxa"/>
            <w:vAlign w:val="center"/>
          </w:tcPr>
          <w:p w14:paraId="3B7150BF"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Food Equipment Distributors</w:t>
            </w:r>
          </w:p>
        </w:tc>
        <w:tc>
          <w:tcPr>
            <w:tcW w:w="4677" w:type="dxa"/>
            <w:vAlign w:val="center"/>
          </w:tcPr>
          <w:p w14:paraId="0533773F"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Bellevista, FED, Thermatech Temperate</w:t>
            </w:r>
          </w:p>
        </w:tc>
      </w:tr>
      <w:tr w:rsidR="005636C7" w:rsidRPr="00F879AF" w14:paraId="1913C47E" w14:textId="77777777" w:rsidTr="005636C7">
        <w:tc>
          <w:tcPr>
            <w:tcW w:w="3715" w:type="dxa"/>
            <w:vAlign w:val="center"/>
          </w:tcPr>
          <w:p w14:paraId="19DDD7A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Frigoglass</w:t>
            </w:r>
          </w:p>
        </w:tc>
        <w:tc>
          <w:tcPr>
            <w:tcW w:w="4677" w:type="dxa"/>
            <w:vAlign w:val="center"/>
          </w:tcPr>
          <w:p w14:paraId="6EA70911"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Frigorex </w:t>
            </w:r>
          </w:p>
        </w:tc>
      </w:tr>
      <w:tr w:rsidR="005636C7" w:rsidRPr="00F879AF" w14:paraId="2517A183" w14:textId="77777777" w:rsidTr="005636C7">
        <w:tc>
          <w:tcPr>
            <w:tcW w:w="3715" w:type="dxa"/>
            <w:vAlign w:val="center"/>
          </w:tcPr>
          <w:p w14:paraId="2665DE3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Frigrite Refrigeration International</w:t>
            </w:r>
          </w:p>
        </w:tc>
        <w:tc>
          <w:tcPr>
            <w:tcW w:w="4677" w:type="dxa"/>
            <w:vAlign w:val="center"/>
          </w:tcPr>
          <w:p w14:paraId="2D0B49B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Frigrite International</w:t>
            </w:r>
          </w:p>
        </w:tc>
      </w:tr>
      <w:tr w:rsidR="005636C7" w:rsidRPr="00F879AF" w14:paraId="62BB730E" w14:textId="77777777" w:rsidTr="005636C7">
        <w:tc>
          <w:tcPr>
            <w:tcW w:w="3715" w:type="dxa"/>
            <w:vAlign w:val="center"/>
          </w:tcPr>
          <w:p w14:paraId="169BE2A1"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GAF Controls</w:t>
            </w:r>
          </w:p>
        </w:tc>
        <w:tc>
          <w:tcPr>
            <w:tcW w:w="4677" w:type="dxa"/>
            <w:vAlign w:val="center"/>
          </w:tcPr>
          <w:p w14:paraId="7551EB4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GAF </w:t>
            </w:r>
          </w:p>
        </w:tc>
      </w:tr>
      <w:tr w:rsidR="005636C7" w:rsidRPr="00F879AF" w14:paraId="2F4480D9" w14:textId="77777777" w:rsidTr="005636C7">
        <w:tc>
          <w:tcPr>
            <w:tcW w:w="3715" w:type="dxa"/>
            <w:vAlign w:val="center"/>
          </w:tcPr>
          <w:p w14:paraId="4C39DAE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Global Karma</w:t>
            </w:r>
          </w:p>
        </w:tc>
        <w:tc>
          <w:tcPr>
            <w:tcW w:w="4677" w:type="dxa"/>
            <w:vAlign w:val="center"/>
          </w:tcPr>
          <w:p w14:paraId="628F51D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Global Karma </w:t>
            </w:r>
          </w:p>
        </w:tc>
      </w:tr>
      <w:tr w:rsidR="005636C7" w:rsidRPr="00F879AF" w14:paraId="4F302053" w14:textId="77777777" w:rsidTr="005636C7">
        <w:tc>
          <w:tcPr>
            <w:tcW w:w="3715" w:type="dxa"/>
            <w:vAlign w:val="center"/>
          </w:tcPr>
          <w:p w14:paraId="720FDE7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Golden Bear Enterprises</w:t>
            </w:r>
          </w:p>
        </w:tc>
        <w:tc>
          <w:tcPr>
            <w:tcW w:w="4677" w:type="dxa"/>
            <w:vAlign w:val="center"/>
          </w:tcPr>
          <w:p w14:paraId="65D59E8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Bar Fridges Australia </w:t>
            </w:r>
          </w:p>
        </w:tc>
      </w:tr>
      <w:tr w:rsidR="005636C7" w:rsidRPr="00F879AF" w14:paraId="4C94F1B9" w14:textId="77777777" w:rsidTr="005636C7">
        <w:tc>
          <w:tcPr>
            <w:tcW w:w="3715" w:type="dxa"/>
            <w:vAlign w:val="center"/>
          </w:tcPr>
          <w:p w14:paraId="0454E43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Gren Innovation</w:t>
            </w:r>
          </w:p>
        </w:tc>
        <w:tc>
          <w:tcPr>
            <w:tcW w:w="4677" w:type="dxa"/>
            <w:vAlign w:val="center"/>
          </w:tcPr>
          <w:p w14:paraId="47C430E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Gren, Kinco </w:t>
            </w:r>
          </w:p>
        </w:tc>
      </w:tr>
      <w:tr w:rsidR="005636C7" w:rsidRPr="00F879AF" w14:paraId="7DB0FD5B" w14:textId="77777777" w:rsidTr="005636C7">
        <w:tc>
          <w:tcPr>
            <w:tcW w:w="3715" w:type="dxa"/>
            <w:vAlign w:val="center"/>
          </w:tcPr>
          <w:p w14:paraId="090A1DF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HEC Cater</w:t>
            </w:r>
          </w:p>
        </w:tc>
        <w:tc>
          <w:tcPr>
            <w:tcW w:w="4677" w:type="dxa"/>
            <w:vAlign w:val="center"/>
          </w:tcPr>
          <w:p w14:paraId="642BC1A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HEC</w:t>
            </w:r>
          </w:p>
        </w:tc>
      </w:tr>
      <w:tr w:rsidR="005636C7" w:rsidRPr="00F879AF" w14:paraId="143D1EBD" w14:textId="77777777" w:rsidTr="005636C7">
        <w:tc>
          <w:tcPr>
            <w:tcW w:w="3715" w:type="dxa"/>
            <w:vAlign w:val="center"/>
          </w:tcPr>
          <w:p w14:paraId="09F4762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Hill Equipment (AJ Baker &amp; Sons)</w:t>
            </w:r>
          </w:p>
        </w:tc>
        <w:tc>
          <w:tcPr>
            <w:tcW w:w="4677" w:type="dxa"/>
            <w:vAlign w:val="center"/>
          </w:tcPr>
          <w:p w14:paraId="0265BE2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19E861EE" w14:textId="77777777" w:rsidTr="005636C7">
        <w:tc>
          <w:tcPr>
            <w:tcW w:w="3715" w:type="dxa"/>
            <w:vAlign w:val="center"/>
          </w:tcPr>
          <w:p w14:paraId="07D0E51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Hoshizaki Lancer</w:t>
            </w:r>
          </w:p>
        </w:tc>
        <w:tc>
          <w:tcPr>
            <w:tcW w:w="4677" w:type="dxa"/>
            <w:vAlign w:val="center"/>
          </w:tcPr>
          <w:p w14:paraId="73F1AF8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Hoshizaki, Lancer Beverage, AHT </w:t>
            </w:r>
          </w:p>
        </w:tc>
      </w:tr>
      <w:tr w:rsidR="005636C7" w:rsidRPr="00F879AF" w14:paraId="23DCCE45" w14:textId="77777777" w:rsidTr="005636C7">
        <w:tc>
          <w:tcPr>
            <w:tcW w:w="3715" w:type="dxa"/>
            <w:vAlign w:val="center"/>
          </w:tcPr>
          <w:p w14:paraId="0301B9D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Hospitality &amp; Beverage Solutions</w:t>
            </w:r>
          </w:p>
        </w:tc>
        <w:tc>
          <w:tcPr>
            <w:tcW w:w="4677" w:type="dxa"/>
            <w:vAlign w:val="center"/>
          </w:tcPr>
          <w:p w14:paraId="7442059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HAB</w:t>
            </w:r>
          </w:p>
        </w:tc>
      </w:tr>
      <w:tr w:rsidR="005636C7" w:rsidRPr="00F879AF" w14:paraId="55C54F14" w14:textId="77777777" w:rsidTr="005636C7">
        <w:tc>
          <w:tcPr>
            <w:tcW w:w="3715" w:type="dxa"/>
            <w:vAlign w:val="center"/>
          </w:tcPr>
          <w:p w14:paraId="68E1ECD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Huxford Refrigeration</w:t>
            </w:r>
          </w:p>
        </w:tc>
        <w:tc>
          <w:tcPr>
            <w:tcW w:w="4677" w:type="dxa"/>
            <w:vAlign w:val="center"/>
          </w:tcPr>
          <w:p w14:paraId="3E4770F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Huxford </w:t>
            </w:r>
          </w:p>
        </w:tc>
      </w:tr>
      <w:tr w:rsidR="005636C7" w:rsidRPr="00F879AF" w14:paraId="225BC659" w14:textId="77777777" w:rsidTr="005636C7">
        <w:tc>
          <w:tcPr>
            <w:tcW w:w="3715" w:type="dxa"/>
            <w:vAlign w:val="center"/>
          </w:tcPr>
          <w:p w14:paraId="0D77979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ICS Pacific</w:t>
            </w:r>
          </w:p>
        </w:tc>
        <w:tc>
          <w:tcPr>
            <w:tcW w:w="4677" w:type="dxa"/>
            <w:vAlign w:val="center"/>
          </w:tcPr>
          <w:p w14:paraId="3FFE85B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ICS Pacific</w:t>
            </w:r>
          </w:p>
        </w:tc>
      </w:tr>
      <w:tr w:rsidR="005636C7" w:rsidRPr="00F879AF" w14:paraId="7A647AAF" w14:textId="77777777" w:rsidTr="005636C7">
        <w:tc>
          <w:tcPr>
            <w:tcW w:w="3715" w:type="dxa"/>
            <w:vAlign w:val="center"/>
          </w:tcPr>
          <w:p w14:paraId="35D4FF2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International Catering Equipment</w:t>
            </w:r>
          </w:p>
        </w:tc>
        <w:tc>
          <w:tcPr>
            <w:tcW w:w="4677" w:type="dxa"/>
            <w:vAlign w:val="center"/>
          </w:tcPr>
          <w:p w14:paraId="474D453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ICE, Polariz, Inomak </w:t>
            </w:r>
          </w:p>
        </w:tc>
      </w:tr>
      <w:tr w:rsidR="005636C7" w:rsidRPr="00F879AF" w14:paraId="4E5EC04A" w14:textId="77777777" w:rsidTr="005636C7">
        <w:tc>
          <w:tcPr>
            <w:tcW w:w="3715" w:type="dxa"/>
            <w:vAlign w:val="center"/>
          </w:tcPr>
          <w:p w14:paraId="7BC37E8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 Refrigeration Group Australia</w:t>
            </w:r>
          </w:p>
        </w:tc>
        <w:tc>
          <w:tcPr>
            <w:tcW w:w="4677" w:type="dxa"/>
            <w:vAlign w:val="center"/>
          </w:tcPr>
          <w:p w14:paraId="15D95A0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Koxka, Kobol</w:t>
            </w:r>
          </w:p>
        </w:tc>
      </w:tr>
      <w:tr w:rsidR="005636C7" w:rsidRPr="00F879AF" w14:paraId="16263CBD" w14:textId="77777777" w:rsidTr="005636C7">
        <w:tc>
          <w:tcPr>
            <w:tcW w:w="3715" w:type="dxa"/>
            <w:vAlign w:val="center"/>
          </w:tcPr>
          <w:p w14:paraId="2403AE4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Kingloc Commercial Refrigeration</w:t>
            </w:r>
          </w:p>
        </w:tc>
        <w:tc>
          <w:tcPr>
            <w:tcW w:w="4677" w:type="dxa"/>
            <w:vAlign w:val="center"/>
          </w:tcPr>
          <w:p w14:paraId="3C409F2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Kingloc </w:t>
            </w:r>
          </w:p>
        </w:tc>
      </w:tr>
      <w:tr w:rsidR="005636C7" w:rsidRPr="00F879AF" w14:paraId="2C1DCC5D" w14:textId="77777777" w:rsidTr="005636C7">
        <w:tc>
          <w:tcPr>
            <w:tcW w:w="3715" w:type="dxa"/>
            <w:vAlign w:val="center"/>
          </w:tcPr>
          <w:p w14:paraId="53F4E08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Kitchen Equipment Australia </w:t>
            </w:r>
          </w:p>
        </w:tc>
        <w:tc>
          <w:tcPr>
            <w:tcW w:w="4677" w:type="dxa"/>
            <w:vAlign w:val="center"/>
          </w:tcPr>
          <w:p w14:paraId="7456418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KEA</w:t>
            </w:r>
          </w:p>
        </w:tc>
      </w:tr>
      <w:tr w:rsidR="005636C7" w:rsidRPr="00F879AF" w14:paraId="5316CB55" w14:textId="77777777" w:rsidTr="005636C7">
        <w:tc>
          <w:tcPr>
            <w:tcW w:w="3715" w:type="dxa"/>
            <w:vAlign w:val="center"/>
          </w:tcPr>
          <w:p w14:paraId="0E35D54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Lazco</w:t>
            </w:r>
          </w:p>
        </w:tc>
        <w:tc>
          <w:tcPr>
            <w:tcW w:w="4677" w:type="dxa"/>
            <w:vAlign w:val="center"/>
          </w:tcPr>
          <w:p w14:paraId="424458F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Afinox</w:t>
            </w:r>
          </w:p>
        </w:tc>
      </w:tr>
      <w:tr w:rsidR="005636C7" w:rsidRPr="00F879AF" w14:paraId="258E1087" w14:textId="77777777" w:rsidTr="005636C7">
        <w:tc>
          <w:tcPr>
            <w:tcW w:w="3715" w:type="dxa"/>
            <w:vAlign w:val="center"/>
          </w:tcPr>
          <w:p w14:paraId="2C836B86"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Maurice Kemp &amp; Associates</w:t>
            </w:r>
          </w:p>
        </w:tc>
        <w:tc>
          <w:tcPr>
            <w:tcW w:w="4677" w:type="dxa"/>
            <w:vAlign w:val="center"/>
          </w:tcPr>
          <w:p w14:paraId="48C0BFE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GRAM, Gram Commercial</w:t>
            </w:r>
          </w:p>
        </w:tc>
      </w:tr>
      <w:tr w:rsidR="005636C7" w:rsidRPr="00F879AF" w14:paraId="4D337E1F" w14:textId="77777777" w:rsidTr="005636C7">
        <w:tc>
          <w:tcPr>
            <w:tcW w:w="3715" w:type="dxa"/>
            <w:vAlign w:val="center"/>
          </w:tcPr>
          <w:p w14:paraId="561CD33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Milan Refrigeration</w:t>
            </w:r>
          </w:p>
        </w:tc>
        <w:tc>
          <w:tcPr>
            <w:tcW w:w="4677" w:type="dxa"/>
            <w:vAlign w:val="center"/>
          </w:tcPr>
          <w:p w14:paraId="2ADF224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Milan Refrigeration, Lassele, Staycold</w:t>
            </w:r>
          </w:p>
        </w:tc>
      </w:tr>
      <w:tr w:rsidR="005636C7" w:rsidRPr="00F879AF" w14:paraId="03882451" w14:textId="77777777" w:rsidTr="005636C7">
        <w:tc>
          <w:tcPr>
            <w:tcW w:w="3715" w:type="dxa"/>
            <w:vAlign w:val="center"/>
          </w:tcPr>
          <w:p w14:paraId="4B7A542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Nisbets Australia</w:t>
            </w:r>
          </w:p>
        </w:tc>
        <w:tc>
          <w:tcPr>
            <w:tcW w:w="4677" w:type="dxa"/>
            <w:vAlign w:val="center"/>
          </w:tcPr>
          <w:p w14:paraId="2EFB8E2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Polar Refrigeration</w:t>
            </w:r>
          </w:p>
        </w:tc>
      </w:tr>
      <w:tr w:rsidR="005636C7" w:rsidRPr="00F879AF" w14:paraId="72438E44" w14:textId="77777777" w:rsidTr="005636C7">
        <w:tc>
          <w:tcPr>
            <w:tcW w:w="3715" w:type="dxa"/>
            <w:vAlign w:val="center"/>
          </w:tcPr>
          <w:p w14:paraId="18E5DDD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The Orford Group</w:t>
            </w:r>
          </w:p>
        </w:tc>
        <w:tc>
          <w:tcPr>
            <w:tcW w:w="4677" w:type="dxa"/>
            <w:vAlign w:val="center"/>
          </w:tcPr>
          <w:p w14:paraId="457D481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Orford Group </w:t>
            </w:r>
          </w:p>
        </w:tc>
      </w:tr>
      <w:tr w:rsidR="005636C7" w:rsidRPr="00F879AF" w14:paraId="5D3E56E1" w14:textId="77777777" w:rsidTr="005636C7">
        <w:tc>
          <w:tcPr>
            <w:tcW w:w="3715" w:type="dxa"/>
            <w:vAlign w:val="center"/>
          </w:tcPr>
          <w:p w14:paraId="24B5C6D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Quality Traders</w:t>
            </w:r>
          </w:p>
        </w:tc>
        <w:tc>
          <w:tcPr>
            <w:tcW w:w="4677" w:type="dxa"/>
            <w:vAlign w:val="center"/>
          </w:tcPr>
          <w:p w14:paraId="6C99A43B"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Berjaya</w:t>
            </w:r>
          </w:p>
        </w:tc>
      </w:tr>
      <w:tr w:rsidR="005636C7" w:rsidRPr="00F879AF" w14:paraId="12CFB967" w14:textId="77777777" w:rsidTr="005636C7">
        <w:tc>
          <w:tcPr>
            <w:tcW w:w="3715" w:type="dxa"/>
            <w:vAlign w:val="center"/>
          </w:tcPr>
          <w:p w14:paraId="3B97E1D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Quirks</w:t>
            </w:r>
          </w:p>
        </w:tc>
        <w:tc>
          <w:tcPr>
            <w:tcW w:w="4677" w:type="dxa"/>
            <w:vAlign w:val="center"/>
          </w:tcPr>
          <w:p w14:paraId="4CC092E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ISA, Quirks, Sight</w:t>
            </w:r>
          </w:p>
        </w:tc>
      </w:tr>
      <w:tr w:rsidR="005636C7" w:rsidRPr="00F879AF" w14:paraId="31679631" w14:textId="77777777" w:rsidTr="005636C7">
        <w:tc>
          <w:tcPr>
            <w:tcW w:w="3715" w:type="dxa"/>
            <w:vAlign w:val="center"/>
          </w:tcPr>
          <w:p w14:paraId="46085AF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Red Bull Australia</w:t>
            </w:r>
          </w:p>
        </w:tc>
        <w:tc>
          <w:tcPr>
            <w:tcW w:w="4677" w:type="dxa"/>
            <w:vAlign w:val="center"/>
          </w:tcPr>
          <w:p w14:paraId="4996989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AHT, Liebherr, Frigoglass, Baixue, Red Bull</w:t>
            </w:r>
          </w:p>
        </w:tc>
      </w:tr>
      <w:tr w:rsidR="005636C7" w:rsidRPr="00F879AF" w14:paraId="265973F2" w14:textId="77777777" w:rsidTr="005636C7">
        <w:tc>
          <w:tcPr>
            <w:tcW w:w="3715" w:type="dxa"/>
            <w:vAlign w:val="center"/>
          </w:tcPr>
          <w:p w14:paraId="6DF9B36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Refrigeration Rentals and Sales</w:t>
            </w:r>
          </w:p>
          <w:p w14:paraId="1F63B1C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(Zero Commercial Refrigeration)</w:t>
            </w:r>
          </w:p>
        </w:tc>
        <w:tc>
          <w:tcPr>
            <w:tcW w:w="4677" w:type="dxa"/>
            <w:vAlign w:val="center"/>
          </w:tcPr>
          <w:p w14:paraId="4EA8372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422BF6FC" w14:textId="77777777" w:rsidTr="005636C7">
        <w:tc>
          <w:tcPr>
            <w:tcW w:w="3715" w:type="dxa"/>
            <w:vAlign w:val="center"/>
          </w:tcPr>
          <w:p w14:paraId="50C1C00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Rhino Equipment</w:t>
            </w:r>
          </w:p>
        </w:tc>
        <w:tc>
          <w:tcPr>
            <w:tcW w:w="4677" w:type="dxa"/>
            <w:vAlign w:val="center"/>
          </w:tcPr>
          <w:p w14:paraId="33F111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Rhino</w:t>
            </w:r>
          </w:p>
        </w:tc>
      </w:tr>
      <w:tr w:rsidR="005636C7" w:rsidRPr="00F879AF" w14:paraId="6D4C6786" w14:textId="77777777" w:rsidTr="005636C7">
        <w:tc>
          <w:tcPr>
            <w:tcW w:w="3715" w:type="dxa"/>
            <w:vAlign w:val="center"/>
          </w:tcPr>
          <w:p w14:paraId="2BAEF80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Roband Australia</w:t>
            </w:r>
          </w:p>
        </w:tc>
        <w:tc>
          <w:tcPr>
            <w:tcW w:w="4677" w:type="dxa"/>
            <w:vAlign w:val="center"/>
          </w:tcPr>
          <w:p w14:paraId="726D7C7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Roband</w:t>
            </w:r>
          </w:p>
        </w:tc>
      </w:tr>
      <w:tr w:rsidR="005636C7" w:rsidRPr="00F879AF" w14:paraId="154A80BE" w14:textId="77777777" w:rsidTr="005636C7">
        <w:tc>
          <w:tcPr>
            <w:tcW w:w="3715" w:type="dxa"/>
            <w:vAlign w:val="center"/>
          </w:tcPr>
          <w:p w14:paraId="272C636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Roller Grill Australia</w:t>
            </w:r>
          </w:p>
        </w:tc>
        <w:tc>
          <w:tcPr>
            <w:tcW w:w="4677" w:type="dxa"/>
            <w:vAlign w:val="center"/>
          </w:tcPr>
          <w:p w14:paraId="6CEE83F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Roller Grill Australia </w:t>
            </w:r>
          </w:p>
        </w:tc>
      </w:tr>
      <w:tr w:rsidR="005636C7" w:rsidRPr="00F879AF" w14:paraId="0876ABF0" w14:textId="77777777" w:rsidTr="005636C7">
        <w:tc>
          <w:tcPr>
            <w:tcW w:w="3715" w:type="dxa"/>
            <w:vAlign w:val="center"/>
          </w:tcPr>
          <w:p w14:paraId="6639A80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Ruey Shing Australia</w:t>
            </w:r>
          </w:p>
        </w:tc>
        <w:tc>
          <w:tcPr>
            <w:tcW w:w="4677" w:type="dxa"/>
            <w:vAlign w:val="center"/>
          </w:tcPr>
          <w:p w14:paraId="4CEF03EE"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Ruey Shing Australia </w:t>
            </w:r>
          </w:p>
        </w:tc>
      </w:tr>
      <w:tr w:rsidR="005636C7" w:rsidRPr="00F879AF" w14:paraId="2276F91F" w14:textId="77777777" w:rsidTr="005636C7">
        <w:tc>
          <w:tcPr>
            <w:tcW w:w="3715" w:type="dxa"/>
            <w:vAlign w:val="center"/>
          </w:tcPr>
          <w:p w14:paraId="4BAECDEF"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Sanden International</w:t>
            </w:r>
          </w:p>
        </w:tc>
        <w:tc>
          <w:tcPr>
            <w:tcW w:w="4677" w:type="dxa"/>
            <w:vAlign w:val="center"/>
          </w:tcPr>
          <w:p w14:paraId="0C1F291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Sanden, Sanden Intercool</w:t>
            </w:r>
          </w:p>
        </w:tc>
      </w:tr>
      <w:tr w:rsidR="005636C7" w:rsidRPr="00F879AF" w14:paraId="2496650E" w14:textId="77777777" w:rsidTr="005636C7">
        <w:tc>
          <w:tcPr>
            <w:tcW w:w="3715" w:type="dxa"/>
            <w:vAlign w:val="center"/>
          </w:tcPr>
          <w:p w14:paraId="493FD77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SCSR Pty Ltd</w:t>
            </w:r>
          </w:p>
        </w:tc>
        <w:tc>
          <w:tcPr>
            <w:tcW w:w="4677" w:type="dxa"/>
            <w:vAlign w:val="center"/>
          </w:tcPr>
          <w:p w14:paraId="313A4C8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SCSR</w:t>
            </w:r>
          </w:p>
        </w:tc>
      </w:tr>
      <w:tr w:rsidR="005636C7" w:rsidRPr="00F879AF" w14:paraId="1FE832D1" w14:textId="77777777" w:rsidTr="005636C7">
        <w:tc>
          <w:tcPr>
            <w:tcW w:w="3715" w:type="dxa"/>
            <w:vAlign w:val="center"/>
          </w:tcPr>
          <w:p w14:paraId="38AFA2A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Skope Australia Pty Ltd</w:t>
            </w:r>
          </w:p>
        </w:tc>
        <w:tc>
          <w:tcPr>
            <w:tcW w:w="4677" w:type="dxa"/>
            <w:vAlign w:val="center"/>
          </w:tcPr>
          <w:p w14:paraId="44FFAEF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SKOPE several products </w:t>
            </w:r>
          </w:p>
        </w:tc>
      </w:tr>
      <w:tr w:rsidR="005636C7" w:rsidRPr="00F879AF" w14:paraId="1DA45202" w14:textId="77777777" w:rsidTr="005636C7">
        <w:tc>
          <w:tcPr>
            <w:tcW w:w="3715" w:type="dxa"/>
            <w:vAlign w:val="center"/>
          </w:tcPr>
          <w:p w14:paraId="29F243C9"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Southern Hospitality</w:t>
            </w:r>
          </w:p>
        </w:tc>
        <w:tc>
          <w:tcPr>
            <w:tcW w:w="4677" w:type="dxa"/>
            <w:vAlign w:val="center"/>
          </w:tcPr>
          <w:p w14:paraId="4E1F30EA"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Southern Hospitality, Leader</w:t>
            </w:r>
          </w:p>
        </w:tc>
      </w:tr>
      <w:tr w:rsidR="005636C7" w:rsidRPr="00F879AF" w14:paraId="590A91E9" w14:textId="77777777" w:rsidTr="005636C7">
        <w:tc>
          <w:tcPr>
            <w:tcW w:w="3715" w:type="dxa"/>
            <w:vAlign w:val="center"/>
          </w:tcPr>
          <w:p w14:paraId="43EAD7C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Specialised Refrigeration Services</w:t>
            </w:r>
          </w:p>
        </w:tc>
        <w:tc>
          <w:tcPr>
            <w:tcW w:w="4677" w:type="dxa"/>
            <w:vAlign w:val="center"/>
          </w:tcPr>
          <w:p w14:paraId="236447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DDCA535" w14:textId="77777777" w:rsidTr="005636C7">
        <w:tc>
          <w:tcPr>
            <w:tcW w:w="3715" w:type="dxa"/>
            <w:vAlign w:val="center"/>
          </w:tcPr>
          <w:p w14:paraId="058C835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TME Refrigeration</w:t>
            </w:r>
          </w:p>
        </w:tc>
        <w:tc>
          <w:tcPr>
            <w:tcW w:w="4677" w:type="dxa"/>
            <w:vAlign w:val="center"/>
          </w:tcPr>
          <w:p w14:paraId="7A9694F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Silfer </w:t>
            </w:r>
          </w:p>
        </w:tc>
      </w:tr>
      <w:tr w:rsidR="005636C7" w:rsidRPr="00F879AF" w14:paraId="7F5B924B" w14:textId="77777777" w:rsidTr="005636C7">
        <w:tc>
          <w:tcPr>
            <w:tcW w:w="3715" w:type="dxa"/>
            <w:vAlign w:val="center"/>
          </w:tcPr>
          <w:p w14:paraId="14BAE35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True Food International</w:t>
            </w:r>
          </w:p>
        </w:tc>
        <w:tc>
          <w:tcPr>
            <w:tcW w:w="4677" w:type="dxa"/>
            <w:vAlign w:val="center"/>
          </w:tcPr>
          <w:p w14:paraId="60B0F2B2"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True Food International, True Manufacturing</w:t>
            </w:r>
          </w:p>
        </w:tc>
      </w:tr>
      <w:tr w:rsidR="005636C7" w:rsidRPr="00F879AF" w14:paraId="6883C431" w14:textId="77777777" w:rsidTr="005636C7">
        <w:tc>
          <w:tcPr>
            <w:tcW w:w="3715" w:type="dxa"/>
            <w:vAlign w:val="center"/>
          </w:tcPr>
          <w:p w14:paraId="77083C3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Turbo Air Refrigeration</w:t>
            </w:r>
          </w:p>
          <w:p w14:paraId="11FAABE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(BaySupply Food Service Equipment &amp; Supply)</w:t>
            </w:r>
          </w:p>
        </w:tc>
        <w:tc>
          <w:tcPr>
            <w:tcW w:w="4677" w:type="dxa"/>
            <w:vAlign w:val="center"/>
          </w:tcPr>
          <w:p w14:paraId="58A26183"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Turbo Air Refrigeration</w:t>
            </w:r>
          </w:p>
        </w:tc>
      </w:tr>
      <w:tr w:rsidR="005636C7" w:rsidRPr="00F879AF" w14:paraId="18763770" w14:textId="77777777" w:rsidTr="005636C7">
        <w:tc>
          <w:tcPr>
            <w:tcW w:w="3715" w:type="dxa"/>
            <w:vAlign w:val="center"/>
          </w:tcPr>
          <w:p w14:paraId="220A7155"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Tu's Brothers</w:t>
            </w:r>
          </w:p>
          <w:p w14:paraId="05AA821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(Allcater Pty Ltd)</w:t>
            </w:r>
          </w:p>
        </w:tc>
        <w:tc>
          <w:tcPr>
            <w:tcW w:w="4677" w:type="dxa"/>
            <w:vAlign w:val="center"/>
          </w:tcPr>
          <w:p w14:paraId="794CF594"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Iceblue, Supertron </w:t>
            </w:r>
          </w:p>
        </w:tc>
      </w:tr>
      <w:tr w:rsidR="005636C7" w:rsidRPr="00F879AF" w14:paraId="70454D5B" w14:textId="77777777" w:rsidTr="005636C7">
        <w:tc>
          <w:tcPr>
            <w:tcW w:w="3715" w:type="dxa"/>
            <w:vAlign w:val="center"/>
          </w:tcPr>
          <w:p w14:paraId="0A398328"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United Refrigeration</w:t>
            </w:r>
          </w:p>
        </w:tc>
        <w:tc>
          <w:tcPr>
            <w:tcW w:w="4677" w:type="dxa"/>
            <w:vAlign w:val="center"/>
          </w:tcPr>
          <w:p w14:paraId="5B69433C"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t>
            </w:r>
          </w:p>
        </w:tc>
      </w:tr>
      <w:tr w:rsidR="005636C7" w:rsidRPr="00F879AF" w14:paraId="7087EFEA" w14:textId="77777777" w:rsidTr="005636C7">
        <w:tc>
          <w:tcPr>
            <w:tcW w:w="3715" w:type="dxa"/>
            <w:vAlign w:val="center"/>
          </w:tcPr>
          <w:p w14:paraId="2DB57FDD"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Unilever Australia</w:t>
            </w:r>
          </w:p>
        </w:tc>
        <w:tc>
          <w:tcPr>
            <w:tcW w:w="4677" w:type="dxa"/>
            <w:vAlign w:val="center"/>
          </w:tcPr>
          <w:p w14:paraId="26F71907"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Unilever</w:t>
            </w:r>
          </w:p>
        </w:tc>
      </w:tr>
      <w:tr w:rsidR="005636C7" w:rsidRPr="00F879AF" w14:paraId="1666A55D" w14:textId="77777777" w:rsidTr="005636C7">
        <w:tc>
          <w:tcPr>
            <w:tcW w:w="3715" w:type="dxa"/>
            <w:vAlign w:val="center"/>
          </w:tcPr>
          <w:p w14:paraId="2A0BE41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Wellkart</w:t>
            </w:r>
          </w:p>
        </w:tc>
        <w:tc>
          <w:tcPr>
            <w:tcW w:w="4677" w:type="dxa"/>
            <w:vAlign w:val="center"/>
          </w:tcPr>
          <w:p w14:paraId="2538FDA0" w14:textId="77777777" w:rsidR="005636C7" w:rsidRPr="00F879AF" w:rsidRDefault="005636C7" w:rsidP="005636C7">
            <w:pPr>
              <w:spacing w:before="60" w:after="60"/>
              <w:rPr>
                <w:rFonts w:ascii="Helvetica" w:hAnsi="Helvetica" w:cs="Helvetica"/>
                <w:b/>
                <w:color w:val="000000"/>
                <w:sz w:val="15"/>
                <w:szCs w:val="22"/>
              </w:rPr>
            </w:pPr>
            <w:r w:rsidRPr="00F879AF">
              <w:rPr>
                <w:rFonts w:ascii="Helvetica" w:hAnsi="Helvetica" w:cs="Helvetica"/>
                <w:b/>
                <w:color w:val="000000"/>
                <w:sz w:val="15"/>
                <w:szCs w:val="22"/>
              </w:rPr>
              <w:t xml:space="preserve">Wellquip, Quipwell </w:t>
            </w:r>
          </w:p>
        </w:tc>
      </w:tr>
    </w:tbl>
    <w:p w14:paraId="7AE2AA23" w14:textId="77777777" w:rsidR="005636C7" w:rsidRPr="00F879AF" w:rsidRDefault="005636C7" w:rsidP="005636C7">
      <w:pPr>
        <w:pStyle w:val="E3Heading4"/>
      </w:pPr>
    </w:p>
    <w:p w14:paraId="64A5FA3F" w14:textId="77777777" w:rsidR="005636C7" w:rsidRPr="009A7395" w:rsidRDefault="005636C7" w:rsidP="005636C7">
      <w:pPr>
        <w:pStyle w:val="E3Heading4"/>
        <w:rPr>
          <w:rFonts w:eastAsia="Times New Roman"/>
          <w:iCs/>
          <w:szCs w:val="24"/>
        </w:rPr>
      </w:pPr>
      <w:bookmarkStart w:id="498" w:name="_Toc447533640"/>
      <w:r w:rsidRPr="009A7395">
        <w:rPr>
          <w:rFonts w:eastAsia="Times New Roman"/>
          <w:iCs/>
          <w:szCs w:val="24"/>
        </w:rPr>
        <w:t>Businesses in New Zealand that manufacture and may import refrigerated equipment</w:t>
      </w:r>
      <w:bookmarkEnd w:id="498"/>
      <w:r w:rsidRPr="009A7395">
        <w:rPr>
          <w:rFonts w:eastAsia="Times New Roman"/>
          <w:iCs/>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7AD8C9EC" w14:textId="77777777" w:rsidTr="005636C7">
        <w:tc>
          <w:tcPr>
            <w:tcW w:w="3715" w:type="dxa"/>
            <w:shd w:val="clear" w:color="auto" w:fill="0C0C0C"/>
            <w:vAlign w:val="center"/>
          </w:tcPr>
          <w:p w14:paraId="4E7E34B4"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Distributor</w:t>
            </w:r>
          </w:p>
        </w:tc>
        <w:tc>
          <w:tcPr>
            <w:tcW w:w="4677" w:type="dxa"/>
            <w:shd w:val="clear" w:color="auto" w:fill="0C0C0C"/>
            <w:vAlign w:val="center"/>
          </w:tcPr>
          <w:p w14:paraId="5AB8B3D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6574C742" w14:textId="77777777" w:rsidTr="005636C7">
        <w:tc>
          <w:tcPr>
            <w:tcW w:w="3715" w:type="dxa"/>
            <w:vAlign w:val="bottom"/>
          </w:tcPr>
          <w:p w14:paraId="69C75C1E"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Commercial refrigeration Wholesale Ltd  </w:t>
            </w:r>
            <w:r w:rsidRPr="00F879AF">
              <w:rPr>
                <w:rFonts w:ascii="Helvetica" w:hAnsi="Helvetica" w:cs="Helvetica"/>
                <w:b/>
                <w:color w:val="000000"/>
                <w:sz w:val="15"/>
                <w:szCs w:val="14"/>
              </w:rPr>
              <w:br/>
              <w:t>(Commercial Catering/Hirecool)</w:t>
            </w:r>
          </w:p>
        </w:tc>
        <w:tc>
          <w:tcPr>
            <w:tcW w:w="4677" w:type="dxa"/>
            <w:vAlign w:val="bottom"/>
          </w:tcPr>
          <w:p w14:paraId="2025CEA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Debonair, Koxka, SKOPE, FED, Frigrite</w:t>
            </w:r>
          </w:p>
        </w:tc>
      </w:tr>
      <w:tr w:rsidR="005636C7" w:rsidRPr="00F879AF" w14:paraId="2A6104B5" w14:textId="77777777" w:rsidTr="005636C7">
        <w:tc>
          <w:tcPr>
            <w:tcW w:w="3715" w:type="dxa"/>
            <w:vAlign w:val="bottom"/>
          </w:tcPr>
          <w:p w14:paraId="4C0D27D6"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Coldmaster Products NZ</w:t>
            </w:r>
          </w:p>
        </w:tc>
        <w:tc>
          <w:tcPr>
            <w:tcW w:w="4677" w:type="dxa"/>
            <w:vAlign w:val="bottom"/>
          </w:tcPr>
          <w:p w14:paraId="2FBE160F"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7C54CDC2" w14:textId="77777777" w:rsidTr="005636C7">
        <w:tc>
          <w:tcPr>
            <w:tcW w:w="3715" w:type="dxa"/>
            <w:vAlign w:val="bottom"/>
          </w:tcPr>
          <w:p w14:paraId="66FE63A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Cooling Equipment Ltd</w:t>
            </w:r>
          </w:p>
        </w:tc>
        <w:tc>
          <w:tcPr>
            <w:tcW w:w="4677" w:type="dxa"/>
            <w:vAlign w:val="bottom"/>
          </w:tcPr>
          <w:p w14:paraId="4840E317"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0795280B" w14:textId="77777777" w:rsidTr="005636C7">
        <w:tc>
          <w:tcPr>
            <w:tcW w:w="3715" w:type="dxa"/>
            <w:vAlign w:val="bottom"/>
          </w:tcPr>
          <w:p w14:paraId="5C66749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Cossiga</w:t>
            </w:r>
          </w:p>
        </w:tc>
        <w:tc>
          <w:tcPr>
            <w:tcW w:w="4677" w:type="dxa"/>
            <w:vAlign w:val="bottom"/>
          </w:tcPr>
          <w:p w14:paraId="61940BC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Cossiga</w:t>
            </w:r>
          </w:p>
        </w:tc>
      </w:tr>
      <w:tr w:rsidR="005636C7" w:rsidRPr="00F879AF" w14:paraId="40BB6547" w14:textId="77777777" w:rsidTr="005636C7">
        <w:tc>
          <w:tcPr>
            <w:tcW w:w="3715" w:type="dxa"/>
            <w:vAlign w:val="center"/>
          </w:tcPr>
          <w:p w14:paraId="002DD17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Cuddon</w:t>
            </w:r>
          </w:p>
        </w:tc>
        <w:tc>
          <w:tcPr>
            <w:tcW w:w="4677" w:type="dxa"/>
            <w:vAlign w:val="center"/>
          </w:tcPr>
          <w:p w14:paraId="78C88C4D"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50427518" w14:textId="77777777" w:rsidTr="005636C7">
        <w:tc>
          <w:tcPr>
            <w:tcW w:w="3715" w:type="dxa"/>
            <w:vAlign w:val="bottom"/>
          </w:tcPr>
          <w:p w14:paraId="70292E08"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Debonair</w:t>
            </w:r>
          </w:p>
        </w:tc>
        <w:tc>
          <w:tcPr>
            <w:tcW w:w="4677" w:type="dxa"/>
            <w:vAlign w:val="bottom"/>
          </w:tcPr>
          <w:p w14:paraId="76D7CF8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Debonair</w:t>
            </w:r>
          </w:p>
        </w:tc>
      </w:tr>
      <w:tr w:rsidR="005636C7" w:rsidRPr="00F879AF" w14:paraId="77840C06" w14:textId="77777777" w:rsidTr="005636C7">
        <w:tc>
          <w:tcPr>
            <w:tcW w:w="3715" w:type="dxa"/>
            <w:vAlign w:val="bottom"/>
          </w:tcPr>
          <w:p w14:paraId="2092F2F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Festivé</w:t>
            </w:r>
          </w:p>
        </w:tc>
        <w:tc>
          <w:tcPr>
            <w:tcW w:w="4677" w:type="dxa"/>
            <w:vAlign w:val="bottom"/>
          </w:tcPr>
          <w:p w14:paraId="407F87A8"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Festive</w:t>
            </w:r>
          </w:p>
        </w:tc>
      </w:tr>
      <w:tr w:rsidR="005636C7" w:rsidRPr="00F879AF" w14:paraId="07445D25" w14:textId="77777777" w:rsidTr="005636C7">
        <w:tc>
          <w:tcPr>
            <w:tcW w:w="3715" w:type="dxa"/>
            <w:vAlign w:val="bottom"/>
          </w:tcPr>
          <w:p w14:paraId="1FCE33C6"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Future Products Group</w:t>
            </w:r>
          </w:p>
        </w:tc>
        <w:tc>
          <w:tcPr>
            <w:tcW w:w="4677" w:type="dxa"/>
            <w:vAlign w:val="bottom"/>
          </w:tcPr>
          <w:p w14:paraId="44A4F47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FPG</w:t>
            </w:r>
          </w:p>
        </w:tc>
      </w:tr>
      <w:tr w:rsidR="005636C7" w:rsidRPr="00F879AF" w14:paraId="22C66AFA" w14:textId="77777777" w:rsidTr="005636C7">
        <w:tc>
          <w:tcPr>
            <w:tcW w:w="3715" w:type="dxa"/>
            <w:vAlign w:val="bottom"/>
          </w:tcPr>
          <w:p w14:paraId="64B5FFF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Jones refrigeration Services Ltd</w:t>
            </w:r>
          </w:p>
        </w:tc>
        <w:tc>
          <w:tcPr>
            <w:tcW w:w="4677" w:type="dxa"/>
            <w:vAlign w:val="bottom"/>
          </w:tcPr>
          <w:p w14:paraId="3529E1C1" w14:textId="77777777" w:rsidR="005636C7" w:rsidRPr="00F879AF" w:rsidRDefault="005636C7" w:rsidP="005636C7">
            <w:pPr>
              <w:spacing w:before="60" w:after="60"/>
              <w:rPr>
                <w:rFonts w:ascii="Helvetica" w:hAnsi="Helvetica" w:cs="Helvetica"/>
                <w:b/>
                <w:sz w:val="15"/>
                <w:szCs w:val="14"/>
              </w:rPr>
            </w:pPr>
          </w:p>
        </w:tc>
      </w:tr>
      <w:tr w:rsidR="005636C7" w:rsidRPr="00F879AF" w14:paraId="5A14297B" w14:textId="77777777" w:rsidTr="005636C7">
        <w:tc>
          <w:tcPr>
            <w:tcW w:w="3715" w:type="dxa"/>
            <w:vAlign w:val="bottom"/>
          </w:tcPr>
          <w:p w14:paraId="3102C5B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Hamill Refrigeration Ltd</w:t>
            </w:r>
          </w:p>
        </w:tc>
        <w:tc>
          <w:tcPr>
            <w:tcW w:w="4677" w:type="dxa"/>
            <w:vAlign w:val="bottom"/>
          </w:tcPr>
          <w:p w14:paraId="5267257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 xml:space="preserve">Skope, Hoshizaki, Bunn, </w:t>
            </w:r>
          </w:p>
        </w:tc>
      </w:tr>
      <w:tr w:rsidR="005636C7" w:rsidRPr="00F879AF" w14:paraId="7A6FE0A5" w14:textId="77777777" w:rsidTr="005636C7">
        <w:tc>
          <w:tcPr>
            <w:tcW w:w="3715" w:type="dxa"/>
            <w:vAlign w:val="bottom"/>
          </w:tcPr>
          <w:p w14:paraId="52882DD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Hawke’s Bay Refrigeration</w:t>
            </w:r>
          </w:p>
        </w:tc>
        <w:tc>
          <w:tcPr>
            <w:tcW w:w="4677" w:type="dxa"/>
            <w:vAlign w:val="bottom"/>
          </w:tcPr>
          <w:p w14:paraId="4D52BED5" w14:textId="77777777" w:rsidR="005636C7" w:rsidRPr="00F879AF" w:rsidRDefault="005636C7" w:rsidP="005636C7">
            <w:pPr>
              <w:spacing w:before="60" w:after="60"/>
              <w:rPr>
                <w:rFonts w:ascii="Helvetica" w:hAnsi="Helvetica" w:cs="Helvetica"/>
                <w:b/>
                <w:sz w:val="15"/>
                <w:szCs w:val="14"/>
              </w:rPr>
            </w:pPr>
          </w:p>
        </w:tc>
      </w:tr>
      <w:tr w:rsidR="005636C7" w:rsidRPr="00F879AF" w14:paraId="5F898DAF" w14:textId="77777777" w:rsidTr="005636C7">
        <w:tc>
          <w:tcPr>
            <w:tcW w:w="3715" w:type="dxa"/>
            <w:vAlign w:val="bottom"/>
          </w:tcPr>
          <w:p w14:paraId="310A100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Local Refrigeration &amp; Air Conditioning</w:t>
            </w:r>
          </w:p>
        </w:tc>
        <w:tc>
          <w:tcPr>
            <w:tcW w:w="4677" w:type="dxa"/>
            <w:vAlign w:val="bottom"/>
          </w:tcPr>
          <w:p w14:paraId="6A15C092" w14:textId="77777777" w:rsidR="005636C7" w:rsidRPr="00F879AF" w:rsidRDefault="005636C7" w:rsidP="005636C7">
            <w:pPr>
              <w:spacing w:before="60" w:after="60"/>
              <w:rPr>
                <w:rFonts w:ascii="Helvetica" w:hAnsi="Helvetica" w:cs="Helvetica"/>
                <w:b/>
                <w:sz w:val="15"/>
                <w:szCs w:val="14"/>
              </w:rPr>
            </w:pPr>
          </w:p>
        </w:tc>
      </w:tr>
      <w:tr w:rsidR="005636C7" w:rsidRPr="00F879AF" w14:paraId="2B220CE4" w14:textId="77777777" w:rsidTr="005636C7">
        <w:tc>
          <w:tcPr>
            <w:tcW w:w="3715" w:type="dxa"/>
            <w:vAlign w:val="bottom"/>
          </w:tcPr>
          <w:p w14:paraId="3B0D5AF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McAlpine Hussmann</w:t>
            </w:r>
          </w:p>
        </w:tc>
        <w:tc>
          <w:tcPr>
            <w:tcW w:w="4677" w:type="dxa"/>
            <w:vAlign w:val="bottom"/>
          </w:tcPr>
          <w:p w14:paraId="0A66F71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Hussmann Ice; Speciality; Impact, Excel; Austral</w:t>
            </w:r>
          </w:p>
        </w:tc>
      </w:tr>
      <w:tr w:rsidR="005636C7" w:rsidRPr="00F879AF" w14:paraId="04543EFE" w14:textId="77777777" w:rsidTr="005636C7">
        <w:tc>
          <w:tcPr>
            <w:tcW w:w="3715" w:type="dxa"/>
            <w:vAlign w:val="bottom"/>
          </w:tcPr>
          <w:p w14:paraId="5455510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Philip Smith Electrical &amp; Refrigeration</w:t>
            </w:r>
          </w:p>
        </w:tc>
        <w:tc>
          <w:tcPr>
            <w:tcW w:w="4677" w:type="dxa"/>
            <w:vAlign w:val="bottom"/>
          </w:tcPr>
          <w:p w14:paraId="68118CD2"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272167DE" w14:textId="77777777" w:rsidTr="005636C7">
        <w:tc>
          <w:tcPr>
            <w:tcW w:w="3715" w:type="dxa"/>
            <w:vAlign w:val="bottom"/>
          </w:tcPr>
          <w:p w14:paraId="2F013C9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Refrigeration Consulting Ltd</w:t>
            </w:r>
          </w:p>
        </w:tc>
        <w:tc>
          <w:tcPr>
            <w:tcW w:w="4677" w:type="dxa"/>
            <w:vAlign w:val="bottom"/>
          </w:tcPr>
          <w:p w14:paraId="5D7D332F"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6DE83C38" w14:textId="77777777" w:rsidTr="005636C7">
        <w:tc>
          <w:tcPr>
            <w:tcW w:w="3715" w:type="dxa"/>
            <w:vAlign w:val="center"/>
          </w:tcPr>
          <w:p w14:paraId="479A88A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Refrigerated Displays Ltd</w:t>
            </w:r>
          </w:p>
        </w:tc>
        <w:tc>
          <w:tcPr>
            <w:tcW w:w="4677" w:type="dxa"/>
            <w:vAlign w:val="center"/>
          </w:tcPr>
          <w:p w14:paraId="0E79B382"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37F909A1" w14:textId="77777777" w:rsidTr="005636C7">
        <w:tc>
          <w:tcPr>
            <w:tcW w:w="3715" w:type="dxa"/>
            <w:vAlign w:val="bottom"/>
          </w:tcPr>
          <w:p w14:paraId="015B20D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 Industries Ltd</w:t>
            </w:r>
          </w:p>
        </w:tc>
        <w:tc>
          <w:tcPr>
            <w:tcW w:w="4677" w:type="dxa"/>
            <w:vAlign w:val="bottom"/>
          </w:tcPr>
          <w:p w14:paraId="200697C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w:t>
            </w:r>
          </w:p>
        </w:tc>
      </w:tr>
      <w:tr w:rsidR="005636C7" w:rsidRPr="00F879AF" w14:paraId="638E99C8" w14:textId="77777777" w:rsidTr="005636C7">
        <w:tc>
          <w:tcPr>
            <w:tcW w:w="3715" w:type="dxa"/>
            <w:vAlign w:val="bottom"/>
          </w:tcPr>
          <w:p w14:paraId="67F3392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Southern Hospitality Ltd</w:t>
            </w:r>
          </w:p>
        </w:tc>
        <w:tc>
          <w:tcPr>
            <w:tcW w:w="4677" w:type="dxa"/>
            <w:vAlign w:val="bottom"/>
          </w:tcPr>
          <w:p w14:paraId="78E425E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Cossiga, Delta, EuroChill, Festive, Mafirol, Mercatus, Skope</w:t>
            </w:r>
          </w:p>
        </w:tc>
      </w:tr>
      <w:tr w:rsidR="005636C7" w:rsidRPr="00F879AF" w14:paraId="37C98B91" w14:textId="77777777" w:rsidTr="005636C7">
        <w:tc>
          <w:tcPr>
            <w:tcW w:w="3715" w:type="dxa"/>
            <w:vAlign w:val="bottom"/>
          </w:tcPr>
          <w:p w14:paraId="70AE748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Stainless Kitchens Pacific Ltd</w:t>
            </w:r>
          </w:p>
        </w:tc>
        <w:tc>
          <w:tcPr>
            <w:tcW w:w="4677" w:type="dxa"/>
            <w:vAlign w:val="bottom"/>
          </w:tcPr>
          <w:p w14:paraId="6FB96E4E"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7DECED30" w14:textId="77777777" w:rsidTr="005636C7">
        <w:tc>
          <w:tcPr>
            <w:tcW w:w="3715" w:type="dxa"/>
            <w:vAlign w:val="bottom"/>
          </w:tcPr>
          <w:p w14:paraId="49FBFC7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Technicool</w:t>
            </w:r>
          </w:p>
        </w:tc>
        <w:tc>
          <w:tcPr>
            <w:tcW w:w="4677" w:type="dxa"/>
            <w:vAlign w:val="bottom"/>
          </w:tcPr>
          <w:p w14:paraId="63102875"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26BE7707" w14:textId="77777777" w:rsidTr="005636C7">
        <w:tc>
          <w:tcPr>
            <w:tcW w:w="3715" w:type="dxa"/>
            <w:vAlign w:val="bottom"/>
          </w:tcPr>
          <w:p w14:paraId="05543EB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Temprite Refrigeration Auckland Ltd</w:t>
            </w:r>
          </w:p>
        </w:tc>
        <w:tc>
          <w:tcPr>
            <w:tcW w:w="4677" w:type="dxa"/>
            <w:vAlign w:val="bottom"/>
          </w:tcPr>
          <w:p w14:paraId="0BF73BD1"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1B29F0B6" w14:textId="77777777" w:rsidTr="005636C7">
        <w:tc>
          <w:tcPr>
            <w:tcW w:w="3715" w:type="dxa"/>
            <w:vAlign w:val="center"/>
          </w:tcPr>
          <w:p w14:paraId="73E9009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Thompson’s refrigeration &amp; Air conditioning. </w:t>
            </w:r>
          </w:p>
        </w:tc>
        <w:tc>
          <w:tcPr>
            <w:tcW w:w="4677" w:type="dxa"/>
            <w:vAlign w:val="center"/>
          </w:tcPr>
          <w:p w14:paraId="4CC776EB" w14:textId="77777777" w:rsidR="005636C7" w:rsidRPr="00F879AF" w:rsidRDefault="005636C7" w:rsidP="005636C7">
            <w:pPr>
              <w:spacing w:before="60" w:after="60"/>
              <w:rPr>
                <w:rFonts w:ascii="Helvetica" w:hAnsi="Helvetica" w:cs="Helvetica"/>
                <w:b/>
                <w:color w:val="000000"/>
                <w:sz w:val="15"/>
                <w:szCs w:val="14"/>
              </w:rPr>
            </w:pPr>
          </w:p>
        </w:tc>
      </w:tr>
    </w:tbl>
    <w:p w14:paraId="330439B4" w14:textId="77777777" w:rsidR="005636C7" w:rsidRPr="00F879AF" w:rsidRDefault="005636C7" w:rsidP="005636C7">
      <w:pPr>
        <w:jc w:val="both"/>
        <w:rPr>
          <w:sz w:val="18"/>
          <w:szCs w:val="18"/>
        </w:rPr>
      </w:pPr>
    </w:p>
    <w:p w14:paraId="44268216" w14:textId="77777777" w:rsidR="005636C7" w:rsidRPr="00F879AF" w:rsidRDefault="005636C7" w:rsidP="005636C7">
      <w:pPr>
        <w:pStyle w:val="E3Heading4"/>
      </w:pPr>
      <w:bookmarkStart w:id="499" w:name="_Toc447533642"/>
      <w:r w:rsidRPr="00F879AF">
        <w:t>Businesses in New Zealand that import refrigerated equipment</w:t>
      </w:r>
      <w:bookmarkEnd w:id="499"/>
      <w:r w:rsidRPr="00F879AF">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4677"/>
      </w:tblGrid>
      <w:tr w:rsidR="005636C7" w:rsidRPr="00F879AF" w14:paraId="438B4C20" w14:textId="77777777" w:rsidTr="005636C7">
        <w:trPr>
          <w:tblHeader/>
        </w:trPr>
        <w:tc>
          <w:tcPr>
            <w:tcW w:w="3715" w:type="dxa"/>
            <w:shd w:val="clear" w:color="auto" w:fill="0C0C0C"/>
            <w:vAlign w:val="center"/>
          </w:tcPr>
          <w:p w14:paraId="14595BB7"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Distributor</w:t>
            </w:r>
          </w:p>
        </w:tc>
        <w:tc>
          <w:tcPr>
            <w:tcW w:w="4677" w:type="dxa"/>
            <w:shd w:val="clear" w:color="auto" w:fill="0C0C0C"/>
            <w:vAlign w:val="center"/>
          </w:tcPr>
          <w:p w14:paraId="4320272A"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sz w:val="15"/>
                <w:szCs w:val="14"/>
              </w:rPr>
              <w:t>Brands include</w:t>
            </w:r>
          </w:p>
        </w:tc>
      </w:tr>
      <w:tr w:rsidR="005636C7" w:rsidRPr="00F879AF" w14:paraId="0047B959" w14:textId="77777777" w:rsidTr="005636C7">
        <w:tc>
          <w:tcPr>
            <w:tcW w:w="3715" w:type="dxa"/>
            <w:vAlign w:val="center"/>
          </w:tcPr>
          <w:p w14:paraId="51F4479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ARE Services Ltd</w:t>
            </w:r>
          </w:p>
        </w:tc>
        <w:tc>
          <w:tcPr>
            <w:tcW w:w="4677" w:type="dxa"/>
            <w:vAlign w:val="center"/>
          </w:tcPr>
          <w:p w14:paraId="236BF94D"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033370E4" w14:textId="77777777" w:rsidTr="005636C7">
        <w:tc>
          <w:tcPr>
            <w:tcW w:w="3715" w:type="dxa"/>
            <w:vAlign w:val="center"/>
          </w:tcPr>
          <w:p w14:paraId="5A9E2B8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Absolute Control</w:t>
            </w:r>
          </w:p>
        </w:tc>
        <w:tc>
          <w:tcPr>
            <w:tcW w:w="4677" w:type="dxa"/>
            <w:vAlign w:val="center"/>
          </w:tcPr>
          <w:p w14:paraId="00F99E1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Dellware, Unifrigor, Interfridge, Sanyo, Tefcold, AHT Rio, ISA, Sevel, Scaiola, Oscartielle, Austral</w:t>
            </w:r>
          </w:p>
        </w:tc>
      </w:tr>
      <w:tr w:rsidR="005636C7" w:rsidRPr="00F879AF" w14:paraId="03FA3FCE" w14:textId="77777777" w:rsidTr="005636C7">
        <w:tc>
          <w:tcPr>
            <w:tcW w:w="3715" w:type="dxa"/>
            <w:vAlign w:val="center"/>
          </w:tcPr>
          <w:p w14:paraId="677E90B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Aitkens Hospitality Solutions</w:t>
            </w:r>
          </w:p>
        </w:tc>
        <w:tc>
          <w:tcPr>
            <w:tcW w:w="4677" w:type="dxa"/>
            <w:vAlign w:val="center"/>
          </w:tcPr>
          <w:p w14:paraId="7D821F5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Skope, Turbo Air, FPG, </w:t>
            </w:r>
          </w:p>
        </w:tc>
      </w:tr>
      <w:tr w:rsidR="005636C7" w:rsidRPr="00F879AF" w14:paraId="54F348FF" w14:textId="77777777" w:rsidTr="005636C7">
        <w:tc>
          <w:tcPr>
            <w:tcW w:w="3715" w:type="dxa"/>
            <w:vAlign w:val="center"/>
          </w:tcPr>
          <w:p w14:paraId="326E6F9E"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Arrow Refrigeration</w:t>
            </w:r>
          </w:p>
        </w:tc>
        <w:tc>
          <w:tcPr>
            <w:tcW w:w="4677" w:type="dxa"/>
            <w:vAlign w:val="center"/>
          </w:tcPr>
          <w:p w14:paraId="51BCD990"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Bonnet Neve, Framec, Liebherr, Mondial</w:t>
            </w:r>
          </w:p>
        </w:tc>
      </w:tr>
      <w:tr w:rsidR="005636C7" w:rsidRPr="00F879AF" w14:paraId="39C9732E" w14:textId="77777777" w:rsidTr="005636C7">
        <w:tc>
          <w:tcPr>
            <w:tcW w:w="3715" w:type="dxa"/>
            <w:vAlign w:val="center"/>
          </w:tcPr>
          <w:p w14:paraId="144436C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Blue Ribbon</w:t>
            </w:r>
          </w:p>
        </w:tc>
        <w:tc>
          <w:tcPr>
            <w:tcW w:w="4677" w:type="dxa"/>
            <w:vAlign w:val="center"/>
          </w:tcPr>
          <w:p w14:paraId="17F554F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Frigrite, Dellware, Exquisite</w:t>
            </w:r>
          </w:p>
        </w:tc>
      </w:tr>
      <w:tr w:rsidR="005636C7" w:rsidRPr="00F879AF" w14:paraId="15B9D31B" w14:textId="77777777" w:rsidTr="005636C7">
        <w:tc>
          <w:tcPr>
            <w:tcW w:w="3715" w:type="dxa"/>
            <w:vAlign w:val="center"/>
          </w:tcPr>
          <w:p w14:paraId="0054715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BrianMillen Auctions</w:t>
            </w:r>
          </w:p>
        </w:tc>
        <w:tc>
          <w:tcPr>
            <w:tcW w:w="4677" w:type="dxa"/>
            <w:vAlign w:val="center"/>
          </w:tcPr>
          <w:p w14:paraId="428C26D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 Electrolux, Alpeninox</w:t>
            </w:r>
          </w:p>
        </w:tc>
      </w:tr>
      <w:tr w:rsidR="005636C7" w:rsidRPr="00F879AF" w14:paraId="2979FECF" w14:textId="77777777" w:rsidTr="005636C7">
        <w:tc>
          <w:tcPr>
            <w:tcW w:w="3715" w:type="dxa"/>
            <w:vAlign w:val="center"/>
          </w:tcPr>
          <w:p w14:paraId="14E476F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Catering Hardware Ltd</w:t>
            </w:r>
          </w:p>
        </w:tc>
        <w:tc>
          <w:tcPr>
            <w:tcW w:w="4677" w:type="dxa"/>
            <w:vAlign w:val="center"/>
          </w:tcPr>
          <w:p w14:paraId="1BB5D35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Kayman, Bellevista, FED, Thermaster, Skope</w:t>
            </w:r>
          </w:p>
        </w:tc>
      </w:tr>
      <w:tr w:rsidR="005636C7" w:rsidRPr="00F879AF" w14:paraId="0F9E8ABA" w14:textId="77777777" w:rsidTr="005636C7">
        <w:tc>
          <w:tcPr>
            <w:tcW w:w="3715" w:type="dxa"/>
            <w:vAlign w:val="center"/>
          </w:tcPr>
          <w:p w14:paraId="4831203E"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Choice Catering Equipment Ltd</w:t>
            </w:r>
          </w:p>
        </w:tc>
        <w:tc>
          <w:tcPr>
            <w:tcW w:w="4677" w:type="dxa"/>
            <w:vAlign w:val="center"/>
          </w:tcPr>
          <w:p w14:paraId="1FAECA9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Skope, Electrolux, Polar, </w:t>
            </w:r>
          </w:p>
        </w:tc>
      </w:tr>
      <w:tr w:rsidR="005636C7" w:rsidRPr="00F879AF" w14:paraId="6749DD40" w14:textId="77777777" w:rsidTr="005636C7">
        <w:tc>
          <w:tcPr>
            <w:tcW w:w="3715" w:type="dxa"/>
            <w:vAlign w:val="center"/>
          </w:tcPr>
          <w:p w14:paraId="503CB7D1"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Coca Cola</w:t>
            </w:r>
          </w:p>
        </w:tc>
        <w:tc>
          <w:tcPr>
            <w:tcW w:w="4677" w:type="dxa"/>
            <w:vAlign w:val="center"/>
          </w:tcPr>
          <w:p w14:paraId="4464BA3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Coca Cola</w:t>
            </w:r>
          </w:p>
        </w:tc>
      </w:tr>
      <w:tr w:rsidR="005636C7" w:rsidRPr="00F879AF" w14:paraId="4B740CA7" w14:textId="77777777" w:rsidTr="005636C7">
        <w:tc>
          <w:tcPr>
            <w:tcW w:w="3715" w:type="dxa"/>
            <w:vAlign w:val="center"/>
          </w:tcPr>
          <w:p w14:paraId="17B9BC5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CoSell Commercial refrigeration Solutions</w:t>
            </w:r>
          </w:p>
        </w:tc>
        <w:tc>
          <w:tcPr>
            <w:tcW w:w="4677" w:type="dxa"/>
            <w:vAlign w:val="center"/>
          </w:tcPr>
          <w:p w14:paraId="4B7B1226"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Frigrite, </w:t>
            </w:r>
          </w:p>
        </w:tc>
      </w:tr>
      <w:tr w:rsidR="005636C7" w:rsidRPr="00F879AF" w14:paraId="0793F77F" w14:textId="77777777" w:rsidTr="005636C7">
        <w:tc>
          <w:tcPr>
            <w:tcW w:w="3715" w:type="dxa"/>
            <w:vAlign w:val="center"/>
          </w:tcPr>
          <w:p w14:paraId="3E163C22"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Cowley Refrigeration Ltd/Interfridge</w:t>
            </w:r>
          </w:p>
        </w:tc>
        <w:tc>
          <w:tcPr>
            <w:tcW w:w="4677" w:type="dxa"/>
            <w:vAlign w:val="center"/>
          </w:tcPr>
          <w:p w14:paraId="760DB98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 xml:space="preserve">AHT, Tefcold, Staycold, Luckdr, Sanyo, Interfridge, De Rigo, Coolhead, </w:t>
            </w:r>
          </w:p>
        </w:tc>
      </w:tr>
      <w:tr w:rsidR="005636C7" w:rsidRPr="00F879AF" w14:paraId="64BE22D2" w14:textId="77777777" w:rsidTr="005636C7">
        <w:tc>
          <w:tcPr>
            <w:tcW w:w="3715" w:type="dxa"/>
            <w:vAlign w:val="center"/>
          </w:tcPr>
          <w:p w14:paraId="528A6920"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Ecochill</w:t>
            </w:r>
          </w:p>
        </w:tc>
        <w:tc>
          <w:tcPr>
            <w:tcW w:w="4677" w:type="dxa"/>
            <w:vAlign w:val="center"/>
          </w:tcPr>
          <w:p w14:paraId="22EFCDF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Afinox, Arneg, Incold, Oscartielle</w:t>
            </w:r>
          </w:p>
        </w:tc>
      </w:tr>
      <w:tr w:rsidR="005636C7" w:rsidRPr="00F879AF" w14:paraId="0A760545" w14:textId="77777777" w:rsidTr="005636C7">
        <w:tc>
          <w:tcPr>
            <w:tcW w:w="3715" w:type="dxa"/>
            <w:vAlign w:val="center"/>
          </w:tcPr>
          <w:p w14:paraId="6D4AD02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FEDeral Hospitality Equipment</w:t>
            </w:r>
          </w:p>
        </w:tc>
        <w:tc>
          <w:tcPr>
            <w:tcW w:w="4677" w:type="dxa"/>
            <w:vAlign w:val="center"/>
          </w:tcPr>
          <w:p w14:paraId="6A20E17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Grand,</w:t>
            </w:r>
          </w:p>
        </w:tc>
      </w:tr>
      <w:tr w:rsidR="005636C7" w:rsidRPr="00F879AF" w14:paraId="4CC391D5" w14:textId="77777777" w:rsidTr="005636C7">
        <w:tc>
          <w:tcPr>
            <w:tcW w:w="3715" w:type="dxa"/>
            <w:vAlign w:val="center"/>
          </w:tcPr>
          <w:p w14:paraId="6CB4F1A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FridgeFreezer</w:t>
            </w:r>
          </w:p>
        </w:tc>
        <w:tc>
          <w:tcPr>
            <w:tcW w:w="4677" w:type="dxa"/>
            <w:vAlign w:val="center"/>
          </w:tcPr>
          <w:p w14:paraId="74A72F0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Skope</w:t>
            </w:r>
          </w:p>
        </w:tc>
      </w:tr>
      <w:tr w:rsidR="005636C7" w:rsidRPr="00F879AF" w14:paraId="34E91C2F" w14:textId="77777777" w:rsidTr="005636C7">
        <w:tc>
          <w:tcPr>
            <w:tcW w:w="3715" w:type="dxa"/>
            <w:vAlign w:val="center"/>
          </w:tcPr>
          <w:p w14:paraId="05BE6915"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Frigie King Ltd</w:t>
            </w:r>
          </w:p>
        </w:tc>
        <w:tc>
          <w:tcPr>
            <w:tcW w:w="4677" w:type="dxa"/>
            <w:vAlign w:val="center"/>
          </w:tcPr>
          <w:p w14:paraId="74D1EFCA" w14:textId="77777777" w:rsidR="005636C7" w:rsidRPr="00F879AF" w:rsidRDefault="005636C7" w:rsidP="005636C7">
            <w:pPr>
              <w:spacing w:before="60" w:after="60"/>
              <w:rPr>
                <w:rFonts w:ascii="Helvetica" w:hAnsi="Helvetica" w:cs="Helvetica"/>
                <w:b/>
                <w:sz w:val="15"/>
                <w:szCs w:val="14"/>
              </w:rPr>
            </w:pPr>
          </w:p>
        </w:tc>
      </w:tr>
      <w:tr w:rsidR="005636C7" w:rsidRPr="00F879AF" w14:paraId="52275A4D" w14:textId="77777777" w:rsidTr="005636C7">
        <w:tc>
          <w:tcPr>
            <w:tcW w:w="3715" w:type="dxa"/>
            <w:vAlign w:val="center"/>
          </w:tcPr>
          <w:p w14:paraId="6DEAFE0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Frozen Napoleon</w:t>
            </w:r>
          </w:p>
        </w:tc>
        <w:tc>
          <w:tcPr>
            <w:tcW w:w="4677" w:type="dxa"/>
            <w:vAlign w:val="center"/>
          </w:tcPr>
          <w:p w14:paraId="6B205344" w14:textId="77777777" w:rsidR="005636C7" w:rsidRPr="00F879AF" w:rsidRDefault="005636C7" w:rsidP="005636C7">
            <w:pPr>
              <w:spacing w:before="60" w:after="60"/>
              <w:rPr>
                <w:rFonts w:ascii="Helvetica" w:hAnsi="Helvetica" w:cs="Helvetica"/>
                <w:b/>
                <w:sz w:val="15"/>
                <w:szCs w:val="14"/>
              </w:rPr>
            </w:pPr>
          </w:p>
        </w:tc>
      </w:tr>
      <w:tr w:rsidR="005636C7" w:rsidRPr="00F879AF" w14:paraId="59A7A382" w14:textId="77777777" w:rsidTr="005636C7">
        <w:tc>
          <w:tcPr>
            <w:tcW w:w="3715" w:type="dxa"/>
            <w:vAlign w:val="center"/>
          </w:tcPr>
          <w:p w14:paraId="4AC02CE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Happy Kiwi Shop</w:t>
            </w:r>
          </w:p>
        </w:tc>
        <w:tc>
          <w:tcPr>
            <w:tcW w:w="4677" w:type="dxa"/>
            <w:vAlign w:val="center"/>
          </w:tcPr>
          <w:p w14:paraId="4986F667"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5F9D65C0" w14:textId="77777777" w:rsidTr="005636C7">
        <w:tc>
          <w:tcPr>
            <w:tcW w:w="3715" w:type="dxa"/>
            <w:vAlign w:val="center"/>
          </w:tcPr>
          <w:p w14:paraId="0F38A71E"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Hardy trade</w:t>
            </w:r>
          </w:p>
        </w:tc>
        <w:tc>
          <w:tcPr>
            <w:tcW w:w="4677" w:type="dxa"/>
            <w:vAlign w:val="center"/>
          </w:tcPr>
          <w:p w14:paraId="0B6FEB2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Festivé</w:t>
            </w:r>
          </w:p>
        </w:tc>
      </w:tr>
      <w:tr w:rsidR="005636C7" w:rsidRPr="00F879AF" w14:paraId="185475F9" w14:textId="77777777" w:rsidTr="005636C7">
        <w:tc>
          <w:tcPr>
            <w:tcW w:w="3715" w:type="dxa"/>
            <w:vAlign w:val="center"/>
          </w:tcPr>
          <w:p w14:paraId="3455592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Heatcraft</w:t>
            </w:r>
          </w:p>
        </w:tc>
        <w:tc>
          <w:tcPr>
            <w:tcW w:w="4677" w:type="dxa"/>
            <w:vAlign w:val="center"/>
          </w:tcPr>
          <w:p w14:paraId="494933C9"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52B24035" w14:textId="77777777" w:rsidTr="005636C7">
        <w:tc>
          <w:tcPr>
            <w:tcW w:w="3715" w:type="dxa"/>
            <w:vAlign w:val="center"/>
          </w:tcPr>
          <w:p w14:paraId="7B3E7DA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Hitchon International/ TomaQ</w:t>
            </w:r>
          </w:p>
        </w:tc>
        <w:tc>
          <w:tcPr>
            <w:tcW w:w="4677" w:type="dxa"/>
            <w:vAlign w:val="center"/>
          </w:tcPr>
          <w:p w14:paraId="2767C30B"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Firscool, Dukers,</w:t>
            </w:r>
          </w:p>
        </w:tc>
      </w:tr>
      <w:tr w:rsidR="005636C7" w:rsidRPr="00F879AF" w14:paraId="7DDB808A" w14:textId="77777777" w:rsidTr="005636C7">
        <w:tc>
          <w:tcPr>
            <w:tcW w:w="3715" w:type="dxa"/>
            <w:vAlign w:val="center"/>
          </w:tcPr>
          <w:p w14:paraId="1B560879"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Honar Refrigeration</w:t>
            </w:r>
          </w:p>
        </w:tc>
        <w:tc>
          <w:tcPr>
            <w:tcW w:w="4677" w:type="dxa"/>
            <w:vAlign w:val="center"/>
          </w:tcPr>
          <w:p w14:paraId="4E8FCDEB"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 xml:space="preserve">Apollo, Honar, Pesso </w:t>
            </w:r>
          </w:p>
        </w:tc>
      </w:tr>
      <w:tr w:rsidR="005636C7" w:rsidRPr="00F879AF" w14:paraId="3E25C213" w14:textId="77777777" w:rsidTr="005636C7">
        <w:tc>
          <w:tcPr>
            <w:tcW w:w="3715" w:type="dxa"/>
            <w:vAlign w:val="center"/>
          </w:tcPr>
          <w:p w14:paraId="68DF3BF8"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Impact Refrigeration</w:t>
            </w:r>
          </w:p>
        </w:tc>
        <w:tc>
          <w:tcPr>
            <w:tcW w:w="4677" w:type="dxa"/>
            <w:vAlign w:val="center"/>
          </w:tcPr>
          <w:p w14:paraId="570C937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Framec, Husky, Jordao, </w:t>
            </w:r>
          </w:p>
          <w:p w14:paraId="1881945F"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 xml:space="preserve">Sanden, Skope, Vestfrost, </w:t>
            </w:r>
          </w:p>
        </w:tc>
      </w:tr>
      <w:tr w:rsidR="005636C7" w:rsidRPr="00F879AF" w14:paraId="23194DAA" w14:textId="77777777" w:rsidTr="005636C7">
        <w:tc>
          <w:tcPr>
            <w:tcW w:w="3715" w:type="dxa"/>
            <w:vAlign w:val="center"/>
          </w:tcPr>
          <w:p w14:paraId="49932A45"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KeriRefrigeration Ltd</w:t>
            </w:r>
          </w:p>
        </w:tc>
        <w:tc>
          <w:tcPr>
            <w:tcW w:w="4677" w:type="dxa"/>
            <w:vAlign w:val="center"/>
          </w:tcPr>
          <w:p w14:paraId="2DC96AF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Orford, </w:t>
            </w:r>
          </w:p>
        </w:tc>
      </w:tr>
      <w:tr w:rsidR="005636C7" w:rsidRPr="00F879AF" w14:paraId="616D48FD" w14:textId="77777777" w:rsidTr="005636C7">
        <w:tc>
          <w:tcPr>
            <w:tcW w:w="3715" w:type="dxa"/>
            <w:vAlign w:val="center"/>
          </w:tcPr>
          <w:p w14:paraId="1CC5349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LKK Food Equipment Ltd</w:t>
            </w:r>
          </w:p>
        </w:tc>
        <w:tc>
          <w:tcPr>
            <w:tcW w:w="4677" w:type="dxa"/>
            <w:vAlign w:val="center"/>
          </w:tcPr>
          <w:p w14:paraId="548084A3"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Berjaya</w:t>
            </w:r>
          </w:p>
        </w:tc>
      </w:tr>
      <w:tr w:rsidR="005636C7" w:rsidRPr="00F879AF" w14:paraId="4D6E9896" w14:textId="77777777" w:rsidTr="005636C7">
        <w:tc>
          <w:tcPr>
            <w:tcW w:w="3715" w:type="dxa"/>
            <w:vAlign w:val="center"/>
          </w:tcPr>
          <w:p w14:paraId="389601B4"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Majors group</w:t>
            </w:r>
          </w:p>
        </w:tc>
        <w:tc>
          <w:tcPr>
            <w:tcW w:w="4677" w:type="dxa"/>
            <w:vAlign w:val="center"/>
          </w:tcPr>
          <w:p w14:paraId="6DCC3087"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ISA, Carpigiani, Technogel, Tekna, Compacta, Gemm, Rubicone, Sencotel, Silikomart, Gelmatic</w:t>
            </w:r>
          </w:p>
        </w:tc>
      </w:tr>
      <w:tr w:rsidR="005636C7" w:rsidRPr="00F879AF" w14:paraId="0F5F9D20" w14:textId="77777777" w:rsidTr="005636C7">
        <w:tc>
          <w:tcPr>
            <w:tcW w:w="3715" w:type="dxa"/>
            <w:vAlign w:val="center"/>
          </w:tcPr>
          <w:p w14:paraId="26E0A1E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Midway catering Equipment</w:t>
            </w:r>
          </w:p>
        </w:tc>
        <w:tc>
          <w:tcPr>
            <w:tcW w:w="4677" w:type="dxa"/>
            <w:vAlign w:val="center"/>
          </w:tcPr>
          <w:p w14:paraId="12B0454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Festivé, Bellavista, Frigrite</w:t>
            </w:r>
          </w:p>
        </w:tc>
      </w:tr>
      <w:tr w:rsidR="005636C7" w:rsidRPr="00F879AF" w14:paraId="2C1D90C1" w14:textId="77777777" w:rsidTr="005636C7">
        <w:tc>
          <w:tcPr>
            <w:tcW w:w="3715" w:type="dxa"/>
            <w:vAlign w:val="center"/>
          </w:tcPr>
          <w:p w14:paraId="621B9BA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Refrigerated Cabinet Sales</w:t>
            </w:r>
          </w:p>
        </w:tc>
        <w:tc>
          <w:tcPr>
            <w:tcW w:w="4677" w:type="dxa"/>
            <w:vAlign w:val="center"/>
          </w:tcPr>
          <w:p w14:paraId="582F5D5D"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Amatis, Apollo, Arneg, Bahia, Beverage Air, Bonnet Neve, Carrier/Linde, CoolHead, Dellware,  De Rigo, EXPO, Exquisite, Framec, Frigrite, IARP, ICCOLD, ISA, Kalanar, Mafirol, Mercan, Mini Bali, Oscartielle, Procool, Skope, Staycold, Tyler, Verco</w:t>
            </w:r>
          </w:p>
        </w:tc>
      </w:tr>
      <w:tr w:rsidR="005636C7" w:rsidRPr="00F879AF" w14:paraId="54BA43A8" w14:textId="77777777" w:rsidTr="005636C7">
        <w:tc>
          <w:tcPr>
            <w:tcW w:w="3715" w:type="dxa"/>
            <w:vAlign w:val="center"/>
          </w:tcPr>
          <w:p w14:paraId="0546F90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SaveBarn</w:t>
            </w:r>
          </w:p>
        </w:tc>
        <w:tc>
          <w:tcPr>
            <w:tcW w:w="4677" w:type="dxa"/>
            <w:vAlign w:val="center"/>
          </w:tcPr>
          <w:p w14:paraId="0ECC753C"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CaterChill, </w:t>
            </w:r>
          </w:p>
        </w:tc>
      </w:tr>
      <w:tr w:rsidR="005636C7" w:rsidRPr="00F879AF" w14:paraId="29F19603" w14:textId="77777777" w:rsidTr="005636C7">
        <w:tc>
          <w:tcPr>
            <w:tcW w:w="3715" w:type="dxa"/>
            <w:vAlign w:val="center"/>
          </w:tcPr>
          <w:p w14:paraId="08C25B1A"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Southern Chill</w:t>
            </w:r>
          </w:p>
        </w:tc>
        <w:tc>
          <w:tcPr>
            <w:tcW w:w="4677" w:type="dxa"/>
            <w:vAlign w:val="center"/>
          </w:tcPr>
          <w:p w14:paraId="232DAA78"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 xml:space="preserve">Glacier, Caravell, FPG, Skope, Tefcold, Cossiga, </w:t>
            </w:r>
          </w:p>
        </w:tc>
      </w:tr>
      <w:tr w:rsidR="005636C7" w:rsidRPr="00F879AF" w14:paraId="2C06F4EB" w14:textId="77777777" w:rsidTr="005636C7">
        <w:tc>
          <w:tcPr>
            <w:tcW w:w="3715" w:type="dxa"/>
            <w:vAlign w:val="center"/>
          </w:tcPr>
          <w:p w14:paraId="3414B174" w14:textId="77777777" w:rsidR="005636C7" w:rsidRPr="00F879AF" w:rsidRDefault="005636C7" w:rsidP="005636C7">
            <w:pPr>
              <w:spacing w:before="60" w:after="60"/>
              <w:rPr>
                <w:rFonts w:ascii="Helvetica" w:hAnsi="Helvetica" w:cs="Helvetica"/>
                <w:b/>
                <w:sz w:val="15"/>
                <w:szCs w:val="14"/>
              </w:rPr>
            </w:pPr>
            <w:r w:rsidRPr="00F879AF">
              <w:rPr>
                <w:rFonts w:ascii="Helvetica" w:hAnsi="Helvetica" w:cs="Helvetica"/>
                <w:b/>
                <w:color w:val="000000"/>
                <w:sz w:val="15"/>
                <w:szCs w:val="14"/>
              </w:rPr>
              <w:t>Surplus Brokers Ltd</w:t>
            </w:r>
          </w:p>
        </w:tc>
        <w:tc>
          <w:tcPr>
            <w:tcW w:w="4677" w:type="dxa"/>
            <w:vAlign w:val="center"/>
          </w:tcPr>
          <w:p w14:paraId="18E88A1B" w14:textId="77777777" w:rsidR="005636C7" w:rsidRPr="00F879AF" w:rsidRDefault="005636C7" w:rsidP="005636C7">
            <w:pPr>
              <w:spacing w:before="60" w:after="60"/>
              <w:rPr>
                <w:rFonts w:ascii="Helvetica" w:hAnsi="Helvetica" w:cs="Helvetica"/>
                <w:b/>
                <w:sz w:val="15"/>
                <w:szCs w:val="14"/>
              </w:rPr>
            </w:pPr>
          </w:p>
        </w:tc>
      </w:tr>
      <w:tr w:rsidR="005636C7" w:rsidRPr="00F879AF" w14:paraId="0D95BF27" w14:textId="77777777" w:rsidTr="005636C7">
        <w:tc>
          <w:tcPr>
            <w:tcW w:w="3715" w:type="dxa"/>
            <w:vAlign w:val="center"/>
          </w:tcPr>
          <w:p w14:paraId="21EE9D4F"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Temperature Solutions Ltd</w:t>
            </w:r>
          </w:p>
        </w:tc>
        <w:tc>
          <w:tcPr>
            <w:tcW w:w="4677" w:type="dxa"/>
            <w:vAlign w:val="center"/>
          </w:tcPr>
          <w:p w14:paraId="5A15B38B" w14:textId="77777777" w:rsidR="005636C7" w:rsidRPr="00F879AF" w:rsidRDefault="005636C7" w:rsidP="005636C7">
            <w:pPr>
              <w:spacing w:before="60" w:after="60"/>
              <w:rPr>
                <w:rFonts w:ascii="Helvetica" w:hAnsi="Helvetica" w:cs="Helvetica"/>
                <w:b/>
                <w:color w:val="000000"/>
                <w:sz w:val="15"/>
                <w:szCs w:val="14"/>
              </w:rPr>
            </w:pPr>
          </w:p>
        </w:tc>
      </w:tr>
      <w:tr w:rsidR="005636C7" w:rsidRPr="00F879AF" w14:paraId="3DB400D8" w14:textId="77777777" w:rsidTr="005636C7">
        <w:tc>
          <w:tcPr>
            <w:tcW w:w="3715" w:type="dxa"/>
            <w:tcBorders>
              <w:top w:val="single" w:sz="4" w:space="0" w:color="auto"/>
              <w:left w:val="single" w:sz="4" w:space="0" w:color="auto"/>
              <w:bottom w:val="single" w:sz="4" w:space="0" w:color="auto"/>
              <w:right w:val="single" w:sz="4" w:space="0" w:color="auto"/>
            </w:tcBorders>
            <w:vAlign w:val="center"/>
          </w:tcPr>
          <w:p w14:paraId="44D304F9"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Thermo Tech</w:t>
            </w:r>
          </w:p>
        </w:tc>
        <w:tc>
          <w:tcPr>
            <w:tcW w:w="4677" w:type="dxa"/>
            <w:tcBorders>
              <w:top w:val="single" w:sz="4" w:space="0" w:color="auto"/>
              <w:left w:val="single" w:sz="4" w:space="0" w:color="auto"/>
              <w:bottom w:val="single" w:sz="4" w:space="0" w:color="auto"/>
              <w:right w:val="single" w:sz="4" w:space="0" w:color="auto"/>
            </w:tcBorders>
            <w:vAlign w:val="center"/>
          </w:tcPr>
          <w:p w14:paraId="6E729B12" w14:textId="77777777" w:rsidR="005636C7" w:rsidRPr="00F879AF" w:rsidRDefault="005636C7" w:rsidP="005636C7">
            <w:pPr>
              <w:spacing w:before="60" w:after="60"/>
              <w:rPr>
                <w:rFonts w:ascii="Helvetica" w:hAnsi="Helvetica" w:cs="Helvetica"/>
                <w:b/>
                <w:color w:val="000000"/>
                <w:sz w:val="15"/>
                <w:szCs w:val="14"/>
              </w:rPr>
            </w:pPr>
            <w:r w:rsidRPr="00F879AF">
              <w:rPr>
                <w:rFonts w:ascii="Helvetica" w:hAnsi="Helvetica" w:cs="Helvetica"/>
                <w:b/>
                <w:color w:val="000000"/>
                <w:sz w:val="15"/>
                <w:szCs w:val="14"/>
              </w:rPr>
              <w:t>Vestfrost, Envichill, Envifreeze, Indigochiller, Friulinox</w:t>
            </w:r>
          </w:p>
        </w:tc>
      </w:tr>
    </w:tbl>
    <w:p w14:paraId="3D912953" w14:textId="77777777" w:rsidR="005636C7" w:rsidRDefault="005636C7" w:rsidP="005636C7">
      <w:pPr>
        <w:pStyle w:val="E3BodyText"/>
        <w:rPr>
          <w:lang w:val="en-AU"/>
        </w:rPr>
      </w:pPr>
    </w:p>
    <w:p w14:paraId="04EB1A3D" w14:textId="77777777" w:rsidR="005636C7" w:rsidRDefault="005636C7" w:rsidP="005636C7"/>
    <w:p w14:paraId="4A5A5BC5" w14:textId="77777777" w:rsidR="005636C7" w:rsidRDefault="005636C7" w:rsidP="005636C7"/>
    <w:p w14:paraId="077F6498" w14:textId="77777777" w:rsidR="005636C7" w:rsidRDefault="005636C7" w:rsidP="005636C7"/>
    <w:p w14:paraId="3D42CE65" w14:textId="77777777" w:rsidR="005636C7" w:rsidRDefault="005636C7" w:rsidP="005636C7"/>
    <w:p w14:paraId="46F4D4DA" w14:textId="77777777" w:rsidR="005636C7" w:rsidRDefault="005636C7" w:rsidP="005636C7"/>
    <w:p w14:paraId="39969912" w14:textId="77777777" w:rsidR="005636C7" w:rsidRDefault="005636C7" w:rsidP="005636C7"/>
    <w:p w14:paraId="617B1444" w14:textId="77777777" w:rsidR="005636C7" w:rsidRDefault="005636C7" w:rsidP="005636C7"/>
    <w:p w14:paraId="49C54E8B" w14:textId="77777777" w:rsidR="005636C7" w:rsidRDefault="005636C7" w:rsidP="005636C7"/>
    <w:p w14:paraId="3162FC2B" w14:textId="77777777" w:rsidR="005636C7" w:rsidRDefault="005636C7" w:rsidP="005636C7"/>
    <w:p w14:paraId="3D70D703" w14:textId="77777777" w:rsidR="005636C7" w:rsidRDefault="005636C7" w:rsidP="005636C7"/>
    <w:p w14:paraId="2CF55C51" w14:textId="77777777" w:rsidR="005636C7" w:rsidRDefault="005636C7" w:rsidP="005636C7"/>
    <w:p w14:paraId="5BE35B2D" w14:textId="77777777" w:rsidR="005636C7" w:rsidRDefault="005636C7" w:rsidP="005636C7"/>
    <w:p w14:paraId="3C2DBFB0" w14:textId="77777777" w:rsidR="005636C7" w:rsidRDefault="005636C7" w:rsidP="005636C7"/>
    <w:p w14:paraId="421FA3D2" w14:textId="77777777" w:rsidR="005636C7" w:rsidRDefault="005636C7" w:rsidP="005636C7"/>
    <w:p w14:paraId="52DC83CF" w14:textId="77777777" w:rsidR="005636C7" w:rsidRDefault="005636C7" w:rsidP="005636C7"/>
    <w:p w14:paraId="70B971D7" w14:textId="77777777" w:rsidR="005636C7" w:rsidRDefault="005636C7" w:rsidP="005636C7"/>
    <w:p w14:paraId="1551368D" w14:textId="77777777" w:rsidR="005636C7" w:rsidRDefault="005636C7" w:rsidP="005636C7"/>
    <w:p w14:paraId="261EE6F1" w14:textId="77777777" w:rsidR="007A7E50" w:rsidRDefault="007A7E50" w:rsidP="007A7E50">
      <w:pPr>
        <w:pStyle w:val="E3ChapterTitle"/>
        <w:spacing w:after="360"/>
      </w:pPr>
      <w:bookmarkStart w:id="500" w:name="_Toc500151849"/>
    </w:p>
    <w:p w14:paraId="67A672FF" w14:textId="77777777" w:rsidR="005636C7" w:rsidRDefault="005636C7" w:rsidP="007A7E50">
      <w:pPr>
        <w:pStyle w:val="E3ChapterTitle"/>
        <w:spacing w:after="720"/>
      </w:pPr>
      <w:r>
        <w:rPr>
          <w:noProof/>
          <w:lang w:eastAsia="en-AU"/>
        </w:rPr>
        <w:drawing>
          <wp:anchor distT="0" distB="0" distL="114300" distR="114300" simplePos="0" relativeHeight="251676672" behindDoc="1" locked="1" layoutInCell="1" allowOverlap="1" wp14:anchorId="48AE5109" wp14:editId="6267B264">
            <wp:simplePos x="0" y="0"/>
            <wp:positionH relativeFrom="margin">
              <wp:align>left</wp:align>
            </wp:positionH>
            <wp:positionV relativeFrom="margin">
              <wp:posOffset>171450</wp:posOffset>
            </wp:positionV>
            <wp:extent cx="6124575" cy="1800225"/>
            <wp:effectExtent l="0" t="0" r="9525" b="9525"/>
            <wp:wrapNone/>
            <wp:docPr id="241"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E - Australasian vs International Standards</w:t>
      </w:r>
      <w:bookmarkEnd w:id="500"/>
    </w:p>
    <w:p w14:paraId="02011110" w14:textId="77777777" w:rsidR="009A7395" w:rsidRDefault="009A7395" w:rsidP="005636C7">
      <w:pPr>
        <w:pStyle w:val="E3Heading2"/>
      </w:pPr>
      <w:bookmarkStart w:id="501" w:name="_Toc500151850"/>
      <w:bookmarkStart w:id="502" w:name="_Toc280615500"/>
    </w:p>
    <w:p w14:paraId="7F148083" w14:textId="77777777" w:rsidR="009A7395" w:rsidRDefault="009A7395" w:rsidP="005636C7">
      <w:pPr>
        <w:pStyle w:val="E3Heading2"/>
      </w:pPr>
    </w:p>
    <w:p w14:paraId="77968E2E" w14:textId="77777777" w:rsidR="005636C7" w:rsidRDefault="005636C7" w:rsidP="005636C7">
      <w:pPr>
        <w:pStyle w:val="E3Heading2"/>
      </w:pPr>
      <w:r w:rsidRPr="006F5C60">
        <w:t>Current AU/NZ test and performance Standard, AS 1731</w:t>
      </w:r>
      <w:bookmarkEnd w:id="501"/>
    </w:p>
    <w:p w14:paraId="65D969FA" w14:textId="77777777" w:rsidR="005636C7" w:rsidRPr="00AC7259" w:rsidRDefault="005636C7" w:rsidP="005636C7">
      <w:pPr>
        <w:pStyle w:val="E3BodyText"/>
        <w:jc w:val="both"/>
      </w:pPr>
      <w:r w:rsidRPr="00AC7259">
        <w:t xml:space="preserve">Most display cabinets </w:t>
      </w:r>
      <w:r>
        <w:t xml:space="preserve">in Australia and New Zealand </w:t>
      </w:r>
      <w:r w:rsidRPr="00AC7259">
        <w:t xml:space="preserve">are required to be registered and pass MEPS levels, and have been since 2004.  </w:t>
      </w:r>
      <w:r>
        <w:t xml:space="preserve">The Australian Standard </w:t>
      </w:r>
      <w:r w:rsidRPr="00AC7259">
        <w:t>AS 1731</w:t>
      </w:r>
      <w:r>
        <w:t xml:space="preserve"> </w:t>
      </w:r>
      <w:r w:rsidRPr="00AC7259">
        <w:t>defines the test procedure for display cabinets in both</w:t>
      </w:r>
      <w:r>
        <w:t xml:space="preserve"> countries</w:t>
      </w:r>
      <w:r w:rsidRPr="00AC7259">
        <w:t xml:space="preserve">. It also outlines the requirements for classification, installation and maintenance, user guides and MEPS levels. </w:t>
      </w:r>
    </w:p>
    <w:p w14:paraId="60C391FB" w14:textId="77777777" w:rsidR="005636C7" w:rsidRPr="00AC7259" w:rsidRDefault="005636C7" w:rsidP="005636C7">
      <w:pPr>
        <w:pStyle w:val="E3BodyText"/>
        <w:jc w:val="both"/>
      </w:pPr>
      <w:r w:rsidRPr="00AC7259">
        <w:t xml:space="preserve">Cabinets are defined into more than 50 different types (classes) across four operating temperatures, with different MEPS levels and test procedures. Forty four classes have MEPS levels defined. A range of cabinet sizes and configurations are regulated, from multi-door types that are several meters long for </w:t>
      </w:r>
      <w:r>
        <w:t xml:space="preserve">use in </w:t>
      </w:r>
      <w:r w:rsidRPr="00AC7259">
        <w:t xml:space="preserve">large supermarkets, to counter-top glass cabinets designed to display cakes. </w:t>
      </w:r>
    </w:p>
    <w:p w14:paraId="49C4352E" w14:textId="77777777" w:rsidR="005636C7" w:rsidRPr="00AC7259" w:rsidRDefault="005636C7" w:rsidP="005636C7">
      <w:pPr>
        <w:pStyle w:val="E3BodyText"/>
        <w:jc w:val="both"/>
      </w:pPr>
      <w:r w:rsidRPr="00AC7259">
        <w:t xml:space="preserve">Storage cabinets are mentioned in </w:t>
      </w:r>
      <w:r>
        <w:t xml:space="preserve">AS 1731 </w:t>
      </w:r>
      <w:r w:rsidRPr="00AC7259">
        <w:t>(</w:t>
      </w:r>
      <w:r>
        <w:t xml:space="preserve">as </w:t>
      </w:r>
      <w:r w:rsidRPr="00AC7259">
        <w:t xml:space="preserve">cabinets with solid doors) but </w:t>
      </w:r>
      <w:r>
        <w:t xml:space="preserve">they are </w:t>
      </w:r>
      <w:r w:rsidRPr="00AC7259">
        <w:t>not assigned MEPS values</w:t>
      </w:r>
      <w:r>
        <w:t>. These means they have “no value”</w:t>
      </w:r>
      <w:r w:rsidRPr="00AC7259">
        <w:t xml:space="preserve"> </w:t>
      </w:r>
      <w:r>
        <w:t xml:space="preserve">and do not </w:t>
      </w:r>
      <w:r w:rsidRPr="00AC7259">
        <w:t xml:space="preserve">have to comply with a MEPS level nor be registered.  Other cabinet types </w:t>
      </w:r>
      <w:r>
        <w:t xml:space="preserve">are </w:t>
      </w:r>
      <w:r w:rsidRPr="00AC7259">
        <w:t>not assigned MEPS values</w:t>
      </w:r>
      <w:r>
        <w:t xml:space="preserve"> under AS 1731</w:t>
      </w:r>
      <w:r w:rsidRPr="00AC7259">
        <w:t>,</w:t>
      </w:r>
      <w:r>
        <w:t xml:space="preserve"> including</w:t>
      </w:r>
      <w:r w:rsidRPr="00AC7259">
        <w:t xml:space="preserve"> ‘combination’ cabinets and wine </w:t>
      </w:r>
      <w:r>
        <w:t>cabinets. These types of fridge</w:t>
      </w:r>
      <w:r w:rsidRPr="00AC7259">
        <w:t xml:space="preserve"> </w:t>
      </w:r>
      <w:r>
        <w:t xml:space="preserve">have similar functions or characteristics to display cabinets </w:t>
      </w:r>
      <w:r w:rsidRPr="00AC7259">
        <w:t xml:space="preserve">but did not occupy much of the market share when MEPS were first devised </w:t>
      </w:r>
      <w:r>
        <w:t>(</w:t>
      </w:r>
      <w:r w:rsidRPr="00AC7259">
        <w:t>despite the fact that they use refrigeration technologies</w:t>
      </w:r>
      <w:r>
        <w:t>)</w:t>
      </w:r>
      <w:r w:rsidRPr="00AC7259">
        <w:t>.</w:t>
      </w:r>
    </w:p>
    <w:p w14:paraId="07390E3D" w14:textId="77777777" w:rsidR="005636C7" w:rsidRPr="00AC7259" w:rsidRDefault="005636C7" w:rsidP="005636C7">
      <w:pPr>
        <w:pStyle w:val="E3BodyText"/>
        <w:jc w:val="both"/>
      </w:pPr>
      <w:r w:rsidRPr="00AC7259">
        <w:t xml:space="preserve">Tests for the energy performance of cabinets are carried </w:t>
      </w:r>
      <w:r>
        <w:t>out in a controlled environment such as</w:t>
      </w:r>
      <w:r w:rsidRPr="00AC7259">
        <w:t xml:space="preserve"> a laboratory or </w:t>
      </w:r>
      <w:r>
        <w:t xml:space="preserve">a </w:t>
      </w:r>
      <w:r w:rsidRPr="00AC7259">
        <w:t>company’s private test room. Climate classes are defined whereby certain cabinets must perform to specific efficiency levels depending on their intended situation of use –</w:t>
      </w:r>
      <w:r>
        <w:t xml:space="preserve"> </w:t>
      </w:r>
      <w:r w:rsidRPr="00AC7259">
        <w:t>in a kitchen they must keep food cold despite the warm kitchen environment. Cabinets are pre-loaded with specific heat-holding packages that simulate a cabinet’s contents. Energy consumption is monitored and a formula is used to calculate the efficiency, with factors that vary the score depending on characteristics that affect how well the internal chill is retained and maintained.</w:t>
      </w:r>
    </w:p>
    <w:p w14:paraId="32E3FC8C" w14:textId="77777777" w:rsidR="005636C7" w:rsidRPr="009A7395" w:rsidRDefault="005636C7" w:rsidP="009A7395">
      <w:pPr>
        <w:spacing w:line="312" w:lineRule="auto"/>
        <w:jc w:val="both"/>
        <w:rPr>
          <w:rFonts w:ascii="Georgia" w:hAnsi="Georgia"/>
        </w:rPr>
      </w:pPr>
      <w:r w:rsidRPr="009A7395">
        <w:rPr>
          <w:rFonts w:ascii="Georgia" w:hAnsi="Georgia"/>
        </w:rPr>
        <w:t xml:space="preserve">The standard AS 1731 has been around in industry since 1966. It was revised in 1975, 1983 and 2000, then updated and published in 2003 as AS 1731: 2003. It came into force in 2004 under the joint E3 program in both countries. Only minor amendments have occurred since. Up until then it kept pace with improvements in the original European standard EN 441. This was a pre-cursor to the much simpler, ISO two part standard that E3 is looking to align with (23953 </w:t>
      </w:r>
      <w:r w:rsidRPr="009A7395">
        <w:rPr>
          <w:rFonts w:ascii="Georgia" w:hAnsi="Georgia"/>
          <w:i/>
        </w:rPr>
        <w:t>Refrigerated Display Cabinets.</w:t>
      </w:r>
      <w:r w:rsidRPr="009A7395">
        <w:rPr>
          <w:rFonts w:ascii="Georgia" w:hAnsi="Georgia"/>
        </w:rPr>
        <w:t xml:space="preserve">) </w:t>
      </w:r>
    </w:p>
    <w:p w14:paraId="6F5C5E26" w14:textId="77777777" w:rsidR="005636C7" w:rsidRPr="009A7395" w:rsidRDefault="005636C7" w:rsidP="005636C7">
      <w:pPr>
        <w:jc w:val="both"/>
        <w:rPr>
          <w:rFonts w:ascii="Georgia" w:hAnsi="Georgia"/>
        </w:rPr>
      </w:pPr>
      <w:r w:rsidRPr="009A7395">
        <w:rPr>
          <w:rFonts w:ascii="Georgia" w:hAnsi="Georgia"/>
        </w:rPr>
        <w:t>AS 1731 still has 14 parts (sold separately) which are shown below. The relevant energy efficiency Parts are shown in bold.</w:t>
      </w:r>
    </w:p>
    <w:p w14:paraId="4594C919" w14:textId="77777777" w:rsidR="005636C7" w:rsidRPr="00CA455C" w:rsidRDefault="005636C7" w:rsidP="005636C7">
      <w:pPr>
        <w:jc w:val="both"/>
      </w:pPr>
    </w:p>
    <w:p w14:paraId="77F39022" w14:textId="77777777" w:rsidR="005636C7" w:rsidRPr="009A7395" w:rsidRDefault="005636C7" w:rsidP="009A7395">
      <w:pPr>
        <w:pStyle w:val="ListBullet"/>
        <w:rPr>
          <w:rFonts w:ascii="Georgia" w:hAnsi="Georgia"/>
        </w:rPr>
      </w:pPr>
      <w:r w:rsidRPr="009A7395">
        <w:rPr>
          <w:rFonts w:ascii="Georgia" w:hAnsi="Georgia"/>
        </w:rPr>
        <w:t>Part 1: Terms and definitions</w:t>
      </w:r>
    </w:p>
    <w:p w14:paraId="55ED5034" w14:textId="77777777" w:rsidR="005636C7" w:rsidRPr="009A7395" w:rsidRDefault="005636C7" w:rsidP="009A7395">
      <w:pPr>
        <w:pStyle w:val="ListBullet"/>
        <w:rPr>
          <w:rFonts w:ascii="Georgia" w:hAnsi="Georgia"/>
        </w:rPr>
      </w:pPr>
      <w:r w:rsidRPr="009A7395">
        <w:rPr>
          <w:rFonts w:ascii="Georgia" w:hAnsi="Georgia"/>
        </w:rPr>
        <w:t>Part 2: General mechanical and physical requirements</w:t>
      </w:r>
    </w:p>
    <w:p w14:paraId="0C2AAB71" w14:textId="77777777" w:rsidR="005636C7" w:rsidRPr="009A7395" w:rsidRDefault="005636C7" w:rsidP="009A7395">
      <w:pPr>
        <w:pStyle w:val="ListBullet"/>
        <w:rPr>
          <w:rFonts w:ascii="Georgia" w:hAnsi="Georgia"/>
        </w:rPr>
      </w:pPr>
      <w:r w:rsidRPr="009A7395">
        <w:rPr>
          <w:rFonts w:ascii="Georgia" w:hAnsi="Georgia"/>
        </w:rPr>
        <w:t>Part 3: Linear dimensions, areas and volumes</w:t>
      </w:r>
    </w:p>
    <w:p w14:paraId="5BFFCBA4" w14:textId="77777777" w:rsidR="005636C7" w:rsidRPr="009A7395" w:rsidRDefault="005636C7" w:rsidP="009A7395">
      <w:pPr>
        <w:pStyle w:val="ListBullet"/>
        <w:rPr>
          <w:rFonts w:ascii="Georgia" w:hAnsi="Georgia"/>
          <w:b/>
        </w:rPr>
      </w:pPr>
      <w:r w:rsidRPr="009A7395">
        <w:rPr>
          <w:rFonts w:ascii="Georgia" w:hAnsi="Georgia"/>
          <w:b/>
        </w:rPr>
        <w:t>Part 4: General test conditions</w:t>
      </w:r>
    </w:p>
    <w:p w14:paraId="7F343841" w14:textId="77777777" w:rsidR="005636C7" w:rsidRPr="009A7395" w:rsidRDefault="005636C7" w:rsidP="009A7395">
      <w:pPr>
        <w:pStyle w:val="ListBullet"/>
        <w:rPr>
          <w:rFonts w:ascii="Georgia" w:hAnsi="Georgia"/>
          <w:b/>
        </w:rPr>
      </w:pPr>
      <w:r w:rsidRPr="009A7395">
        <w:rPr>
          <w:rFonts w:ascii="Georgia" w:hAnsi="Georgia"/>
          <w:b/>
        </w:rPr>
        <w:t>Part 5: Temperature test</w:t>
      </w:r>
    </w:p>
    <w:p w14:paraId="115F021D" w14:textId="77777777" w:rsidR="005636C7" w:rsidRPr="009A7395" w:rsidRDefault="005636C7" w:rsidP="009A7395">
      <w:pPr>
        <w:pStyle w:val="ListBullet"/>
        <w:rPr>
          <w:rFonts w:ascii="Georgia" w:hAnsi="Georgia"/>
          <w:b/>
        </w:rPr>
      </w:pPr>
      <w:r w:rsidRPr="009A7395">
        <w:rPr>
          <w:rFonts w:ascii="Georgia" w:hAnsi="Georgia"/>
          <w:b/>
        </w:rPr>
        <w:t>Part 6: Classification according to temperatures</w:t>
      </w:r>
    </w:p>
    <w:p w14:paraId="04E0C69D" w14:textId="77777777" w:rsidR="005636C7" w:rsidRPr="009A7395" w:rsidRDefault="005636C7" w:rsidP="009A7395">
      <w:pPr>
        <w:pStyle w:val="ListBullet"/>
        <w:rPr>
          <w:rFonts w:ascii="Georgia" w:hAnsi="Georgia"/>
        </w:rPr>
      </w:pPr>
      <w:r w:rsidRPr="009A7395">
        <w:rPr>
          <w:rFonts w:ascii="Georgia" w:hAnsi="Georgia"/>
        </w:rPr>
        <w:t>Part 7: Defrosting test</w:t>
      </w:r>
    </w:p>
    <w:p w14:paraId="3E3031BA" w14:textId="77777777" w:rsidR="005636C7" w:rsidRPr="009A7395" w:rsidRDefault="005636C7" w:rsidP="009A7395">
      <w:pPr>
        <w:pStyle w:val="ListBullet"/>
        <w:rPr>
          <w:rFonts w:ascii="Georgia" w:hAnsi="Georgia"/>
        </w:rPr>
      </w:pPr>
      <w:r w:rsidRPr="009A7395">
        <w:rPr>
          <w:rFonts w:ascii="Georgia" w:hAnsi="Georgia"/>
        </w:rPr>
        <w:t>Part 8: Water vapour condensation test</w:t>
      </w:r>
    </w:p>
    <w:p w14:paraId="59F08B5A" w14:textId="77777777" w:rsidR="005636C7" w:rsidRPr="009A7395" w:rsidRDefault="005636C7" w:rsidP="009A7395">
      <w:pPr>
        <w:pStyle w:val="ListBullet"/>
        <w:rPr>
          <w:rFonts w:ascii="Georgia" w:hAnsi="Georgia"/>
          <w:b/>
        </w:rPr>
      </w:pPr>
      <w:r w:rsidRPr="009A7395">
        <w:rPr>
          <w:rFonts w:ascii="Georgia" w:hAnsi="Georgia"/>
          <w:b/>
        </w:rPr>
        <w:t>Part 9: Electrical energy consumption test</w:t>
      </w:r>
    </w:p>
    <w:p w14:paraId="7C1EF347" w14:textId="77777777" w:rsidR="005636C7" w:rsidRPr="009A7395" w:rsidRDefault="005636C7" w:rsidP="009A7395">
      <w:pPr>
        <w:pStyle w:val="ListBullet"/>
        <w:rPr>
          <w:rFonts w:ascii="Georgia" w:hAnsi="Georgia"/>
        </w:rPr>
      </w:pPr>
      <w:r w:rsidRPr="009A7395">
        <w:rPr>
          <w:rFonts w:ascii="Georgia" w:hAnsi="Georgia"/>
        </w:rPr>
        <w:t>Part 10: Test of absence of odour and taste</w:t>
      </w:r>
    </w:p>
    <w:p w14:paraId="4A67E719" w14:textId="77777777" w:rsidR="005636C7" w:rsidRPr="009A7395" w:rsidRDefault="005636C7" w:rsidP="009A7395">
      <w:pPr>
        <w:pStyle w:val="ListBullet"/>
        <w:rPr>
          <w:rFonts w:ascii="Georgia" w:hAnsi="Georgia"/>
        </w:rPr>
      </w:pPr>
      <w:r w:rsidRPr="009A7395">
        <w:rPr>
          <w:rFonts w:ascii="Georgia" w:hAnsi="Georgia"/>
        </w:rPr>
        <w:t>Part 11: Installation, maintenance and user guide</w:t>
      </w:r>
    </w:p>
    <w:p w14:paraId="0F19911D" w14:textId="77777777" w:rsidR="005636C7" w:rsidRPr="009A7395" w:rsidRDefault="005636C7" w:rsidP="009A7395">
      <w:pPr>
        <w:pStyle w:val="ListBullet"/>
        <w:rPr>
          <w:rFonts w:ascii="Georgia" w:hAnsi="Georgia"/>
        </w:rPr>
      </w:pPr>
      <w:r w:rsidRPr="009A7395">
        <w:rPr>
          <w:rFonts w:ascii="Georgia" w:hAnsi="Georgia"/>
        </w:rPr>
        <w:t>Part 12: Measurement of the heat extraction rate of the cabinets when the condensing unit is remote from the cabinet</w:t>
      </w:r>
    </w:p>
    <w:p w14:paraId="62E0AFA5" w14:textId="77777777" w:rsidR="005636C7" w:rsidRPr="009A7395" w:rsidRDefault="005636C7" w:rsidP="009A7395">
      <w:pPr>
        <w:pStyle w:val="ListBullet"/>
        <w:rPr>
          <w:rFonts w:ascii="Georgia" w:hAnsi="Georgia"/>
        </w:rPr>
      </w:pPr>
      <w:r w:rsidRPr="009A7395">
        <w:rPr>
          <w:rFonts w:ascii="Georgia" w:hAnsi="Georgia"/>
        </w:rPr>
        <w:t>Part 13: Test report</w:t>
      </w:r>
    </w:p>
    <w:p w14:paraId="60BF29ED" w14:textId="77777777" w:rsidR="005636C7" w:rsidRPr="009A7395" w:rsidRDefault="005636C7" w:rsidP="009A7395">
      <w:pPr>
        <w:pStyle w:val="ListBullet"/>
        <w:rPr>
          <w:rFonts w:ascii="Georgia" w:hAnsi="Georgia"/>
          <w:b/>
        </w:rPr>
      </w:pPr>
      <w:r w:rsidRPr="009A7395">
        <w:rPr>
          <w:rFonts w:ascii="Georgia" w:hAnsi="Georgia"/>
          <w:b/>
        </w:rPr>
        <w:t>Part 14: MEPS and HEPS requirements and the appropriate methods for determination of display areas of a number of common varieties of display cabinets</w:t>
      </w:r>
    </w:p>
    <w:p w14:paraId="20B852E6" w14:textId="77777777" w:rsidR="005636C7" w:rsidRPr="00CA455C" w:rsidRDefault="005636C7" w:rsidP="009A7395">
      <w:pPr>
        <w:pStyle w:val="E3Heading2"/>
        <w:spacing w:before="240" w:line="360" w:lineRule="auto"/>
        <w:jc w:val="both"/>
        <w:rPr>
          <w:rFonts w:ascii="Georgia" w:hAnsi="Georgia"/>
          <w:color w:val="auto"/>
          <w:sz w:val="24"/>
        </w:rPr>
      </w:pPr>
      <w:bookmarkStart w:id="503" w:name="_Toc449708813"/>
      <w:bookmarkStart w:id="504" w:name="_Toc494898004"/>
      <w:bookmarkStart w:id="505" w:name="_Toc494955796"/>
      <w:bookmarkStart w:id="506" w:name="_Toc494959604"/>
      <w:bookmarkStart w:id="507" w:name="_Toc494972730"/>
      <w:bookmarkStart w:id="508" w:name="_Toc494973917"/>
      <w:bookmarkStart w:id="509" w:name="_Toc494974606"/>
      <w:bookmarkStart w:id="510" w:name="_Toc500151851"/>
      <w:r w:rsidRPr="00CA455C">
        <w:rPr>
          <w:rFonts w:ascii="Georgia" w:hAnsi="Georgia"/>
          <w:color w:val="auto"/>
          <w:sz w:val="24"/>
        </w:rPr>
        <w:t>Europe</w:t>
      </w:r>
      <w:bookmarkEnd w:id="503"/>
      <w:bookmarkEnd w:id="504"/>
      <w:bookmarkEnd w:id="505"/>
      <w:bookmarkEnd w:id="506"/>
      <w:bookmarkEnd w:id="507"/>
      <w:bookmarkEnd w:id="508"/>
      <w:bookmarkEnd w:id="509"/>
      <w:bookmarkEnd w:id="510"/>
    </w:p>
    <w:p w14:paraId="5A510750" w14:textId="77777777" w:rsidR="005636C7" w:rsidRPr="00AC7259" w:rsidRDefault="005636C7" w:rsidP="005636C7">
      <w:pPr>
        <w:pStyle w:val="E3BodyText"/>
        <w:jc w:val="both"/>
      </w:pPr>
      <w:r w:rsidRPr="00AC7259">
        <w:t>The European Commission is implementing a regulated efficiency regime that covers display and storage cabinets. This is a two part scheme of mandatory efficiency grades (based on results of specific methods of tests)</w:t>
      </w:r>
      <w:r>
        <w:t>.</w:t>
      </w:r>
      <w:r w:rsidRPr="00AC7259">
        <w:t xml:space="preserve"> </w:t>
      </w:r>
    </w:p>
    <w:p w14:paraId="71926605" w14:textId="77777777" w:rsidR="005636C7" w:rsidRPr="00AC7259" w:rsidRDefault="005636C7" w:rsidP="005636C7">
      <w:pPr>
        <w:pStyle w:val="E3BodyText"/>
        <w:jc w:val="both"/>
      </w:pPr>
      <w:r w:rsidRPr="00AC7259">
        <w:t>The mandatory energy test involves comparing actual energy consumption measured under test conditions with a “standard” energy consumption amount – and the result is re-worked into an index score called an Energy Efficiency Index. A cabinet that used electricity exactly equal to the “standard” efficiency would have an efficiency index equal to 100% and a product that used half of the standard energy would have an EEI of 50%. For labelling, the efficiency index score is slotted into a number of efficiency grades, depending on different cabinet types and sizes. The efficiency grade must be marked on each product (EC 2014a) and in literature.</w:t>
      </w:r>
    </w:p>
    <w:p w14:paraId="1860C57B" w14:textId="77777777" w:rsidR="005636C7" w:rsidRPr="00AC7259" w:rsidRDefault="005636C7" w:rsidP="005636C7">
      <w:pPr>
        <w:pStyle w:val="E3BodyText"/>
        <w:jc w:val="both"/>
      </w:pPr>
      <w:r w:rsidRPr="00AC7259">
        <w:t>Over time, the least efficient grades of cabinets will be phased out.</w:t>
      </w:r>
    </w:p>
    <w:p w14:paraId="5384B64E" w14:textId="77777777" w:rsidR="005636C7" w:rsidRPr="00CA455C" w:rsidRDefault="005636C7" w:rsidP="005636C7">
      <w:pPr>
        <w:pStyle w:val="E3Heading4"/>
        <w:jc w:val="both"/>
      </w:pPr>
      <w:bookmarkStart w:id="511" w:name="_Toc447533644"/>
      <w:r w:rsidRPr="00CA455C">
        <w:t>ISO 23953 – Refrigerated Display Cabinets</w:t>
      </w:r>
      <w:bookmarkEnd w:id="511"/>
    </w:p>
    <w:p w14:paraId="2552B823" w14:textId="77777777" w:rsidR="005636C7" w:rsidRPr="00AC7259" w:rsidRDefault="005636C7" w:rsidP="005636C7">
      <w:pPr>
        <w:pStyle w:val="E3BodyText"/>
        <w:jc w:val="both"/>
      </w:pPr>
      <w:r w:rsidRPr="00AC7259">
        <w:t xml:space="preserve">ISO 23953 </w:t>
      </w:r>
      <w:r w:rsidRPr="00AC7259">
        <w:rPr>
          <w:i/>
        </w:rPr>
        <w:t xml:space="preserve">Refrigerated Display Cabinets </w:t>
      </w:r>
      <w:r w:rsidRPr="00AC7259">
        <w:t xml:space="preserve">is widely used in Europe as the preferred </w:t>
      </w:r>
      <w:r>
        <w:t xml:space="preserve">test </w:t>
      </w:r>
      <w:r w:rsidRPr="00AC7259">
        <w:t>method for display cabinets, including open cabinets and those with glass doors. Amendments were made to it in 2012 to accommodate different test packages (e.g. the Australian filler packs).</w:t>
      </w:r>
    </w:p>
    <w:p w14:paraId="716EDC78" w14:textId="77777777" w:rsidR="005636C7" w:rsidRPr="00AC7259" w:rsidRDefault="005636C7" w:rsidP="005636C7">
      <w:pPr>
        <w:pStyle w:val="E3BodyText"/>
        <w:jc w:val="both"/>
      </w:pPr>
      <w:r w:rsidRPr="00AC7259">
        <w:t>MEPS levels are being developed separately by the European Commission and will become local (European) regulations.</w:t>
      </w:r>
    </w:p>
    <w:p w14:paraId="450CEBEB" w14:textId="77777777" w:rsidR="005636C7" w:rsidRPr="00AC7259" w:rsidRDefault="005636C7" w:rsidP="005636C7">
      <w:pPr>
        <w:pStyle w:val="E3BodyText"/>
        <w:jc w:val="both"/>
      </w:pPr>
      <w:r w:rsidRPr="00AC7259">
        <w:t>The technical details of AS 1731 and ISO 23953 are essentially the same. The operating temperature classifications are similar with some</w:t>
      </w:r>
      <w:r>
        <w:t xml:space="preserve"> extra temperatures defined by ISO 23953 (t</w:t>
      </w:r>
      <w:r w:rsidRPr="00AC7259">
        <w:t>hese will not affect the parameters for determining the cabinet efficiency</w:t>
      </w:r>
      <w:r>
        <w:t>).</w:t>
      </w:r>
    </w:p>
    <w:p w14:paraId="1BC367D2" w14:textId="77777777" w:rsidR="005636C7" w:rsidRPr="00AC7259" w:rsidRDefault="005636C7" w:rsidP="005636C7">
      <w:pPr>
        <w:pStyle w:val="E3BodyText"/>
        <w:jc w:val="both"/>
      </w:pPr>
      <w:r w:rsidRPr="00AC7259">
        <w:t xml:space="preserve">There are several minor technical points of difference from AS 1731 that slightly affect the energy efficiency test. </w:t>
      </w:r>
    </w:p>
    <w:p w14:paraId="3272A7C6" w14:textId="77777777" w:rsidR="005636C7" w:rsidRPr="00AC7259" w:rsidRDefault="005636C7" w:rsidP="005636C7">
      <w:pPr>
        <w:pStyle w:val="E3BodyText"/>
        <w:jc w:val="both"/>
      </w:pPr>
      <w:r w:rsidRPr="00AC7259">
        <w:t xml:space="preserve">ISO 23953 does not include storage cabinets because these will be treated separately </w:t>
      </w:r>
      <w:r>
        <w:t xml:space="preserve">under the </w:t>
      </w:r>
      <w:r w:rsidRPr="00AC7259">
        <w:t xml:space="preserve">storage cabinet </w:t>
      </w:r>
      <w:r>
        <w:t xml:space="preserve">test </w:t>
      </w:r>
      <w:r w:rsidRPr="00AC7259">
        <w:t xml:space="preserve">method </w:t>
      </w:r>
      <w:r>
        <w:t>EN 16825</w:t>
      </w:r>
      <w:r w:rsidRPr="00AC7259">
        <w:t xml:space="preserve">. </w:t>
      </w:r>
      <w:r>
        <w:t xml:space="preserve">It </w:t>
      </w:r>
      <w:r w:rsidRPr="00AC7259">
        <w:t xml:space="preserve">also </w:t>
      </w:r>
      <w:r>
        <w:t xml:space="preserve">covers </w:t>
      </w:r>
      <w:r w:rsidRPr="00AC7259">
        <w:t xml:space="preserve">a few more cabinet types </w:t>
      </w:r>
      <w:r>
        <w:t>than AS 1731 and only a couple are excluded (</w:t>
      </w:r>
      <w:r w:rsidRPr="00AC7259">
        <w:t xml:space="preserve">presumably </w:t>
      </w:r>
      <w:r>
        <w:t xml:space="preserve">because there have never been any made and there have not been any </w:t>
      </w:r>
      <w:r w:rsidRPr="00AC7259">
        <w:t>registrations for them through E3</w:t>
      </w:r>
      <w:r>
        <w:t>)</w:t>
      </w:r>
      <w:r w:rsidRPr="00AC7259">
        <w:t>.</w:t>
      </w:r>
    </w:p>
    <w:p w14:paraId="739B3184" w14:textId="77777777" w:rsidR="005636C7" w:rsidRPr="00CA455C" w:rsidRDefault="005636C7" w:rsidP="005636C7">
      <w:pPr>
        <w:pStyle w:val="E3Heading4"/>
        <w:jc w:val="both"/>
      </w:pPr>
      <w:bookmarkStart w:id="512" w:name="_Toc447533645"/>
      <w:r w:rsidRPr="00CA455C">
        <w:t xml:space="preserve">EN 16825 for storage cabinets </w:t>
      </w:r>
      <w:bookmarkEnd w:id="512"/>
      <w:r w:rsidRPr="00CA455C">
        <w:t>and other display cabinet standards</w:t>
      </w:r>
    </w:p>
    <w:p w14:paraId="23C785F2" w14:textId="77777777" w:rsidR="005636C7" w:rsidRPr="009A7395" w:rsidRDefault="005636C7" w:rsidP="009A7395">
      <w:pPr>
        <w:spacing w:after="240" w:line="276" w:lineRule="auto"/>
        <w:jc w:val="both"/>
        <w:rPr>
          <w:rFonts w:ascii="Georgia" w:hAnsi="Georgia"/>
        </w:rPr>
      </w:pPr>
      <w:r w:rsidRPr="009A7395">
        <w:rPr>
          <w:rFonts w:ascii="Georgia" w:hAnsi="Georgia"/>
        </w:rPr>
        <w:t xml:space="preserve">Based on the ISO 23953 standard, the storage cabinet standard EN 16825 is essentially the same as for display cabinets but with a proposed modified door opening sequence (Ita 2012). This work is undertaken by CECED Italia, a membership body representing over 100 companies within the Domestic and Professional Appliance sector in Italy. The refrigerated </w:t>
      </w:r>
      <w:r w:rsidRPr="009A7395">
        <w:rPr>
          <w:rFonts w:ascii="Georgia" w:hAnsi="Georgia"/>
          <w:i/>
        </w:rPr>
        <w:t>net volume</w:t>
      </w:r>
      <w:r w:rsidRPr="009A7395">
        <w:rPr>
          <w:rFonts w:ascii="Georgia" w:hAnsi="Georgia"/>
        </w:rPr>
        <w:t xml:space="preserve"> is a preferred metric (not Total Display Area TDA).</w:t>
      </w:r>
    </w:p>
    <w:p w14:paraId="386A6B75" w14:textId="77777777" w:rsidR="005636C7" w:rsidRPr="009A7395" w:rsidRDefault="005636C7" w:rsidP="009A7395">
      <w:pPr>
        <w:spacing w:after="240" w:line="276" w:lineRule="auto"/>
        <w:jc w:val="both"/>
        <w:rPr>
          <w:rFonts w:ascii="Georgia" w:hAnsi="Georgia"/>
        </w:rPr>
      </w:pPr>
      <w:r w:rsidRPr="009A7395">
        <w:rPr>
          <w:rFonts w:ascii="Georgia" w:hAnsi="Georgia"/>
        </w:rPr>
        <w:t>EN 16825 has been published and European “MEPS” regulations were enacted for storage cabinets from July 2016.</w:t>
      </w:r>
    </w:p>
    <w:p w14:paraId="65A93979" w14:textId="77777777" w:rsidR="005636C7" w:rsidRPr="009A7395" w:rsidRDefault="005636C7" w:rsidP="009A7395">
      <w:pPr>
        <w:spacing w:after="240" w:line="276" w:lineRule="auto"/>
        <w:jc w:val="both"/>
        <w:rPr>
          <w:rFonts w:ascii="Georgia" w:hAnsi="Georgia"/>
        </w:rPr>
      </w:pPr>
      <w:bookmarkStart w:id="513" w:name="_Toc447533653"/>
      <w:bookmarkEnd w:id="502"/>
      <w:r w:rsidRPr="009A7395">
        <w:rPr>
          <w:rFonts w:ascii="Georgia" w:hAnsi="Georgia"/>
        </w:rPr>
        <w:t>For each product group the efficiency grade is determined by use of a linear equation with set coefficient values that calculate the standard consumption using a metric such as display area or volume.  A product that has a measured consumption exactly equal to the standard efficiency would have an efficiency index equal to 100% and a product that used half of the standard energy would have an EEI of 50%.</w:t>
      </w:r>
    </w:p>
    <w:p w14:paraId="280ECC39" w14:textId="77777777" w:rsidR="005636C7" w:rsidRPr="009A7395" w:rsidRDefault="005636C7" w:rsidP="005636C7">
      <w:pPr>
        <w:pStyle w:val="E3BodyText"/>
        <w:jc w:val="both"/>
      </w:pPr>
      <w:r w:rsidRPr="009A7395">
        <w:t xml:space="preserve">The series of efficiency grades established can then be used with MEPS regulation to phase out products that do not meet the relevant efficiency grade at any given time, with more stringent efficiency grades. This progressive introduction of more stringent MEPS means that over a specified timeframe the worst performing grades can be progressively eliminated from the market. </w:t>
      </w:r>
    </w:p>
    <w:p w14:paraId="5ABD6472" w14:textId="77777777" w:rsidR="005636C7" w:rsidRPr="009A7395" w:rsidRDefault="005636C7" w:rsidP="005636C7">
      <w:pPr>
        <w:pStyle w:val="E3BodyText"/>
        <w:jc w:val="both"/>
      </w:pPr>
      <w:r w:rsidRPr="009A7395">
        <w:t>In tandem with this is the mandatory labelling scheme which obligates suppliers to have a label on their products depicting the efficiency grade of the product and also stating other relevant efficiency details. The online energy rating information to be added to these regulatory proposals will be based on the EEI.</w:t>
      </w:r>
    </w:p>
    <w:p w14:paraId="2EC35D08" w14:textId="77777777" w:rsidR="005636C7" w:rsidRPr="00CA455C" w:rsidRDefault="005636C7" w:rsidP="009A7395">
      <w:pPr>
        <w:pStyle w:val="E3Heading2"/>
        <w:spacing w:before="240" w:line="360" w:lineRule="auto"/>
        <w:jc w:val="both"/>
        <w:rPr>
          <w:rFonts w:ascii="Georgia" w:eastAsiaTheme="minorEastAsia" w:hAnsi="Georgia"/>
          <w:color w:val="auto"/>
          <w:sz w:val="24"/>
          <w:lang w:val="en-NZ" w:eastAsia="en-NZ"/>
        </w:rPr>
      </w:pPr>
      <w:bookmarkStart w:id="514" w:name="_Toc494898005"/>
      <w:bookmarkStart w:id="515" w:name="_Toc494955797"/>
      <w:bookmarkStart w:id="516" w:name="_Toc494959605"/>
      <w:bookmarkStart w:id="517" w:name="_Toc494972731"/>
      <w:bookmarkStart w:id="518" w:name="_Toc494973918"/>
      <w:bookmarkStart w:id="519" w:name="_Toc494974607"/>
      <w:bookmarkStart w:id="520" w:name="_Toc500151852"/>
      <w:r w:rsidRPr="00CA455C">
        <w:rPr>
          <w:rFonts w:ascii="Georgia" w:eastAsiaTheme="minorEastAsia" w:hAnsi="Georgia"/>
          <w:color w:val="auto"/>
          <w:sz w:val="24"/>
          <w:lang w:val="en-NZ" w:eastAsia="en-NZ"/>
        </w:rPr>
        <w:t>Refrigerated Display Cabinet MEPS</w:t>
      </w:r>
      <w:bookmarkEnd w:id="513"/>
      <w:bookmarkEnd w:id="514"/>
      <w:bookmarkEnd w:id="515"/>
      <w:bookmarkEnd w:id="516"/>
      <w:bookmarkEnd w:id="517"/>
      <w:bookmarkEnd w:id="518"/>
      <w:bookmarkEnd w:id="519"/>
      <w:bookmarkEnd w:id="520"/>
    </w:p>
    <w:p w14:paraId="17D4B9CD" w14:textId="77777777" w:rsidR="005636C7" w:rsidRDefault="005636C7" w:rsidP="005636C7">
      <w:pPr>
        <w:pStyle w:val="E3BodyText"/>
        <w:jc w:val="both"/>
        <w:rPr>
          <w:lang w:val="en-NZ" w:eastAsia="en-NZ"/>
        </w:rPr>
      </w:pPr>
      <w:r>
        <w:rPr>
          <w:lang w:val="en-NZ" w:eastAsia="en-NZ"/>
        </w:rPr>
        <w:t xml:space="preserve">Refrigerated display cabinets </w:t>
      </w:r>
      <w:r w:rsidRPr="00AC7259">
        <w:rPr>
          <w:lang w:val="en-NZ" w:eastAsia="en-NZ"/>
        </w:rPr>
        <w:t>will all be required to have an Energy Effici</w:t>
      </w:r>
      <w:bookmarkStart w:id="521" w:name="_Ref450641413"/>
      <w:bookmarkStart w:id="522" w:name="_Toc449708984"/>
      <w:r>
        <w:rPr>
          <w:lang w:val="en-NZ" w:eastAsia="en-NZ"/>
        </w:rPr>
        <w:t>ency Index calculated and grades.</w:t>
      </w:r>
    </w:p>
    <w:p w14:paraId="56E8A24C" w14:textId="77777777" w:rsidR="005636C7" w:rsidRPr="00317405" w:rsidRDefault="005636C7" w:rsidP="005636C7">
      <w:pPr>
        <w:pStyle w:val="E3BodyText"/>
        <w:jc w:val="both"/>
        <w:rPr>
          <w:lang w:val="en-NZ" w:eastAsia="en-NZ"/>
        </w:rPr>
      </w:pPr>
    </w:p>
    <w:p w14:paraId="35A7199F" w14:textId="77777777" w:rsidR="005636C7" w:rsidRPr="00D15E51" w:rsidRDefault="005636C7" w:rsidP="005636C7">
      <w:pPr>
        <w:pStyle w:val="E3BodyText"/>
        <w:jc w:val="both"/>
        <w:rPr>
          <w:b/>
        </w:rPr>
      </w:pPr>
      <w:r w:rsidRPr="00AC7259">
        <w:rPr>
          <w:lang w:val="en-NZ" w:eastAsia="en-NZ"/>
        </w:rPr>
        <w:t>The EU will grade the efficiency of display cabinets into 7 groups (A – G) based on their EEI score (</w:t>
      </w:r>
      <w:r w:rsidRPr="00AC7259">
        <w:rPr>
          <w:b/>
          <w:lang w:val="en-NZ" w:eastAsia="en-NZ"/>
        </w:rPr>
        <w:fldChar w:fldCharType="begin"/>
      </w:r>
      <w:r w:rsidRPr="00BA75DA">
        <w:rPr>
          <w:b/>
          <w:lang w:val="en-NZ" w:eastAsia="en-NZ"/>
        </w:rPr>
        <w:instrText xml:space="preserve"> REF _Ref453057399 \h  \* MERGEFORMAT </w:instrText>
      </w:r>
      <w:r w:rsidRPr="00AC7259">
        <w:rPr>
          <w:b/>
          <w:lang w:val="en-NZ" w:eastAsia="en-NZ"/>
        </w:rPr>
      </w:r>
      <w:r w:rsidRPr="00AC7259">
        <w:rPr>
          <w:b/>
          <w:lang w:val="en-NZ" w:eastAsia="en-NZ"/>
        </w:rPr>
        <w:fldChar w:fldCharType="separate"/>
      </w:r>
      <w:r w:rsidR="00AC6998" w:rsidRPr="00AC6998">
        <w:rPr>
          <w:b/>
        </w:rPr>
        <w:t>Table</w:t>
      </w:r>
      <w:r w:rsidR="00AC6998">
        <w:rPr>
          <w:noProof/>
        </w:rPr>
        <w:t xml:space="preserve"> </w:t>
      </w:r>
      <w:r w:rsidR="00AC6998" w:rsidRPr="00AC6998">
        <w:rPr>
          <w:b/>
        </w:rPr>
        <w:t xml:space="preserve">F </w:t>
      </w:r>
      <w:r w:rsidR="00AC6998" w:rsidRPr="00AC6998">
        <w:rPr>
          <w:b/>
          <w:noProof/>
        </w:rPr>
        <w:t>1</w:t>
      </w:r>
      <w:r w:rsidRPr="00AC7259">
        <w:rPr>
          <w:b/>
          <w:lang w:val="en-NZ" w:eastAsia="en-NZ"/>
        </w:rPr>
        <w:fldChar w:fldCharType="end"/>
      </w:r>
      <w:r w:rsidRPr="00AC7259">
        <w:rPr>
          <w:lang w:val="en-NZ" w:eastAsia="en-NZ"/>
        </w:rPr>
        <w:t xml:space="preserve"> and </w:t>
      </w:r>
      <w:r w:rsidRPr="00AC7259">
        <w:rPr>
          <w:b/>
          <w:lang w:val="en-NZ" w:eastAsia="en-NZ"/>
        </w:rPr>
        <w:fldChar w:fldCharType="begin"/>
      </w:r>
      <w:r w:rsidRPr="00AC7259">
        <w:rPr>
          <w:b/>
          <w:lang w:val="en-NZ" w:eastAsia="en-NZ"/>
        </w:rPr>
        <w:instrText xml:space="preserve"> REF _Ref450641464 \h  \* MERGEFORMAT </w:instrText>
      </w:r>
      <w:r w:rsidRPr="00AC7259">
        <w:rPr>
          <w:b/>
          <w:lang w:val="en-NZ" w:eastAsia="en-NZ"/>
        </w:rPr>
      </w:r>
      <w:r w:rsidRPr="00AC7259">
        <w:rPr>
          <w:b/>
          <w:lang w:val="en-NZ" w:eastAsia="en-NZ"/>
        </w:rPr>
        <w:fldChar w:fldCharType="separate"/>
      </w:r>
      <w:r w:rsidR="00AC6998" w:rsidRPr="00AC6998">
        <w:rPr>
          <w:b/>
        </w:rPr>
        <w:t xml:space="preserve">Table F </w:t>
      </w:r>
      <w:r w:rsidR="00AC6998" w:rsidRPr="00AC6998">
        <w:rPr>
          <w:b/>
          <w:noProof/>
        </w:rPr>
        <w:t>2</w:t>
      </w:r>
      <w:r w:rsidRPr="00AC7259">
        <w:rPr>
          <w:b/>
          <w:lang w:val="en-NZ" w:eastAsia="en-NZ"/>
        </w:rPr>
        <w:fldChar w:fldCharType="end"/>
      </w:r>
      <w:r w:rsidRPr="00AC7259">
        <w:rPr>
          <w:lang w:val="en-NZ" w:eastAsia="en-NZ"/>
        </w:rPr>
        <w:t>). Group A is the highest efficiency grade, where they achieve a score that means their energy use is 70% better than the Standard Annual Energy Consumption. The levels are currently outlined in the 2014 public drafts however may be updated once their regulations are published.</w:t>
      </w:r>
    </w:p>
    <w:p w14:paraId="668EC4B2" w14:textId="77777777" w:rsidR="005636C7" w:rsidRDefault="005636C7" w:rsidP="005636C7">
      <w:pPr>
        <w:pStyle w:val="E3BodyText"/>
        <w:jc w:val="both"/>
        <w:rPr>
          <w:lang w:val="en-NZ" w:eastAsia="en-NZ"/>
        </w:rPr>
      </w:pPr>
      <w:r w:rsidRPr="00AC7259">
        <w:rPr>
          <w:lang w:val="en-NZ" w:eastAsia="en-NZ"/>
        </w:rPr>
        <w:t xml:space="preserve">Increasing stringency of MEPS is achieved by requiring that all cabinets must meet a moving efficiency score by a certain date.  These dates are shown </w:t>
      </w:r>
      <w:r>
        <w:rPr>
          <w:lang w:val="en-NZ" w:eastAsia="en-NZ"/>
        </w:rPr>
        <w:t xml:space="preserve">below (see also main document).   </w:t>
      </w:r>
    </w:p>
    <w:p w14:paraId="0E1CDC00" w14:textId="77777777" w:rsidR="005636C7" w:rsidRPr="0069383A" w:rsidRDefault="005636C7" w:rsidP="005636C7">
      <w:pPr>
        <w:pStyle w:val="E3TableTitles"/>
        <w:rPr>
          <w:szCs w:val="16"/>
          <w:lang w:eastAsia="en-NZ"/>
        </w:rPr>
      </w:pPr>
      <w:bookmarkStart w:id="523" w:name="_Toc494142467"/>
      <w:bookmarkStart w:id="524" w:name="_Toc500159681"/>
      <w:r w:rsidRPr="0069383A">
        <w:rPr>
          <w:szCs w:val="16"/>
        </w:rPr>
        <w:t xml:space="preserve">Table </w:t>
      </w:r>
      <w:r w:rsidRPr="0069383A">
        <w:rPr>
          <w:szCs w:val="16"/>
        </w:rPr>
        <w:fldChar w:fldCharType="begin"/>
      </w:r>
      <w:r w:rsidRPr="0069383A">
        <w:rPr>
          <w:szCs w:val="16"/>
        </w:rPr>
        <w:instrText xml:space="preserve"> SEQ Table \* ARABIC </w:instrText>
      </w:r>
      <w:r w:rsidRPr="0069383A">
        <w:rPr>
          <w:szCs w:val="16"/>
        </w:rPr>
        <w:fldChar w:fldCharType="separate"/>
      </w:r>
      <w:r w:rsidR="00AC6998">
        <w:rPr>
          <w:noProof/>
          <w:szCs w:val="16"/>
        </w:rPr>
        <w:t>9</w:t>
      </w:r>
      <w:r w:rsidRPr="0069383A">
        <w:rPr>
          <w:szCs w:val="16"/>
        </w:rPr>
        <w:fldChar w:fldCharType="end"/>
      </w:r>
      <w:r w:rsidRPr="0069383A">
        <w:rPr>
          <w:szCs w:val="16"/>
          <w:lang w:eastAsia="en-NZ"/>
        </w:rPr>
        <w:t>: European introduction dates and MEPS for storage cabinets, and draft MEPS for display cabinets.</w:t>
      </w:r>
      <w:bookmarkEnd w:id="523"/>
      <w:bookmarkEnd w:id="524"/>
      <w:r w:rsidRPr="0069383A">
        <w:rPr>
          <w:szCs w:val="16"/>
          <w:lang w:eastAsia="en-NZ"/>
        </w:rPr>
        <w:t xml:space="preserve"> </w:t>
      </w:r>
    </w:p>
    <w:tbl>
      <w:tblPr>
        <w:tblW w:w="9200" w:type="dxa"/>
        <w:tblInd w:w="103" w:type="dxa"/>
        <w:tblLook w:val="04A0" w:firstRow="1" w:lastRow="0" w:firstColumn="1" w:lastColumn="0" w:noHBand="0" w:noVBand="1"/>
      </w:tblPr>
      <w:tblGrid>
        <w:gridCol w:w="3040"/>
        <w:gridCol w:w="1540"/>
        <w:gridCol w:w="1540"/>
        <w:gridCol w:w="1540"/>
        <w:gridCol w:w="1540"/>
      </w:tblGrid>
      <w:tr w:rsidR="005636C7" w:rsidRPr="006F5C60" w14:paraId="704A86F4" w14:textId="77777777" w:rsidTr="005636C7">
        <w:trPr>
          <w:trHeight w:val="315"/>
        </w:trPr>
        <w:tc>
          <w:tcPr>
            <w:tcW w:w="3040" w:type="dxa"/>
            <w:tcBorders>
              <w:top w:val="single" w:sz="4" w:space="0" w:color="auto"/>
              <w:left w:val="single" w:sz="4" w:space="0" w:color="auto"/>
              <w:bottom w:val="nil"/>
              <w:right w:val="single" w:sz="4" w:space="0" w:color="auto"/>
            </w:tcBorders>
            <w:shd w:val="clear" w:color="auto" w:fill="000000"/>
            <w:vAlign w:val="bottom"/>
            <w:hideMark/>
          </w:tcPr>
          <w:p w14:paraId="04309EBB" w14:textId="77777777" w:rsidR="005636C7" w:rsidRPr="006F5C60" w:rsidRDefault="005636C7" w:rsidP="005636C7">
            <w:pPr>
              <w:spacing w:before="60" w:after="60"/>
              <w:jc w:val="both"/>
              <w:rPr>
                <w:rFonts w:ascii="Helvetica" w:hAnsi="Helvetica" w:cs="Helvetica"/>
                <w:b/>
                <w:color w:val="FFFFFF"/>
                <w:sz w:val="15"/>
                <w:szCs w:val="14"/>
                <w:lang w:val="en-NZ"/>
              </w:rPr>
            </w:pPr>
            <w:r w:rsidRPr="006F5C60">
              <w:rPr>
                <w:rFonts w:ascii="Helvetica" w:hAnsi="Helvetica" w:cs="Helvetica"/>
                <w:b/>
                <w:color w:val="FFFFFF"/>
                <w:sz w:val="15"/>
                <w:szCs w:val="14"/>
                <w:lang w:val="en-NZ"/>
              </w:rPr>
              <w:t>Introduction date</w:t>
            </w:r>
          </w:p>
        </w:tc>
        <w:tc>
          <w:tcPr>
            <w:tcW w:w="3080" w:type="dxa"/>
            <w:gridSpan w:val="2"/>
            <w:tcBorders>
              <w:top w:val="nil"/>
              <w:left w:val="nil"/>
              <w:bottom w:val="nil"/>
              <w:right w:val="single" w:sz="4" w:space="0" w:color="000000"/>
            </w:tcBorders>
            <w:shd w:val="clear" w:color="auto" w:fill="000000"/>
            <w:vAlign w:val="center"/>
            <w:hideMark/>
          </w:tcPr>
          <w:p w14:paraId="58461E49" w14:textId="77777777" w:rsidR="005636C7" w:rsidRPr="006F5C60" w:rsidRDefault="005636C7" w:rsidP="005636C7">
            <w:pPr>
              <w:spacing w:before="60" w:after="60"/>
              <w:jc w:val="both"/>
              <w:rPr>
                <w:rFonts w:ascii="Helvetica" w:hAnsi="Helvetica" w:cs="Helvetica"/>
                <w:b/>
                <w:color w:val="FFFFFF"/>
                <w:sz w:val="15"/>
                <w:szCs w:val="14"/>
                <w:lang w:val="en-NZ"/>
              </w:rPr>
            </w:pPr>
            <w:r w:rsidRPr="006F5C60">
              <w:rPr>
                <w:rFonts w:ascii="Helvetica" w:hAnsi="Helvetica" w:cs="Helvetica"/>
                <w:b/>
                <w:color w:val="FFFFFF"/>
                <w:sz w:val="15"/>
                <w:szCs w:val="14"/>
                <w:lang w:val="en-NZ"/>
              </w:rPr>
              <w:t>Refrigerated storage cabinets</w:t>
            </w:r>
          </w:p>
        </w:tc>
        <w:tc>
          <w:tcPr>
            <w:tcW w:w="3080" w:type="dxa"/>
            <w:gridSpan w:val="2"/>
            <w:tcBorders>
              <w:top w:val="single" w:sz="4" w:space="0" w:color="auto"/>
              <w:left w:val="nil"/>
              <w:bottom w:val="single" w:sz="4" w:space="0" w:color="auto"/>
              <w:right w:val="single" w:sz="4" w:space="0" w:color="000000"/>
            </w:tcBorders>
            <w:shd w:val="clear" w:color="auto" w:fill="000000"/>
            <w:noWrap/>
            <w:vAlign w:val="center"/>
            <w:hideMark/>
          </w:tcPr>
          <w:p w14:paraId="1504B2C2" w14:textId="77777777" w:rsidR="005636C7" w:rsidRPr="006F5C60" w:rsidRDefault="005636C7" w:rsidP="005636C7">
            <w:pPr>
              <w:spacing w:before="60" w:after="60"/>
              <w:jc w:val="both"/>
              <w:rPr>
                <w:rFonts w:ascii="Helvetica" w:hAnsi="Helvetica" w:cs="Helvetica"/>
                <w:b/>
                <w:color w:val="FFFFFF"/>
                <w:sz w:val="15"/>
                <w:szCs w:val="14"/>
                <w:lang w:val="en-NZ"/>
              </w:rPr>
            </w:pPr>
            <w:r w:rsidRPr="006F5C60">
              <w:rPr>
                <w:rFonts w:ascii="Helvetica" w:hAnsi="Helvetica" w:cs="Helvetica"/>
                <w:b/>
                <w:color w:val="FFFFFF"/>
                <w:sz w:val="15"/>
                <w:szCs w:val="14"/>
                <w:lang w:val="en-NZ"/>
              </w:rPr>
              <w:t>Refrigerated display cabinets</w:t>
            </w:r>
          </w:p>
        </w:tc>
      </w:tr>
      <w:tr w:rsidR="005636C7" w:rsidRPr="006F5C60" w14:paraId="4C8CA023" w14:textId="77777777" w:rsidTr="005636C7">
        <w:trPr>
          <w:trHeight w:val="315"/>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6282D9B"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July 2016</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E6A93F5"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115</w:t>
            </w:r>
          </w:p>
        </w:tc>
        <w:tc>
          <w:tcPr>
            <w:tcW w:w="1540" w:type="dxa"/>
            <w:tcBorders>
              <w:top w:val="nil"/>
              <w:left w:val="nil"/>
              <w:bottom w:val="nil"/>
              <w:right w:val="nil"/>
            </w:tcBorders>
            <w:shd w:val="clear" w:color="000000" w:fill="D9D9D9"/>
            <w:noWrap/>
            <w:vAlign w:val="bottom"/>
            <w:hideMark/>
          </w:tcPr>
          <w:p w14:paraId="59BB198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79D07104"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967C18C"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49E837F4" w14:textId="77777777" w:rsidR="005636C7" w:rsidRPr="006F5C60" w:rsidRDefault="005636C7" w:rsidP="005636C7">
            <w:pPr>
              <w:spacing w:before="60" w:after="60"/>
              <w:jc w:val="both"/>
              <w:rPr>
                <w:rFonts w:ascii="Helvetica"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6CB7724A"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54A87B3D"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5E8CC4D3"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5737225"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C78EB1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2018*</w:t>
            </w:r>
          </w:p>
        </w:tc>
        <w:tc>
          <w:tcPr>
            <w:tcW w:w="1540" w:type="dxa"/>
            <w:tcBorders>
              <w:top w:val="nil"/>
              <w:left w:val="nil"/>
              <w:bottom w:val="nil"/>
              <w:right w:val="nil"/>
            </w:tcBorders>
            <w:shd w:val="clear" w:color="000000" w:fill="D9D9D9"/>
            <w:noWrap/>
            <w:vAlign w:val="bottom"/>
            <w:hideMark/>
          </w:tcPr>
          <w:p w14:paraId="45E03D14"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4694133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9B0F9F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150</w:t>
            </w:r>
          </w:p>
        </w:tc>
      </w:tr>
      <w:tr w:rsidR="005636C7" w:rsidRPr="006F5C60" w14:paraId="0B30B117"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48EECC5C"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0C22B3E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2A5B52AC"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0C7F501A" w14:textId="77777777" w:rsidR="005636C7" w:rsidRPr="006F5C60" w:rsidRDefault="005636C7" w:rsidP="005636C7">
            <w:pPr>
              <w:spacing w:before="60" w:after="60"/>
              <w:jc w:val="both"/>
              <w:rPr>
                <w:rFonts w:ascii="Helvetica" w:hAnsi="Helvetica" w:cs="Helvetica"/>
                <w:b/>
                <w:sz w:val="15"/>
                <w:szCs w:val="14"/>
                <w:lang w:val="en-NZ"/>
              </w:rPr>
            </w:pPr>
          </w:p>
        </w:tc>
      </w:tr>
      <w:tr w:rsidR="005636C7" w:rsidRPr="006F5C60" w14:paraId="0568244C"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06894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2018</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CE8041"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95</w:t>
            </w:r>
          </w:p>
        </w:tc>
        <w:tc>
          <w:tcPr>
            <w:tcW w:w="1540" w:type="dxa"/>
            <w:tcBorders>
              <w:top w:val="nil"/>
              <w:left w:val="nil"/>
              <w:bottom w:val="nil"/>
              <w:right w:val="nil"/>
            </w:tcBorders>
            <w:shd w:val="clear" w:color="000000" w:fill="D9D9D9"/>
            <w:noWrap/>
            <w:vAlign w:val="bottom"/>
            <w:hideMark/>
          </w:tcPr>
          <w:p w14:paraId="441B0E5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5D00DE97"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4ED88CE"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07451822" w14:textId="77777777" w:rsidR="005636C7" w:rsidRPr="006F5C60" w:rsidRDefault="005636C7" w:rsidP="005636C7">
            <w:pPr>
              <w:spacing w:before="60" w:after="60"/>
              <w:jc w:val="both"/>
              <w:rPr>
                <w:rFonts w:ascii="Helvetica"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00BB7D63"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33C5F8D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CE6FFBB"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52B8CC55"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7A61D27"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2019*</w:t>
            </w:r>
          </w:p>
        </w:tc>
        <w:tc>
          <w:tcPr>
            <w:tcW w:w="1540" w:type="dxa"/>
            <w:tcBorders>
              <w:top w:val="nil"/>
              <w:left w:val="nil"/>
              <w:bottom w:val="nil"/>
              <w:right w:val="nil"/>
            </w:tcBorders>
            <w:shd w:val="clear" w:color="000000" w:fill="D9D9D9"/>
            <w:noWrap/>
            <w:vAlign w:val="bottom"/>
            <w:hideMark/>
          </w:tcPr>
          <w:p w14:paraId="7AB94498"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30897CD9"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5874D9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130</w:t>
            </w:r>
          </w:p>
        </w:tc>
      </w:tr>
      <w:tr w:rsidR="005636C7" w:rsidRPr="006F5C60" w14:paraId="4CA0F743"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1683CC59"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59432249"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7F872DF2"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7FFA9E89" w14:textId="77777777" w:rsidR="005636C7" w:rsidRPr="006F5C60" w:rsidRDefault="005636C7" w:rsidP="005636C7">
            <w:pPr>
              <w:spacing w:before="60" w:after="60"/>
              <w:jc w:val="both"/>
              <w:rPr>
                <w:rFonts w:ascii="Helvetica" w:hAnsi="Helvetica" w:cs="Helvetica"/>
                <w:b/>
                <w:sz w:val="15"/>
                <w:szCs w:val="14"/>
                <w:lang w:val="en-NZ"/>
              </w:rPr>
            </w:pPr>
          </w:p>
        </w:tc>
      </w:tr>
      <w:tr w:rsidR="005636C7" w:rsidRPr="006F5C60" w14:paraId="0D82604C"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3AAB2B"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July 2019</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3C564B1"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85</w:t>
            </w:r>
          </w:p>
        </w:tc>
        <w:tc>
          <w:tcPr>
            <w:tcW w:w="1540" w:type="dxa"/>
            <w:tcBorders>
              <w:top w:val="nil"/>
              <w:left w:val="nil"/>
              <w:bottom w:val="nil"/>
              <w:right w:val="nil"/>
            </w:tcBorders>
            <w:shd w:val="clear" w:color="000000" w:fill="D9D9D9"/>
            <w:noWrap/>
            <w:vAlign w:val="bottom"/>
            <w:hideMark/>
          </w:tcPr>
          <w:p w14:paraId="66B4AC7F"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3C4A67F1"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781B35AA"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5DB4EB9F" w14:textId="77777777" w:rsidR="005636C7" w:rsidRPr="006F5C60" w:rsidRDefault="005636C7" w:rsidP="005636C7">
            <w:pPr>
              <w:spacing w:before="60" w:after="60"/>
              <w:jc w:val="both"/>
              <w:rPr>
                <w:rFonts w:ascii="Helvetica" w:hAnsi="Helvetica" w:cs="Helvetica"/>
                <w:b/>
                <w:sz w:val="15"/>
                <w:szCs w:val="14"/>
                <w:lang w:val="en-NZ"/>
              </w:rPr>
            </w:pPr>
          </w:p>
        </w:tc>
        <w:tc>
          <w:tcPr>
            <w:tcW w:w="3080" w:type="dxa"/>
            <w:gridSpan w:val="2"/>
            <w:vMerge/>
            <w:tcBorders>
              <w:top w:val="single" w:sz="4" w:space="0" w:color="auto"/>
              <w:left w:val="single" w:sz="4" w:space="0" w:color="auto"/>
              <w:bottom w:val="single" w:sz="4" w:space="0" w:color="000000"/>
              <w:right w:val="single" w:sz="4" w:space="0" w:color="000000"/>
            </w:tcBorders>
            <w:vAlign w:val="center"/>
            <w:hideMark/>
          </w:tcPr>
          <w:p w14:paraId="00C00C74"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62AA81E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2455002"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r>
      <w:tr w:rsidR="005636C7" w:rsidRPr="006F5C60" w14:paraId="13FB72C6" w14:textId="77777777" w:rsidTr="005636C7">
        <w:trPr>
          <w:trHeight w:val="300"/>
        </w:trPr>
        <w:tc>
          <w:tcPr>
            <w:tcW w:w="30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6E6ABE6"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From 1 January 2021*</w:t>
            </w:r>
          </w:p>
        </w:tc>
        <w:tc>
          <w:tcPr>
            <w:tcW w:w="1540" w:type="dxa"/>
            <w:tcBorders>
              <w:top w:val="nil"/>
              <w:left w:val="nil"/>
              <w:bottom w:val="nil"/>
              <w:right w:val="nil"/>
            </w:tcBorders>
            <w:shd w:val="clear" w:color="000000" w:fill="D9D9D9"/>
            <w:noWrap/>
            <w:vAlign w:val="bottom"/>
            <w:hideMark/>
          </w:tcPr>
          <w:p w14:paraId="1A5D7B30"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nil"/>
              <w:right w:val="single" w:sz="4" w:space="0" w:color="auto"/>
            </w:tcBorders>
            <w:shd w:val="clear" w:color="000000" w:fill="D9D9D9"/>
            <w:noWrap/>
            <w:vAlign w:val="bottom"/>
            <w:hideMark/>
          </w:tcPr>
          <w:p w14:paraId="0F4B91BE"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122ED6E"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EEI &lt; 110</w:t>
            </w:r>
          </w:p>
        </w:tc>
      </w:tr>
      <w:tr w:rsidR="005636C7" w:rsidRPr="006F5C60" w14:paraId="5C01EED4" w14:textId="77777777" w:rsidTr="005636C7">
        <w:trPr>
          <w:trHeight w:val="300"/>
        </w:trPr>
        <w:tc>
          <w:tcPr>
            <w:tcW w:w="3040" w:type="dxa"/>
            <w:vMerge/>
            <w:tcBorders>
              <w:top w:val="single" w:sz="4" w:space="0" w:color="auto"/>
              <w:left w:val="single" w:sz="4" w:space="0" w:color="auto"/>
              <w:bottom w:val="single" w:sz="4" w:space="0" w:color="000000"/>
              <w:right w:val="single" w:sz="4" w:space="0" w:color="000000"/>
            </w:tcBorders>
            <w:vAlign w:val="center"/>
            <w:hideMark/>
          </w:tcPr>
          <w:p w14:paraId="306ED94B" w14:textId="77777777" w:rsidR="005636C7" w:rsidRPr="006F5C60" w:rsidRDefault="005636C7" w:rsidP="005636C7">
            <w:pPr>
              <w:spacing w:before="60" w:after="60"/>
              <w:jc w:val="both"/>
              <w:rPr>
                <w:rFonts w:ascii="Helvetica" w:hAnsi="Helvetica" w:cs="Helvetica"/>
                <w:b/>
                <w:sz w:val="15"/>
                <w:szCs w:val="14"/>
                <w:lang w:val="en-NZ"/>
              </w:rPr>
            </w:pPr>
          </w:p>
        </w:tc>
        <w:tc>
          <w:tcPr>
            <w:tcW w:w="1540" w:type="dxa"/>
            <w:tcBorders>
              <w:top w:val="nil"/>
              <w:left w:val="nil"/>
              <w:bottom w:val="single" w:sz="4" w:space="0" w:color="auto"/>
              <w:right w:val="nil"/>
            </w:tcBorders>
            <w:shd w:val="clear" w:color="000000" w:fill="D9D9D9"/>
            <w:noWrap/>
            <w:vAlign w:val="bottom"/>
            <w:hideMark/>
          </w:tcPr>
          <w:p w14:paraId="2792D10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466A285A" w14:textId="77777777" w:rsidR="005636C7" w:rsidRPr="006F5C60" w:rsidRDefault="005636C7" w:rsidP="005636C7">
            <w:pPr>
              <w:spacing w:before="60" w:after="60"/>
              <w:jc w:val="both"/>
              <w:rPr>
                <w:rFonts w:ascii="Helvetica" w:hAnsi="Helvetica" w:cs="Helvetica"/>
                <w:b/>
                <w:sz w:val="15"/>
                <w:szCs w:val="14"/>
                <w:lang w:val="en-NZ"/>
              </w:rPr>
            </w:pPr>
            <w:r w:rsidRPr="006F5C60">
              <w:rPr>
                <w:rFonts w:ascii="Helvetica" w:hAnsi="Helvetica" w:cs="Helvetica"/>
                <w:b/>
                <w:sz w:val="15"/>
                <w:szCs w:val="14"/>
                <w:lang w:val="en-NZ"/>
              </w:rPr>
              <w:t> </w:t>
            </w:r>
          </w:p>
        </w:tc>
        <w:tc>
          <w:tcPr>
            <w:tcW w:w="3080" w:type="dxa"/>
            <w:gridSpan w:val="2"/>
            <w:vMerge/>
            <w:tcBorders>
              <w:top w:val="nil"/>
              <w:left w:val="nil"/>
              <w:bottom w:val="single" w:sz="4" w:space="0" w:color="auto"/>
              <w:right w:val="single" w:sz="4" w:space="0" w:color="auto"/>
            </w:tcBorders>
            <w:vAlign w:val="center"/>
            <w:hideMark/>
          </w:tcPr>
          <w:p w14:paraId="719AD59D" w14:textId="77777777" w:rsidR="005636C7" w:rsidRPr="006F5C60" w:rsidRDefault="005636C7" w:rsidP="005636C7">
            <w:pPr>
              <w:spacing w:before="60" w:after="60"/>
              <w:jc w:val="both"/>
              <w:rPr>
                <w:rFonts w:ascii="Helvetica" w:hAnsi="Helvetica" w:cs="Helvetica"/>
                <w:b/>
                <w:sz w:val="15"/>
                <w:szCs w:val="14"/>
                <w:lang w:val="en-NZ"/>
              </w:rPr>
            </w:pPr>
          </w:p>
        </w:tc>
      </w:tr>
    </w:tbl>
    <w:p w14:paraId="51343287" w14:textId="77777777" w:rsidR="005636C7" w:rsidRDefault="005636C7" w:rsidP="005636C7">
      <w:pPr>
        <w:pStyle w:val="E3tabletext1"/>
        <w:jc w:val="left"/>
        <w:rPr>
          <w:sz w:val="16"/>
          <w:lang w:val="en-NZ"/>
        </w:rPr>
      </w:pPr>
    </w:p>
    <w:p w14:paraId="5A833404" w14:textId="77777777" w:rsidR="005636C7" w:rsidRDefault="005636C7" w:rsidP="005636C7">
      <w:pPr>
        <w:pStyle w:val="E3tabletext1"/>
        <w:jc w:val="left"/>
        <w:rPr>
          <w:sz w:val="16"/>
          <w:lang w:val="en-NZ"/>
        </w:rPr>
      </w:pPr>
      <w:r w:rsidRPr="0069383A">
        <w:rPr>
          <w:sz w:val="16"/>
          <w:lang w:val="en-NZ"/>
        </w:rPr>
        <w:t>* Dates for cabinets other than storage cabinets, and MEPS EEI levels – are indicative only. These were taken from the April 2016 EU documents and are not publically available for comment.</w:t>
      </w:r>
    </w:p>
    <w:p w14:paraId="766F6886" w14:textId="77777777" w:rsidR="005636C7" w:rsidRPr="0069383A" w:rsidRDefault="005636C7" w:rsidP="005636C7">
      <w:pPr>
        <w:pStyle w:val="E3tabletext1"/>
        <w:jc w:val="left"/>
        <w:rPr>
          <w:sz w:val="16"/>
          <w:lang w:val="en-NZ"/>
        </w:rPr>
      </w:pPr>
    </w:p>
    <w:p w14:paraId="2B09CC2D" w14:textId="77777777" w:rsidR="005636C7" w:rsidRPr="0069383A" w:rsidRDefault="005636C7" w:rsidP="005636C7">
      <w:pPr>
        <w:pStyle w:val="E3BodyText"/>
        <w:rPr>
          <w:lang w:val="en-NZ" w:eastAsia="en-NZ"/>
        </w:rPr>
      </w:pPr>
      <w:r>
        <w:rPr>
          <w:lang w:val="en-NZ" w:eastAsia="en-NZ"/>
        </w:rPr>
        <w:t>At present</w:t>
      </w:r>
      <w:r w:rsidRPr="00AC7259">
        <w:rPr>
          <w:lang w:val="en-NZ" w:eastAsia="en-NZ"/>
        </w:rPr>
        <w:t xml:space="preserve">, the efficiency grade G covers all cabinets with an EEI higher than 130 or 140, depending on the type. In 2019 all cabinets will have to score an EEI </w:t>
      </w:r>
      <w:r>
        <w:rPr>
          <w:lang w:val="en-NZ" w:eastAsia="en-NZ"/>
        </w:rPr>
        <w:t xml:space="preserve">of </w:t>
      </w:r>
      <w:r w:rsidRPr="00AC7259">
        <w:rPr>
          <w:lang w:val="en-NZ" w:eastAsia="en-NZ"/>
        </w:rPr>
        <w:t>less than 130, and by 2021, all types will have to perform better than an EEI score of 110.</w:t>
      </w:r>
    </w:p>
    <w:p w14:paraId="31EA989D" w14:textId="77777777" w:rsidR="005636C7" w:rsidRDefault="005636C7" w:rsidP="005636C7">
      <w:pPr>
        <w:pStyle w:val="E3TableTitles"/>
        <w:spacing w:before="240" w:after="240"/>
      </w:pPr>
      <w:bookmarkStart w:id="525" w:name="_Ref453057399"/>
      <w:bookmarkStart w:id="526" w:name="_Toc456164811"/>
      <w:bookmarkStart w:id="527" w:name="_Toc500159682"/>
      <w:r>
        <w:t xml:space="preserve">Table F </w:t>
      </w:r>
      <w:r>
        <w:fldChar w:fldCharType="begin"/>
      </w:r>
      <w:r>
        <w:instrText xml:space="preserve"> SEQ Table_F \* ARABIC </w:instrText>
      </w:r>
      <w:r>
        <w:fldChar w:fldCharType="separate"/>
      </w:r>
      <w:r w:rsidR="00AC6998">
        <w:rPr>
          <w:noProof/>
        </w:rPr>
        <w:t>1</w:t>
      </w:r>
      <w:r>
        <w:rPr>
          <w:noProof/>
        </w:rPr>
        <w:fldChar w:fldCharType="end"/>
      </w:r>
      <w:bookmarkEnd w:id="521"/>
      <w:bookmarkEnd w:id="525"/>
      <w:r w:rsidRPr="006525A3">
        <w:t xml:space="preserve">: </w:t>
      </w:r>
      <w:r>
        <w:t xml:space="preserve">Draft </w:t>
      </w:r>
      <w:r w:rsidRPr="006525A3">
        <w:t xml:space="preserve">efficiency </w:t>
      </w:r>
      <w:r>
        <w:t xml:space="preserve">labelling </w:t>
      </w:r>
      <w:r w:rsidRPr="006525A3">
        <w:t xml:space="preserve">grades for </w:t>
      </w:r>
      <w:r>
        <w:t>r</w:t>
      </w:r>
      <w:r w:rsidRPr="006525A3">
        <w:t xml:space="preserve">efrigerated </w:t>
      </w:r>
      <w:r>
        <w:t>d</w:t>
      </w:r>
      <w:r w:rsidRPr="006525A3">
        <w:t xml:space="preserve">isplay </w:t>
      </w:r>
      <w:r>
        <w:t>c</w:t>
      </w:r>
      <w:r w:rsidRPr="006525A3">
        <w:t>abinets.</w:t>
      </w:r>
      <w:bookmarkEnd w:id="522"/>
      <w:bookmarkEnd w:id="526"/>
      <w:bookmarkEnd w:id="527"/>
    </w:p>
    <w:tbl>
      <w:tblPr>
        <w:tblW w:w="9616" w:type="dxa"/>
        <w:tblInd w:w="108" w:type="dxa"/>
        <w:tblLook w:val="04A0" w:firstRow="1" w:lastRow="0" w:firstColumn="1" w:lastColumn="0" w:noHBand="0" w:noVBand="1"/>
      </w:tblPr>
      <w:tblGrid>
        <w:gridCol w:w="1600"/>
        <w:gridCol w:w="2036"/>
        <w:gridCol w:w="1908"/>
        <w:gridCol w:w="2036"/>
        <w:gridCol w:w="2036"/>
      </w:tblGrid>
      <w:tr w:rsidR="005636C7" w:rsidRPr="00114031" w14:paraId="2D416818" w14:textId="77777777" w:rsidTr="005636C7">
        <w:trPr>
          <w:trHeight w:val="459"/>
        </w:trPr>
        <w:tc>
          <w:tcPr>
            <w:tcW w:w="1600" w:type="dxa"/>
            <w:tcBorders>
              <w:top w:val="single" w:sz="4" w:space="0" w:color="FFFFFF" w:themeColor="background1"/>
              <w:bottom w:val="single" w:sz="4" w:space="0" w:color="FFFFFF" w:themeColor="background1"/>
            </w:tcBorders>
            <w:shd w:val="clear" w:color="auto" w:fill="000000" w:themeFill="text1"/>
            <w:vAlign w:val="center"/>
            <w:hideMark/>
          </w:tcPr>
          <w:p w14:paraId="0FED96B4" w14:textId="77777777" w:rsidR="005636C7" w:rsidRPr="00114031" w:rsidRDefault="005636C7" w:rsidP="005636C7">
            <w:pPr>
              <w:pStyle w:val="E3TableHeading"/>
              <w:jc w:val="both"/>
              <w:rPr>
                <w:lang w:val="en-NZ"/>
              </w:rPr>
            </w:pPr>
            <w:r w:rsidRPr="00114031">
              <w:rPr>
                <w:lang w:val="en-NZ"/>
              </w:rPr>
              <w:t>Energy Efficiency Class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28BB3ECD" w14:textId="77777777" w:rsidR="005636C7" w:rsidRPr="00114031" w:rsidRDefault="005636C7" w:rsidP="005636C7">
            <w:pPr>
              <w:pStyle w:val="E3TableHeading"/>
              <w:jc w:val="both"/>
              <w:rPr>
                <w:lang w:val="en-NZ"/>
              </w:rPr>
            </w:pPr>
            <w:r w:rsidRPr="00114031">
              <w:rPr>
                <w:lang w:val="en-NZ"/>
              </w:rPr>
              <w:t>Commercial Display Cabinets</w:t>
            </w:r>
          </w:p>
        </w:tc>
        <w:tc>
          <w:tcPr>
            <w:tcW w:w="1908" w:type="dxa"/>
            <w:tcBorders>
              <w:top w:val="single" w:sz="4" w:space="0" w:color="FFFFFF" w:themeColor="background1"/>
              <w:bottom w:val="single" w:sz="4" w:space="0" w:color="FFFFFF" w:themeColor="background1"/>
            </w:tcBorders>
            <w:shd w:val="clear" w:color="auto" w:fill="000000" w:themeFill="text1"/>
            <w:noWrap/>
            <w:vAlign w:val="center"/>
            <w:hideMark/>
          </w:tcPr>
          <w:p w14:paraId="3264F5EC" w14:textId="77777777" w:rsidR="005636C7" w:rsidRPr="00114031" w:rsidRDefault="005636C7" w:rsidP="005636C7">
            <w:pPr>
              <w:pStyle w:val="E3TableHeading"/>
              <w:jc w:val="both"/>
              <w:rPr>
                <w:lang w:val="en-NZ"/>
              </w:rPr>
            </w:pPr>
            <w:r w:rsidRPr="00114031">
              <w:rPr>
                <w:lang w:val="en-NZ"/>
              </w:rPr>
              <w:t>Beverage Coolers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663B2218" w14:textId="77777777" w:rsidR="005636C7" w:rsidRPr="00114031" w:rsidRDefault="005636C7" w:rsidP="005636C7">
            <w:pPr>
              <w:pStyle w:val="E3TableHeading"/>
              <w:jc w:val="both"/>
              <w:rPr>
                <w:lang w:val="en-NZ"/>
              </w:rPr>
            </w:pPr>
            <w:r w:rsidRPr="00114031">
              <w:rPr>
                <w:lang w:val="en-NZ"/>
              </w:rPr>
              <w:t>Small Ice-cream freezers</w:t>
            </w:r>
          </w:p>
        </w:tc>
        <w:tc>
          <w:tcPr>
            <w:tcW w:w="2036" w:type="dxa"/>
            <w:tcBorders>
              <w:top w:val="single" w:sz="4" w:space="0" w:color="FFFFFF" w:themeColor="background1"/>
              <w:bottom w:val="single" w:sz="4" w:space="0" w:color="FFFFFF" w:themeColor="background1"/>
            </w:tcBorders>
            <w:shd w:val="clear" w:color="auto" w:fill="000000" w:themeFill="text1"/>
            <w:vAlign w:val="center"/>
            <w:hideMark/>
          </w:tcPr>
          <w:p w14:paraId="0597D7E0" w14:textId="77777777" w:rsidR="005636C7" w:rsidRPr="00114031" w:rsidRDefault="005636C7" w:rsidP="005636C7">
            <w:pPr>
              <w:pStyle w:val="E3TableHeading"/>
              <w:jc w:val="both"/>
              <w:rPr>
                <w:lang w:val="en-NZ"/>
              </w:rPr>
            </w:pPr>
            <w:r w:rsidRPr="00114031">
              <w:rPr>
                <w:lang w:val="en-NZ"/>
              </w:rPr>
              <w:t>Soft scoop ice cream cabinets</w:t>
            </w:r>
          </w:p>
        </w:tc>
      </w:tr>
      <w:tr w:rsidR="005636C7" w:rsidRPr="00114031" w14:paraId="1C45F566" w14:textId="77777777" w:rsidTr="005636C7">
        <w:trPr>
          <w:trHeight w:val="300"/>
        </w:trPr>
        <w:tc>
          <w:tcPr>
            <w:tcW w:w="1600"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hideMark/>
          </w:tcPr>
          <w:p w14:paraId="414331A4"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A</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49D44103" w14:textId="77777777" w:rsidR="005636C7" w:rsidRPr="00114031" w:rsidRDefault="005636C7" w:rsidP="005636C7">
            <w:pPr>
              <w:pStyle w:val="E3tabletext1"/>
              <w:jc w:val="both"/>
              <w:rPr>
                <w:lang w:val="en-NZ"/>
              </w:rPr>
            </w:pPr>
            <w:r w:rsidRPr="00114031">
              <w:rPr>
                <w:lang w:val="en-NZ"/>
              </w:rPr>
              <w:t>EEI &lt; 30</w:t>
            </w:r>
          </w:p>
        </w:tc>
        <w:tc>
          <w:tcPr>
            <w:tcW w:w="1908"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6ECEE129" w14:textId="77777777" w:rsidR="005636C7" w:rsidRPr="00114031" w:rsidRDefault="005636C7" w:rsidP="005636C7">
            <w:pPr>
              <w:pStyle w:val="E3tabletext1"/>
              <w:jc w:val="both"/>
              <w:rPr>
                <w:lang w:val="en-NZ"/>
              </w:rPr>
            </w:pPr>
            <w:r w:rsidRPr="00114031">
              <w:rPr>
                <w:lang w:val="en-NZ"/>
              </w:rPr>
              <w:t>EEI &lt; 30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11A0D044" w14:textId="77777777" w:rsidR="005636C7" w:rsidRPr="00114031" w:rsidRDefault="005636C7" w:rsidP="005636C7">
            <w:pPr>
              <w:pStyle w:val="E3tabletext1"/>
              <w:jc w:val="both"/>
              <w:rPr>
                <w:lang w:val="en-NZ"/>
              </w:rPr>
            </w:pPr>
            <w:r w:rsidRPr="00114031">
              <w:rPr>
                <w:lang w:val="en-NZ"/>
              </w:rPr>
              <w:t>EEI &lt; 40</w:t>
            </w:r>
          </w:p>
        </w:tc>
        <w:tc>
          <w:tcPr>
            <w:tcW w:w="2036" w:type="dxa"/>
            <w:tcBorders>
              <w:top w:val="single" w:sz="4" w:space="0" w:color="FFFFFF" w:themeColor="background1"/>
              <w:left w:val="nil"/>
              <w:bottom w:val="single" w:sz="4" w:space="0" w:color="auto"/>
              <w:right w:val="single" w:sz="4" w:space="0" w:color="auto"/>
            </w:tcBorders>
            <w:shd w:val="clear" w:color="auto" w:fill="auto"/>
            <w:noWrap/>
            <w:vAlign w:val="bottom"/>
            <w:hideMark/>
          </w:tcPr>
          <w:p w14:paraId="6162899B" w14:textId="77777777" w:rsidR="005636C7" w:rsidRPr="00114031" w:rsidRDefault="005636C7" w:rsidP="005636C7">
            <w:pPr>
              <w:pStyle w:val="E3tabletext1"/>
              <w:jc w:val="both"/>
              <w:rPr>
                <w:lang w:val="en-NZ"/>
              </w:rPr>
            </w:pPr>
            <w:r w:rsidRPr="00114031">
              <w:rPr>
                <w:lang w:val="en-NZ"/>
              </w:rPr>
              <w:t>EEI &lt; 40</w:t>
            </w:r>
          </w:p>
        </w:tc>
      </w:tr>
      <w:tr w:rsidR="005636C7" w:rsidRPr="00114031" w14:paraId="09611731" w14:textId="77777777" w:rsidTr="005636C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42E407B9"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B</w:t>
            </w:r>
          </w:p>
        </w:tc>
        <w:tc>
          <w:tcPr>
            <w:tcW w:w="2036" w:type="dxa"/>
            <w:tcBorders>
              <w:top w:val="nil"/>
              <w:left w:val="nil"/>
              <w:bottom w:val="single" w:sz="4" w:space="0" w:color="auto"/>
              <w:right w:val="single" w:sz="4" w:space="0" w:color="auto"/>
            </w:tcBorders>
            <w:shd w:val="clear" w:color="auto" w:fill="auto"/>
            <w:noWrap/>
            <w:vAlign w:val="bottom"/>
            <w:hideMark/>
          </w:tcPr>
          <w:p w14:paraId="41090A7D"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1908" w:type="dxa"/>
            <w:tcBorders>
              <w:top w:val="nil"/>
              <w:left w:val="nil"/>
              <w:bottom w:val="single" w:sz="4" w:space="0" w:color="auto"/>
              <w:right w:val="single" w:sz="4" w:space="0" w:color="auto"/>
            </w:tcBorders>
            <w:shd w:val="clear" w:color="auto" w:fill="auto"/>
            <w:noWrap/>
            <w:vAlign w:val="bottom"/>
            <w:hideMark/>
          </w:tcPr>
          <w:p w14:paraId="12E445CA" w14:textId="77777777" w:rsidR="005636C7" w:rsidRPr="00114031" w:rsidRDefault="005636C7" w:rsidP="005636C7">
            <w:pPr>
              <w:pStyle w:val="E3tabletext1"/>
              <w:jc w:val="both"/>
              <w:rPr>
                <w:lang w:val="en-NZ"/>
              </w:rPr>
            </w:pPr>
            <w:r w:rsidRPr="00114031">
              <w:rPr>
                <w:lang w:val="en-NZ"/>
              </w:rPr>
              <w:t xml:space="preserve">30 </w:t>
            </w:r>
            <w:r w:rsidRPr="00114031">
              <w:rPr>
                <w:rFonts w:ascii="Symbol" w:hAnsi="Symbol"/>
                <w:lang w:val="en-NZ"/>
              </w:rPr>
              <w:t></w:t>
            </w:r>
            <w:r w:rsidRPr="00114031">
              <w:rPr>
                <w:lang w:val="en-NZ"/>
              </w:rPr>
              <w:t xml:space="preserve"> EEI &lt;  50</w:t>
            </w:r>
          </w:p>
        </w:tc>
        <w:tc>
          <w:tcPr>
            <w:tcW w:w="2036" w:type="dxa"/>
            <w:tcBorders>
              <w:top w:val="nil"/>
              <w:left w:val="nil"/>
              <w:bottom w:val="single" w:sz="4" w:space="0" w:color="auto"/>
              <w:right w:val="single" w:sz="4" w:space="0" w:color="auto"/>
            </w:tcBorders>
            <w:shd w:val="clear" w:color="auto" w:fill="auto"/>
            <w:noWrap/>
            <w:vAlign w:val="bottom"/>
            <w:hideMark/>
          </w:tcPr>
          <w:p w14:paraId="5A560AD5"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70</w:t>
            </w:r>
          </w:p>
        </w:tc>
        <w:tc>
          <w:tcPr>
            <w:tcW w:w="2036" w:type="dxa"/>
            <w:tcBorders>
              <w:top w:val="nil"/>
              <w:left w:val="nil"/>
              <w:bottom w:val="single" w:sz="4" w:space="0" w:color="auto"/>
              <w:right w:val="single" w:sz="4" w:space="0" w:color="auto"/>
            </w:tcBorders>
            <w:shd w:val="clear" w:color="auto" w:fill="auto"/>
            <w:noWrap/>
            <w:vAlign w:val="bottom"/>
            <w:hideMark/>
          </w:tcPr>
          <w:p w14:paraId="31EA6CEA" w14:textId="77777777" w:rsidR="005636C7" w:rsidRPr="00114031" w:rsidRDefault="005636C7" w:rsidP="005636C7">
            <w:pPr>
              <w:pStyle w:val="E3tabletext1"/>
              <w:jc w:val="both"/>
              <w:rPr>
                <w:lang w:val="en-NZ"/>
              </w:rPr>
            </w:pPr>
            <w:r w:rsidRPr="00114031">
              <w:rPr>
                <w:lang w:val="en-NZ"/>
              </w:rPr>
              <w:t xml:space="preserve">40 </w:t>
            </w:r>
            <w:r w:rsidRPr="00114031">
              <w:rPr>
                <w:rFonts w:ascii="Symbol" w:hAnsi="Symbol"/>
                <w:lang w:val="en-NZ"/>
              </w:rPr>
              <w:t></w:t>
            </w:r>
            <w:r w:rsidRPr="00114031">
              <w:rPr>
                <w:lang w:val="en-NZ"/>
              </w:rPr>
              <w:t xml:space="preserve"> EEI &lt; 60</w:t>
            </w:r>
          </w:p>
        </w:tc>
      </w:tr>
      <w:tr w:rsidR="005636C7" w:rsidRPr="00114031" w14:paraId="24B202E6" w14:textId="77777777" w:rsidTr="005636C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6CC35F88"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C</w:t>
            </w:r>
          </w:p>
        </w:tc>
        <w:tc>
          <w:tcPr>
            <w:tcW w:w="2036" w:type="dxa"/>
            <w:tcBorders>
              <w:top w:val="nil"/>
              <w:left w:val="nil"/>
              <w:bottom w:val="single" w:sz="4" w:space="0" w:color="auto"/>
              <w:right w:val="single" w:sz="4" w:space="0" w:color="auto"/>
            </w:tcBorders>
            <w:shd w:val="clear" w:color="auto" w:fill="auto"/>
            <w:noWrap/>
            <w:vAlign w:val="bottom"/>
            <w:hideMark/>
          </w:tcPr>
          <w:p w14:paraId="1E34CF1B"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1908" w:type="dxa"/>
            <w:tcBorders>
              <w:top w:val="nil"/>
              <w:left w:val="nil"/>
              <w:bottom w:val="single" w:sz="4" w:space="0" w:color="auto"/>
              <w:right w:val="single" w:sz="4" w:space="0" w:color="auto"/>
            </w:tcBorders>
            <w:shd w:val="clear" w:color="auto" w:fill="auto"/>
            <w:noWrap/>
            <w:vAlign w:val="bottom"/>
            <w:hideMark/>
          </w:tcPr>
          <w:p w14:paraId="6AFA0B75" w14:textId="77777777" w:rsidR="005636C7" w:rsidRPr="00114031" w:rsidRDefault="005636C7" w:rsidP="005636C7">
            <w:pPr>
              <w:pStyle w:val="E3tabletext1"/>
              <w:jc w:val="both"/>
              <w:rPr>
                <w:lang w:val="en-NZ"/>
              </w:rPr>
            </w:pPr>
            <w:r w:rsidRPr="00114031">
              <w:rPr>
                <w:lang w:val="en-NZ"/>
              </w:rPr>
              <w:t xml:space="preserve">50 </w:t>
            </w:r>
            <w:r w:rsidRPr="00114031">
              <w:rPr>
                <w:rFonts w:ascii="Symbol" w:hAnsi="Symbol"/>
                <w:lang w:val="en-NZ"/>
              </w:rPr>
              <w:t></w:t>
            </w:r>
            <w:r w:rsidRPr="00114031">
              <w:rPr>
                <w:lang w:val="en-NZ"/>
              </w:rPr>
              <w:t xml:space="preserve"> EEI &lt; 80</w:t>
            </w:r>
          </w:p>
        </w:tc>
        <w:tc>
          <w:tcPr>
            <w:tcW w:w="2036" w:type="dxa"/>
            <w:tcBorders>
              <w:top w:val="nil"/>
              <w:left w:val="nil"/>
              <w:bottom w:val="single" w:sz="4" w:space="0" w:color="auto"/>
              <w:right w:val="single" w:sz="4" w:space="0" w:color="auto"/>
            </w:tcBorders>
            <w:shd w:val="clear" w:color="auto" w:fill="auto"/>
            <w:noWrap/>
            <w:vAlign w:val="bottom"/>
            <w:hideMark/>
          </w:tcPr>
          <w:p w14:paraId="159680BE" w14:textId="77777777" w:rsidR="005636C7" w:rsidRPr="00114031" w:rsidRDefault="005636C7" w:rsidP="005636C7">
            <w:pPr>
              <w:pStyle w:val="E3tabletext1"/>
              <w:jc w:val="both"/>
              <w:rPr>
                <w:lang w:val="en-NZ"/>
              </w:rPr>
            </w:pPr>
            <w:r w:rsidRPr="00114031">
              <w:rPr>
                <w:lang w:val="en-NZ"/>
              </w:rPr>
              <w:t xml:space="preserve">70 </w:t>
            </w:r>
            <w:r w:rsidRPr="00114031">
              <w:rPr>
                <w:rFonts w:ascii="Symbol" w:hAnsi="Symbol"/>
                <w:lang w:val="en-NZ"/>
              </w:rPr>
              <w:t></w:t>
            </w:r>
            <w:r w:rsidRPr="00114031">
              <w:rPr>
                <w:lang w:val="en-NZ"/>
              </w:rPr>
              <w:t xml:space="preserve"> EEI &lt; 90</w:t>
            </w:r>
          </w:p>
        </w:tc>
        <w:tc>
          <w:tcPr>
            <w:tcW w:w="2036" w:type="dxa"/>
            <w:tcBorders>
              <w:top w:val="nil"/>
              <w:left w:val="nil"/>
              <w:bottom w:val="single" w:sz="4" w:space="0" w:color="auto"/>
              <w:right w:val="single" w:sz="4" w:space="0" w:color="auto"/>
            </w:tcBorders>
            <w:shd w:val="clear" w:color="auto" w:fill="auto"/>
            <w:noWrap/>
            <w:vAlign w:val="bottom"/>
            <w:hideMark/>
          </w:tcPr>
          <w:p w14:paraId="49D5A89A" w14:textId="77777777" w:rsidR="005636C7" w:rsidRPr="00114031" w:rsidRDefault="005636C7" w:rsidP="005636C7">
            <w:pPr>
              <w:pStyle w:val="E3tabletext1"/>
              <w:jc w:val="both"/>
              <w:rPr>
                <w:lang w:val="en-NZ"/>
              </w:rPr>
            </w:pPr>
            <w:r w:rsidRPr="00114031">
              <w:rPr>
                <w:lang w:val="en-NZ"/>
              </w:rPr>
              <w:t xml:space="preserve">60 </w:t>
            </w:r>
            <w:r w:rsidRPr="00114031">
              <w:rPr>
                <w:rFonts w:ascii="Symbol" w:hAnsi="Symbol"/>
                <w:lang w:val="en-NZ"/>
              </w:rPr>
              <w:t></w:t>
            </w:r>
            <w:r w:rsidRPr="00114031">
              <w:rPr>
                <w:lang w:val="en-NZ"/>
              </w:rPr>
              <w:t xml:space="preserve"> EEI &lt; 80</w:t>
            </w:r>
          </w:p>
        </w:tc>
      </w:tr>
      <w:tr w:rsidR="005636C7" w:rsidRPr="00114031" w14:paraId="5983B3E7" w14:textId="77777777" w:rsidTr="005636C7">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C25FB0F"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D</w:t>
            </w:r>
          </w:p>
        </w:tc>
        <w:tc>
          <w:tcPr>
            <w:tcW w:w="2036" w:type="dxa"/>
            <w:tcBorders>
              <w:top w:val="nil"/>
              <w:left w:val="nil"/>
              <w:bottom w:val="single" w:sz="4" w:space="0" w:color="auto"/>
              <w:right w:val="single" w:sz="4" w:space="0" w:color="auto"/>
            </w:tcBorders>
            <w:shd w:val="clear" w:color="auto" w:fill="auto"/>
            <w:noWrap/>
            <w:vAlign w:val="bottom"/>
            <w:hideMark/>
          </w:tcPr>
          <w:p w14:paraId="381D4F8F"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1908" w:type="dxa"/>
            <w:tcBorders>
              <w:top w:val="nil"/>
              <w:left w:val="nil"/>
              <w:bottom w:val="single" w:sz="4" w:space="0" w:color="auto"/>
              <w:right w:val="single" w:sz="4" w:space="0" w:color="auto"/>
            </w:tcBorders>
            <w:shd w:val="clear" w:color="auto" w:fill="auto"/>
            <w:noWrap/>
            <w:vAlign w:val="bottom"/>
            <w:hideMark/>
          </w:tcPr>
          <w:p w14:paraId="5781E402"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2D15105F" w14:textId="77777777" w:rsidR="005636C7" w:rsidRPr="00114031" w:rsidRDefault="005636C7" w:rsidP="005636C7">
            <w:pPr>
              <w:pStyle w:val="E3tabletext1"/>
              <w:jc w:val="both"/>
              <w:rPr>
                <w:lang w:val="en-NZ"/>
              </w:rPr>
            </w:pPr>
            <w:r w:rsidRPr="00114031">
              <w:rPr>
                <w:lang w:val="en-NZ"/>
              </w:rPr>
              <w:t xml:space="preserve">90 </w:t>
            </w:r>
            <w:r w:rsidRPr="00114031">
              <w:rPr>
                <w:rFonts w:ascii="Symbol" w:hAnsi="Symbol"/>
                <w:lang w:val="en-NZ"/>
              </w:rPr>
              <w:t></w:t>
            </w:r>
            <w:r w:rsidRPr="00114031">
              <w:rPr>
                <w:lang w:val="en-NZ"/>
              </w:rPr>
              <w:t xml:space="preserve"> EEI &lt; 110</w:t>
            </w:r>
          </w:p>
        </w:tc>
        <w:tc>
          <w:tcPr>
            <w:tcW w:w="2036" w:type="dxa"/>
            <w:tcBorders>
              <w:top w:val="nil"/>
              <w:left w:val="nil"/>
              <w:bottom w:val="single" w:sz="4" w:space="0" w:color="auto"/>
              <w:right w:val="single" w:sz="4" w:space="0" w:color="auto"/>
            </w:tcBorders>
            <w:shd w:val="clear" w:color="auto" w:fill="auto"/>
            <w:noWrap/>
            <w:vAlign w:val="bottom"/>
            <w:hideMark/>
          </w:tcPr>
          <w:p w14:paraId="1C21D8B7" w14:textId="77777777" w:rsidR="005636C7" w:rsidRPr="00114031" w:rsidRDefault="005636C7" w:rsidP="005636C7">
            <w:pPr>
              <w:pStyle w:val="E3tabletext1"/>
              <w:jc w:val="both"/>
              <w:rPr>
                <w:lang w:val="en-NZ"/>
              </w:rPr>
            </w:pPr>
            <w:r w:rsidRPr="00114031">
              <w:rPr>
                <w:lang w:val="en-NZ"/>
              </w:rPr>
              <w:t xml:space="preserve">80 </w:t>
            </w:r>
            <w:r w:rsidRPr="00114031">
              <w:rPr>
                <w:rFonts w:ascii="Symbol" w:hAnsi="Symbol"/>
                <w:lang w:val="en-NZ"/>
              </w:rPr>
              <w:t></w:t>
            </w:r>
            <w:r w:rsidRPr="00114031">
              <w:rPr>
                <w:lang w:val="en-NZ"/>
              </w:rPr>
              <w:t xml:space="preserve"> EEI &lt; 100</w:t>
            </w:r>
          </w:p>
        </w:tc>
      </w:tr>
      <w:tr w:rsidR="005636C7" w:rsidRPr="00114031" w14:paraId="58A8E8C8" w14:textId="77777777" w:rsidTr="005636C7">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14:paraId="2C999370"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E</w:t>
            </w:r>
          </w:p>
        </w:tc>
        <w:tc>
          <w:tcPr>
            <w:tcW w:w="2036" w:type="dxa"/>
            <w:tcBorders>
              <w:top w:val="nil"/>
              <w:left w:val="nil"/>
              <w:bottom w:val="single" w:sz="4" w:space="0" w:color="auto"/>
              <w:right w:val="single" w:sz="4" w:space="0" w:color="auto"/>
            </w:tcBorders>
            <w:shd w:val="clear" w:color="000000" w:fill="D8D8D8"/>
            <w:noWrap/>
            <w:vAlign w:val="bottom"/>
            <w:hideMark/>
          </w:tcPr>
          <w:p w14:paraId="1ABA0675"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120</w:t>
            </w:r>
          </w:p>
        </w:tc>
        <w:tc>
          <w:tcPr>
            <w:tcW w:w="1908" w:type="dxa"/>
            <w:tcBorders>
              <w:top w:val="nil"/>
              <w:left w:val="nil"/>
              <w:bottom w:val="single" w:sz="4" w:space="0" w:color="auto"/>
              <w:right w:val="single" w:sz="4" w:space="0" w:color="auto"/>
            </w:tcBorders>
            <w:shd w:val="clear" w:color="000000" w:fill="D8D8D8"/>
            <w:noWrap/>
            <w:vAlign w:val="bottom"/>
            <w:hideMark/>
          </w:tcPr>
          <w:p w14:paraId="6D967704"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4060BD5A" w14:textId="77777777" w:rsidR="005636C7" w:rsidRPr="00114031" w:rsidRDefault="005636C7" w:rsidP="005636C7">
            <w:pPr>
              <w:pStyle w:val="E3tabletext1"/>
              <w:jc w:val="both"/>
              <w:rPr>
                <w:lang w:val="en-NZ"/>
              </w:rPr>
            </w:pPr>
            <w:r w:rsidRPr="00114031">
              <w:rPr>
                <w:lang w:val="en-NZ"/>
              </w:rPr>
              <w:t xml:space="preserve">110 </w:t>
            </w:r>
            <w:r w:rsidRPr="00114031">
              <w:rPr>
                <w:rFonts w:ascii="Symbol" w:hAnsi="Symbol"/>
                <w:lang w:val="en-NZ"/>
              </w:rPr>
              <w:t></w:t>
            </w:r>
            <w:r w:rsidRPr="00114031">
              <w:rPr>
                <w:lang w:val="en-NZ"/>
              </w:rPr>
              <w:t xml:space="preserve"> EEI &lt; 130</w:t>
            </w:r>
          </w:p>
        </w:tc>
        <w:tc>
          <w:tcPr>
            <w:tcW w:w="2036" w:type="dxa"/>
            <w:tcBorders>
              <w:top w:val="nil"/>
              <w:left w:val="nil"/>
              <w:bottom w:val="single" w:sz="4" w:space="0" w:color="auto"/>
              <w:right w:val="single" w:sz="4" w:space="0" w:color="auto"/>
            </w:tcBorders>
            <w:shd w:val="clear" w:color="000000" w:fill="D8D8D8"/>
            <w:noWrap/>
            <w:vAlign w:val="bottom"/>
            <w:hideMark/>
          </w:tcPr>
          <w:p w14:paraId="5A4D0AEC" w14:textId="77777777" w:rsidR="005636C7" w:rsidRPr="00114031" w:rsidRDefault="005636C7" w:rsidP="005636C7">
            <w:pPr>
              <w:pStyle w:val="E3tabletext1"/>
              <w:jc w:val="both"/>
              <w:rPr>
                <w:lang w:val="en-NZ"/>
              </w:rPr>
            </w:pPr>
            <w:r w:rsidRPr="00114031">
              <w:rPr>
                <w:lang w:val="en-NZ"/>
              </w:rPr>
              <w:t xml:space="preserve">100 </w:t>
            </w:r>
            <w:r w:rsidRPr="00114031">
              <w:rPr>
                <w:rFonts w:ascii="Symbol" w:hAnsi="Symbol"/>
                <w:lang w:val="en-NZ"/>
              </w:rPr>
              <w:t></w:t>
            </w:r>
            <w:r w:rsidRPr="00114031">
              <w:rPr>
                <w:lang w:val="en-NZ"/>
              </w:rPr>
              <w:t xml:space="preserve"> EEI &lt; 120</w:t>
            </w:r>
          </w:p>
        </w:tc>
      </w:tr>
      <w:tr w:rsidR="005636C7" w:rsidRPr="00114031" w14:paraId="4BEB1708" w14:textId="77777777" w:rsidTr="005636C7">
        <w:trPr>
          <w:trHeight w:val="300"/>
        </w:trPr>
        <w:tc>
          <w:tcPr>
            <w:tcW w:w="1600" w:type="dxa"/>
            <w:tcBorders>
              <w:top w:val="nil"/>
              <w:left w:val="single" w:sz="4" w:space="0" w:color="auto"/>
              <w:bottom w:val="single" w:sz="4" w:space="0" w:color="auto"/>
              <w:right w:val="single" w:sz="4" w:space="0" w:color="auto"/>
            </w:tcBorders>
            <w:shd w:val="clear" w:color="000000" w:fill="D8D8D8"/>
            <w:noWrap/>
            <w:vAlign w:val="bottom"/>
            <w:hideMark/>
          </w:tcPr>
          <w:p w14:paraId="62F733D2"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F</w:t>
            </w:r>
          </w:p>
        </w:tc>
        <w:tc>
          <w:tcPr>
            <w:tcW w:w="2036" w:type="dxa"/>
            <w:tcBorders>
              <w:top w:val="nil"/>
              <w:left w:val="nil"/>
              <w:bottom w:val="single" w:sz="4" w:space="0" w:color="auto"/>
              <w:right w:val="single" w:sz="4" w:space="0" w:color="auto"/>
            </w:tcBorders>
            <w:shd w:val="clear" w:color="000000" w:fill="D8D8D8"/>
            <w:noWrap/>
            <w:vAlign w:val="bottom"/>
            <w:hideMark/>
          </w:tcPr>
          <w:p w14:paraId="408BE019"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130</w:t>
            </w:r>
          </w:p>
        </w:tc>
        <w:tc>
          <w:tcPr>
            <w:tcW w:w="1908" w:type="dxa"/>
            <w:tcBorders>
              <w:top w:val="nil"/>
              <w:left w:val="nil"/>
              <w:bottom w:val="single" w:sz="4" w:space="0" w:color="auto"/>
              <w:right w:val="single" w:sz="4" w:space="0" w:color="auto"/>
            </w:tcBorders>
            <w:shd w:val="clear" w:color="000000" w:fill="D8D8D8"/>
            <w:noWrap/>
            <w:vAlign w:val="bottom"/>
            <w:hideMark/>
          </w:tcPr>
          <w:p w14:paraId="5120ECA2"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7722DC9D"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&lt; 140</w:t>
            </w:r>
          </w:p>
        </w:tc>
        <w:tc>
          <w:tcPr>
            <w:tcW w:w="2036" w:type="dxa"/>
            <w:tcBorders>
              <w:top w:val="nil"/>
              <w:left w:val="nil"/>
              <w:bottom w:val="single" w:sz="4" w:space="0" w:color="auto"/>
              <w:right w:val="single" w:sz="4" w:space="0" w:color="auto"/>
            </w:tcBorders>
            <w:shd w:val="clear" w:color="000000" w:fill="D8D8D8"/>
            <w:noWrap/>
            <w:vAlign w:val="bottom"/>
            <w:hideMark/>
          </w:tcPr>
          <w:p w14:paraId="0F76641B" w14:textId="77777777" w:rsidR="005636C7" w:rsidRPr="00114031" w:rsidRDefault="005636C7" w:rsidP="005636C7">
            <w:pPr>
              <w:pStyle w:val="E3tabletext1"/>
              <w:jc w:val="both"/>
              <w:rPr>
                <w:lang w:val="en-NZ"/>
              </w:rPr>
            </w:pPr>
            <w:r w:rsidRPr="00114031">
              <w:rPr>
                <w:lang w:val="en-NZ"/>
              </w:rPr>
              <w:t xml:space="preserve">120 </w:t>
            </w:r>
            <w:r w:rsidRPr="00114031">
              <w:rPr>
                <w:rFonts w:ascii="Symbol" w:hAnsi="Symbol"/>
                <w:lang w:val="en-NZ"/>
              </w:rPr>
              <w:t></w:t>
            </w:r>
            <w:r w:rsidRPr="00114031">
              <w:rPr>
                <w:lang w:val="en-NZ"/>
              </w:rPr>
              <w:t xml:space="preserve"> EEI &lt; 140</w:t>
            </w:r>
          </w:p>
        </w:tc>
      </w:tr>
      <w:tr w:rsidR="005636C7" w:rsidRPr="00114031" w14:paraId="5070A1F8" w14:textId="77777777" w:rsidTr="005636C7">
        <w:trPr>
          <w:trHeight w:val="300"/>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14:paraId="14DF62BA" w14:textId="77777777" w:rsidR="005636C7" w:rsidRPr="0069383A" w:rsidRDefault="005636C7" w:rsidP="005636C7">
            <w:pPr>
              <w:pStyle w:val="E3tabletext1"/>
              <w:jc w:val="both"/>
              <w:rPr>
                <w:rFonts w:ascii="Helvetica" w:hAnsi="Helvetica" w:cs="Helvetica"/>
                <w:lang w:val="en-NZ"/>
              </w:rPr>
            </w:pPr>
            <w:r w:rsidRPr="0069383A">
              <w:rPr>
                <w:rFonts w:ascii="Helvetica" w:hAnsi="Helvetica" w:cs="Helvetica"/>
                <w:lang w:val="en-NZ"/>
              </w:rPr>
              <w:t>G</w:t>
            </w:r>
          </w:p>
        </w:tc>
        <w:tc>
          <w:tcPr>
            <w:tcW w:w="2036" w:type="dxa"/>
            <w:tcBorders>
              <w:top w:val="nil"/>
              <w:left w:val="nil"/>
              <w:bottom w:val="single" w:sz="4" w:space="0" w:color="auto"/>
              <w:right w:val="single" w:sz="4" w:space="0" w:color="auto"/>
            </w:tcBorders>
            <w:shd w:val="clear" w:color="000000" w:fill="A5A5A5"/>
            <w:noWrap/>
            <w:vAlign w:val="bottom"/>
            <w:hideMark/>
          </w:tcPr>
          <w:p w14:paraId="58DB44B9" w14:textId="77777777" w:rsidR="005636C7" w:rsidRPr="00114031" w:rsidRDefault="005636C7" w:rsidP="005636C7">
            <w:pPr>
              <w:pStyle w:val="E3tabletext1"/>
              <w:jc w:val="both"/>
              <w:rPr>
                <w:lang w:val="en-NZ"/>
              </w:rPr>
            </w:pPr>
            <w:r w:rsidRPr="00114031">
              <w:rPr>
                <w:lang w:val="en-NZ"/>
              </w:rPr>
              <w:t xml:space="preserve">130 </w:t>
            </w:r>
            <w:r w:rsidRPr="00114031">
              <w:rPr>
                <w:rFonts w:ascii="Symbol" w:hAnsi="Symbol"/>
                <w:lang w:val="en-NZ"/>
              </w:rPr>
              <w:t></w:t>
            </w:r>
            <w:r w:rsidRPr="00114031">
              <w:rPr>
                <w:lang w:val="en-NZ"/>
              </w:rPr>
              <w:t xml:space="preserve"> EEI </w:t>
            </w:r>
          </w:p>
        </w:tc>
        <w:tc>
          <w:tcPr>
            <w:tcW w:w="1908" w:type="dxa"/>
            <w:tcBorders>
              <w:top w:val="nil"/>
              <w:left w:val="nil"/>
              <w:bottom w:val="single" w:sz="4" w:space="0" w:color="auto"/>
              <w:right w:val="single" w:sz="4" w:space="0" w:color="auto"/>
            </w:tcBorders>
            <w:shd w:val="clear" w:color="000000" w:fill="A5A5A5"/>
            <w:noWrap/>
            <w:vAlign w:val="bottom"/>
            <w:hideMark/>
          </w:tcPr>
          <w:p w14:paraId="6EE84E29"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610B7CBE"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c>
          <w:tcPr>
            <w:tcW w:w="2036" w:type="dxa"/>
            <w:tcBorders>
              <w:top w:val="nil"/>
              <w:left w:val="nil"/>
              <w:bottom w:val="single" w:sz="4" w:space="0" w:color="auto"/>
              <w:right w:val="single" w:sz="4" w:space="0" w:color="auto"/>
            </w:tcBorders>
            <w:shd w:val="clear" w:color="000000" w:fill="A5A5A5"/>
            <w:noWrap/>
            <w:vAlign w:val="bottom"/>
            <w:hideMark/>
          </w:tcPr>
          <w:p w14:paraId="10BD7CFD" w14:textId="77777777" w:rsidR="005636C7" w:rsidRPr="00114031" w:rsidRDefault="005636C7" w:rsidP="005636C7">
            <w:pPr>
              <w:pStyle w:val="E3tabletext1"/>
              <w:jc w:val="both"/>
              <w:rPr>
                <w:lang w:val="en-NZ"/>
              </w:rPr>
            </w:pPr>
            <w:r w:rsidRPr="00114031">
              <w:rPr>
                <w:lang w:val="en-NZ"/>
              </w:rPr>
              <w:t xml:space="preserve">140 </w:t>
            </w:r>
            <w:r w:rsidRPr="00114031">
              <w:rPr>
                <w:rFonts w:ascii="Symbol" w:hAnsi="Symbol"/>
                <w:lang w:val="en-NZ"/>
              </w:rPr>
              <w:t></w:t>
            </w:r>
            <w:r w:rsidRPr="00114031">
              <w:rPr>
                <w:lang w:val="en-NZ"/>
              </w:rPr>
              <w:t xml:space="preserve"> EEI </w:t>
            </w:r>
          </w:p>
        </w:tc>
      </w:tr>
    </w:tbl>
    <w:p w14:paraId="0C027972" w14:textId="77777777" w:rsidR="005636C7" w:rsidRDefault="005636C7" w:rsidP="005636C7">
      <w:pPr>
        <w:pStyle w:val="E3TableTitles"/>
        <w:jc w:val="both"/>
        <w:rPr>
          <w:highlight w:val="yellow"/>
          <w:lang w:eastAsia="en-NZ"/>
        </w:rPr>
      </w:pPr>
    </w:p>
    <w:p w14:paraId="55F9AF6D" w14:textId="77777777" w:rsidR="005636C7" w:rsidRPr="00114031" w:rsidRDefault="005636C7" w:rsidP="005636C7">
      <w:pPr>
        <w:pStyle w:val="E3TableTitles"/>
        <w:rPr>
          <w:lang w:eastAsia="en-NZ"/>
        </w:rPr>
      </w:pPr>
      <w:bookmarkStart w:id="528" w:name="_Ref450641464"/>
      <w:bookmarkStart w:id="529" w:name="_Toc449708985"/>
      <w:bookmarkStart w:id="530" w:name="_Toc456164812"/>
      <w:bookmarkStart w:id="531" w:name="_Toc500159683"/>
      <w:r>
        <w:t xml:space="preserve">Table F </w:t>
      </w:r>
      <w:r>
        <w:fldChar w:fldCharType="begin"/>
      </w:r>
      <w:r>
        <w:instrText xml:space="preserve"> SEQ Table_F \* ARABIC </w:instrText>
      </w:r>
      <w:r>
        <w:fldChar w:fldCharType="separate"/>
      </w:r>
      <w:r w:rsidR="00AC6998">
        <w:rPr>
          <w:noProof/>
        </w:rPr>
        <w:t>2</w:t>
      </w:r>
      <w:r>
        <w:rPr>
          <w:noProof/>
        </w:rPr>
        <w:fldChar w:fldCharType="end"/>
      </w:r>
      <w:bookmarkEnd w:id="528"/>
      <w:r w:rsidRPr="002705A4">
        <w:rPr>
          <w:lang w:eastAsia="en-NZ"/>
        </w:rPr>
        <w:t xml:space="preserve">: </w:t>
      </w:r>
      <w:r>
        <w:rPr>
          <w:lang w:eastAsia="en-NZ"/>
        </w:rPr>
        <w:t>Draft</w:t>
      </w:r>
      <w:r w:rsidRPr="002705A4">
        <w:rPr>
          <w:lang w:eastAsia="en-NZ"/>
        </w:rPr>
        <w:t xml:space="preserve"> “MEPS” improvement implementation dates for </w:t>
      </w:r>
      <w:r>
        <w:rPr>
          <w:lang w:eastAsia="en-NZ"/>
        </w:rPr>
        <w:t>r</w:t>
      </w:r>
      <w:r w:rsidRPr="002705A4">
        <w:rPr>
          <w:lang w:eastAsia="en-NZ"/>
        </w:rPr>
        <w:t xml:space="preserve">efrigerated </w:t>
      </w:r>
      <w:r>
        <w:rPr>
          <w:lang w:eastAsia="en-NZ"/>
        </w:rPr>
        <w:t>d</w:t>
      </w:r>
      <w:r w:rsidRPr="002705A4">
        <w:rPr>
          <w:lang w:eastAsia="en-NZ"/>
        </w:rPr>
        <w:t xml:space="preserve">isplay </w:t>
      </w:r>
      <w:r>
        <w:rPr>
          <w:lang w:eastAsia="en-NZ"/>
        </w:rPr>
        <w:t>c</w:t>
      </w:r>
      <w:r w:rsidRPr="002705A4">
        <w:rPr>
          <w:lang w:eastAsia="en-NZ"/>
        </w:rPr>
        <w:t>abinets</w:t>
      </w:r>
      <w:bookmarkEnd w:id="529"/>
      <w:bookmarkEnd w:id="530"/>
      <w:r>
        <w:rPr>
          <w:lang w:eastAsia="en-NZ"/>
        </w:rPr>
        <w:t>.</w:t>
      </w:r>
      <w:bookmarkEnd w:id="531"/>
    </w:p>
    <w:tbl>
      <w:tblPr>
        <w:tblW w:w="7656" w:type="dxa"/>
        <w:tblInd w:w="108" w:type="dxa"/>
        <w:tblLook w:val="04A0" w:firstRow="1" w:lastRow="0" w:firstColumn="1" w:lastColumn="0" w:noHBand="0" w:noVBand="1"/>
      </w:tblPr>
      <w:tblGrid>
        <w:gridCol w:w="3265"/>
        <w:gridCol w:w="4391"/>
      </w:tblGrid>
      <w:tr w:rsidR="005636C7" w:rsidRPr="00114031" w14:paraId="56CB99EB" w14:textId="77777777" w:rsidTr="005636C7">
        <w:trPr>
          <w:trHeight w:val="315"/>
        </w:trPr>
        <w:tc>
          <w:tcPr>
            <w:tcW w:w="326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6CBDE75" w14:textId="77777777" w:rsidR="005636C7" w:rsidRPr="00114031" w:rsidRDefault="005636C7" w:rsidP="005636C7">
            <w:pPr>
              <w:pStyle w:val="E3TableHeading"/>
              <w:jc w:val="both"/>
              <w:rPr>
                <w:lang w:val="en-NZ"/>
              </w:rPr>
            </w:pPr>
            <w:r w:rsidRPr="00114031">
              <w:rPr>
                <w:lang w:val="en-NZ"/>
              </w:rPr>
              <w:t>Introduction</w:t>
            </w:r>
          </w:p>
        </w:tc>
        <w:tc>
          <w:tcPr>
            <w:tcW w:w="4391"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362223FE" w14:textId="77777777" w:rsidR="005636C7" w:rsidRPr="00114031" w:rsidRDefault="005636C7" w:rsidP="005636C7">
            <w:pPr>
              <w:pStyle w:val="E3TableHeading"/>
              <w:jc w:val="both"/>
              <w:rPr>
                <w:lang w:val="en-NZ"/>
              </w:rPr>
            </w:pPr>
            <w:r>
              <w:rPr>
                <w:lang w:val="en-NZ"/>
              </w:rPr>
              <w:t>EEI score (“MEPS” grade)</w:t>
            </w:r>
          </w:p>
        </w:tc>
      </w:tr>
      <w:tr w:rsidR="005636C7" w:rsidRPr="00114031" w14:paraId="084EF5B4" w14:textId="77777777" w:rsidTr="005636C7">
        <w:trPr>
          <w:trHeight w:val="233"/>
        </w:trPr>
        <w:tc>
          <w:tcPr>
            <w:tcW w:w="3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CB39F" w14:textId="77777777" w:rsidR="005636C7" w:rsidRPr="00DC003B" w:rsidRDefault="005636C7" w:rsidP="005636C7">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2018</w:t>
            </w:r>
          </w:p>
        </w:tc>
        <w:tc>
          <w:tcPr>
            <w:tcW w:w="4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3C024" w14:textId="77777777" w:rsidR="005636C7" w:rsidRPr="00114031" w:rsidRDefault="005636C7" w:rsidP="005636C7">
            <w:pPr>
              <w:pStyle w:val="E3tabletext1"/>
              <w:jc w:val="both"/>
              <w:rPr>
                <w:lang w:val="en-NZ"/>
              </w:rPr>
            </w:pPr>
            <w:r w:rsidRPr="00114031">
              <w:rPr>
                <w:lang w:val="en-NZ"/>
              </w:rPr>
              <w:t>EEI &lt; 150</w:t>
            </w:r>
          </w:p>
        </w:tc>
      </w:tr>
      <w:tr w:rsidR="005636C7" w:rsidRPr="00114031" w14:paraId="40E64540" w14:textId="77777777" w:rsidTr="005636C7">
        <w:trPr>
          <w:trHeight w:val="448"/>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5834BEF3" w14:textId="77777777" w:rsidR="005636C7" w:rsidRPr="00DC003B" w:rsidRDefault="005636C7" w:rsidP="005636C7">
            <w:pPr>
              <w:pStyle w:val="E3tabletext1"/>
              <w:jc w:val="both"/>
              <w:rPr>
                <w:rFonts w:ascii="Helvetica" w:hAnsi="Helvetica" w:cs="Helvetica"/>
                <w:sz w:val="15"/>
                <w:szCs w:val="15"/>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7A8E51D5" w14:textId="77777777" w:rsidR="005636C7" w:rsidRPr="00114031" w:rsidRDefault="005636C7" w:rsidP="005636C7">
            <w:pPr>
              <w:pStyle w:val="E3tabletext1"/>
              <w:jc w:val="both"/>
              <w:rPr>
                <w:lang w:val="en-NZ"/>
              </w:rPr>
            </w:pPr>
          </w:p>
        </w:tc>
      </w:tr>
      <w:tr w:rsidR="005636C7" w:rsidRPr="00114031" w14:paraId="2A0DF417" w14:textId="77777777" w:rsidTr="005636C7">
        <w:trPr>
          <w:trHeight w:val="233"/>
        </w:trPr>
        <w:tc>
          <w:tcPr>
            <w:tcW w:w="3265"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5CFB7F3E" w14:textId="77777777" w:rsidR="005636C7" w:rsidRPr="00DC003B" w:rsidRDefault="005636C7" w:rsidP="005636C7">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2019</w:t>
            </w:r>
          </w:p>
        </w:tc>
        <w:tc>
          <w:tcPr>
            <w:tcW w:w="439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74D42F1" w14:textId="77777777" w:rsidR="005636C7" w:rsidRPr="00114031" w:rsidRDefault="005636C7" w:rsidP="005636C7">
            <w:pPr>
              <w:pStyle w:val="E3tabletext1"/>
              <w:jc w:val="both"/>
              <w:rPr>
                <w:lang w:val="en-NZ"/>
              </w:rPr>
            </w:pPr>
            <w:r w:rsidRPr="00114031">
              <w:rPr>
                <w:lang w:val="en-NZ"/>
              </w:rPr>
              <w:t>EEI &lt; 130</w:t>
            </w:r>
          </w:p>
        </w:tc>
      </w:tr>
      <w:tr w:rsidR="005636C7" w:rsidRPr="00114031" w14:paraId="293059EE" w14:textId="77777777" w:rsidTr="005636C7">
        <w:trPr>
          <w:trHeight w:val="448"/>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7459D657" w14:textId="77777777" w:rsidR="005636C7" w:rsidRPr="00DC003B" w:rsidRDefault="005636C7" w:rsidP="005636C7">
            <w:pPr>
              <w:pStyle w:val="E3tabletext1"/>
              <w:jc w:val="both"/>
              <w:rPr>
                <w:rFonts w:ascii="Helvetica" w:hAnsi="Helvetica" w:cs="Helvetica"/>
                <w:sz w:val="15"/>
                <w:szCs w:val="15"/>
                <w:lang w:val="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3580CC74" w14:textId="77777777" w:rsidR="005636C7" w:rsidRPr="00114031" w:rsidRDefault="005636C7" w:rsidP="005636C7">
            <w:pPr>
              <w:pStyle w:val="E3tabletext1"/>
              <w:jc w:val="both"/>
              <w:rPr>
                <w:lang w:val="en-NZ"/>
              </w:rPr>
            </w:pPr>
          </w:p>
        </w:tc>
      </w:tr>
      <w:tr w:rsidR="005636C7" w:rsidRPr="00114031" w14:paraId="067C30C7" w14:textId="77777777" w:rsidTr="005636C7">
        <w:trPr>
          <w:trHeight w:val="429"/>
        </w:trPr>
        <w:tc>
          <w:tcPr>
            <w:tcW w:w="326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F6C67E" w14:textId="77777777" w:rsidR="005636C7" w:rsidRPr="00DC003B" w:rsidRDefault="005636C7" w:rsidP="005636C7">
            <w:pPr>
              <w:pStyle w:val="E3tabletext1"/>
              <w:jc w:val="both"/>
              <w:rPr>
                <w:rFonts w:ascii="Helvetica" w:hAnsi="Helvetica" w:cs="Helvetica"/>
                <w:sz w:val="15"/>
                <w:szCs w:val="15"/>
                <w:lang w:val="en-NZ"/>
              </w:rPr>
            </w:pPr>
            <w:r w:rsidRPr="00DC003B">
              <w:rPr>
                <w:rFonts w:ascii="Helvetica" w:hAnsi="Helvetica" w:cs="Helvetica"/>
                <w:sz w:val="15"/>
                <w:szCs w:val="15"/>
                <w:lang w:val="en-NZ"/>
              </w:rPr>
              <w:t>From 1 January 2021</w:t>
            </w:r>
          </w:p>
        </w:tc>
        <w:tc>
          <w:tcPr>
            <w:tcW w:w="43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29B11C" w14:textId="77777777" w:rsidR="005636C7" w:rsidRPr="00114031" w:rsidRDefault="005636C7" w:rsidP="005636C7">
            <w:pPr>
              <w:pStyle w:val="E3tabletext1"/>
              <w:jc w:val="both"/>
              <w:rPr>
                <w:lang w:val="en-NZ"/>
              </w:rPr>
            </w:pPr>
            <w:r w:rsidRPr="00114031">
              <w:rPr>
                <w:lang w:val="en-NZ"/>
              </w:rPr>
              <w:t>EEI &lt; 110</w:t>
            </w:r>
          </w:p>
        </w:tc>
      </w:tr>
    </w:tbl>
    <w:p w14:paraId="6567FF35" w14:textId="77777777" w:rsidR="005636C7" w:rsidRDefault="005636C7" w:rsidP="005636C7">
      <w:pPr>
        <w:pStyle w:val="E3BodyText"/>
        <w:rPr>
          <w:lang w:val="en-NZ" w:eastAsia="en-NZ"/>
        </w:rPr>
      </w:pPr>
    </w:p>
    <w:p w14:paraId="61B687F1" w14:textId="77777777" w:rsidR="005636C7" w:rsidRPr="00317405" w:rsidRDefault="005636C7" w:rsidP="005636C7">
      <w:pPr>
        <w:pStyle w:val="E3BodyText"/>
        <w:rPr>
          <w:lang w:val="en-NZ" w:eastAsia="en-NZ"/>
        </w:rPr>
      </w:pPr>
      <w:r>
        <w:rPr>
          <w:lang w:val="en-NZ" w:eastAsia="en-NZ"/>
        </w:rPr>
        <w:t xml:space="preserve">The </w:t>
      </w:r>
      <w:r w:rsidRPr="00AC7259">
        <w:rPr>
          <w:lang w:val="en-NZ" w:eastAsia="en-NZ"/>
        </w:rPr>
        <w:t xml:space="preserve">“MEPS” EEI levels and labelling grades for display cabinets are still in draft and </w:t>
      </w:r>
      <w:r>
        <w:rPr>
          <w:lang w:val="en-NZ" w:eastAsia="en-NZ"/>
        </w:rPr>
        <w:t xml:space="preserve">are </w:t>
      </w:r>
      <w:r w:rsidRPr="00AC7259">
        <w:rPr>
          <w:lang w:val="en-NZ" w:eastAsia="en-NZ"/>
        </w:rPr>
        <w:t>likely to change pending the outcome of the European Labelling review (</w:t>
      </w:r>
      <w:r>
        <w:rPr>
          <w:lang w:val="en-NZ" w:eastAsia="en-NZ"/>
        </w:rPr>
        <w:t xml:space="preserve">this will </w:t>
      </w:r>
      <w:r w:rsidRPr="00AC7259">
        <w:rPr>
          <w:lang w:val="en-NZ" w:eastAsia="en-NZ"/>
        </w:rPr>
        <w:t>potentia</w:t>
      </w:r>
      <w:bookmarkStart w:id="532" w:name="_Toc442877456"/>
      <w:bookmarkStart w:id="533" w:name="_Toc447533654"/>
      <w:r>
        <w:rPr>
          <w:lang w:val="en-NZ" w:eastAsia="en-NZ"/>
        </w:rPr>
        <w:t>lly be known by December 2017).</w:t>
      </w:r>
    </w:p>
    <w:p w14:paraId="328A13C6" w14:textId="77777777" w:rsidR="005636C7" w:rsidRPr="00DC003B" w:rsidRDefault="005636C7" w:rsidP="005636C7">
      <w:pPr>
        <w:pStyle w:val="E3Heading4"/>
        <w:rPr>
          <w:lang w:eastAsia="en-NZ"/>
        </w:rPr>
      </w:pPr>
      <w:r w:rsidRPr="00DC003B">
        <w:rPr>
          <w:lang w:eastAsia="en-NZ"/>
        </w:rPr>
        <w:t xml:space="preserve">Draft equation to calculate the </w:t>
      </w:r>
      <w:r w:rsidRPr="00DC003B">
        <w:rPr>
          <w:rFonts w:eastAsiaTheme="minorEastAsia"/>
          <w:lang w:eastAsia="en-NZ"/>
        </w:rPr>
        <w:t xml:space="preserve">EEI of </w:t>
      </w:r>
      <w:r w:rsidRPr="00DC003B">
        <w:rPr>
          <w:lang w:eastAsia="en-NZ"/>
        </w:rPr>
        <w:t>display cabinets</w:t>
      </w:r>
      <w:bookmarkEnd w:id="532"/>
      <w:bookmarkEnd w:id="533"/>
      <w:r w:rsidRPr="00DC003B">
        <w:rPr>
          <w:lang w:eastAsia="en-NZ"/>
        </w:rPr>
        <w:t xml:space="preserve"> </w:t>
      </w:r>
    </w:p>
    <w:p w14:paraId="762569FE" w14:textId="77777777" w:rsidR="005636C7" w:rsidRPr="00AC7259" w:rsidRDefault="005636C7" w:rsidP="005636C7">
      <w:pPr>
        <w:pStyle w:val="E3Heading4"/>
        <w:spacing w:line="360" w:lineRule="auto"/>
        <w:jc w:val="both"/>
        <w:rPr>
          <w:lang w:val="en-NZ" w:eastAsia="en-NZ"/>
        </w:rPr>
      </w:pPr>
      <w:r w:rsidRPr="00AC7259">
        <w:rPr>
          <w:lang w:val="en-NZ" w:eastAsia="en-NZ"/>
        </w:rPr>
        <w:t>For most display cabinets (not beverage coolers &amp; small ice-cream freezers):</w:t>
      </w:r>
    </w:p>
    <w:p w14:paraId="14603807" w14:textId="77777777" w:rsidR="005636C7" w:rsidRPr="00AC7259" w:rsidRDefault="005636C7" w:rsidP="005636C7">
      <w:pPr>
        <w:pStyle w:val="E3BodyText"/>
        <w:rPr>
          <w:lang w:val="en-NZ" w:eastAsia="en-NZ"/>
        </w:rPr>
      </w:pPr>
      <w:r w:rsidRPr="00AC7259">
        <w:rPr>
          <w:lang w:val="en-NZ" w:eastAsia="en-NZ"/>
        </w:rPr>
        <w:t>The EEI of display cabinets is a ratio of their Annual Energy Consumption compared to a Standard Annual Energy Consumption, to 1 decimal place:</w:t>
      </w:r>
      <w:r w:rsidRPr="00DC003B">
        <w:rPr>
          <w:rStyle w:val="FootnoteReference"/>
          <w:lang w:val="en-NZ" w:eastAsia="en-NZ"/>
        </w:rPr>
        <w:t xml:space="preserve"> </w:t>
      </w:r>
      <w:r w:rsidRPr="00DC003B">
        <w:rPr>
          <w:rStyle w:val="FootnoteReference"/>
          <w:lang w:val="en-NZ" w:eastAsia="en-NZ"/>
        </w:rPr>
        <w:footnoteReference w:id="58"/>
      </w:r>
    </w:p>
    <w:p w14:paraId="4A5216AB" w14:textId="77777777" w:rsidR="005636C7" w:rsidRPr="00AC7259" w:rsidRDefault="005636C7" w:rsidP="005636C7">
      <w:pPr>
        <w:pStyle w:val="E3BodyText"/>
        <w:rPr>
          <w:lang w:val="pt-PT" w:eastAsia="en-NZ"/>
        </w:rPr>
      </w:pPr>
      <w:r w:rsidRPr="00AC7259">
        <w:rPr>
          <w:lang w:val="pt-PT" w:eastAsia="en-NZ"/>
        </w:rPr>
        <w:t>EEI = (AEC/SAEC) × 100</w:t>
      </w:r>
    </w:p>
    <w:p w14:paraId="4A3C8BD1" w14:textId="77777777" w:rsidR="005636C7" w:rsidRPr="00AC7259" w:rsidRDefault="005636C7" w:rsidP="005636C7">
      <w:pPr>
        <w:pStyle w:val="E3BodyText"/>
        <w:rPr>
          <w:lang w:val="en-NZ" w:eastAsia="en-NZ"/>
        </w:rPr>
      </w:pPr>
      <w:r w:rsidRPr="00AC7259">
        <w:rPr>
          <w:lang w:val="en-NZ" w:eastAsia="en-NZ"/>
        </w:rPr>
        <w:t>Where:</w:t>
      </w:r>
    </w:p>
    <w:p w14:paraId="0FCCA7C5" w14:textId="77777777" w:rsidR="005636C7" w:rsidRPr="00AC7259" w:rsidRDefault="005636C7" w:rsidP="005636C7">
      <w:pPr>
        <w:pStyle w:val="E3BodyText"/>
        <w:rPr>
          <w:lang w:val="en-GB" w:eastAsia="en-NZ"/>
        </w:rPr>
      </w:pPr>
      <w:r w:rsidRPr="00AC7259">
        <w:rPr>
          <w:lang w:val="en-GB" w:eastAsia="en-NZ"/>
        </w:rPr>
        <w:t>AEC=E24h × 365</w:t>
      </w:r>
    </w:p>
    <w:p w14:paraId="394CF80C" w14:textId="77777777" w:rsidR="005636C7" w:rsidRPr="00AC7259" w:rsidRDefault="005636C7" w:rsidP="005636C7">
      <w:pPr>
        <w:pStyle w:val="E3Bullets"/>
        <w:ind w:left="227"/>
        <w:jc w:val="both"/>
        <w:rPr>
          <w:lang w:val="en-NZ" w:eastAsia="en-NZ"/>
        </w:rPr>
      </w:pPr>
      <w:r w:rsidRPr="00AC7259">
        <w:rPr>
          <w:lang w:val="en-NZ" w:eastAsia="en-NZ"/>
        </w:rPr>
        <w:t>AEC = Annual Energy Consumption of the cabinet in kWh/year, which is the sum of the AEC of all compartments of the cabinet,</w:t>
      </w:r>
    </w:p>
    <w:p w14:paraId="58D4C923" w14:textId="77777777" w:rsidR="005636C7" w:rsidRPr="00AC7259" w:rsidRDefault="005636C7" w:rsidP="005636C7">
      <w:pPr>
        <w:pStyle w:val="E3Bullets"/>
        <w:ind w:left="227"/>
        <w:jc w:val="both"/>
        <w:rPr>
          <w:lang w:val="en-NZ" w:eastAsia="en-NZ"/>
        </w:rPr>
      </w:pPr>
      <w:r w:rsidRPr="00AC7259">
        <w:rPr>
          <w:lang w:val="en-NZ" w:eastAsia="en-NZ"/>
        </w:rPr>
        <w:t xml:space="preserve">E24h = the energy consumption of the cabinet over 24 hours) </w:t>
      </w:r>
    </w:p>
    <w:p w14:paraId="76352951" w14:textId="77777777" w:rsidR="005636C7" w:rsidRPr="00AC7259" w:rsidRDefault="005636C7" w:rsidP="005636C7">
      <w:pPr>
        <w:pStyle w:val="E3BodyText"/>
        <w:rPr>
          <w:lang w:val="en-GB" w:eastAsia="en-NZ"/>
        </w:rPr>
      </w:pPr>
      <w:r w:rsidRPr="00AC7259">
        <w:rPr>
          <w:lang w:val="en-GB" w:eastAsia="en-NZ"/>
        </w:rPr>
        <w:t>SAEC= (M + N × Y) × 365 x C</w:t>
      </w:r>
    </w:p>
    <w:p w14:paraId="707EEDF3" w14:textId="77777777" w:rsidR="005636C7" w:rsidRPr="00AC7259" w:rsidRDefault="005636C7" w:rsidP="005636C7">
      <w:pPr>
        <w:pStyle w:val="E3Bullets"/>
        <w:ind w:left="227"/>
        <w:jc w:val="both"/>
        <w:rPr>
          <w:lang w:val="en-NZ" w:eastAsia="en-NZ"/>
        </w:rPr>
      </w:pPr>
      <w:r w:rsidRPr="00AC7259">
        <w:rPr>
          <w:lang w:val="en-NZ" w:eastAsia="en-NZ"/>
        </w:rPr>
        <w:t xml:space="preserve">SAEC = Standard Annual Energy Consumption of the cabinet in kWh/year.  </w:t>
      </w:r>
    </w:p>
    <w:p w14:paraId="507B8846" w14:textId="77777777" w:rsidR="005636C7" w:rsidRPr="00AC7259" w:rsidRDefault="005636C7" w:rsidP="005636C7">
      <w:pPr>
        <w:pStyle w:val="E3Bullets"/>
        <w:ind w:left="227"/>
        <w:jc w:val="both"/>
        <w:rPr>
          <w:noProof/>
          <w:lang w:val="en-NZ" w:eastAsia="en-NZ"/>
        </w:rPr>
      </w:pPr>
      <w:r w:rsidRPr="00AC7259">
        <w:rPr>
          <w:noProof/>
          <w:lang w:val="en-NZ" w:eastAsia="en-NZ"/>
        </w:rPr>
        <w:t xml:space="preserve">Y = volume of the appliance, which is the </w:t>
      </w:r>
      <w:r w:rsidRPr="00AC7259">
        <w:rPr>
          <w:i/>
          <w:noProof/>
          <w:lang w:val="en-NZ" w:eastAsia="en-NZ"/>
        </w:rPr>
        <w:t>sum of  volumes</w:t>
      </w:r>
      <w:r w:rsidRPr="00AC7259">
        <w:rPr>
          <w:noProof/>
          <w:lang w:val="en-NZ" w:eastAsia="en-NZ"/>
        </w:rPr>
        <w:t xml:space="preserve"> of all compartments of the cabinet, expressed in litres. For beverage coolers, the gross volume shall be used, for all other cabinets, the net volume. For vending machines, only those compartments are to be considered that are directly available for vending without service visit.</w:t>
      </w:r>
    </w:p>
    <w:p w14:paraId="2E27CF28" w14:textId="77777777" w:rsidR="005636C7" w:rsidRPr="00AC7259" w:rsidRDefault="005636C7" w:rsidP="005636C7">
      <w:pPr>
        <w:pStyle w:val="E3Bullets"/>
        <w:ind w:left="720"/>
        <w:jc w:val="both"/>
        <w:rPr>
          <w:noProof/>
          <w:lang w:val="en-NZ" w:eastAsia="en-NZ"/>
        </w:rPr>
      </w:pPr>
    </w:p>
    <w:p w14:paraId="4842F052" w14:textId="77777777" w:rsidR="005636C7" w:rsidRPr="00AC7259" w:rsidRDefault="005636C7" w:rsidP="005636C7">
      <w:pPr>
        <w:pStyle w:val="E3Bullets"/>
        <w:ind w:left="227" w:hanging="227"/>
        <w:jc w:val="both"/>
        <w:rPr>
          <w:noProof/>
          <w:lang w:val="en-NZ" w:eastAsia="en-NZ"/>
        </w:rPr>
      </w:pPr>
      <w:r w:rsidRPr="00AC7259">
        <w:rPr>
          <w:noProof/>
          <w:lang w:val="en-NZ" w:eastAsia="en-NZ"/>
        </w:rPr>
        <w:t>For all other refrigerated commercial display cabinets:</w:t>
      </w:r>
    </w:p>
    <w:p w14:paraId="4B0A5BDF" w14:textId="77777777" w:rsidR="005636C7" w:rsidRPr="00AC7259" w:rsidRDefault="005636C7" w:rsidP="005636C7">
      <w:pPr>
        <w:pStyle w:val="E3Bullets"/>
        <w:ind w:left="227" w:hanging="227"/>
        <w:jc w:val="both"/>
        <w:rPr>
          <w:noProof/>
          <w:lang w:val="en-NZ" w:eastAsia="en-NZ"/>
        </w:rPr>
      </w:pPr>
      <w:r w:rsidRPr="00AC7259">
        <w:rPr>
          <w:lang w:val="en-NZ" w:eastAsia="en-NZ"/>
        </w:rPr>
        <w:t xml:space="preserve">Y </w:t>
      </w:r>
      <w:r w:rsidRPr="00AC7259">
        <w:rPr>
          <w:noProof/>
          <w:lang w:val="en-NZ" w:eastAsia="en-NZ"/>
        </w:rPr>
        <w:t>= total display area, which is the sum of the display areas of all compartments of the cabinet, expressed in squared meters (m</w:t>
      </w:r>
      <w:r w:rsidRPr="00AC7259">
        <w:rPr>
          <w:noProof/>
          <w:vertAlign w:val="superscript"/>
          <w:lang w:val="en-NZ" w:eastAsia="en-NZ"/>
        </w:rPr>
        <w:t>2</w:t>
      </w:r>
      <w:r w:rsidRPr="00AC7259">
        <w:rPr>
          <w:noProof/>
          <w:lang w:val="en-NZ" w:eastAsia="en-NZ"/>
        </w:rPr>
        <w:t xml:space="preserve">). </w:t>
      </w:r>
    </w:p>
    <w:p w14:paraId="67734AEF" w14:textId="77777777" w:rsidR="005636C7" w:rsidRPr="00AC7259" w:rsidRDefault="005636C7" w:rsidP="005636C7">
      <w:pPr>
        <w:pStyle w:val="E3Bullets"/>
        <w:ind w:left="227" w:hanging="227"/>
        <w:jc w:val="both"/>
        <w:rPr>
          <w:noProof/>
          <w:lang w:val="en-NZ" w:eastAsia="en-NZ"/>
        </w:rPr>
      </w:pPr>
      <w:r w:rsidRPr="00AC7259">
        <w:rPr>
          <w:noProof/>
          <w:lang w:val="en-NZ" w:eastAsia="en-NZ"/>
        </w:rPr>
        <w:t>M and N are defined values – see table below.</w:t>
      </w:r>
    </w:p>
    <w:p w14:paraId="4D0E9342" w14:textId="77777777" w:rsidR="005636C7" w:rsidRPr="00AC7259" w:rsidRDefault="005636C7" w:rsidP="005636C7">
      <w:pPr>
        <w:pStyle w:val="E3Bullets"/>
        <w:ind w:left="360"/>
        <w:rPr>
          <w:noProof/>
        </w:rPr>
      </w:pPr>
    </w:p>
    <w:p w14:paraId="43341C0D" w14:textId="77777777" w:rsidR="005636C7" w:rsidRPr="00AC7259" w:rsidRDefault="005636C7" w:rsidP="005636C7">
      <w:pPr>
        <w:pStyle w:val="E3Bullets"/>
        <w:rPr>
          <w:noProof/>
        </w:rPr>
      </w:pPr>
      <w:r w:rsidRPr="00AC7259">
        <w:rPr>
          <w:noProof/>
        </w:rPr>
        <w:t>In the case of combined [access] cabinets, the SAEC is calculated separately for each cabinet compartment and added together to obtain  the total SAEC of the combined [access] cabinet.</w:t>
      </w:r>
    </w:p>
    <w:p w14:paraId="4124E6BB" w14:textId="77777777" w:rsidR="005636C7" w:rsidRPr="00AC7259" w:rsidRDefault="005636C7" w:rsidP="005636C7">
      <w:pPr>
        <w:pStyle w:val="E3Heading4"/>
        <w:spacing w:line="360" w:lineRule="auto"/>
        <w:jc w:val="both"/>
        <w:rPr>
          <w:noProof/>
          <w:lang w:val="en-NZ" w:eastAsia="en-NZ"/>
        </w:rPr>
      </w:pPr>
      <w:r w:rsidRPr="00AC7259">
        <w:rPr>
          <w:noProof/>
          <w:lang w:val="en-NZ" w:eastAsia="en-NZ"/>
        </w:rPr>
        <w:t>Specific M and N and C coefficients for display cabinets:</w:t>
      </w:r>
    </w:p>
    <w:p w14:paraId="2C4FA293" w14:textId="77777777" w:rsidR="00AC6998" w:rsidRPr="00773A4B" w:rsidRDefault="005636C7" w:rsidP="005636C7">
      <w:pPr>
        <w:pStyle w:val="E3BodyText"/>
        <w:rPr>
          <w:b/>
        </w:rPr>
      </w:pPr>
      <w:r w:rsidRPr="00AC7259">
        <w:rPr>
          <w:noProof/>
          <w:lang w:val="en-NZ" w:eastAsia="en-NZ"/>
        </w:rPr>
        <w:t xml:space="preserve">The M, N and C coefficients were devised by an industry-government working group to add correction factors to the display cabinet EEIs. These are shown in </w:t>
      </w:r>
      <w:r w:rsidRPr="00AC7259">
        <w:rPr>
          <w:b/>
          <w:noProof/>
          <w:lang w:val="en-NZ" w:eastAsia="en-NZ"/>
        </w:rPr>
        <w:fldChar w:fldCharType="begin"/>
      </w:r>
      <w:r w:rsidRPr="00AC7259">
        <w:rPr>
          <w:b/>
          <w:noProof/>
          <w:lang w:val="en-NZ" w:eastAsia="en-NZ"/>
        </w:rPr>
        <w:instrText xml:space="preserve"> REF _Ref450641349 \h  \* MERGEFORMAT </w:instrText>
      </w:r>
      <w:r w:rsidRPr="00AC7259">
        <w:rPr>
          <w:b/>
          <w:noProof/>
          <w:lang w:val="en-NZ" w:eastAsia="en-NZ"/>
        </w:rPr>
      </w:r>
      <w:r w:rsidRPr="00AC7259">
        <w:rPr>
          <w:b/>
          <w:noProof/>
          <w:lang w:val="en-NZ" w:eastAsia="en-NZ"/>
        </w:rPr>
        <w:fldChar w:fldCharType="separate"/>
      </w:r>
    </w:p>
    <w:p w14:paraId="055793F6" w14:textId="77777777" w:rsidR="005636C7" w:rsidRPr="00773A4B" w:rsidRDefault="00AC6998" w:rsidP="005636C7">
      <w:pPr>
        <w:pStyle w:val="E3BodyText"/>
        <w:rPr>
          <w:b/>
        </w:rPr>
      </w:pPr>
      <w:r w:rsidRPr="00AC6998">
        <w:rPr>
          <w:b/>
          <w:noProof/>
        </w:rPr>
        <w:t>Table</w:t>
      </w:r>
      <w:r>
        <w:t xml:space="preserve"> </w:t>
      </w:r>
      <w:r w:rsidRPr="00AC6998">
        <w:rPr>
          <w:b/>
        </w:rPr>
        <w:t>F</w:t>
      </w:r>
      <w:r w:rsidRPr="00AC6998">
        <w:rPr>
          <w:b/>
          <w:noProof/>
        </w:rPr>
        <w:t xml:space="preserve"> 3</w:t>
      </w:r>
      <w:r w:rsidR="005636C7" w:rsidRPr="00AC7259">
        <w:rPr>
          <w:b/>
          <w:noProof/>
          <w:lang w:val="en-NZ" w:eastAsia="en-NZ"/>
        </w:rPr>
        <w:fldChar w:fldCharType="end"/>
      </w:r>
      <w:r w:rsidR="005636C7" w:rsidRPr="00AC7259">
        <w:rPr>
          <w:b/>
          <w:noProof/>
          <w:lang w:val="en-NZ" w:eastAsia="en-NZ"/>
        </w:rPr>
        <w:t xml:space="preserve"> </w:t>
      </w:r>
      <w:r w:rsidR="005636C7" w:rsidRPr="00AC7259">
        <w:rPr>
          <w:noProof/>
          <w:lang w:val="en-NZ" w:eastAsia="en-NZ"/>
        </w:rPr>
        <w:t>and</w:t>
      </w:r>
      <w:r w:rsidR="005636C7" w:rsidRPr="00AC7259">
        <w:rPr>
          <w:b/>
          <w:noProof/>
          <w:lang w:val="en-NZ" w:eastAsia="en-NZ"/>
        </w:rPr>
        <w:t xml:space="preserve"> </w:t>
      </w:r>
      <w:r w:rsidR="005636C7" w:rsidRPr="00AC7259">
        <w:rPr>
          <w:b/>
          <w:noProof/>
          <w:lang w:val="en-NZ" w:eastAsia="en-NZ"/>
        </w:rPr>
        <w:fldChar w:fldCharType="begin"/>
      </w:r>
      <w:r w:rsidR="005636C7" w:rsidRPr="00AC7259">
        <w:rPr>
          <w:b/>
          <w:noProof/>
          <w:lang w:val="en-NZ" w:eastAsia="en-NZ"/>
        </w:rPr>
        <w:instrText xml:space="preserve"> REF _Ref455133208 \h  \* MERGEFORMAT </w:instrText>
      </w:r>
      <w:r w:rsidR="005636C7" w:rsidRPr="00AC7259">
        <w:rPr>
          <w:b/>
          <w:noProof/>
          <w:lang w:val="en-NZ" w:eastAsia="en-NZ"/>
        </w:rPr>
      </w:r>
      <w:r w:rsidR="005636C7" w:rsidRPr="00AC7259">
        <w:rPr>
          <w:b/>
          <w:noProof/>
          <w:lang w:val="en-NZ" w:eastAsia="en-NZ"/>
        </w:rPr>
        <w:fldChar w:fldCharType="separate"/>
      </w:r>
      <w:r w:rsidRPr="00AC6998">
        <w:rPr>
          <w:b/>
        </w:rPr>
        <w:t xml:space="preserve">Table F </w:t>
      </w:r>
      <w:r w:rsidRPr="00AC6998">
        <w:rPr>
          <w:b/>
          <w:noProof/>
        </w:rPr>
        <w:t>4</w:t>
      </w:r>
      <w:r w:rsidR="005636C7" w:rsidRPr="00AC7259">
        <w:rPr>
          <w:b/>
          <w:noProof/>
          <w:lang w:val="en-NZ" w:eastAsia="en-NZ"/>
        </w:rPr>
        <w:fldChar w:fldCharType="end"/>
      </w:r>
      <w:r w:rsidR="005636C7" w:rsidRPr="00AC7259">
        <w:rPr>
          <w:b/>
          <w:noProof/>
          <w:lang w:val="en-NZ" w:eastAsia="en-NZ"/>
        </w:rPr>
        <w:t>.</w:t>
      </w:r>
      <w:r w:rsidR="005636C7" w:rsidRPr="00AC7259">
        <w:rPr>
          <w:noProof/>
          <w:lang w:val="en-NZ" w:eastAsia="en-NZ"/>
        </w:rPr>
        <w:t xml:space="preserve"> </w:t>
      </w:r>
      <w:r w:rsidR="005636C7" w:rsidRPr="00AC7259">
        <w:rPr>
          <w:lang w:val="en-NZ" w:eastAsia="en-NZ"/>
        </w:rPr>
        <w:t>[Tables are all extracted from the draft European Commission regulations, April 2016.]</w:t>
      </w:r>
      <w:bookmarkStart w:id="534" w:name="_Ref450641349"/>
      <w:bookmarkStart w:id="535" w:name="_Toc449708983"/>
      <w:bookmarkStart w:id="536" w:name="_Toc456164813"/>
    </w:p>
    <w:p w14:paraId="0BD40628" w14:textId="77777777" w:rsidR="005636C7" w:rsidRDefault="005636C7" w:rsidP="005636C7">
      <w:pPr>
        <w:pStyle w:val="E3TableTitles"/>
        <w:spacing w:before="240"/>
        <w:rPr>
          <w:noProof/>
          <w:lang w:eastAsia="en-NZ"/>
        </w:rPr>
      </w:pPr>
      <w:bookmarkStart w:id="537" w:name="_Toc500159684"/>
      <w:r>
        <w:t xml:space="preserve">Table F </w:t>
      </w:r>
      <w:r>
        <w:fldChar w:fldCharType="begin"/>
      </w:r>
      <w:r>
        <w:instrText xml:space="preserve"> SEQ Table_F \* ARABIC </w:instrText>
      </w:r>
      <w:r>
        <w:fldChar w:fldCharType="separate"/>
      </w:r>
      <w:r w:rsidR="00AC6998">
        <w:rPr>
          <w:noProof/>
        </w:rPr>
        <w:t>3</w:t>
      </w:r>
      <w:r>
        <w:rPr>
          <w:noProof/>
        </w:rPr>
        <w:fldChar w:fldCharType="end"/>
      </w:r>
      <w:bookmarkEnd w:id="534"/>
      <w:r w:rsidRPr="002705A4">
        <w:rPr>
          <w:noProof/>
          <w:lang w:eastAsia="en-NZ"/>
        </w:rPr>
        <w:t xml:space="preserve">: </w:t>
      </w:r>
      <w:r>
        <w:rPr>
          <w:noProof/>
          <w:lang w:eastAsia="en-NZ"/>
        </w:rPr>
        <w:t xml:space="preserve">Draft </w:t>
      </w:r>
      <w:r w:rsidRPr="002705A4">
        <w:rPr>
          <w:noProof/>
          <w:lang w:eastAsia="en-NZ"/>
        </w:rPr>
        <w:t xml:space="preserve">M and N coefficients for Refrigerated </w:t>
      </w:r>
      <w:r>
        <w:rPr>
          <w:noProof/>
          <w:lang w:eastAsia="en-NZ"/>
        </w:rPr>
        <w:t>d</w:t>
      </w:r>
      <w:r w:rsidRPr="002705A4">
        <w:rPr>
          <w:noProof/>
          <w:lang w:eastAsia="en-NZ"/>
        </w:rPr>
        <w:t xml:space="preserve">isplay </w:t>
      </w:r>
      <w:r>
        <w:rPr>
          <w:noProof/>
          <w:lang w:eastAsia="en-NZ"/>
        </w:rPr>
        <w:t>c</w:t>
      </w:r>
      <w:r w:rsidRPr="002705A4">
        <w:rPr>
          <w:noProof/>
          <w:lang w:eastAsia="en-NZ"/>
        </w:rPr>
        <w:t>abinets.</w:t>
      </w:r>
      <w:bookmarkEnd w:id="535"/>
      <w:bookmarkEnd w:id="536"/>
      <w:bookmarkEnd w:id="537"/>
      <w:r>
        <w:rPr>
          <w:noProof/>
          <w:lang w:eastAsia="en-NZ"/>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54"/>
        <w:gridCol w:w="1530"/>
        <w:gridCol w:w="1843"/>
      </w:tblGrid>
      <w:tr w:rsidR="005636C7" w14:paraId="2A1A3D85" w14:textId="77777777" w:rsidTr="005636C7">
        <w:tc>
          <w:tcPr>
            <w:tcW w:w="5245" w:type="dxa"/>
            <w:shd w:val="clear" w:color="auto" w:fill="000000" w:themeFill="text1"/>
          </w:tcPr>
          <w:p w14:paraId="5FFCF270" w14:textId="77777777" w:rsidR="005636C7" w:rsidRDefault="005636C7" w:rsidP="005636C7">
            <w:pPr>
              <w:pStyle w:val="E3TableHeading"/>
              <w:rPr>
                <w:noProof/>
                <w:lang w:val="en-NZ"/>
              </w:rPr>
            </w:pPr>
            <w:r>
              <w:rPr>
                <w:noProof/>
                <w:lang w:val="en-NZ"/>
              </w:rPr>
              <w:t>Category</w:t>
            </w:r>
          </w:p>
        </w:tc>
        <w:tc>
          <w:tcPr>
            <w:tcW w:w="1984" w:type="dxa"/>
            <w:gridSpan w:val="2"/>
            <w:shd w:val="clear" w:color="auto" w:fill="000000" w:themeFill="text1"/>
          </w:tcPr>
          <w:p w14:paraId="05ED9E97" w14:textId="77777777" w:rsidR="005636C7" w:rsidRDefault="005636C7" w:rsidP="005636C7">
            <w:pPr>
              <w:pStyle w:val="E3TableHeading"/>
              <w:jc w:val="center"/>
              <w:rPr>
                <w:noProof/>
                <w:lang w:val="en-NZ"/>
              </w:rPr>
            </w:pPr>
            <w:r>
              <w:rPr>
                <w:noProof/>
                <w:lang w:val="en-NZ"/>
              </w:rPr>
              <w:t xml:space="preserve">      Value for M</w:t>
            </w:r>
          </w:p>
        </w:tc>
        <w:tc>
          <w:tcPr>
            <w:tcW w:w="1843" w:type="dxa"/>
            <w:shd w:val="clear" w:color="auto" w:fill="000000" w:themeFill="text1"/>
          </w:tcPr>
          <w:p w14:paraId="07E9A98D" w14:textId="77777777" w:rsidR="005636C7" w:rsidRDefault="005636C7" w:rsidP="005636C7">
            <w:pPr>
              <w:pStyle w:val="E3TableHeading"/>
              <w:rPr>
                <w:noProof/>
                <w:lang w:val="en-NZ"/>
              </w:rPr>
            </w:pPr>
            <w:r>
              <w:rPr>
                <w:noProof/>
                <w:lang w:val="en-NZ"/>
              </w:rPr>
              <w:t xml:space="preserve"> Value for N</w:t>
            </w:r>
          </w:p>
        </w:tc>
      </w:tr>
      <w:tr w:rsidR="005636C7" w14:paraId="36DF56A7" w14:textId="77777777" w:rsidTr="005636C7">
        <w:tc>
          <w:tcPr>
            <w:tcW w:w="5699" w:type="dxa"/>
            <w:gridSpan w:val="2"/>
          </w:tcPr>
          <w:p w14:paraId="4BB6F31A" w14:textId="77777777" w:rsidR="005636C7" w:rsidRPr="009A7395" w:rsidRDefault="005636C7" w:rsidP="005636C7">
            <w:pPr>
              <w:pStyle w:val="E3tabletext1"/>
              <w:jc w:val="both"/>
              <w:rPr>
                <w:noProof/>
                <w:sz w:val="20"/>
                <w:szCs w:val="20"/>
                <w:lang w:val="en-NZ"/>
              </w:rPr>
            </w:pPr>
            <w:r w:rsidRPr="009A7395">
              <w:rPr>
                <w:noProof/>
                <w:sz w:val="20"/>
                <w:szCs w:val="20"/>
                <w:lang w:val="en-NZ"/>
              </w:rPr>
              <w:t>Beverage Coolers</w:t>
            </w:r>
          </w:p>
        </w:tc>
        <w:tc>
          <w:tcPr>
            <w:tcW w:w="1530" w:type="dxa"/>
          </w:tcPr>
          <w:p w14:paraId="449919D7" w14:textId="77777777" w:rsidR="005636C7" w:rsidRPr="009A7395" w:rsidRDefault="005636C7" w:rsidP="005636C7">
            <w:pPr>
              <w:pStyle w:val="E3tabletext1"/>
              <w:jc w:val="both"/>
              <w:rPr>
                <w:noProof/>
                <w:sz w:val="20"/>
                <w:szCs w:val="20"/>
                <w:lang w:val="en-NZ"/>
              </w:rPr>
            </w:pPr>
            <w:r w:rsidRPr="009A7395">
              <w:rPr>
                <w:noProof/>
                <w:sz w:val="20"/>
                <w:szCs w:val="20"/>
                <w:lang w:val="en-NZ"/>
              </w:rPr>
              <w:t>1.0</w:t>
            </w:r>
          </w:p>
        </w:tc>
        <w:tc>
          <w:tcPr>
            <w:tcW w:w="1843" w:type="dxa"/>
          </w:tcPr>
          <w:p w14:paraId="40812E70" w14:textId="77777777" w:rsidR="005636C7" w:rsidRPr="009A7395" w:rsidRDefault="005636C7" w:rsidP="005636C7">
            <w:pPr>
              <w:pStyle w:val="E3tabletext1"/>
              <w:jc w:val="both"/>
              <w:rPr>
                <w:noProof/>
                <w:sz w:val="20"/>
                <w:szCs w:val="20"/>
                <w:lang w:val="en-NZ"/>
              </w:rPr>
            </w:pPr>
            <w:r w:rsidRPr="009A7395">
              <w:rPr>
                <w:noProof/>
                <w:sz w:val="20"/>
                <w:szCs w:val="20"/>
                <w:lang w:val="en-NZ"/>
              </w:rPr>
              <w:t>0.013</w:t>
            </w:r>
          </w:p>
        </w:tc>
      </w:tr>
      <w:tr w:rsidR="005636C7" w14:paraId="1FF4DDB1" w14:textId="77777777" w:rsidTr="005636C7">
        <w:tc>
          <w:tcPr>
            <w:tcW w:w="5699" w:type="dxa"/>
            <w:gridSpan w:val="2"/>
          </w:tcPr>
          <w:p w14:paraId="310C27F3" w14:textId="77777777" w:rsidR="005636C7" w:rsidRPr="009A7395" w:rsidRDefault="005636C7" w:rsidP="005636C7">
            <w:pPr>
              <w:pStyle w:val="E3tabletext1"/>
              <w:jc w:val="both"/>
              <w:rPr>
                <w:noProof/>
                <w:sz w:val="20"/>
                <w:szCs w:val="20"/>
                <w:lang w:val="en-NZ"/>
              </w:rPr>
            </w:pPr>
            <w:r w:rsidRPr="009A7395">
              <w:rPr>
                <w:noProof/>
                <w:sz w:val="20"/>
                <w:szCs w:val="20"/>
                <w:lang w:val="en-NZ"/>
              </w:rPr>
              <w:t>Small Ice-cream freezers</w:t>
            </w:r>
          </w:p>
        </w:tc>
        <w:tc>
          <w:tcPr>
            <w:tcW w:w="1530" w:type="dxa"/>
          </w:tcPr>
          <w:p w14:paraId="3A65629B" w14:textId="77777777" w:rsidR="005636C7" w:rsidRPr="009A7395" w:rsidRDefault="005636C7" w:rsidP="005636C7">
            <w:pPr>
              <w:pStyle w:val="E3tabletext1"/>
              <w:jc w:val="both"/>
              <w:rPr>
                <w:noProof/>
                <w:sz w:val="20"/>
                <w:szCs w:val="20"/>
                <w:lang w:val="en-NZ"/>
              </w:rPr>
            </w:pPr>
            <w:r w:rsidRPr="009A7395">
              <w:rPr>
                <w:noProof/>
                <w:sz w:val="20"/>
                <w:szCs w:val="20"/>
                <w:lang w:val="en-NZ"/>
              </w:rPr>
              <w:t>1.0</w:t>
            </w:r>
          </w:p>
        </w:tc>
        <w:tc>
          <w:tcPr>
            <w:tcW w:w="1843" w:type="dxa"/>
          </w:tcPr>
          <w:p w14:paraId="5E84992B" w14:textId="77777777" w:rsidR="005636C7" w:rsidRPr="009A7395" w:rsidRDefault="005636C7" w:rsidP="005636C7">
            <w:pPr>
              <w:pStyle w:val="E3tabletext1"/>
              <w:jc w:val="both"/>
              <w:rPr>
                <w:noProof/>
                <w:sz w:val="20"/>
                <w:szCs w:val="20"/>
                <w:lang w:val="en-NZ"/>
              </w:rPr>
            </w:pPr>
            <w:r w:rsidRPr="009A7395">
              <w:rPr>
                <w:noProof/>
                <w:sz w:val="20"/>
                <w:szCs w:val="20"/>
                <w:lang w:val="en-NZ"/>
              </w:rPr>
              <w:t>0.009</w:t>
            </w:r>
          </w:p>
        </w:tc>
      </w:tr>
      <w:tr w:rsidR="005636C7" w14:paraId="220FE862" w14:textId="77777777" w:rsidTr="005636C7">
        <w:tc>
          <w:tcPr>
            <w:tcW w:w="5699" w:type="dxa"/>
            <w:gridSpan w:val="2"/>
          </w:tcPr>
          <w:p w14:paraId="0FE98554" w14:textId="77777777" w:rsidR="005636C7" w:rsidRPr="009A7395" w:rsidRDefault="005636C7" w:rsidP="005636C7">
            <w:pPr>
              <w:pStyle w:val="E3tabletext1"/>
              <w:jc w:val="both"/>
              <w:rPr>
                <w:noProof/>
                <w:sz w:val="20"/>
                <w:szCs w:val="20"/>
                <w:lang w:val="en-NZ"/>
              </w:rPr>
            </w:pPr>
            <w:r w:rsidRPr="009A7395">
              <w:rPr>
                <w:noProof/>
                <w:sz w:val="20"/>
                <w:szCs w:val="20"/>
                <w:lang w:val="en-NZ"/>
              </w:rPr>
              <w:t>Gelato scooping ice-cream cabinets</w:t>
            </w:r>
          </w:p>
        </w:tc>
        <w:tc>
          <w:tcPr>
            <w:tcW w:w="1530" w:type="dxa"/>
          </w:tcPr>
          <w:p w14:paraId="0CAC9992" w14:textId="77777777" w:rsidR="005636C7" w:rsidRPr="009A7395" w:rsidRDefault="005636C7" w:rsidP="005636C7">
            <w:pPr>
              <w:pStyle w:val="E3tabletext1"/>
              <w:jc w:val="both"/>
              <w:rPr>
                <w:noProof/>
                <w:sz w:val="20"/>
                <w:szCs w:val="20"/>
                <w:lang w:val="en-NZ"/>
              </w:rPr>
            </w:pPr>
            <w:r w:rsidRPr="009A7395">
              <w:rPr>
                <w:noProof/>
                <w:sz w:val="20"/>
                <w:szCs w:val="20"/>
                <w:lang w:val="en-NZ"/>
              </w:rPr>
              <w:t>10.4</w:t>
            </w:r>
          </w:p>
        </w:tc>
        <w:tc>
          <w:tcPr>
            <w:tcW w:w="1843" w:type="dxa"/>
          </w:tcPr>
          <w:p w14:paraId="548C3667" w14:textId="77777777" w:rsidR="005636C7" w:rsidRPr="009A7395" w:rsidRDefault="005636C7" w:rsidP="005636C7">
            <w:pPr>
              <w:pStyle w:val="E3tabletext1"/>
              <w:jc w:val="both"/>
              <w:rPr>
                <w:noProof/>
                <w:sz w:val="20"/>
                <w:szCs w:val="20"/>
                <w:lang w:val="en-NZ"/>
              </w:rPr>
            </w:pPr>
            <w:r w:rsidRPr="009A7395">
              <w:rPr>
                <w:noProof/>
                <w:sz w:val="20"/>
                <w:szCs w:val="20"/>
                <w:lang w:val="en-NZ"/>
              </w:rPr>
              <w:t>30.4</w:t>
            </w:r>
          </w:p>
        </w:tc>
      </w:tr>
      <w:tr w:rsidR="005636C7" w14:paraId="7208481D" w14:textId="77777777" w:rsidTr="005636C7">
        <w:tc>
          <w:tcPr>
            <w:tcW w:w="5699" w:type="dxa"/>
            <w:gridSpan w:val="2"/>
          </w:tcPr>
          <w:p w14:paraId="5752BEB5" w14:textId="77777777" w:rsidR="005636C7" w:rsidRPr="009A7395" w:rsidRDefault="005636C7" w:rsidP="005636C7">
            <w:pPr>
              <w:pStyle w:val="E3tabletext1"/>
              <w:jc w:val="both"/>
              <w:rPr>
                <w:noProof/>
                <w:sz w:val="20"/>
                <w:szCs w:val="20"/>
                <w:lang w:val="en-NZ"/>
              </w:rPr>
            </w:pPr>
            <w:r w:rsidRPr="009A7395">
              <w:rPr>
                <w:noProof/>
                <w:sz w:val="20"/>
                <w:szCs w:val="20"/>
                <w:lang w:val="en-NZ"/>
              </w:rPr>
              <w:t>Vertical, semi-vertical and combined supermarket refrigerator cabinets</w:t>
            </w:r>
          </w:p>
        </w:tc>
        <w:tc>
          <w:tcPr>
            <w:tcW w:w="1530" w:type="dxa"/>
          </w:tcPr>
          <w:p w14:paraId="1C6B0E0E" w14:textId="77777777" w:rsidR="005636C7" w:rsidRPr="009A7395" w:rsidRDefault="005636C7" w:rsidP="005636C7">
            <w:pPr>
              <w:pStyle w:val="E3tabletext1"/>
              <w:jc w:val="both"/>
              <w:rPr>
                <w:noProof/>
                <w:sz w:val="20"/>
                <w:szCs w:val="20"/>
                <w:lang w:val="en-NZ"/>
              </w:rPr>
            </w:pPr>
            <w:r w:rsidRPr="009A7395">
              <w:rPr>
                <w:noProof/>
                <w:sz w:val="20"/>
                <w:szCs w:val="20"/>
                <w:lang w:val="en-NZ"/>
              </w:rPr>
              <w:t>9.1</w:t>
            </w:r>
          </w:p>
        </w:tc>
        <w:tc>
          <w:tcPr>
            <w:tcW w:w="1843" w:type="dxa"/>
          </w:tcPr>
          <w:p w14:paraId="520702EE" w14:textId="77777777" w:rsidR="005636C7" w:rsidRPr="009A7395" w:rsidRDefault="005636C7" w:rsidP="005636C7">
            <w:pPr>
              <w:pStyle w:val="E3tabletext1"/>
              <w:jc w:val="both"/>
              <w:rPr>
                <w:noProof/>
                <w:sz w:val="20"/>
                <w:szCs w:val="20"/>
                <w:lang w:val="en-NZ"/>
              </w:rPr>
            </w:pPr>
            <w:r w:rsidRPr="009A7395">
              <w:rPr>
                <w:noProof/>
                <w:sz w:val="20"/>
                <w:szCs w:val="20"/>
                <w:lang w:val="en-NZ"/>
              </w:rPr>
              <w:t>9.1</w:t>
            </w:r>
          </w:p>
        </w:tc>
      </w:tr>
      <w:tr w:rsidR="005636C7" w14:paraId="04D4C5CB" w14:textId="77777777" w:rsidTr="005636C7">
        <w:tc>
          <w:tcPr>
            <w:tcW w:w="5699" w:type="dxa"/>
            <w:gridSpan w:val="2"/>
          </w:tcPr>
          <w:p w14:paraId="42C370B4" w14:textId="77777777" w:rsidR="005636C7" w:rsidRPr="009A7395" w:rsidRDefault="005636C7" w:rsidP="005636C7">
            <w:pPr>
              <w:pStyle w:val="E3tabletext1"/>
              <w:jc w:val="both"/>
              <w:rPr>
                <w:noProof/>
                <w:sz w:val="20"/>
                <w:szCs w:val="20"/>
                <w:lang w:val="en-NZ"/>
              </w:rPr>
            </w:pPr>
            <w:r w:rsidRPr="009A7395">
              <w:rPr>
                <w:noProof/>
                <w:sz w:val="20"/>
                <w:szCs w:val="20"/>
                <w:lang w:val="en-NZ"/>
              </w:rPr>
              <w:t>Horizontal supermarket refrigerator cabinets</w:t>
            </w:r>
          </w:p>
        </w:tc>
        <w:tc>
          <w:tcPr>
            <w:tcW w:w="1530" w:type="dxa"/>
          </w:tcPr>
          <w:p w14:paraId="5EC78015" w14:textId="77777777" w:rsidR="005636C7" w:rsidRPr="009A7395" w:rsidRDefault="005636C7" w:rsidP="005636C7">
            <w:pPr>
              <w:pStyle w:val="E3tabletext1"/>
              <w:jc w:val="both"/>
              <w:rPr>
                <w:noProof/>
                <w:sz w:val="20"/>
                <w:szCs w:val="20"/>
                <w:lang w:val="en-NZ"/>
              </w:rPr>
            </w:pPr>
            <w:r w:rsidRPr="009A7395">
              <w:rPr>
                <w:noProof/>
                <w:sz w:val="20"/>
                <w:szCs w:val="20"/>
                <w:lang w:val="en-NZ"/>
              </w:rPr>
              <w:t>3.7</w:t>
            </w:r>
          </w:p>
        </w:tc>
        <w:tc>
          <w:tcPr>
            <w:tcW w:w="1843" w:type="dxa"/>
          </w:tcPr>
          <w:p w14:paraId="2689858A" w14:textId="77777777" w:rsidR="005636C7" w:rsidRPr="009A7395" w:rsidRDefault="005636C7" w:rsidP="005636C7">
            <w:pPr>
              <w:pStyle w:val="E3tabletext1"/>
              <w:jc w:val="both"/>
              <w:rPr>
                <w:noProof/>
                <w:sz w:val="20"/>
                <w:szCs w:val="20"/>
                <w:lang w:val="en-NZ"/>
              </w:rPr>
            </w:pPr>
            <w:r w:rsidRPr="009A7395">
              <w:rPr>
                <w:noProof/>
                <w:sz w:val="20"/>
                <w:szCs w:val="20"/>
                <w:lang w:val="en-NZ"/>
              </w:rPr>
              <w:t>3.5</w:t>
            </w:r>
          </w:p>
        </w:tc>
      </w:tr>
      <w:tr w:rsidR="005636C7" w14:paraId="08312265" w14:textId="77777777" w:rsidTr="005636C7">
        <w:tc>
          <w:tcPr>
            <w:tcW w:w="5699" w:type="dxa"/>
            <w:gridSpan w:val="2"/>
          </w:tcPr>
          <w:p w14:paraId="71B4BB3C" w14:textId="77777777" w:rsidR="005636C7" w:rsidRPr="009A7395" w:rsidRDefault="005636C7" w:rsidP="005636C7">
            <w:pPr>
              <w:pStyle w:val="E3tabletext1"/>
              <w:jc w:val="both"/>
              <w:rPr>
                <w:noProof/>
                <w:sz w:val="20"/>
                <w:szCs w:val="20"/>
                <w:lang w:val="en-NZ"/>
              </w:rPr>
            </w:pPr>
            <w:r w:rsidRPr="009A7395">
              <w:rPr>
                <w:noProof/>
                <w:sz w:val="20"/>
                <w:szCs w:val="20"/>
                <w:lang w:val="en-NZ"/>
              </w:rPr>
              <w:t>Vertical, semi-vertical and combined supermarket freezer cabinets</w:t>
            </w:r>
          </w:p>
        </w:tc>
        <w:tc>
          <w:tcPr>
            <w:tcW w:w="1530" w:type="dxa"/>
          </w:tcPr>
          <w:p w14:paraId="3D7FD95E" w14:textId="77777777" w:rsidR="005636C7" w:rsidRPr="009A7395" w:rsidRDefault="005636C7" w:rsidP="005636C7">
            <w:pPr>
              <w:pStyle w:val="E3tabletext1"/>
              <w:jc w:val="both"/>
              <w:rPr>
                <w:noProof/>
                <w:sz w:val="20"/>
                <w:szCs w:val="20"/>
                <w:lang w:val="en-NZ"/>
              </w:rPr>
            </w:pPr>
            <w:r w:rsidRPr="009A7395">
              <w:rPr>
                <w:noProof/>
                <w:sz w:val="20"/>
                <w:szCs w:val="20"/>
                <w:lang w:val="en-NZ"/>
              </w:rPr>
              <w:t>1.6</w:t>
            </w:r>
          </w:p>
        </w:tc>
        <w:tc>
          <w:tcPr>
            <w:tcW w:w="1843" w:type="dxa"/>
          </w:tcPr>
          <w:p w14:paraId="6CC2CCA1" w14:textId="77777777" w:rsidR="005636C7" w:rsidRPr="009A7395" w:rsidRDefault="005636C7" w:rsidP="005636C7">
            <w:pPr>
              <w:pStyle w:val="E3tabletext1"/>
              <w:jc w:val="both"/>
              <w:rPr>
                <w:noProof/>
                <w:sz w:val="20"/>
                <w:szCs w:val="20"/>
                <w:lang w:val="en-NZ"/>
              </w:rPr>
            </w:pPr>
            <w:r w:rsidRPr="009A7395">
              <w:rPr>
                <w:noProof/>
                <w:sz w:val="20"/>
                <w:szCs w:val="20"/>
                <w:lang w:val="en-NZ"/>
              </w:rPr>
              <w:t>19.1</w:t>
            </w:r>
          </w:p>
        </w:tc>
      </w:tr>
      <w:tr w:rsidR="005636C7" w14:paraId="100AC7B0" w14:textId="77777777" w:rsidTr="005636C7">
        <w:tc>
          <w:tcPr>
            <w:tcW w:w="5699" w:type="dxa"/>
            <w:gridSpan w:val="2"/>
          </w:tcPr>
          <w:p w14:paraId="6001315D" w14:textId="77777777" w:rsidR="005636C7" w:rsidRPr="009A7395" w:rsidRDefault="005636C7" w:rsidP="005636C7">
            <w:pPr>
              <w:pStyle w:val="E3tabletext1"/>
              <w:jc w:val="both"/>
              <w:rPr>
                <w:noProof/>
                <w:sz w:val="20"/>
                <w:szCs w:val="20"/>
                <w:lang w:val="en-NZ"/>
              </w:rPr>
            </w:pPr>
            <w:r w:rsidRPr="009A7395">
              <w:rPr>
                <w:noProof/>
                <w:sz w:val="20"/>
                <w:szCs w:val="20"/>
                <w:lang w:val="en-NZ"/>
              </w:rPr>
              <w:t>Horizontal supermarket freezer cabinets</w:t>
            </w:r>
          </w:p>
        </w:tc>
        <w:tc>
          <w:tcPr>
            <w:tcW w:w="1530" w:type="dxa"/>
          </w:tcPr>
          <w:p w14:paraId="28CFB13A" w14:textId="77777777" w:rsidR="005636C7" w:rsidRPr="009A7395" w:rsidRDefault="005636C7" w:rsidP="005636C7">
            <w:pPr>
              <w:pStyle w:val="E3tabletext1"/>
              <w:jc w:val="both"/>
              <w:rPr>
                <w:noProof/>
                <w:sz w:val="20"/>
                <w:szCs w:val="20"/>
                <w:lang w:val="en-NZ"/>
              </w:rPr>
            </w:pPr>
            <w:r w:rsidRPr="009A7395">
              <w:rPr>
                <w:noProof/>
                <w:sz w:val="20"/>
                <w:szCs w:val="20"/>
                <w:lang w:val="en-NZ"/>
              </w:rPr>
              <w:t>4.2</w:t>
            </w:r>
          </w:p>
        </w:tc>
        <w:tc>
          <w:tcPr>
            <w:tcW w:w="1843" w:type="dxa"/>
          </w:tcPr>
          <w:p w14:paraId="42CEBBE3" w14:textId="77777777" w:rsidR="005636C7" w:rsidRPr="009A7395" w:rsidRDefault="005636C7" w:rsidP="005636C7">
            <w:pPr>
              <w:pStyle w:val="E3tabletext1"/>
              <w:jc w:val="both"/>
              <w:rPr>
                <w:noProof/>
                <w:sz w:val="20"/>
                <w:szCs w:val="20"/>
                <w:lang w:val="en-NZ"/>
              </w:rPr>
            </w:pPr>
            <w:r w:rsidRPr="009A7395">
              <w:rPr>
                <w:noProof/>
                <w:sz w:val="20"/>
                <w:szCs w:val="20"/>
                <w:lang w:val="en-NZ"/>
              </w:rPr>
              <w:t>9.8</w:t>
            </w:r>
          </w:p>
        </w:tc>
      </w:tr>
    </w:tbl>
    <w:p w14:paraId="089B64B6" w14:textId="77777777" w:rsidR="005636C7" w:rsidRPr="00C737A1" w:rsidRDefault="005636C7" w:rsidP="005636C7">
      <w:pPr>
        <w:pStyle w:val="E3TableTitles"/>
        <w:spacing w:before="240"/>
        <w:rPr>
          <w:rFonts w:eastAsia="Times New Roman"/>
          <w:noProof/>
          <w:lang w:val="en-NZ"/>
        </w:rPr>
      </w:pPr>
      <w:bookmarkStart w:id="538" w:name="_Ref455133208"/>
      <w:bookmarkStart w:id="539" w:name="_Toc456164814"/>
      <w:bookmarkStart w:id="540" w:name="_Toc500159685"/>
      <w:bookmarkStart w:id="541" w:name="_Toc447533655"/>
      <w:bookmarkStart w:id="542" w:name="_Toc449708814"/>
      <w:r>
        <w:t xml:space="preserve">Table F </w:t>
      </w:r>
      <w:r>
        <w:fldChar w:fldCharType="begin"/>
      </w:r>
      <w:r>
        <w:instrText xml:space="preserve"> SEQ Table_F \* ARABIC </w:instrText>
      </w:r>
      <w:r>
        <w:fldChar w:fldCharType="separate"/>
      </w:r>
      <w:r w:rsidR="00AC6998">
        <w:rPr>
          <w:noProof/>
        </w:rPr>
        <w:t>4</w:t>
      </w:r>
      <w:r>
        <w:rPr>
          <w:noProof/>
        </w:rPr>
        <w:fldChar w:fldCharType="end"/>
      </w:r>
      <w:bookmarkEnd w:id="538"/>
      <w:r>
        <w:rPr>
          <w:noProof/>
          <w:lang w:val="en-NZ"/>
        </w:rPr>
        <w:t>. Coefficient values.</w:t>
      </w:r>
      <w:bookmarkEnd w:id="539"/>
      <w:bookmarkEnd w:id="54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Coefficient values for display cabinets to calculate the energy efficiency index "/>
      </w:tblPr>
      <w:tblGrid>
        <w:gridCol w:w="4394"/>
        <w:gridCol w:w="4645"/>
      </w:tblGrid>
      <w:tr w:rsidR="005636C7" w:rsidRPr="00317405" w14:paraId="416134B4" w14:textId="77777777" w:rsidTr="005636C7">
        <w:tc>
          <w:tcPr>
            <w:tcW w:w="439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C734F51" w14:textId="77777777" w:rsidR="005636C7" w:rsidRPr="00317405" w:rsidRDefault="005636C7" w:rsidP="005636C7">
            <w:pPr>
              <w:rPr>
                <w:b/>
                <w:lang w:val="en-NZ"/>
              </w:rPr>
            </w:pPr>
            <w:r w:rsidRPr="00317405">
              <w:rPr>
                <w:b/>
                <w:lang w:val="en-NZ"/>
              </w:rPr>
              <w:t>Category</w:t>
            </w:r>
          </w:p>
        </w:tc>
        <w:tc>
          <w:tcPr>
            <w:tcW w:w="464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EB6AEEA" w14:textId="77777777" w:rsidR="005636C7" w:rsidRPr="00317405" w:rsidRDefault="005636C7" w:rsidP="005636C7">
            <w:pPr>
              <w:rPr>
                <w:b/>
                <w:lang w:val="en-NZ"/>
              </w:rPr>
            </w:pPr>
            <w:r w:rsidRPr="00317405">
              <w:rPr>
                <w:b/>
                <w:lang w:val="en-NZ"/>
              </w:rPr>
              <w:t>Value for C</w:t>
            </w:r>
          </w:p>
        </w:tc>
      </w:tr>
      <w:tr w:rsidR="005636C7" w:rsidRPr="00317405" w14:paraId="27966D93"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492FB43B"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supermarket refrigerator</w:t>
            </w:r>
          </w:p>
        </w:tc>
        <w:tc>
          <w:tcPr>
            <w:tcW w:w="4645" w:type="dxa"/>
            <w:tcBorders>
              <w:top w:val="single" w:sz="4" w:space="0" w:color="auto"/>
              <w:left w:val="single" w:sz="4" w:space="0" w:color="auto"/>
              <w:bottom w:val="single" w:sz="4" w:space="0" w:color="auto"/>
              <w:right w:val="single" w:sz="4" w:space="0" w:color="auto"/>
            </w:tcBorders>
            <w:hideMark/>
          </w:tcPr>
          <w:p w14:paraId="46222947"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7-</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1</m:t>
                        </m:r>
                      </m:sub>
                    </m:sSub>
                  </m:num>
                  <m:den>
                    <m:r>
                      <m:rPr>
                        <m:sty m:val="b"/>
                      </m:rPr>
                      <w:rPr>
                        <w:rFonts w:ascii="Cambria Math" w:hAnsi="Cambria Math"/>
                        <w:sz w:val="20"/>
                        <w:szCs w:val="20"/>
                        <w:lang w:val="en-NZ"/>
                      </w:rPr>
                      <m:t>25</m:t>
                    </m:r>
                  </m:den>
                </m:f>
              </m:oMath>
            </m:oMathPara>
          </w:p>
        </w:tc>
      </w:tr>
      <w:tr w:rsidR="005636C7" w:rsidRPr="00317405" w14:paraId="5E37765E"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50F65FA4"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supermarket freezer</w:t>
            </w:r>
          </w:p>
        </w:tc>
        <w:tc>
          <w:tcPr>
            <w:tcW w:w="4645" w:type="dxa"/>
            <w:tcBorders>
              <w:top w:val="single" w:sz="4" w:space="0" w:color="auto"/>
              <w:left w:val="single" w:sz="4" w:space="0" w:color="auto"/>
              <w:bottom w:val="single" w:sz="4" w:space="0" w:color="auto"/>
              <w:right w:val="single" w:sz="4" w:space="0" w:color="auto"/>
            </w:tcBorders>
            <w:hideMark/>
          </w:tcPr>
          <w:p w14:paraId="16BFFC1C"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(-15)-</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1</m:t>
                        </m:r>
                      </m:sub>
                    </m:sSub>
                  </m:num>
                  <m:den>
                    <m:r>
                      <m:rPr>
                        <m:sty m:val="b"/>
                      </m:rPr>
                      <w:rPr>
                        <w:rFonts w:ascii="Cambria Math" w:hAnsi="Cambria Math"/>
                        <w:sz w:val="20"/>
                        <w:szCs w:val="20"/>
                        <w:lang w:val="en-NZ"/>
                      </w:rPr>
                      <m:t>25</m:t>
                    </m:r>
                  </m:den>
                </m:f>
              </m:oMath>
            </m:oMathPara>
          </w:p>
        </w:tc>
      </w:tr>
      <w:tr w:rsidR="005636C7" w:rsidRPr="00317405" w14:paraId="41A5E09E"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10C4D6D5"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beverage cooler</w:t>
            </w:r>
          </w:p>
        </w:tc>
        <w:tc>
          <w:tcPr>
            <w:tcW w:w="4645" w:type="dxa"/>
            <w:tcBorders>
              <w:top w:val="single" w:sz="4" w:space="0" w:color="auto"/>
              <w:left w:val="single" w:sz="4" w:space="0" w:color="auto"/>
              <w:bottom w:val="single" w:sz="4" w:space="0" w:color="auto"/>
              <w:right w:val="single" w:sz="4" w:space="0" w:color="auto"/>
            </w:tcBorders>
            <w:hideMark/>
          </w:tcPr>
          <w:p w14:paraId="6A726552"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5-</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C</m:t>
                        </m:r>
                      </m:sub>
                    </m:sSub>
                  </m:num>
                  <m:den>
                    <m:r>
                      <m:rPr>
                        <m:sty m:val="b"/>
                      </m:rPr>
                      <w:rPr>
                        <w:rFonts w:ascii="Cambria Math" w:hAnsi="Cambria Math"/>
                        <w:sz w:val="20"/>
                        <w:szCs w:val="20"/>
                        <w:lang w:val="en-NZ"/>
                      </w:rPr>
                      <m:t>25</m:t>
                    </m:r>
                  </m:den>
                </m:f>
              </m:oMath>
            </m:oMathPara>
          </w:p>
        </w:tc>
      </w:tr>
      <w:tr w:rsidR="005636C7" w:rsidRPr="00317405" w14:paraId="08ED4B31"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13A6E179"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small ice-cream freezer</w:t>
            </w:r>
          </w:p>
        </w:tc>
        <w:tc>
          <w:tcPr>
            <w:tcW w:w="4645" w:type="dxa"/>
            <w:tcBorders>
              <w:top w:val="single" w:sz="4" w:space="0" w:color="auto"/>
              <w:left w:val="single" w:sz="4" w:space="0" w:color="auto"/>
              <w:bottom w:val="single" w:sz="4" w:space="0" w:color="auto"/>
              <w:right w:val="single" w:sz="4" w:space="0" w:color="auto"/>
            </w:tcBorders>
            <w:hideMark/>
          </w:tcPr>
          <w:p w14:paraId="04248ACB"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(-18)-</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1</m:t>
                        </m:r>
                      </m:sub>
                    </m:sSub>
                  </m:num>
                  <m:den>
                    <m:r>
                      <m:rPr>
                        <m:sty m:val="b"/>
                      </m:rPr>
                      <w:rPr>
                        <w:rFonts w:ascii="Cambria Math" w:hAnsi="Cambria Math"/>
                        <w:sz w:val="20"/>
                        <w:szCs w:val="20"/>
                        <w:lang w:val="en-NZ"/>
                      </w:rPr>
                      <m:t>30</m:t>
                    </m:r>
                  </m:den>
                </m:f>
              </m:oMath>
            </m:oMathPara>
          </w:p>
        </w:tc>
      </w:tr>
      <w:tr w:rsidR="005636C7" w:rsidRPr="00317405" w14:paraId="0264B4AF"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126A482E"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vending machine</w:t>
            </w:r>
          </w:p>
        </w:tc>
        <w:tc>
          <w:tcPr>
            <w:tcW w:w="4645" w:type="dxa"/>
            <w:tcBorders>
              <w:top w:val="single" w:sz="4" w:space="0" w:color="auto"/>
              <w:left w:val="single" w:sz="4" w:space="0" w:color="auto"/>
              <w:bottom w:val="single" w:sz="4" w:space="0" w:color="auto"/>
              <w:right w:val="single" w:sz="4" w:space="0" w:color="auto"/>
            </w:tcBorders>
            <w:vAlign w:val="center"/>
            <w:hideMark/>
          </w:tcPr>
          <w:p w14:paraId="125FDB17"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f>
                  <m:fPr>
                    <m:ctrlPr>
                      <w:rPr>
                        <w:rFonts w:ascii="Cambria Math" w:hAnsi="Cambria Math"/>
                        <w:b/>
                        <w:sz w:val="20"/>
                        <w:szCs w:val="20"/>
                        <w:lang w:val="en-NZ"/>
                      </w:rPr>
                    </m:ctrlPr>
                  </m:fPr>
                  <m:num>
                    <m:r>
                      <m:rPr>
                        <m:sty m:val="b"/>
                      </m:rPr>
                      <w:rPr>
                        <w:rFonts w:ascii="Cambria Math" w:hAnsi="Cambria Math"/>
                        <w:sz w:val="20"/>
                        <w:szCs w:val="20"/>
                        <w:lang w:val="en-NZ"/>
                      </w:rPr>
                      <m:t>12-</m:t>
                    </m:r>
                    <m:sSub>
                      <m:sSubPr>
                        <m:ctrlPr>
                          <w:rPr>
                            <w:rFonts w:ascii="Cambria Math" w:hAnsi="Cambria Math"/>
                            <w:b/>
                            <w:sz w:val="20"/>
                            <w:szCs w:val="20"/>
                            <w:lang w:val="en-NZ"/>
                          </w:rPr>
                        </m:ctrlPr>
                      </m:sSubPr>
                      <m:e>
                        <m:r>
                          <m:rPr>
                            <m:sty m:val="b"/>
                          </m:rPr>
                          <w:rPr>
                            <w:rFonts w:ascii="Cambria Math" w:hAnsi="Cambria Math"/>
                            <w:sz w:val="20"/>
                            <w:szCs w:val="20"/>
                            <w:lang w:val="en-NZ"/>
                          </w:rPr>
                          <m:t>T</m:t>
                        </m:r>
                      </m:e>
                      <m:sub>
                        <m:r>
                          <m:rPr>
                            <m:sty m:val="b"/>
                          </m:rPr>
                          <w:rPr>
                            <w:rFonts w:ascii="Cambria Math" w:hAnsi="Cambria Math"/>
                            <w:sz w:val="20"/>
                            <w:szCs w:val="20"/>
                            <w:lang w:val="en-NZ"/>
                          </w:rPr>
                          <m:t>V</m:t>
                        </m:r>
                      </m:sub>
                    </m:sSub>
                  </m:num>
                  <m:den>
                    <m:r>
                      <m:rPr>
                        <m:sty m:val="b"/>
                      </m:rPr>
                      <w:rPr>
                        <w:rFonts w:ascii="Cambria Math" w:hAnsi="Cambria Math"/>
                        <w:sz w:val="20"/>
                        <w:szCs w:val="20"/>
                        <w:lang w:val="en-NZ"/>
                      </w:rPr>
                      <m:t>25</m:t>
                    </m:r>
                  </m:den>
                </m:f>
              </m:oMath>
            </m:oMathPara>
          </w:p>
        </w:tc>
      </w:tr>
      <w:tr w:rsidR="005636C7" w:rsidRPr="00317405" w14:paraId="1061A25C" w14:textId="77777777" w:rsidTr="005636C7">
        <w:tc>
          <w:tcPr>
            <w:tcW w:w="4394" w:type="dxa"/>
            <w:tcBorders>
              <w:top w:val="single" w:sz="4" w:space="0" w:color="auto"/>
              <w:left w:val="single" w:sz="4" w:space="0" w:color="auto"/>
              <w:bottom w:val="single" w:sz="4" w:space="0" w:color="auto"/>
              <w:right w:val="single" w:sz="4" w:space="0" w:color="auto"/>
            </w:tcBorders>
            <w:hideMark/>
          </w:tcPr>
          <w:p w14:paraId="6C74614F" w14:textId="77777777" w:rsidR="005636C7" w:rsidRPr="009A7395" w:rsidRDefault="005636C7" w:rsidP="005636C7">
            <w:pPr>
              <w:rPr>
                <w:rFonts w:ascii="Georgia" w:hAnsi="Georgia"/>
                <w:b/>
                <w:sz w:val="20"/>
                <w:szCs w:val="20"/>
                <w:lang w:val="en-NZ"/>
              </w:rPr>
            </w:pPr>
            <w:r w:rsidRPr="009A7395">
              <w:rPr>
                <w:rFonts w:ascii="Georgia" w:hAnsi="Georgia"/>
                <w:b/>
                <w:sz w:val="20"/>
                <w:szCs w:val="20"/>
                <w:lang w:val="en-NZ"/>
              </w:rPr>
              <w:t>other refrigerated commercial display cabinets</w:t>
            </w:r>
          </w:p>
        </w:tc>
        <w:tc>
          <w:tcPr>
            <w:tcW w:w="4645" w:type="dxa"/>
            <w:tcBorders>
              <w:top w:val="single" w:sz="4" w:space="0" w:color="auto"/>
              <w:left w:val="single" w:sz="4" w:space="0" w:color="auto"/>
              <w:bottom w:val="single" w:sz="4" w:space="0" w:color="auto"/>
              <w:right w:val="single" w:sz="4" w:space="0" w:color="auto"/>
            </w:tcBorders>
            <w:hideMark/>
          </w:tcPr>
          <w:p w14:paraId="47C5F555" w14:textId="77777777" w:rsidR="005636C7" w:rsidRPr="009A7395" w:rsidRDefault="005636C7" w:rsidP="005636C7">
            <w:pPr>
              <w:rPr>
                <w:rFonts w:ascii="Georgia" w:hAnsi="Georgia"/>
                <w:b/>
                <w:sz w:val="20"/>
                <w:szCs w:val="20"/>
                <w:lang w:val="en-NZ"/>
              </w:rPr>
            </w:pPr>
            <m:oMathPara>
              <m:oMath>
                <m:r>
                  <m:rPr>
                    <m:sty m:val="b"/>
                  </m:rPr>
                  <w:rPr>
                    <w:rFonts w:ascii="Cambria Math" w:hAnsi="Cambria Math"/>
                    <w:sz w:val="20"/>
                    <w:szCs w:val="20"/>
                    <w:lang w:val="en-NZ"/>
                  </w:rPr>
                  <m:t>C=1</m:t>
                </m:r>
              </m:oMath>
            </m:oMathPara>
          </w:p>
        </w:tc>
      </w:tr>
    </w:tbl>
    <w:p w14:paraId="0C9E6D28" w14:textId="77777777" w:rsidR="005636C7" w:rsidRDefault="005636C7" w:rsidP="005636C7"/>
    <w:p w14:paraId="34CE40D1" w14:textId="77777777" w:rsidR="005636C7" w:rsidRPr="009A7395" w:rsidRDefault="005636C7" w:rsidP="009A7395">
      <w:pPr>
        <w:spacing w:line="276" w:lineRule="auto"/>
        <w:jc w:val="both"/>
        <w:rPr>
          <w:rFonts w:ascii="Georgia" w:hAnsi="Georgia"/>
          <w:lang w:val="en-NZ" w:eastAsia="en-NZ"/>
        </w:rPr>
      </w:pPr>
      <w:r w:rsidRPr="009A7395">
        <w:rPr>
          <w:rFonts w:ascii="Georgia" w:hAnsi="Georgia"/>
        </w:rPr>
        <w:t>Where, when testing the appliance, T</w:t>
      </w:r>
      <w:r w:rsidRPr="009A7395">
        <w:rPr>
          <w:rFonts w:ascii="Georgia" w:hAnsi="Georgia"/>
          <w:vertAlign w:val="subscript"/>
        </w:rPr>
        <w:t xml:space="preserve">1 </w:t>
      </w:r>
      <w:r w:rsidRPr="009A7395">
        <w:rPr>
          <w:rFonts w:ascii="Georgia" w:hAnsi="Georgia"/>
        </w:rPr>
        <w:t>is the highest temperature of the warmest test package, T</w:t>
      </w:r>
      <w:r w:rsidRPr="009A7395">
        <w:rPr>
          <w:rFonts w:ascii="Georgia" w:hAnsi="Georgia"/>
          <w:vertAlign w:val="subscript"/>
        </w:rPr>
        <w:t>C</w:t>
      </w:r>
      <w:r w:rsidRPr="009A7395">
        <w:rPr>
          <w:rFonts w:ascii="Georgia" w:hAnsi="Georgia"/>
        </w:rPr>
        <w:t xml:space="preserve"> the average compartment classification temperature, and T</w:t>
      </w:r>
      <w:r w:rsidRPr="009A7395">
        <w:rPr>
          <w:rFonts w:ascii="Georgia" w:hAnsi="Georgia"/>
          <w:vertAlign w:val="subscript"/>
        </w:rPr>
        <w:t>V</w:t>
      </w:r>
      <w:r w:rsidRPr="009A7395">
        <w:rPr>
          <w:rFonts w:ascii="Georgia" w:hAnsi="Georgia"/>
        </w:rPr>
        <w:t xml:space="preserve"> the maximum measured product temperature. For multi-temperature vending machines, T</w:t>
      </w:r>
      <w:r w:rsidRPr="009A7395">
        <w:rPr>
          <w:rFonts w:ascii="Georgia" w:hAnsi="Georgia"/>
          <w:vertAlign w:val="subscript"/>
        </w:rPr>
        <w:t xml:space="preserve">V </w:t>
      </w:r>
      <w:r w:rsidRPr="009A7395">
        <w:rPr>
          <w:rFonts w:ascii="Georgia" w:hAnsi="Georgia"/>
        </w:rPr>
        <w:t>shall be the average of T</w:t>
      </w:r>
      <w:r w:rsidRPr="009A7395">
        <w:rPr>
          <w:rFonts w:ascii="Georgia" w:hAnsi="Georgia"/>
          <w:vertAlign w:val="subscript"/>
        </w:rPr>
        <w:t>V1</w:t>
      </w:r>
      <w:r w:rsidRPr="009A7395">
        <w:rPr>
          <w:rFonts w:ascii="Georgia" w:hAnsi="Georgia"/>
        </w:rPr>
        <w:t xml:space="preserve"> (the maximum measured product temperature in the warmest compartment) and T</w:t>
      </w:r>
      <w:r w:rsidRPr="009A7395">
        <w:rPr>
          <w:rFonts w:ascii="Georgia" w:hAnsi="Georgia"/>
          <w:vertAlign w:val="subscript"/>
        </w:rPr>
        <w:t>V2</w:t>
      </w:r>
      <w:r w:rsidRPr="009A7395">
        <w:rPr>
          <w:rFonts w:ascii="Georgia" w:hAnsi="Georgia"/>
        </w:rPr>
        <w:t xml:space="preserve"> (the maximum measured product temperature in the coldest compartment). For other types of cabinets where compartments are set to different temperatures, the SAEC is calculated separately for each cabinet compartment and added together to obtain the total SAEC of the cabinet</w:t>
      </w:r>
      <w:r w:rsidRPr="009A7395">
        <w:rPr>
          <w:rFonts w:ascii="Georgia" w:hAnsi="Georgia"/>
          <w:lang w:val="en-NZ" w:eastAsia="en-NZ"/>
        </w:rPr>
        <w:t xml:space="preserve"> (Note the EC regulators are still investigating details of how to apply the coefficient values).</w:t>
      </w:r>
    </w:p>
    <w:p w14:paraId="67996EFC" w14:textId="603B785A" w:rsidR="005636C7" w:rsidRPr="00DC003B" w:rsidRDefault="005636C7" w:rsidP="009A7395">
      <w:pPr>
        <w:pStyle w:val="E3Heading2"/>
        <w:spacing w:before="240"/>
        <w:rPr>
          <w:rFonts w:ascii="Georgia" w:eastAsiaTheme="minorEastAsia" w:hAnsi="Georgia"/>
          <w:sz w:val="24"/>
          <w:lang w:val="en-NZ" w:eastAsia="en-NZ"/>
        </w:rPr>
      </w:pPr>
      <w:bookmarkStart w:id="543" w:name="_Toc494898006"/>
      <w:bookmarkStart w:id="544" w:name="_Toc494955798"/>
      <w:bookmarkStart w:id="545" w:name="_Toc494959606"/>
      <w:bookmarkStart w:id="546" w:name="_Toc494972732"/>
      <w:bookmarkStart w:id="547" w:name="_Toc494973919"/>
      <w:bookmarkStart w:id="548" w:name="_Toc494974608"/>
      <w:bookmarkStart w:id="549" w:name="_Toc500151853"/>
      <w:r w:rsidRPr="00DC003B">
        <w:rPr>
          <w:rFonts w:ascii="Georgia" w:eastAsiaTheme="minorEastAsia" w:hAnsi="Georgia"/>
          <w:sz w:val="24"/>
          <w:lang w:val="en-NZ" w:eastAsia="en-NZ"/>
        </w:rPr>
        <w:t>Refrigerated Storage Cabinet MEPS</w:t>
      </w:r>
      <w:bookmarkEnd w:id="541"/>
      <w:bookmarkEnd w:id="542"/>
      <w:bookmarkEnd w:id="543"/>
      <w:bookmarkEnd w:id="544"/>
      <w:bookmarkEnd w:id="545"/>
      <w:bookmarkEnd w:id="546"/>
      <w:bookmarkEnd w:id="547"/>
      <w:bookmarkEnd w:id="548"/>
      <w:bookmarkEnd w:id="549"/>
    </w:p>
    <w:p w14:paraId="0443AA51" w14:textId="77777777" w:rsidR="005636C7" w:rsidRPr="00AC7259" w:rsidRDefault="005636C7" w:rsidP="005636C7">
      <w:pPr>
        <w:pStyle w:val="E3BodyText"/>
        <w:jc w:val="both"/>
        <w:rPr>
          <w:lang w:val="en-NZ" w:eastAsia="en-NZ"/>
        </w:rPr>
      </w:pPr>
      <w:r w:rsidRPr="00AC7259">
        <w:rPr>
          <w:lang w:val="en-NZ" w:eastAsia="en-NZ"/>
        </w:rPr>
        <w:t xml:space="preserve">A similar approach is planned for storage cabinets, based on </w:t>
      </w:r>
      <w:r>
        <w:rPr>
          <w:lang w:val="en-NZ" w:eastAsia="en-NZ"/>
        </w:rPr>
        <w:t xml:space="preserve">the standard </w:t>
      </w:r>
      <w:r w:rsidRPr="00AC7259">
        <w:t>EN 16825.</w:t>
      </w:r>
      <w:r w:rsidRPr="00AC7259">
        <w:rPr>
          <w:lang w:val="en-NZ" w:eastAsia="en-NZ"/>
        </w:rPr>
        <w:t xml:space="preserve"> Refrigerated storage cabinets will be categorised into four main groups, representing the main characteristics of the cabinet:  vertical or horizontal (counter) and refrigerator or freezer.  This test standard includes classes/models previously defined in AS 1731 with a solid door – and multi-use (combination) cabinets. </w:t>
      </w:r>
    </w:p>
    <w:p w14:paraId="32E9A710" w14:textId="77777777" w:rsidR="005636C7" w:rsidRPr="00AC7259" w:rsidRDefault="005636C7" w:rsidP="005636C7">
      <w:pPr>
        <w:pStyle w:val="E3BodyText"/>
        <w:jc w:val="both"/>
      </w:pPr>
      <w:r w:rsidRPr="00AC7259">
        <w:t>The energy efficiency levels for these types of cabinets are defined as a ratio of the theoretical (tested) energy consumed in relation to the volume.</w:t>
      </w:r>
    </w:p>
    <w:p w14:paraId="48BAEF26" w14:textId="77777777" w:rsidR="005636C7" w:rsidRPr="00317405" w:rsidRDefault="005636C7" w:rsidP="005636C7">
      <w:pPr>
        <w:pStyle w:val="E3BodyText"/>
        <w:jc w:val="both"/>
      </w:pPr>
      <w:r>
        <w:rPr>
          <w:lang w:val="en-NZ" w:eastAsia="en-NZ"/>
        </w:rPr>
        <w:t>The EN regulations for s</w:t>
      </w:r>
      <w:r w:rsidRPr="00AC7259">
        <w:rPr>
          <w:lang w:val="en-NZ" w:eastAsia="en-NZ"/>
        </w:rPr>
        <w:t xml:space="preserve">torage types </w:t>
      </w:r>
      <w:r>
        <w:rPr>
          <w:lang w:val="en-NZ" w:eastAsia="en-NZ"/>
        </w:rPr>
        <w:t>will not</w:t>
      </w:r>
      <w:r w:rsidRPr="00AC7259">
        <w:rPr>
          <w:lang w:val="en-NZ" w:eastAsia="en-NZ"/>
        </w:rPr>
        <w:t xml:space="preserve"> recognise cabinets with remote condensing units (because as far as we know, all storage c</w:t>
      </w:r>
      <w:r>
        <w:rPr>
          <w:lang w:val="en-NZ" w:eastAsia="en-NZ"/>
        </w:rPr>
        <w:t>abinets are integral) and</w:t>
      </w:r>
      <w:r w:rsidRPr="00AC7259">
        <w:rPr>
          <w:lang w:val="en-NZ" w:eastAsia="en-NZ"/>
        </w:rPr>
        <w:t xml:space="preserve"> open cabinets (these are considered to be display cabinets</w:t>
      </w:r>
      <w:r>
        <w:rPr>
          <w:lang w:val="en-NZ" w:eastAsia="en-NZ"/>
        </w:rPr>
        <w:t>)</w:t>
      </w:r>
      <w:r w:rsidRPr="00AC7259">
        <w:rPr>
          <w:lang w:val="en-NZ" w:eastAsia="en-NZ"/>
        </w:rPr>
        <w:t xml:space="preserve">.  </w:t>
      </w:r>
    </w:p>
    <w:p w14:paraId="46755295" w14:textId="77777777" w:rsidR="005636C7" w:rsidRPr="00492075" w:rsidRDefault="005636C7" w:rsidP="005636C7">
      <w:pPr>
        <w:pStyle w:val="E3Heading4"/>
        <w:jc w:val="both"/>
        <w:rPr>
          <w:lang w:eastAsia="en-NZ"/>
        </w:rPr>
      </w:pPr>
      <w:r w:rsidRPr="00492075">
        <w:rPr>
          <w:lang w:eastAsia="en-NZ"/>
        </w:rPr>
        <w:t>Heavy duty vs light duty operating situations:</w:t>
      </w:r>
    </w:p>
    <w:p w14:paraId="1DEDE670" w14:textId="77777777" w:rsidR="005636C7" w:rsidRPr="00AC7259" w:rsidRDefault="005636C7" w:rsidP="005636C7">
      <w:pPr>
        <w:pStyle w:val="E3BodyText"/>
        <w:jc w:val="both"/>
        <w:rPr>
          <w:lang w:val="en-NZ" w:eastAsia="en-NZ"/>
        </w:rPr>
      </w:pPr>
      <w:r w:rsidRPr="00AC7259">
        <w:rPr>
          <w:lang w:val="en-NZ" w:eastAsia="en-NZ"/>
        </w:rPr>
        <w:t>The storage c</w:t>
      </w:r>
      <w:r>
        <w:rPr>
          <w:lang w:val="en-NZ" w:eastAsia="en-NZ"/>
        </w:rPr>
        <w:t>abinet s</w:t>
      </w:r>
      <w:r w:rsidRPr="00AC7259">
        <w:rPr>
          <w:lang w:val="en-NZ" w:eastAsia="en-NZ"/>
        </w:rPr>
        <w:t xml:space="preserve">tandard </w:t>
      </w:r>
      <w:r>
        <w:rPr>
          <w:lang w:val="en-NZ" w:eastAsia="en-NZ"/>
        </w:rPr>
        <w:t xml:space="preserve">EN 16825 </w:t>
      </w:r>
      <w:r w:rsidRPr="00AC7259">
        <w:rPr>
          <w:lang w:val="en-NZ" w:eastAsia="en-NZ"/>
        </w:rPr>
        <w:t xml:space="preserve">also distinguishes between light duty and heavy duty cabinets taking into account the conditions that these cabinets can be expected to be capable of operating in.  Light duty cabinets are those that cannot operate above </w:t>
      </w:r>
      <w:r w:rsidRPr="00AC7259">
        <w:rPr>
          <w:i/>
          <w:lang w:val="en-NZ" w:eastAsia="en-NZ"/>
        </w:rPr>
        <w:t>Climate Class 3 (25</w:t>
      </w:r>
      <w:r w:rsidRPr="00AC7259">
        <w:rPr>
          <w:i/>
          <w:vertAlign w:val="superscript"/>
          <w:lang w:val="en-NZ" w:eastAsia="en-NZ"/>
        </w:rPr>
        <w:t>o</w:t>
      </w:r>
      <w:r w:rsidRPr="00AC7259">
        <w:rPr>
          <w:i/>
          <w:lang w:val="en-NZ" w:eastAsia="en-NZ"/>
        </w:rPr>
        <w:t>C and 60% RH)</w:t>
      </w:r>
      <w:r w:rsidRPr="00AC7259">
        <w:rPr>
          <w:lang w:val="en-NZ" w:eastAsia="en-NZ"/>
        </w:rPr>
        <w:t xml:space="preserve"> conditions and must be labelled as such. Heavy Duty cabinets have the ability to operate in conditions corresponding to </w:t>
      </w:r>
      <w:r w:rsidRPr="00AC7259">
        <w:rPr>
          <w:i/>
          <w:lang w:val="en-NZ" w:eastAsia="en-NZ"/>
        </w:rPr>
        <w:t>Climate Class 5 (40</w:t>
      </w:r>
      <w:r w:rsidRPr="00AC7259">
        <w:rPr>
          <w:i/>
          <w:vertAlign w:val="superscript"/>
          <w:lang w:val="en-NZ" w:eastAsia="en-NZ"/>
        </w:rPr>
        <w:t>o</w:t>
      </w:r>
      <w:r w:rsidRPr="00AC7259">
        <w:rPr>
          <w:i/>
          <w:lang w:val="en-NZ" w:eastAsia="en-NZ"/>
        </w:rPr>
        <w:t>C and 40% RH).</w:t>
      </w:r>
    </w:p>
    <w:p w14:paraId="4AAE1507" w14:textId="77777777" w:rsidR="005636C7" w:rsidRPr="00AC7259" w:rsidRDefault="005636C7" w:rsidP="005636C7">
      <w:pPr>
        <w:pStyle w:val="E3BodyText"/>
        <w:jc w:val="both"/>
        <w:rPr>
          <w:lang w:val="en-NZ" w:eastAsia="en-NZ"/>
        </w:rPr>
      </w:pPr>
      <w:r w:rsidRPr="00AC7259">
        <w:rPr>
          <w:lang w:val="en-NZ" w:eastAsia="en-NZ"/>
        </w:rPr>
        <w:t xml:space="preserve">All cabinets (except light duty cabinets) are tested at </w:t>
      </w:r>
      <w:r w:rsidRPr="00AC7259">
        <w:rPr>
          <w:i/>
          <w:lang w:val="en-NZ" w:eastAsia="en-NZ"/>
        </w:rPr>
        <w:t>Climate Class 4</w:t>
      </w:r>
      <w:r w:rsidRPr="00AC7259">
        <w:rPr>
          <w:lang w:val="en-NZ" w:eastAsia="en-NZ"/>
        </w:rPr>
        <w:t xml:space="preserve"> and they are subject to the same efficiencies. For light duty cabinets, their efficiency scores are also subjected to normalising factors (adjustment factors) of 1.2 and 1.1 for refrigerators vs freezers, to take into account the less onerous test conditions.  </w:t>
      </w:r>
    </w:p>
    <w:p w14:paraId="13698C2E" w14:textId="77777777" w:rsidR="005636C7" w:rsidRPr="00AC7259" w:rsidRDefault="005636C7" w:rsidP="005636C7">
      <w:pPr>
        <w:pStyle w:val="E3BodyText"/>
        <w:jc w:val="both"/>
        <w:rPr>
          <w:lang w:val="en-NZ" w:eastAsia="en-NZ"/>
        </w:rPr>
      </w:pPr>
      <w:r w:rsidRPr="00AC7259">
        <w:rPr>
          <w:lang w:val="en-NZ" w:eastAsia="en-NZ"/>
        </w:rPr>
        <w:t xml:space="preserve">The EEI is calculated in a similar manner as for display cabinets, requiring the Annual Energy Consumption (AEG), the Standard Annual Energy Consumption (SAEG). Instead of the Total Display Area, the </w:t>
      </w:r>
      <w:r w:rsidRPr="00AC7259">
        <w:rPr>
          <w:i/>
          <w:lang w:val="en-NZ" w:eastAsia="en-NZ"/>
        </w:rPr>
        <w:t>net Volume</w:t>
      </w:r>
      <w:r w:rsidRPr="00AC7259">
        <w:rPr>
          <w:lang w:val="en-NZ" w:eastAsia="en-NZ"/>
        </w:rPr>
        <w:t xml:space="preserve"> is used (in litres). Labelling and calculating an EEI score is also required, and similar to display cabinet MEPS – efficiencies will need to improve by certain dates, to remain viable for trade.</w:t>
      </w:r>
    </w:p>
    <w:p w14:paraId="533383FF" w14:textId="77777777" w:rsidR="005636C7" w:rsidRPr="00681F91" w:rsidRDefault="005636C7" w:rsidP="005636C7">
      <w:pPr>
        <w:pStyle w:val="E3Heading4"/>
        <w:jc w:val="both"/>
        <w:rPr>
          <w:lang w:eastAsia="en-NZ"/>
        </w:rPr>
      </w:pPr>
      <w:bookmarkStart w:id="550" w:name="_Toc442877458"/>
      <w:bookmarkStart w:id="551" w:name="_Toc447533656"/>
      <w:r w:rsidRPr="00681F91">
        <w:rPr>
          <w:lang w:eastAsia="en-NZ"/>
        </w:rPr>
        <w:t>Equation to calculate the EEI of storage cabinets</w:t>
      </w:r>
      <w:bookmarkEnd w:id="550"/>
      <w:bookmarkEnd w:id="551"/>
    </w:p>
    <w:p w14:paraId="7A5BABD1" w14:textId="77777777" w:rsidR="005636C7" w:rsidRPr="0037781E" w:rsidRDefault="005636C7" w:rsidP="005636C7">
      <w:pPr>
        <w:pStyle w:val="E3BodyText"/>
        <w:jc w:val="both"/>
        <w:rPr>
          <w:lang w:val="en-NZ" w:eastAsia="en-NZ"/>
        </w:rPr>
      </w:pPr>
      <w:r w:rsidRPr="0037781E">
        <w:rPr>
          <w:lang w:val="en-NZ" w:eastAsia="en-NZ"/>
        </w:rPr>
        <w:t>The Energy Efficiency Index (EEI) is calculated as:</w:t>
      </w:r>
    </w:p>
    <w:p w14:paraId="29DB7D7E" w14:textId="77777777" w:rsidR="005636C7" w:rsidRPr="0037781E" w:rsidRDefault="005636C7" w:rsidP="005636C7">
      <w:pPr>
        <w:pStyle w:val="E3BodyText"/>
        <w:jc w:val="both"/>
        <w:rPr>
          <w:lang w:val="en-NZ" w:eastAsia="en-NZ"/>
        </w:rPr>
      </w:pPr>
      <w:r w:rsidRPr="0037781E">
        <w:rPr>
          <w:rFonts w:cs="Symbol"/>
          <w:lang w:val="en-NZ" w:eastAsia="en-NZ"/>
        </w:rPr>
        <w:tab/>
        <w:t xml:space="preserve"> </w:t>
      </w:r>
      <w:r w:rsidRPr="0037781E">
        <w:rPr>
          <w:lang w:val="en-NZ" w:eastAsia="en-NZ"/>
        </w:rPr>
        <w:t>EEI = (AEC/SAEC) ×100</w:t>
      </w:r>
    </w:p>
    <w:p w14:paraId="646A1B52" w14:textId="77777777" w:rsidR="005636C7" w:rsidRPr="0037781E" w:rsidRDefault="005636C7" w:rsidP="005636C7">
      <w:pPr>
        <w:pStyle w:val="E3BodyText"/>
        <w:jc w:val="both"/>
        <w:rPr>
          <w:lang w:val="en-NZ" w:eastAsia="en-NZ"/>
        </w:rPr>
      </w:pPr>
      <w:r w:rsidRPr="0037781E">
        <w:rPr>
          <w:lang w:val="en-NZ" w:eastAsia="en-NZ"/>
        </w:rPr>
        <w:t>Where:</w:t>
      </w:r>
    </w:p>
    <w:p w14:paraId="55A6FCBE" w14:textId="77777777" w:rsidR="005636C7" w:rsidRPr="0037781E" w:rsidRDefault="005636C7" w:rsidP="005636C7">
      <w:pPr>
        <w:pStyle w:val="E3BodyText"/>
        <w:jc w:val="both"/>
        <w:rPr>
          <w:lang w:val="en-NZ" w:eastAsia="en-NZ"/>
        </w:rPr>
      </w:pPr>
      <w:r w:rsidRPr="0037781E">
        <w:rPr>
          <w:rFonts w:cs="Symbol"/>
          <w:lang w:val="en-NZ" w:eastAsia="en-NZ"/>
        </w:rPr>
        <w:tab/>
        <w:t xml:space="preserve"> </w:t>
      </w:r>
      <w:r w:rsidRPr="0037781E">
        <w:rPr>
          <w:lang w:val="en-NZ" w:eastAsia="en-NZ"/>
        </w:rPr>
        <w:t>AEC=E24h ×</w:t>
      </w:r>
      <w:r w:rsidRPr="0037781E">
        <w:rPr>
          <w:i/>
          <w:lang w:val="en-NZ" w:eastAsia="en-NZ"/>
        </w:rPr>
        <w:t>af</w:t>
      </w:r>
      <w:r w:rsidRPr="0037781E">
        <w:rPr>
          <w:lang w:val="en-NZ" w:eastAsia="en-NZ"/>
        </w:rPr>
        <w:t xml:space="preserve"> ×365</w:t>
      </w:r>
    </w:p>
    <w:p w14:paraId="023AEAB5" w14:textId="77777777" w:rsidR="005636C7" w:rsidRPr="0037781E" w:rsidRDefault="005636C7" w:rsidP="005636C7">
      <w:pPr>
        <w:pStyle w:val="E3Bullets"/>
        <w:ind w:left="227"/>
        <w:jc w:val="both"/>
        <w:rPr>
          <w:lang w:val="en-NZ" w:eastAsia="en-NZ"/>
        </w:rPr>
      </w:pPr>
      <w:r w:rsidRPr="0037781E">
        <w:rPr>
          <w:lang w:val="en-NZ" w:eastAsia="en-NZ"/>
        </w:rPr>
        <w:t>AEC = Annual Energy Consumption of the cabinet in kWh/year</w:t>
      </w:r>
    </w:p>
    <w:p w14:paraId="294AC186" w14:textId="77777777" w:rsidR="005636C7" w:rsidRPr="0037781E" w:rsidRDefault="005636C7" w:rsidP="005636C7">
      <w:pPr>
        <w:pStyle w:val="E3Bullets"/>
        <w:ind w:left="227"/>
        <w:jc w:val="both"/>
        <w:rPr>
          <w:lang w:val="en-NZ" w:eastAsia="en-NZ"/>
        </w:rPr>
      </w:pPr>
      <w:r w:rsidRPr="0037781E">
        <w:rPr>
          <w:lang w:val="en-NZ" w:eastAsia="en-NZ"/>
        </w:rPr>
        <w:t>E24h = energy consumption of the cabinet over 24 hours</w:t>
      </w:r>
    </w:p>
    <w:p w14:paraId="33EF0C1F" w14:textId="77777777" w:rsidR="005636C7" w:rsidRPr="0037781E" w:rsidRDefault="005636C7" w:rsidP="005636C7">
      <w:pPr>
        <w:pStyle w:val="E3Bullets"/>
        <w:ind w:left="227"/>
        <w:jc w:val="both"/>
        <w:rPr>
          <w:lang w:val="en-NZ" w:eastAsia="en-NZ"/>
        </w:rPr>
      </w:pPr>
      <w:r w:rsidRPr="0037781E">
        <w:rPr>
          <w:i/>
          <w:lang w:val="en-NZ" w:eastAsia="en-NZ"/>
        </w:rPr>
        <w:t>af</w:t>
      </w:r>
      <w:r w:rsidRPr="0037781E">
        <w:rPr>
          <w:lang w:val="en-NZ" w:eastAsia="en-NZ"/>
        </w:rPr>
        <w:t xml:space="preserve"> = adjustment factor to be applied only for light-duty cabinets</w:t>
      </w:r>
    </w:p>
    <w:p w14:paraId="74B0D4F4" w14:textId="77777777" w:rsidR="005636C7" w:rsidRPr="0037781E" w:rsidRDefault="005636C7" w:rsidP="005636C7">
      <w:pPr>
        <w:pStyle w:val="E3BodyText"/>
        <w:jc w:val="both"/>
        <w:rPr>
          <w:lang w:val="en-NZ" w:eastAsia="en-NZ"/>
        </w:rPr>
      </w:pPr>
      <w:r w:rsidRPr="0037781E">
        <w:rPr>
          <w:rFonts w:cs="Symbol"/>
          <w:lang w:val="en-NZ" w:eastAsia="en-NZ"/>
        </w:rPr>
        <w:tab/>
      </w:r>
      <w:r w:rsidRPr="0037781E">
        <w:rPr>
          <w:lang w:val="en-NZ" w:eastAsia="en-NZ"/>
        </w:rPr>
        <w:t>SAEC= M × Vn +N</w:t>
      </w:r>
    </w:p>
    <w:p w14:paraId="3EE690B9" w14:textId="77777777" w:rsidR="005636C7" w:rsidRPr="0037781E" w:rsidRDefault="005636C7" w:rsidP="005636C7">
      <w:pPr>
        <w:pStyle w:val="E3Bullets"/>
        <w:ind w:left="227"/>
        <w:jc w:val="both"/>
        <w:rPr>
          <w:lang w:val="en-NZ" w:eastAsia="en-NZ"/>
        </w:rPr>
      </w:pPr>
      <w:r w:rsidRPr="0037781E">
        <w:rPr>
          <w:lang w:val="en-NZ" w:eastAsia="en-NZ"/>
        </w:rPr>
        <w:t>SAEC = Standard Annual Energy Consumption of the cabinet in kWh/year</w:t>
      </w:r>
    </w:p>
    <w:p w14:paraId="2E4ADB41" w14:textId="77777777" w:rsidR="005636C7" w:rsidRPr="0037781E" w:rsidRDefault="005636C7" w:rsidP="005636C7">
      <w:pPr>
        <w:pStyle w:val="E3Bullets"/>
        <w:ind w:left="227"/>
        <w:jc w:val="both"/>
        <w:rPr>
          <w:lang w:val="en-NZ" w:eastAsia="en-NZ"/>
        </w:rPr>
      </w:pPr>
      <w:r w:rsidRPr="0037781E">
        <w:rPr>
          <w:lang w:val="en-NZ" w:eastAsia="en-NZ"/>
        </w:rPr>
        <w:t>Vn = net volume of the appliance, which is the sum of net volumes of all compartments of the cabinet, expressed in litres.</w:t>
      </w:r>
    </w:p>
    <w:p w14:paraId="08CA227C" w14:textId="77777777" w:rsidR="005636C7" w:rsidRPr="0037781E" w:rsidRDefault="005636C7" w:rsidP="005636C7">
      <w:pPr>
        <w:spacing w:after="200" w:line="276" w:lineRule="auto"/>
        <w:jc w:val="both"/>
        <w:rPr>
          <w:b/>
          <w:noProof/>
          <w:lang w:val="en-NZ" w:eastAsia="en-NZ"/>
        </w:rPr>
      </w:pPr>
      <w:r w:rsidRPr="0037781E">
        <w:rPr>
          <w:b/>
          <w:noProof/>
          <w:lang w:val="en-NZ" w:eastAsia="en-NZ"/>
        </w:rPr>
        <w:t xml:space="preserve">Specific M and N coefficients: </w:t>
      </w:r>
    </w:p>
    <w:p w14:paraId="157C1FE4" w14:textId="77777777" w:rsidR="00AC6998" w:rsidRPr="00253CE9" w:rsidRDefault="005636C7" w:rsidP="005636C7">
      <w:pPr>
        <w:pStyle w:val="E3Bullets"/>
        <w:ind w:left="283"/>
        <w:jc w:val="both"/>
        <w:rPr>
          <w:b/>
        </w:rPr>
      </w:pPr>
      <w:r w:rsidRPr="0037781E">
        <w:rPr>
          <w:lang w:val="en-NZ" w:eastAsia="en-NZ"/>
        </w:rPr>
        <w:t>Similar to display cabinets, storage cabinets have defined M and N coefficients for</w:t>
      </w:r>
      <w:r>
        <w:rPr>
          <w:lang w:val="en-NZ" w:eastAsia="en-NZ"/>
        </w:rPr>
        <w:t xml:space="preserve"> </w:t>
      </w:r>
      <w:r w:rsidRPr="0037781E">
        <w:rPr>
          <w:lang w:val="en-NZ" w:eastAsia="en-NZ"/>
        </w:rPr>
        <w:t xml:space="preserve">different types of cabinet– see </w:t>
      </w:r>
      <w:r w:rsidRPr="00954435">
        <w:rPr>
          <w:b/>
          <w:lang w:val="en-NZ" w:eastAsia="en-NZ"/>
        </w:rPr>
        <w:fldChar w:fldCharType="begin"/>
      </w:r>
      <w:r w:rsidRPr="00954435">
        <w:rPr>
          <w:b/>
          <w:lang w:val="en-NZ" w:eastAsia="en-NZ"/>
        </w:rPr>
        <w:instrText xml:space="preserve"> REF _Ref450641504 \h  \* MERGEFORMAT </w:instrText>
      </w:r>
      <w:r w:rsidRPr="00954435">
        <w:rPr>
          <w:b/>
          <w:lang w:val="en-NZ" w:eastAsia="en-NZ"/>
        </w:rPr>
      </w:r>
      <w:r w:rsidRPr="00954435">
        <w:rPr>
          <w:b/>
          <w:lang w:val="en-NZ" w:eastAsia="en-NZ"/>
        </w:rPr>
        <w:fldChar w:fldCharType="separate"/>
      </w:r>
    </w:p>
    <w:p w14:paraId="1AE875C0" w14:textId="77777777" w:rsidR="005636C7" w:rsidRPr="00253CE9" w:rsidRDefault="00AC6998" w:rsidP="005636C7">
      <w:pPr>
        <w:pStyle w:val="E3Bullets"/>
        <w:ind w:left="283"/>
        <w:jc w:val="both"/>
        <w:rPr>
          <w:b/>
        </w:rPr>
      </w:pPr>
      <w:r w:rsidRPr="00AC6998">
        <w:rPr>
          <w:b/>
        </w:rPr>
        <w:t xml:space="preserve">Table </w:t>
      </w:r>
      <w:r w:rsidRPr="00AC6998">
        <w:rPr>
          <w:b/>
          <w:noProof/>
        </w:rPr>
        <w:t xml:space="preserve">F </w:t>
      </w:r>
      <w:r>
        <w:rPr>
          <w:noProof/>
        </w:rPr>
        <w:t>5</w:t>
      </w:r>
      <w:r w:rsidR="005636C7" w:rsidRPr="00954435">
        <w:rPr>
          <w:b/>
          <w:lang w:val="en-NZ" w:eastAsia="en-NZ"/>
        </w:rPr>
        <w:fldChar w:fldCharType="end"/>
      </w:r>
      <w:r w:rsidR="005636C7" w:rsidRPr="00681F91">
        <w:rPr>
          <w:b/>
          <w:lang w:val="en-NZ" w:eastAsia="en-NZ"/>
        </w:rPr>
        <w:t>.</w:t>
      </w:r>
      <w:bookmarkStart w:id="552" w:name="_Ref450641504"/>
      <w:bookmarkStart w:id="553" w:name="_Toc449708986"/>
      <w:bookmarkStart w:id="554" w:name="_Toc456164815"/>
    </w:p>
    <w:p w14:paraId="62FA011E" w14:textId="77777777" w:rsidR="005636C7" w:rsidRDefault="005636C7" w:rsidP="005636C7">
      <w:pPr>
        <w:pStyle w:val="E3TableTitles"/>
      </w:pPr>
      <w:bookmarkStart w:id="555" w:name="_Toc500159686"/>
      <w:r>
        <w:t xml:space="preserve">Table F </w:t>
      </w:r>
      <w:r>
        <w:fldChar w:fldCharType="begin"/>
      </w:r>
      <w:r>
        <w:instrText xml:space="preserve"> SEQ Table_F \* ARABIC </w:instrText>
      </w:r>
      <w:r>
        <w:fldChar w:fldCharType="separate"/>
      </w:r>
      <w:r w:rsidR="00AC6998">
        <w:rPr>
          <w:noProof/>
        </w:rPr>
        <w:t>5</w:t>
      </w:r>
      <w:r>
        <w:rPr>
          <w:noProof/>
        </w:rPr>
        <w:fldChar w:fldCharType="end"/>
      </w:r>
      <w:bookmarkEnd w:id="552"/>
      <w:r w:rsidRPr="002705A4">
        <w:rPr>
          <w:lang w:eastAsia="en-NZ"/>
        </w:rPr>
        <w:t>:</w:t>
      </w:r>
      <w:r w:rsidRPr="002705A4">
        <w:rPr>
          <w:noProof/>
          <w:lang w:eastAsia="en-NZ"/>
        </w:rPr>
        <w:t xml:space="preserve"> M and N coefficients for </w:t>
      </w:r>
      <w:r>
        <w:rPr>
          <w:noProof/>
          <w:lang w:eastAsia="en-NZ"/>
        </w:rPr>
        <w:t>r</w:t>
      </w:r>
      <w:r w:rsidRPr="002705A4">
        <w:rPr>
          <w:noProof/>
          <w:lang w:eastAsia="en-NZ"/>
        </w:rPr>
        <w:t xml:space="preserve">efrigerated </w:t>
      </w:r>
      <w:r>
        <w:rPr>
          <w:noProof/>
          <w:lang w:eastAsia="en-NZ"/>
        </w:rPr>
        <w:t>s</w:t>
      </w:r>
      <w:r w:rsidRPr="002705A4">
        <w:rPr>
          <w:noProof/>
          <w:lang w:eastAsia="en-NZ"/>
        </w:rPr>
        <w:t xml:space="preserve">torage </w:t>
      </w:r>
      <w:r>
        <w:rPr>
          <w:noProof/>
          <w:lang w:eastAsia="en-NZ"/>
        </w:rPr>
        <w:t>c</w:t>
      </w:r>
      <w:r w:rsidRPr="002705A4">
        <w:rPr>
          <w:noProof/>
          <w:lang w:eastAsia="en-NZ"/>
        </w:rPr>
        <w:t>abinets.</w:t>
      </w:r>
      <w:bookmarkEnd w:id="553"/>
      <w:bookmarkEnd w:id="554"/>
      <w:bookmarkEnd w:id="5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124"/>
        <w:gridCol w:w="3206"/>
      </w:tblGrid>
      <w:tr w:rsidR="005636C7" w14:paraId="382453FF" w14:textId="77777777" w:rsidTr="005636C7">
        <w:tc>
          <w:tcPr>
            <w:tcW w:w="3369" w:type="dxa"/>
            <w:shd w:val="clear" w:color="auto" w:fill="000000" w:themeFill="text1"/>
          </w:tcPr>
          <w:p w14:paraId="2C09C8D9" w14:textId="77777777" w:rsidR="005636C7" w:rsidRPr="00492075" w:rsidRDefault="005636C7" w:rsidP="005636C7">
            <w:pPr>
              <w:pStyle w:val="E3TableHeading"/>
              <w:jc w:val="both"/>
              <w:rPr>
                <w:szCs w:val="15"/>
              </w:rPr>
            </w:pPr>
            <w:r w:rsidRPr="00492075">
              <w:rPr>
                <w:szCs w:val="15"/>
              </w:rPr>
              <w:t>Category</w:t>
            </w:r>
          </w:p>
        </w:tc>
        <w:tc>
          <w:tcPr>
            <w:tcW w:w="3201" w:type="dxa"/>
            <w:shd w:val="clear" w:color="auto" w:fill="000000" w:themeFill="text1"/>
          </w:tcPr>
          <w:p w14:paraId="0E6AE45B" w14:textId="77777777" w:rsidR="005636C7" w:rsidRPr="00492075" w:rsidRDefault="005636C7" w:rsidP="005636C7">
            <w:pPr>
              <w:pStyle w:val="E3TableHeading"/>
              <w:jc w:val="both"/>
              <w:rPr>
                <w:szCs w:val="15"/>
              </w:rPr>
            </w:pPr>
            <w:r w:rsidRPr="00492075">
              <w:rPr>
                <w:szCs w:val="15"/>
              </w:rPr>
              <w:t>Value for M</w:t>
            </w:r>
          </w:p>
        </w:tc>
        <w:tc>
          <w:tcPr>
            <w:tcW w:w="3285" w:type="dxa"/>
            <w:shd w:val="clear" w:color="auto" w:fill="000000" w:themeFill="text1"/>
          </w:tcPr>
          <w:p w14:paraId="35C74163" w14:textId="77777777" w:rsidR="005636C7" w:rsidRPr="00492075" w:rsidRDefault="005636C7" w:rsidP="005636C7">
            <w:pPr>
              <w:pStyle w:val="E3TableHeading"/>
              <w:jc w:val="both"/>
              <w:rPr>
                <w:szCs w:val="15"/>
              </w:rPr>
            </w:pPr>
            <w:r w:rsidRPr="00492075">
              <w:rPr>
                <w:szCs w:val="15"/>
              </w:rPr>
              <w:t>Value for N</w:t>
            </w:r>
          </w:p>
        </w:tc>
      </w:tr>
      <w:tr w:rsidR="005636C7" w14:paraId="5DEEA84D" w14:textId="77777777" w:rsidTr="005636C7">
        <w:tc>
          <w:tcPr>
            <w:tcW w:w="3369" w:type="dxa"/>
          </w:tcPr>
          <w:p w14:paraId="64B74017"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Vertical Chiller (VC)</w:t>
            </w:r>
          </w:p>
        </w:tc>
        <w:tc>
          <w:tcPr>
            <w:tcW w:w="3201" w:type="dxa"/>
          </w:tcPr>
          <w:p w14:paraId="6522A61E"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1.643</w:t>
            </w:r>
          </w:p>
        </w:tc>
        <w:tc>
          <w:tcPr>
            <w:tcW w:w="3285" w:type="dxa"/>
          </w:tcPr>
          <w:p w14:paraId="7D4BBF16"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609</w:t>
            </w:r>
          </w:p>
        </w:tc>
      </w:tr>
      <w:tr w:rsidR="005636C7" w14:paraId="296D5EC6" w14:textId="77777777" w:rsidTr="005636C7">
        <w:tc>
          <w:tcPr>
            <w:tcW w:w="3369" w:type="dxa"/>
          </w:tcPr>
          <w:p w14:paraId="27BB6ED0"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Vertical Frozen (VF)</w:t>
            </w:r>
          </w:p>
        </w:tc>
        <w:tc>
          <w:tcPr>
            <w:tcW w:w="3201" w:type="dxa"/>
          </w:tcPr>
          <w:p w14:paraId="5C96D70F"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4.928</w:t>
            </w:r>
          </w:p>
        </w:tc>
        <w:tc>
          <w:tcPr>
            <w:tcW w:w="3285" w:type="dxa"/>
          </w:tcPr>
          <w:p w14:paraId="21C54ED1"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1472</w:t>
            </w:r>
          </w:p>
        </w:tc>
      </w:tr>
      <w:tr w:rsidR="005636C7" w14:paraId="65083A64" w14:textId="77777777" w:rsidTr="005636C7">
        <w:tc>
          <w:tcPr>
            <w:tcW w:w="3369" w:type="dxa"/>
          </w:tcPr>
          <w:p w14:paraId="63D9AA45"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Horizontal counter, Chilled (HC)</w:t>
            </w:r>
          </w:p>
        </w:tc>
        <w:tc>
          <w:tcPr>
            <w:tcW w:w="3201" w:type="dxa"/>
          </w:tcPr>
          <w:p w14:paraId="3065F8D3"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2.555</w:t>
            </w:r>
          </w:p>
        </w:tc>
        <w:tc>
          <w:tcPr>
            <w:tcW w:w="3285" w:type="dxa"/>
          </w:tcPr>
          <w:p w14:paraId="530795BC"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1790</w:t>
            </w:r>
          </w:p>
        </w:tc>
      </w:tr>
      <w:tr w:rsidR="005636C7" w14:paraId="49138D1B" w14:textId="77777777" w:rsidTr="005636C7">
        <w:tc>
          <w:tcPr>
            <w:tcW w:w="3369" w:type="dxa"/>
          </w:tcPr>
          <w:p w14:paraId="07B4FA27"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Horizontal counter, Freezer (HF)</w:t>
            </w:r>
          </w:p>
        </w:tc>
        <w:tc>
          <w:tcPr>
            <w:tcW w:w="3201" w:type="dxa"/>
          </w:tcPr>
          <w:p w14:paraId="44ED6C41"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5.84</w:t>
            </w:r>
          </w:p>
        </w:tc>
        <w:tc>
          <w:tcPr>
            <w:tcW w:w="3285" w:type="dxa"/>
          </w:tcPr>
          <w:p w14:paraId="635EDB65" w14:textId="77777777" w:rsidR="005636C7" w:rsidRPr="00492075" w:rsidRDefault="005636C7" w:rsidP="005636C7">
            <w:pPr>
              <w:pStyle w:val="E3tabletext1"/>
              <w:jc w:val="both"/>
              <w:rPr>
                <w:rFonts w:ascii="Helvetica" w:hAnsi="Helvetica" w:cs="Helvetica"/>
                <w:sz w:val="15"/>
                <w:szCs w:val="15"/>
              </w:rPr>
            </w:pPr>
            <w:r w:rsidRPr="00492075">
              <w:rPr>
                <w:rFonts w:ascii="Helvetica" w:hAnsi="Helvetica" w:cs="Helvetica"/>
                <w:sz w:val="15"/>
                <w:szCs w:val="15"/>
              </w:rPr>
              <w:t>2380</w:t>
            </w:r>
          </w:p>
        </w:tc>
      </w:tr>
    </w:tbl>
    <w:p w14:paraId="0E190F5E" w14:textId="77777777" w:rsidR="005636C7" w:rsidRPr="00DF791D" w:rsidRDefault="005636C7" w:rsidP="005636C7">
      <w:pPr>
        <w:pStyle w:val="E3Heading4"/>
        <w:rPr>
          <w:lang w:eastAsia="en-NZ"/>
        </w:rPr>
      </w:pPr>
    </w:p>
    <w:p w14:paraId="726F325B" w14:textId="77777777" w:rsidR="005636C7" w:rsidRPr="00681F91" w:rsidRDefault="005636C7" w:rsidP="005636C7">
      <w:pPr>
        <w:pStyle w:val="E3Heading4"/>
        <w:rPr>
          <w:lang w:eastAsia="en-NZ"/>
        </w:rPr>
      </w:pPr>
      <w:r w:rsidRPr="00681F91">
        <w:rPr>
          <w:lang w:eastAsia="en-NZ"/>
        </w:rPr>
        <w:t>Efficiency labelling levels for storage cabinets:</w:t>
      </w:r>
    </w:p>
    <w:p w14:paraId="136D335F" w14:textId="77777777" w:rsidR="00AC6998" w:rsidRPr="00AC6998" w:rsidRDefault="005636C7" w:rsidP="005636C7">
      <w:pPr>
        <w:pStyle w:val="E3BodyText"/>
        <w:rPr>
          <w:b/>
          <w:lang w:val="en-NZ" w:eastAsia="en-NZ"/>
        </w:rPr>
      </w:pPr>
      <w:r w:rsidRPr="00AC7259">
        <w:rPr>
          <w:lang w:val="en-NZ" w:eastAsia="en-NZ"/>
        </w:rPr>
        <w:t>In a similar manner to display cabinets, the EU propose to grade the efficiency of the storage cabinets based on their EEI score. These will have up to 10 grades (A</w:t>
      </w:r>
      <w:r w:rsidRPr="00AC7259">
        <w:rPr>
          <w:vertAlign w:val="superscript"/>
          <w:lang w:val="en-NZ" w:eastAsia="en-NZ"/>
        </w:rPr>
        <w:t>+++</w:t>
      </w:r>
      <w:r w:rsidRPr="00AC7259">
        <w:rPr>
          <w:lang w:val="en-NZ" w:eastAsia="en-NZ"/>
        </w:rPr>
        <w:t xml:space="preserve"> through to G) see </w:t>
      </w:r>
      <w:r w:rsidRPr="00907A99">
        <w:rPr>
          <w:b/>
        </w:rPr>
        <w:fldChar w:fldCharType="begin"/>
      </w:r>
      <w:r w:rsidRPr="00907A99">
        <w:rPr>
          <w:b/>
        </w:rPr>
        <w:instrText xml:space="preserve"> REF _Ref450641544 \h  \* MERGEFORMAT </w:instrText>
      </w:r>
      <w:r w:rsidRPr="00907A99">
        <w:rPr>
          <w:b/>
        </w:rPr>
      </w:r>
      <w:r w:rsidRPr="00907A99">
        <w:rPr>
          <w:b/>
        </w:rPr>
        <w:fldChar w:fldCharType="separate"/>
      </w:r>
    </w:p>
    <w:p w14:paraId="269E9B8E" w14:textId="77777777" w:rsidR="005636C7" w:rsidRPr="00907A99" w:rsidRDefault="00AC6998" w:rsidP="005636C7">
      <w:pPr>
        <w:pStyle w:val="E3BodyText"/>
        <w:rPr>
          <w:b/>
        </w:rPr>
      </w:pPr>
      <w:r w:rsidRPr="00954435">
        <w:rPr>
          <w:b/>
          <w:sz w:val="18"/>
        </w:rPr>
        <w:t>Table</w:t>
      </w:r>
      <w:r w:rsidRPr="00AC6998">
        <w:rPr>
          <w:b/>
          <w:szCs w:val="24"/>
        </w:rPr>
        <w:t xml:space="preserve"> F</w:t>
      </w:r>
      <w:r w:rsidRPr="00AC6998">
        <w:rPr>
          <w:b/>
          <w:noProof/>
          <w:szCs w:val="24"/>
        </w:rPr>
        <w:t xml:space="preserve"> </w:t>
      </w:r>
      <w:r>
        <w:rPr>
          <w:b/>
          <w:noProof/>
          <w:sz w:val="18"/>
        </w:rPr>
        <w:t>6</w:t>
      </w:r>
      <w:r w:rsidR="005636C7" w:rsidRPr="00907A99">
        <w:rPr>
          <w:b/>
        </w:rPr>
        <w:fldChar w:fldCharType="end"/>
      </w:r>
      <w:r w:rsidR="005636C7" w:rsidRPr="00803448">
        <w:rPr>
          <w:b/>
        </w:rPr>
        <w:t>.</w:t>
      </w:r>
      <w:bookmarkStart w:id="556" w:name="_Ref450641544"/>
      <w:bookmarkStart w:id="557" w:name="_Toc456164816"/>
    </w:p>
    <w:p w14:paraId="2DC25ED1" w14:textId="77777777" w:rsidR="005636C7" w:rsidRPr="00954435" w:rsidRDefault="005636C7" w:rsidP="005636C7">
      <w:pPr>
        <w:pStyle w:val="E3BodyText"/>
        <w:rPr>
          <w:b/>
          <w:sz w:val="18"/>
        </w:rPr>
      </w:pPr>
      <w:r w:rsidRPr="00954435">
        <w:rPr>
          <w:b/>
          <w:sz w:val="18"/>
        </w:rPr>
        <w:t xml:space="preserve">Table F </w:t>
      </w:r>
      <w:r w:rsidRPr="00954435">
        <w:rPr>
          <w:b/>
          <w:sz w:val="18"/>
        </w:rPr>
        <w:fldChar w:fldCharType="begin"/>
      </w:r>
      <w:r w:rsidRPr="00954435">
        <w:rPr>
          <w:b/>
          <w:sz w:val="18"/>
        </w:rPr>
        <w:instrText xml:space="preserve"> SEQ Table_F \* ARABIC </w:instrText>
      </w:r>
      <w:r w:rsidRPr="00954435">
        <w:rPr>
          <w:b/>
          <w:sz w:val="18"/>
        </w:rPr>
        <w:fldChar w:fldCharType="separate"/>
      </w:r>
      <w:r w:rsidR="00AC6998">
        <w:rPr>
          <w:b/>
          <w:noProof/>
          <w:sz w:val="18"/>
        </w:rPr>
        <w:t>6</w:t>
      </w:r>
      <w:r w:rsidRPr="00954435">
        <w:rPr>
          <w:b/>
          <w:noProof/>
          <w:sz w:val="18"/>
        </w:rPr>
        <w:fldChar w:fldCharType="end"/>
      </w:r>
      <w:bookmarkEnd w:id="556"/>
      <w:r w:rsidRPr="00954435">
        <w:rPr>
          <w:b/>
          <w:sz w:val="18"/>
          <w:lang w:eastAsia="en-NZ"/>
        </w:rPr>
        <w:t>: Efficiency labelling grades levels for storage cabinets:</w:t>
      </w:r>
      <w:bookmarkEnd w:id="557"/>
    </w:p>
    <w:tbl>
      <w:tblPr>
        <w:tblW w:w="9214" w:type="dxa"/>
        <w:tblInd w:w="108" w:type="dxa"/>
        <w:tblLook w:val="04A0" w:firstRow="1" w:lastRow="0" w:firstColumn="1" w:lastColumn="0" w:noHBand="0" w:noVBand="1"/>
      </w:tblPr>
      <w:tblGrid>
        <w:gridCol w:w="3091"/>
        <w:gridCol w:w="6123"/>
      </w:tblGrid>
      <w:tr w:rsidR="005636C7" w:rsidRPr="00F707FD" w14:paraId="182F1727" w14:textId="77777777" w:rsidTr="005636C7">
        <w:trPr>
          <w:trHeight w:val="585"/>
        </w:trPr>
        <w:tc>
          <w:tcPr>
            <w:tcW w:w="92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4BC55AA" w14:textId="77777777" w:rsidR="005636C7" w:rsidRPr="00F707FD" w:rsidRDefault="005636C7" w:rsidP="005636C7">
            <w:pPr>
              <w:pStyle w:val="E3TableHeading"/>
              <w:jc w:val="both"/>
            </w:pPr>
            <w:r w:rsidRPr="00F707FD">
              <w:t>Proposed EU energy efficiency levels for refrigerated storage cabinets</w:t>
            </w:r>
          </w:p>
        </w:tc>
      </w:tr>
      <w:tr w:rsidR="005636C7" w:rsidRPr="00114031" w14:paraId="2624AAE7" w14:textId="77777777" w:rsidTr="005636C7">
        <w:trPr>
          <w:trHeight w:val="454"/>
        </w:trPr>
        <w:tc>
          <w:tcPr>
            <w:tcW w:w="309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6197F614"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Energy Efficiency Class</w:t>
            </w:r>
          </w:p>
        </w:tc>
        <w:tc>
          <w:tcPr>
            <w:tcW w:w="61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C83EF9"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Refrigerated storage cabinets</w:t>
            </w:r>
          </w:p>
        </w:tc>
      </w:tr>
      <w:tr w:rsidR="005636C7" w14:paraId="2FCD7E7D"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7BD2E97"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FB14C6B"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EEI &lt; 5</w:t>
            </w:r>
          </w:p>
        </w:tc>
      </w:tr>
      <w:tr w:rsidR="005636C7" w14:paraId="3E4BF4B2"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97A3E2C"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1B02A19"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5 ≤ EEI &lt; 10</w:t>
            </w:r>
          </w:p>
        </w:tc>
      </w:tr>
      <w:tr w:rsidR="005636C7" w14:paraId="3FC0A7F7"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2F734EC"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0B5F68F"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10 ≤ EEI &lt; 15</w:t>
            </w:r>
          </w:p>
        </w:tc>
      </w:tr>
      <w:tr w:rsidR="005636C7" w14:paraId="520A5ADC"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CF87B4E"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A</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39F519A"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15 ≤ EEI &lt; 25</w:t>
            </w:r>
          </w:p>
        </w:tc>
      </w:tr>
      <w:tr w:rsidR="005636C7" w14:paraId="4A4559E1"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24C828F"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B</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7C39A394"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25 ≤ EEI &lt; 35</w:t>
            </w:r>
          </w:p>
        </w:tc>
      </w:tr>
      <w:tr w:rsidR="005636C7" w14:paraId="5EFA0053"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195E2FB"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C</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E3193A5"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35 ≤ EEI &lt; 50</w:t>
            </w:r>
          </w:p>
        </w:tc>
      </w:tr>
      <w:tr w:rsidR="005636C7" w14:paraId="03E29084"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37EB52C2"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D</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59D2B7D0"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50 ≤ EEI &lt; 75</w:t>
            </w:r>
          </w:p>
        </w:tc>
      </w:tr>
      <w:tr w:rsidR="005636C7" w14:paraId="4BE69135"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25CEC549"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E</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873573E"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75 ≤ EEI &lt; 85</w:t>
            </w:r>
          </w:p>
        </w:tc>
      </w:tr>
      <w:tr w:rsidR="005636C7" w14:paraId="3D35A383"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675D741F"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F</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73CA940" w14:textId="77777777" w:rsidR="005636C7" w:rsidRPr="00907A99" w:rsidRDefault="005636C7" w:rsidP="005636C7">
            <w:pPr>
              <w:pStyle w:val="E3tabletext1"/>
              <w:rPr>
                <w:rFonts w:ascii="Helvetica" w:hAnsi="Helvetica" w:cs="Helvetica"/>
                <w:sz w:val="18"/>
                <w:szCs w:val="18"/>
              </w:rPr>
            </w:pPr>
            <w:r w:rsidRPr="00907A99">
              <w:rPr>
                <w:rFonts w:ascii="Helvetica" w:hAnsi="Helvetica" w:cs="Helvetica"/>
                <w:sz w:val="18"/>
                <w:szCs w:val="18"/>
              </w:rPr>
              <w:t>85 ≤ EEI &lt; 95</w:t>
            </w:r>
          </w:p>
        </w:tc>
      </w:tr>
      <w:tr w:rsidR="005636C7" w14:paraId="6E39E92E" w14:textId="77777777" w:rsidTr="005636C7">
        <w:tblPrEx>
          <w:tblBorders>
            <w:top w:val="single" w:sz="6" w:space="0" w:color="000000"/>
            <w:left w:val="single" w:sz="6" w:space="0" w:color="000000"/>
            <w:bottom w:val="single" w:sz="6" w:space="0" w:color="000000"/>
            <w:right w:val="single" w:sz="6" w:space="0" w:color="000000"/>
          </w:tblBorders>
          <w:tblCellMar>
            <w:left w:w="0" w:type="dxa"/>
            <w:right w:w="0" w:type="dxa"/>
          </w:tblCellMar>
        </w:tblPrEx>
        <w:tc>
          <w:tcPr>
            <w:tcW w:w="3091"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4DCEB952" w14:textId="77777777" w:rsidR="005636C7" w:rsidRPr="00ED7BE5" w:rsidRDefault="005636C7" w:rsidP="005636C7">
            <w:pPr>
              <w:pStyle w:val="E3tabletext1"/>
              <w:rPr>
                <w:rFonts w:ascii="Helvetica" w:hAnsi="Helvetica" w:cs="Helvetica"/>
              </w:rPr>
            </w:pPr>
            <w:r w:rsidRPr="00ED7BE5">
              <w:rPr>
                <w:rFonts w:ascii="Helvetica" w:hAnsi="Helvetica" w:cs="Helvetica"/>
              </w:rPr>
              <w:t>G</w:t>
            </w:r>
          </w:p>
        </w:tc>
        <w:tc>
          <w:tcPr>
            <w:tcW w:w="6123" w:type="dxa"/>
            <w:tcBorders>
              <w:top w:val="single" w:sz="6" w:space="0" w:color="000000"/>
              <w:left w:val="single" w:sz="6" w:space="0" w:color="000000"/>
              <w:bottom w:val="single" w:sz="6" w:space="0" w:color="000000"/>
              <w:right w:val="single" w:sz="6" w:space="0" w:color="000000"/>
            </w:tcBorders>
            <w:shd w:val="clear" w:color="auto" w:fill="FFFFFF"/>
            <w:tcMar>
              <w:top w:w="30" w:type="dxa"/>
              <w:left w:w="75" w:type="dxa"/>
              <w:bottom w:w="30" w:type="dxa"/>
              <w:right w:w="30" w:type="dxa"/>
            </w:tcMar>
            <w:hideMark/>
          </w:tcPr>
          <w:p w14:paraId="0EA86BBD" w14:textId="77777777" w:rsidR="005636C7" w:rsidRPr="00ED7BE5" w:rsidRDefault="005636C7" w:rsidP="005636C7">
            <w:pPr>
              <w:pStyle w:val="E3tabletext1"/>
              <w:rPr>
                <w:rFonts w:ascii="Helvetica" w:hAnsi="Helvetica" w:cs="Helvetica"/>
              </w:rPr>
            </w:pPr>
            <w:r w:rsidRPr="00ED7BE5">
              <w:rPr>
                <w:rFonts w:ascii="Helvetica" w:hAnsi="Helvetica" w:cs="Helvetica"/>
              </w:rPr>
              <w:t>95 ≤ EEI &lt; 115</w:t>
            </w:r>
          </w:p>
        </w:tc>
      </w:tr>
    </w:tbl>
    <w:p w14:paraId="3EB37A67" w14:textId="77777777" w:rsidR="005636C7" w:rsidRPr="00D866F8" w:rsidRDefault="005636C7" w:rsidP="005636C7">
      <w:bookmarkStart w:id="558" w:name="_Ref450641575"/>
      <w:bookmarkStart w:id="559" w:name="_Toc449708987"/>
    </w:p>
    <w:p w14:paraId="066BA274" w14:textId="77777777" w:rsidR="005636C7" w:rsidRDefault="005636C7" w:rsidP="005636C7">
      <w:pPr>
        <w:pStyle w:val="E3BodyText"/>
        <w:rPr>
          <w:lang w:val="en-NZ" w:eastAsia="en-NZ"/>
        </w:rPr>
      </w:pPr>
      <w:r>
        <w:rPr>
          <w:lang w:val="en-NZ" w:eastAsia="en-NZ"/>
        </w:rPr>
        <w:t xml:space="preserve">As shown by </w:t>
      </w:r>
      <w:r>
        <w:rPr>
          <w:b/>
          <w:lang w:val="en-NZ" w:eastAsia="en-NZ"/>
        </w:rPr>
        <w:t>Table F 7</w:t>
      </w:r>
      <w:r>
        <w:rPr>
          <w:lang w:val="en-NZ" w:eastAsia="en-NZ"/>
        </w:rPr>
        <w:t xml:space="preserve">, the first implementation date for more stringent MEPS for storage cabinets was in July 2016.  Prior to that date cabinets were able to have an EEI higher than 115. Now storage cabinets </w:t>
      </w:r>
      <w:r w:rsidRPr="00AC7259">
        <w:rPr>
          <w:lang w:val="en-NZ" w:eastAsia="en-NZ"/>
        </w:rPr>
        <w:t xml:space="preserve">have to score an EEI of less than 115. In 2018 the EEI ramps down to less than 95, and </w:t>
      </w:r>
      <w:r>
        <w:rPr>
          <w:lang w:val="en-NZ" w:eastAsia="en-NZ"/>
        </w:rPr>
        <w:t xml:space="preserve">in </w:t>
      </w:r>
      <w:r w:rsidRPr="00AC7259">
        <w:rPr>
          <w:lang w:val="en-NZ" w:eastAsia="en-NZ"/>
        </w:rPr>
        <w:t xml:space="preserve">2019, less than an EEI of 85. </w:t>
      </w:r>
      <w:bookmarkStart w:id="560" w:name="_Toc456164817"/>
    </w:p>
    <w:p w14:paraId="6A43F83B" w14:textId="77777777" w:rsidR="005636C7" w:rsidRPr="00803448" w:rsidRDefault="005636C7" w:rsidP="005636C7">
      <w:pPr>
        <w:pStyle w:val="E3BodyText"/>
        <w:rPr>
          <w:lang w:val="en-NZ" w:eastAsia="en-NZ"/>
        </w:rPr>
      </w:pPr>
    </w:p>
    <w:p w14:paraId="4C96E333" w14:textId="77777777" w:rsidR="005636C7" w:rsidRDefault="005636C7" w:rsidP="005636C7">
      <w:pPr>
        <w:pStyle w:val="E3TableTitles"/>
        <w:spacing w:before="240"/>
        <w:rPr>
          <w:lang w:eastAsia="en-NZ"/>
        </w:rPr>
      </w:pPr>
      <w:bookmarkStart w:id="561" w:name="_Toc500159687"/>
      <w:r>
        <w:t xml:space="preserve">Table F </w:t>
      </w:r>
      <w:r>
        <w:fldChar w:fldCharType="begin"/>
      </w:r>
      <w:r>
        <w:instrText xml:space="preserve"> SEQ Table_F \* ARABIC </w:instrText>
      </w:r>
      <w:r>
        <w:fldChar w:fldCharType="separate"/>
      </w:r>
      <w:r w:rsidR="00AC6998">
        <w:rPr>
          <w:noProof/>
        </w:rPr>
        <w:t>7</w:t>
      </w:r>
      <w:r>
        <w:rPr>
          <w:noProof/>
        </w:rPr>
        <w:fldChar w:fldCharType="end"/>
      </w:r>
      <w:bookmarkEnd w:id="558"/>
      <w:r w:rsidRPr="002705A4">
        <w:rPr>
          <w:lang w:eastAsia="en-NZ"/>
        </w:rPr>
        <w:t>: “MEPS” improv</w:t>
      </w:r>
      <w:r>
        <w:rPr>
          <w:lang w:eastAsia="en-NZ"/>
        </w:rPr>
        <w:t>ement implementation dates for r</w:t>
      </w:r>
      <w:r w:rsidRPr="002705A4">
        <w:rPr>
          <w:lang w:eastAsia="en-NZ"/>
        </w:rPr>
        <w:t xml:space="preserve">efrigerated </w:t>
      </w:r>
      <w:r>
        <w:rPr>
          <w:lang w:eastAsia="en-NZ"/>
        </w:rPr>
        <w:t>storage c</w:t>
      </w:r>
      <w:r w:rsidRPr="002705A4">
        <w:rPr>
          <w:lang w:eastAsia="en-NZ"/>
        </w:rPr>
        <w:t>abinets.</w:t>
      </w:r>
      <w:bookmarkEnd w:id="559"/>
      <w:bookmarkEnd w:id="560"/>
      <w:bookmarkEnd w:id="561"/>
    </w:p>
    <w:tbl>
      <w:tblPr>
        <w:tblW w:w="9498" w:type="dxa"/>
        <w:tblInd w:w="108" w:type="dxa"/>
        <w:tblLook w:val="04A0" w:firstRow="1" w:lastRow="0" w:firstColumn="1" w:lastColumn="0" w:noHBand="0" w:noVBand="1"/>
      </w:tblPr>
      <w:tblGrid>
        <w:gridCol w:w="2031"/>
        <w:gridCol w:w="3551"/>
        <w:gridCol w:w="3916"/>
      </w:tblGrid>
      <w:tr w:rsidR="005636C7" w:rsidRPr="000D3847" w14:paraId="5F366101" w14:textId="77777777" w:rsidTr="005636C7">
        <w:trPr>
          <w:trHeight w:val="20"/>
        </w:trPr>
        <w:tc>
          <w:tcPr>
            <w:tcW w:w="9498"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396E75B" w14:textId="77777777" w:rsidR="005636C7" w:rsidRPr="000D3847" w:rsidRDefault="005636C7" w:rsidP="005636C7">
            <w:pPr>
              <w:pStyle w:val="E3TableHeading"/>
              <w:jc w:val="both"/>
            </w:pPr>
            <w:r w:rsidRPr="000D3847">
              <w:t>Proposed EU energy efficiency levels for refrigerated storage cabinets</w:t>
            </w:r>
          </w:p>
        </w:tc>
      </w:tr>
      <w:tr w:rsidR="005636C7" w:rsidRPr="00114031" w14:paraId="5D7F4586" w14:textId="77777777" w:rsidTr="005636C7">
        <w:trPr>
          <w:trHeight w:val="20"/>
        </w:trPr>
        <w:tc>
          <w:tcPr>
            <w:tcW w:w="20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344020"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Introduction</w:t>
            </w:r>
          </w:p>
        </w:tc>
        <w:tc>
          <w:tcPr>
            <w:tcW w:w="3551" w:type="dxa"/>
            <w:tcBorders>
              <w:top w:val="single" w:sz="4" w:space="0" w:color="auto"/>
              <w:left w:val="nil"/>
              <w:bottom w:val="nil"/>
              <w:right w:val="single" w:sz="4" w:space="0" w:color="000000"/>
            </w:tcBorders>
            <w:shd w:val="clear" w:color="auto" w:fill="D9D9D9" w:themeFill="background1" w:themeFillShade="D9"/>
            <w:vAlign w:val="center"/>
            <w:hideMark/>
          </w:tcPr>
          <w:p w14:paraId="238CE085"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Refrigerated storage cabinets</w:t>
            </w:r>
          </w:p>
        </w:tc>
        <w:tc>
          <w:tcPr>
            <w:tcW w:w="3916"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6E8E206F" w14:textId="77777777" w:rsidR="005636C7" w:rsidRPr="00907A99" w:rsidRDefault="005636C7" w:rsidP="005636C7">
            <w:pPr>
              <w:pStyle w:val="E3tabletext1"/>
              <w:jc w:val="both"/>
              <w:rPr>
                <w:rFonts w:ascii="Helvetica" w:hAnsi="Helvetica" w:cs="Helvetica"/>
                <w:sz w:val="18"/>
                <w:szCs w:val="18"/>
              </w:rPr>
            </w:pPr>
            <w:r w:rsidRPr="00907A99">
              <w:rPr>
                <w:rFonts w:ascii="Helvetica" w:hAnsi="Helvetica" w:cs="Helvetica"/>
                <w:sz w:val="18"/>
                <w:szCs w:val="18"/>
              </w:rPr>
              <w:t>Heavy duty cabinets</w:t>
            </w:r>
          </w:p>
        </w:tc>
      </w:tr>
      <w:tr w:rsidR="005636C7" w:rsidRPr="00114031" w14:paraId="71D1A69D" w14:textId="77777777" w:rsidTr="005636C7">
        <w:trPr>
          <w:trHeight w:val="267"/>
        </w:trPr>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14:paraId="769B019D"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From 1 July 2016</w:t>
            </w:r>
          </w:p>
        </w:tc>
        <w:tc>
          <w:tcPr>
            <w:tcW w:w="35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99DF5E"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115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11AF264"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115</w:t>
            </w:r>
          </w:p>
        </w:tc>
      </w:tr>
      <w:tr w:rsidR="005636C7" w:rsidRPr="00114031" w14:paraId="2DCB07DE"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12F1CF65" w14:textId="77777777" w:rsidR="005636C7" w:rsidRPr="00907A99" w:rsidRDefault="005636C7" w:rsidP="005636C7">
            <w:pPr>
              <w:pStyle w:val="E3tabletext1"/>
              <w:jc w:val="left"/>
              <w:rPr>
                <w:rFonts w:ascii="Helvetica" w:hAnsi="Helvetica" w:cs="Helvetica"/>
                <w:sz w:val="18"/>
                <w:szCs w:val="18"/>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61AE20FE" w14:textId="77777777" w:rsidR="005636C7" w:rsidRPr="00907A99" w:rsidRDefault="005636C7" w:rsidP="005636C7">
            <w:pPr>
              <w:pStyle w:val="E3tabletext1"/>
              <w:jc w:val="left"/>
              <w:rPr>
                <w:rFonts w:ascii="Helvetica" w:hAnsi="Helvetica" w:cs="Helvetica"/>
                <w:sz w:val="18"/>
                <w:szCs w:val="18"/>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70349F2A" w14:textId="77777777" w:rsidR="005636C7" w:rsidRPr="00907A99" w:rsidRDefault="005636C7" w:rsidP="005636C7">
            <w:pPr>
              <w:pStyle w:val="E3tabletext1"/>
              <w:jc w:val="left"/>
              <w:rPr>
                <w:rFonts w:ascii="Helvetica" w:hAnsi="Helvetica" w:cs="Helvetica"/>
                <w:sz w:val="18"/>
                <w:szCs w:val="18"/>
              </w:rPr>
            </w:pPr>
          </w:p>
        </w:tc>
      </w:tr>
      <w:tr w:rsidR="005636C7" w:rsidRPr="00114031" w14:paraId="0BAEDEC5" w14:textId="77777777" w:rsidTr="005636C7">
        <w:trPr>
          <w:trHeight w:val="267"/>
        </w:trPr>
        <w:tc>
          <w:tcPr>
            <w:tcW w:w="2031" w:type="dxa"/>
            <w:vMerge w:val="restart"/>
            <w:tcBorders>
              <w:top w:val="nil"/>
              <w:left w:val="single" w:sz="4" w:space="0" w:color="auto"/>
              <w:bottom w:val="single" w:sz="4" w:space="0" w:color="000000"/>
              <w:right w:val="single" w:sz="4" w:space="0" w:color="auto"/>
            </w:tcBorders>
            <w:shd w:val="clear" w:color="000000" w:fill="D8D8D8"/>
            <w:vAlign w:val="center"/>
            <w:hideMark/>
          </w:tcPr>
          <w:p w14:paraId="60F9A1FE"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From 1 January 2018</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14:paraId="63C87F03"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95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DBD8BF4"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w:t>
            </w:r>
          </w:p>
        </w:tc>
      </w:tr>
      <w:tr w:rsidR="005636C7" w:rsidRPr="00114031" w14:paraId="4B191B59"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4EA4D7D9" w14:textId="77777777" w:rsidR="005636C7" w:rsidRPr="00907A99" w:rsidRDefault="005636C7" w:rsidP="005636C7">
            <w:pPr>
              <w:pStyle w:val="E3tabletext1"/>
              <w:jc w:val="left"/>
              <w:rPr>
                <w:rFonts w:ascii="Helvetica" w:hAnsi="Helvetica" w:cs="Helvetica"/>
                <w:sz w:val="18"/>
                <w:szCs w:val="18"/>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24F98716" w14:textId="77777777" w:rsidR="005636C7" w:rsidRPr="00907A99" w:rsidRDefault="005636C7" w:rsidP="005636C7">
            <w:pPr>
              <w:pStyle w:val="E3tabletext1"/>
              <w:jc w:val="left"/>
              <w:rPr>
                <w:rFonts w:ascii="Helvetica" w:hAnsi="Helvetica" w:cs="Helvetica"/>
                <w:sz w:val="18"/>
                <w:szCs w:val="18"/>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13C01603" w14:textId="77777777" w:rsidR="005636C7" w:rsidRPr="00907A99" w:rsidRDefault="005636C7" w:rsidP="005636C7">
            <w:pPr>
              <w:pStyle w:val="E3tabletext1"/>
              <w:jc w:val="left"/>
              <w:rPr>
                <w:rFonts w:ascii="Helvetica" w:hAnsi="Helvetica" w:cs="Helvetica"/>
                <w:sz w:val="18"/>
                <w:szCs w:val="18"/>
              </w:rPr>
            </w:pPr>
          </w:p>
        </w:tc>
      </w:tr>
      <w:tr w:rsidR="005636C7" w:rsidRPr="00114031" w14:paraId="50EA05C4" w14:textId="77777777" w:rsidTr="005636C7">
        <w:trPr>
          <w:trHeight w:val="267"/>
        </w:trPr>
        <w:tc>
          <w:tcPr>
            <w:tcW w:w="2031"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1D3B1042"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From 1 July 2019</w:t>
            </w:r>
          </w:p>
        </w:tc>
        <w:tc>
          <w:tcPr>
            <w:tcW w:w="3551"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14:paraId="7DEB6F2B"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EEI &lt; 85</w:t>
            </w:r>
          </w:p>
        </w:tc>
        <w:tc>
          <w:tcPr>
            <w:tcW w:w="391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C14B17E" w14:textId="77777777" w:rsidR="005636C7" w:rsidRPr="00907A99" w:rsidRDefault="005636C7" w:rsidP="005636C7">
            <w:pPr>
              <w:pStyle w:val="E3tabletext1"/>
              <w:jc w:val="left"/>
              <w:rPr>
                <w:rFonts w:ascii="Helvetica" w:hAnsi="Helvetica" w:cs="Helvetica"/>
                <w:sz w:val="18"/>
                <w:szCs w:val="18"/>
              </w:rPr>
            </w:pPr>
            <w:r w:rsidRPr="00907A99">
              <w:rPr>
                <w:rFonts w:ascii="Helvetica" w:hAnsi="Helvetica" w:cs="Helvetica"/>
                <w:sz w:val="18"/>
                <w:szCs w:val="18"/>
              </w:rPr>
              <w:t>-</w:t>
            </w:r>
          </w:p>
        </w:tc>
      </w:tr>
      <w:tr w:rsidR="005636C7" w:rsidRPr="00114031" w14:paraId="771C89D9"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3CEC059F" w14:textId="77777777" w:rsidR="005636C7" w:rsidRPr="00114031" w:rsidRDefault="005636C7" w:rsidP="005636C7">
            <w:pPr>
              <w:pStyle w:val="E3TableHeading"/>
              <w:jc w:val="both"/>
              <w:rPr>
                <w:lang w:eastAsia="en-AU"/>
              </w:rPr>
            </w:pPr>
          </w:p>
        </w:tc>
        <w:tc>
          <w:tcPr>
            <w:tcW w:w="3551" w:type="dxa"/>
            <w:vMerge/>
            <w:tcBorders>
              <w:top w:val="single" w:sz="4" w:space="0" w:color="auto"/>
              <w:left w:val="single" w:sz="4" w:space="0" w:color="auto"/>
              <w:bottom w:val="single" w:sz="4" w:space="0" w:color="000000"/>
              <w:right w:val="single" w:sz="4" w:space="0" w:color="000000"/>
            </w:tcBorders>
            <w:vAlign w:val="center"/>
            <w:hideMark/>
          </w:tcPr>
          <w:p w14:paraId="45A0814C" w14:textId="77777777" w:rsidR="005636C7" w:rsidRPr="00114031" w:rsidRDefault="005636C7" w:rsidP="005636C7">
            <w:pPr>
              <w:pStyle w:val="E3TableHeading"/>
              <w:jc w:val="both"/>
              <w:rPr>
                <w:lang w:eastAsia="en-AU"/>
              </w:rPr>
            </w:pPr>
          </w:p>
        </w:tc>
        <w:tc>
          <w:tcPr>
            <w:tcW w:w="3916" w:type="dxa"/>
            <w:vMerge/>
            <w:tcBorders>
              <w:top w:val="single" w:sz="4" w:space="0" w:color="auto"/>
              <w:left w:val="single" w:sz="4" w:space="0" w:color="auto"/>
              <w:bottom w:val="single" w:sz="4" w:space="0" w:color="000000"/>
              <w:right w:val="single" w:sz="4" w:space="0" w:color="000000"/>
            </w:tcBorders>
            <w:vAlign w:val="center"/>
            <w:hideMark/>
          </w:tcPr>
          <w:p w14:paraId="398D26F6" w14:textId="77777777" w:rsidR="005636C7" w:rsidRPr="00114031" w:rsidRDefault="005636C7" w:rsidP="005636C7">
            <w:pPr>
              <w:pStyle w:val="E3TableHeading"/>
              <w:jc w:val="both"/>
              <w:rPr>
                <w:lang w:eastAsia="en-AU"/>
              </w:rPr>
            </w:pPr>
          </w:p>
        </w:tc>
      </w:tr>
    </w:tbl>
    <w:p w14:paraId="1CE14BE9" w14:textId="77777777" w:rsidR="005636C7" w:rsidRPr="00D866F8" w:rsidRDefault="005636C7" w:rsidP="005636C7"/>
    <w:p w14:paraId="0A29E9B6" w14:textId="77777777" w:rsidR="005636C7" w:rsidRDefault="005636C7" w:rsidP="005636C7">
      <w:pPr>
        <w:pStyle w:val="E3Heading4"/>
      </w:pPr>
      <w:r w:rsidRPr="007E3A56">
        <w:t>Impact of the regulatory prop</w:t>
      </w:r>
      <w:r>
        <w:t>osals</w:t>
      </w:r>
    </w:p>
    <w:p w14:paraId="04F7AA36" w14:textId="77777777" w:rsidR="005636C7" w:rsidRPr="009A7395" w:rsidRDefault="005636C7" w:rsidP="009A7395">
      <w:pPr>
        <w:pStyle w:val="E3BodyText"/>
      </w:pPr>
      <w:r w:rsidRPr="009A7395">
        <w:t xml:space="preserve">Adoption of the ISO Standard 2395 and associated Standards will incorporate cabinets not previously allocated a MEPS value or excluded by definition or cabinet type under AS 1731. </w:t>
      </w:r>
    </w:p>
    <w:p w14:paraId="2C498AD9" w14:textId="77777777" w:rsidR="005636C7" w:rsidRPr="0093439C" w:rsidRDefault="005636C7" w:rsidP="009A7395">
      <w:pPr>
        <w:pStyle w:val="E3Heading4"/>
        <w:spacing w:before="240"/>
      </w:pPr>
      <w:r w:rsidRPr="0093439C">
        <w:t>Definition of ‘family of models’ for display cabinets</w:t>
      </w:r>
    </w:p>
    <w:p w14:paraId="1C606746" w14:textId="77777777" w:rsidR="005636C7" w:rsidRPr="0085161C" w:rsidRDefault="005636C7" w:rsidP="005636C7">
      <w:pPr>
        <w:pStyle w:val="E3BodyText"/>
      </w:pPr>
      <w:r>
        <w:t xml:space="preserve">Currently it is unclear </w:t>
      </w:r>
      <w:r w:rsidRPr="0085161C">
        <w:t>what a ‘family’ of models represents</w:t>
      </w:r>
      <w:r>
        <w:t xml:space="preserve"> in AS 1731</w:t>
      </w:r>
      <w:r w:rsidRPr="0085161C">
        <w:t>. Clause 4.6.1 of part 1</w:t>
      </w:r>
      <w:r>
        <w:t xml:space="preserve"> of the standard defines a </w:t>
      </w:r>
      <w:r w:rsidRPr="0085161C">
        <w:t>‘family’ of models as:</w:t>
      </w:r>
    </w:p>
    <w:p w14:paraId="3966A400" w14:textId="77777777" w:rsidR="005636C7" w:rsidRPr="0085161C" w:rsidRDefault="005636C7" w:rsidP="005636C7">
      <w:pPr>
        <w:pStyle w:val="E3BodyText"/>
      </w:pPr>
      <w:r w:rsidRPr="0085161C">
        <w:t xml:space="preserve"> “A range of models of the one brand, for which a single set of test reports is applicable and where each of the models has the same relevant physical, characteristics, comparative energy consumption, energy efficiency rating and performance characteristics. The term ‘model’ is synonymous with ‘family of models’.”</w:t>
      </w:r>
    </w:p>
    <w:p w14:paraId="31AE56FD" w14:textId="77777777" w:rsidR="005636C7" w:rsidRPr="0085161C" w:rsidRDefault="005636C7" w:rsidP="005636C7">
      <w:pPr>
        <w:pStyle w:val="E3BodyText"/>
      </w:pPr>
      <w:r>
        <w:t xml:space="preserve">Any </w:t>
      </w:r>
      <w:r w:rsidRPr="0085161C">
        <w:t xml:space="preserve">confusion </w:t>
      </w:r>
      <w:r>
        <w:t xml:space="preserve">as to </w:t>
      </w:r>
      <w:r w:rsidRPr="0085161C">
        <w:t xml:space="preserve">whether this </w:t>
      </w:r>
      <w:r>
        <w:t xml:space="preserve">definition is intended to refer to </w:t>
      </w:r>
      <w:r w:rsidRPr="0085161C">
        <w:t xml:space="preserve">identical ‘clip together units’ or the resulting array of units in a cabinet bank, </w:t>
      </w:r>
      <w:r>
        <w:t xml:space="preserve">would be avoided </w:t>
      </w:r>
      <w:r w:rsidRPr="0085161C">
        <w:t>by moving to the ISO Standard 23953 (displ</w:t>
      </w:r>
      <w:r>
        <w:t>ay cabinets) and other related S</w:t>
      </w:r>
      <w:r w:rsidRPr="0085161C">
        <w:t>tandards.</w:t>
      </w:r>
    </w:p>
    <w:p w14:paraId="084BEA3A" w14:textId="77777777" w:rsidR="005636C7" w:rsidRPr="0085161C" w:rsidRDefault="005636C7" w:rsidP="005636C7">
      <w:pPr>
        <w:pStyle w:val="E3BodyText"/>
      </w:pPr>
      <w:r>
        <w:t>The ISO definition of family is</w:t>
      </w:r>
      <w:r w:rsidRPr="0085161C">
        <w:t xml:space="preserve"> “groups of cabinets” (clause 3.7.1 Part 1 Vocabulary). </w:t>
      </w:r>
    </w:p>
    <w:p w14:paraId="63655D07" w14:textId="77777777" w:rsidR="005636C7" w:rsidRDefault="005636C7" w:rsidP="005636C7">
      <w:pPr>
        <w:pStyle w:val="E3BodyText"/>
      </w:pPr>
      <w:r w:rsidRPr="0085161C">
        <w:t>These are further designated into broad types (vertical, horizontal</w:t>
      </w:r>
      <w:r>
        <w:t xml:space="preserve">, frozen or chilled) in </w:t>
      </w:r>
      <w:r w:rsidRPr="001A7457">
        <w:rPr>
          <w:b/>
        </w:rPr>
        <w:t>Annex A</w:t>
      </w:r>
      <w:r>
        <w:t xml:space="preserve"> of ISO 23953 </w:t>
      </w:r>
      <w:r w:rsidRPr="0085161C">
        <w:t xml:space="preserve">– meaning that suppliers must define their cabinets into master groups irrespective of </w:t>
      </w:r>
      <w:r>
        <w:t>factors such as size, shape and</w:t>
      </w:r>
      <w:r w:rsidRPr="0085161C">
        <w:t xml:space="preserve"> dimensions</w:t>
      </w:r>
      <w:r>
        <w:t>,</w:t>
      </w:r>
      <w:r w:rsidRPr="0085161C">
        <w:t xml:space="preserve"> </w:t>
      </w:r>
      <w:r>
        <w:t>s</w:t>
      </w:r>
      <w:r w:rsidRPr="0085161C">
        <w:t xml:space="preserve">ee </w:t>
      </w:r>
      <w:r>
        <w:rPr>
          <w:b/>
        </w:rPr>
        <w:t xml:space="preserve">Figure 15 </w:t>
      </w:r>
      <w:r w:rsidRPr="0085161C">
        <w:t>below.</w:t>
      </w:r>
      <w:r>
        <w:rPr>
          <w:rStyle w:val="FootnoteReference"/>
        </w:rPr>
        <w:footnoteReference w:id="59"/>
      </w:r>
    </w:p>
    <w:p w14:paraId="42AECAF5" w14:textId="77777777" w:rsidR="005636C7" w:rsidRDefault="005636C7" w:rsidP="005636C7">
      <w:pPr>
        <w:rPr>
          <w:rFonts w:eastAsia="Calibri" w:cs="Georgia"/>
          <w:color w:val="000000"/>
          <w:szCs w:val="19"/>
          <w:lang w:val="en-US"/>
        </w:rPr>
      </w:pPr>
      <w:r>
        <w:br w:type="page"/>
      </w:r>
    </w:p>
    <w:p w14:paraId="46ACE4AE" w14:textId="77777777" w:rsidR="005636C7" w:rsidRDefault="005636C7" w:rsidP="005636C7">
      <w:pPr>
        <w:pStyle w:val="E3Figuretitles"/>
        <w:spacing w:before="240" w:after="120"/>
      </w:pPr>
      <w:bookmarkStart w:id="562" w:name="_Toc494142492"/>
      <w:bookmarkStart w:id="563" w:name="_Toc495045829"/>
      <w:r>
        <w:t xml:space="preserve">Figure F </w:t>
      </w:r>
      <w:r>
        <w:fldChar w:fldCharType="begin"/>
      </w:r>
      <w:r>
        <w:instrText xml:space="preserve"> SEQ Figure \* ARABIC </w:instrText>
      </w:r>
      <w:r>
        <w:fldChar w:fldCharType="separate"/>
      </w:r>
      <w:r w:rsidR="00AC6998">
        <w:rPr>
          <w:noProof/>
        </w:rPr>
        <w:t>2</w:t>
      </w:r>
      <w:r>
        <w:rPr>
          <w:noProof/>
        </w:rPr>
        <w:fldChar w:fldCharType="end"/>
      </w:r>
      <w:r>
        <w:t>: Extract from the efficiency standard ISO 23953 for display cabinets – designation of cabinet ‘families’ (groups of models, Table D.1).</w:t>
      </w:r>
      <w:bookmarkEnd w:id="562"/>
      <w:bookmarkEnd w:id="563"/>
    </w:p>
    <w:p w14:paraId="71CDD295" w14:textId="77777777" w:rsidR="005636C7" w:rsidRDefault="005636C7" w:rsidP="005636C7">
      <w:pPr>
        <w:pStyle w:val="E3BodyText"/>
      </w:pPr>
      <w:r>
        <w:rPr>
          <w:noProof/>
          <w:lang w:val="en-AU" w:eastAsia="en-AU"/>
        </w:rPr>
        <w:drawing>
          <wp:inline distT="0" distB="0" distL="0" distR="0" wp14:anchorId="3F33844A" wp14:editId="3666DC2E">
            <wp:extent cx="5454502" cy="6360236"/>
            <wp:effectExtent l="19050" t="19050" r="13335" b="21590"/>
            <wp:docPr id="242" name="Picture 242" descr="broad groups of either hirizontal, vertical or combined - and either frozen or chilled." title="European designation of 'family' of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5071" t="6876" r="26397" b="2579"/>
                    <a:stretch/>
                  </pic:blipFill>
                  <pic:spPr bwMode="auto">
                    <a:xfrm>
                      <a:off x="0" y="0"/>
                      <a:ext cx="5460941" cy="636774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00148323" w14:textId="77777777" w:rsidR="005636C7" w:rsidRPr="00DA4189" w:rsidRDefault="005636C7" w:rsidP="005636C7">
      <w:pPr>
        <w:rPr>
          <w:sz w:val="12"/>
          <w:szCs w:val="12"/>
        </w:rPr>
      </w:pPr>
    </w:p>
    <w:p w14:paraId="2DF7837F" w14:textId="77777777" w:rsidR="005636C7" w:rsidRPr="0093439C" w:rsidRDefault="005636C7" w:rsidP="005636C7">
      <w:pPr>
        <w:pStyle w:val="E3Heading4"/>
      </w:pPr>
      <w:r w:rsidRPr="0093439C">
        <w:t>Alternate Components for display cabinets.</w:t>
      </w:r>
    </w:p>
    <w:p w14:paraId="0B7C784E" w14:textId="77777777" w:rsidR="005636C7" w:rsidRPr="0085161C" w:rsidRDefault="005636C7" w:rsidP="004F3785">
      <w:pPr>
        <w:pStyle w:val="E3BodyText"/>
        <w:rPr>
          <w:lang w:val="en-NZ"/>
        </w:rPr>
      </w:pPr>
      <w:r>
        <w:t>Under ISO 23953, the S</w:t>
      </w:r>
      <w:r w:rsidRPr="0085161C">
        <w:t xml:space="preserve">tandard enables calculation of Revised Refrigeration Energy Consumption. All things being identical, rated components can be substituted in models that have already been tested for efficiency. </w:t>
      </w:r>
    </w:p>
    <w:p w14:paraId="41200F4B" w14:textId="77777777" w:rsidR="005636C7" w:rsidRDefault="005636C7" w:rsidP="004F3785">
      <w:pPr>
        <w:pStyle w:val="E3BodyText"/>
      </w:pPr>
      <w:r w:rsidRPr="0085161C">
        <w:t xml:space="preserve">This means that cabinet models </w:t>
      </w:r>
      <w:r w:rsidRPr="0085161C">
        <w:rPr>
          <w:u w:val="single"/>
        </w:rPr>
        <w:t>do not</w:t>
      </w:r>
      <w:r w:rsidRPr="0085161C">
        <w:t xml:space="preserve"> need to be re-tested or re-registered as long as, if required, the supplier can prove the components rate as efficiently as those in the original model.  </w:t>
      </w:r>
    </w:p>
    <w:p w14:paraId="05F78A9D" w14:textId="77777777" w:rsidR="005636C7" w:rsidRPr="0085161C" w:rsidRDefault="005636C7" w:rsidP="005636C7">
      <w:pPr>
        <w:jc w:val="both"/>
      </w:pPr>
    </w:p>
    <w:p w14:paraId="048D5EC3" w14:textId="77777777" w:rsidR="005636C7" w:rsidRPr="0085161C" w:rsidRDefault="005636C7" w:rsidP="005636C7">
      <w:pPr>
        <w:pStyle w:val="E3Heading4"/>
      </w:pPr>
      <w:r w:rsidRPr="0085161C">
        <w:t xml:space="preserve"> </w:t>
      </w:r>
      <w:r w:rsidRPr="00DA4189">
        <w:t>‘</w:t>
      </w:r>
      <w:r w:rsidRPr="0093439C">
        <w:t>Built in’ display cabinets.</w:t>
      </w:r>
      <w:r w:rsidRPr="00DA4189">
        <w:t xml:space="preserve"> </w:t>
      </w:r>
    </w:p>
    <w:p w14:paraId="3E791B62" w14:textId="77777777" w:rsidR="005636C7" w:rsidRPr="0085161C" w:rsidRDefault="005636C7" w:rsidP="004F3785">
      <w:pPr>
        <w:pStyle w:val="E3BodyText"/>
      </w:pPr>
      <w:r w:rsidRPr="0085161C">
        <w:t xml:space="preserve">In the EC regulations (from April 2016) for display cabinets, there is an exemption for ‘Built in’ cabinets. These are further defined as: </w:t>
      </w:r>
    </w:p>
    <w:p w14:paraId="471C4F73" w14:textId="77777777" w:rsidR="005636C7" w:rsidRPr="0085161C" w:rsidRDefault="005636C7" w:rsidP="004F3785">
      <w:pPr>
        <w:pStyle w:val="E3BodyText"/>
      </w:pPr>
      <w:r w:rsidRPr="0085161C">
        <w:t>“</w:t>
      </w:r>
      <w:r>
        <w:t>..</w:t>
      </w:r>
      <w:r w:rsidRPr="00DA4189">
        <w:t>a fixed insulated refrigerating appliance intended to be installed in a prepared recess in a wall or similar location, and requiring furniture finishing” [clause 1(h) of Article 2 Definitions</w:t>
      </w:r>
      <w:r w:rsidRPr="0085161C">
        <w:t>]</w:t>
      </w:r>
    </w:p>
    <w:p w14:paraId="2420C83E" w14:textId="77777777" w:rsidR="005636C7" w:rsidRPr="0093439C" w:rsidRDefault="005636C7" w:rsidP="005636C7">
      <w:pPr>
        <w:pStyle w:val="E3Heading4"/>
      </w:pPr>
      <w:r w:rsidRPr="0093439C">
        <w:t>‘Built in’ storage (professional) cabinets.</w:t>
      </w:r>
    </w:p>
    <w:p w14:paraId="18AEC7B8" w14:textId="77777777" w:rsidR="005636C7" w:rsidRPr="0085161C" w:rsidRDefault="005636C7" w:rsidP="005636C7">
      <w:pPr>
        <w:pStyle w:val="E3BodyText"/>
      </w:pPr>
      <w:r w:rsidRPr="0085161C">
        <w:t xml:space="preserve">As with display cabinets, there is an exemption for ‘built-in’ storage cabinets from complying with the energy efficiency levels. These are defined in a very similar way as the draft EC regulations for display cabinets: </w:t>
      </w:r>
    </w:p>
    <w:p w14:paraId="0430A57B" w14:textId="77777777" w:rsidR="005636C7" w:rsidRPr="00DA4189" w:rsidRDefault="005636C7" w:rsidP="005636C7">
      <w:pPr>
        <w:pStyle w:val="E3BodyText"/>
      </w:pPr>
      <w:r w:rsidRPr="0085161C">
        <w:t>“</w:t>
      </w:r>
      <w:r>
        <w:t>...</w:t>
      </w:r>
      <w:r w:rsidRPr="00DA4189">
        <w:t xml:space="preserve">a fixed insulated refrigerating appliance intended to be installed in </w:t>
      </w:r>
      <w:r w:rsidRPr="00DA4189">
        <w:rPr>
          <w:u w:val="single"/>
        </w:rPr>
        <w:t>a cabinet</w:t>
      </w:r>
      <w:r w:rsidRPr="00DA4189">
        <w:t xml:space="preserve"> [emphasis added], in a prepared recess in a wall or similar location, and requiring furniture finishing.” [clause (c) Article 2 Definitions].</w:t>
      </w:r>
    </w:p>
    <w:p w14:paraId="594905AC" w14:textId="77777777" w:rsidR="005636C7" w:rsidRPr="00DA4189" w:rsidRDefault="005636C7" w:rsidP="005636C7">
      <w:pPr>
        <w:pStyle w:val="E3Heading4"/>
      </w:pPr>
      <w:r w:rsidRPr="00952259">
        <w:t>‘</w:t>
      </w:r>
      <w:r w:rsidRPr="0093439C">
        <w:t>Custom made’ and one-off storage (professional) cabinets.</w:t>
      </w:r>
    </w:p>
    <w:p w14:paraId="616B74D8" w14:textId="77777777" w:rsidR="005636C7" w:rsidRPr="0085161C" w:rsidRDefault="005636C7" w:rsidP="005636C7">
      <w:pPr>
        <w:pStyle w:val="E3BodyText"/>
      </w:pPr>
      <w:r w:rsidRPr="0085161C">
        <w:t>Custom made storage cabinets are exempt from the scope of the storage cabinet regulations: these are defined in Article 1 clause 3(i) as:</w:t>
      </w:r>
    </w:p>
    <w:p w14:paraId="726E68BE" w14:textId="77777777" w:rsidR="005636C7" w:rsidRPr="0085161C" w:rsidRDefault="005636C7" w:rsidP="005636C7">
      <w:pPr>
        <w:pStyle w:val="E3BodyText"/>
      </w:pPr>
      <w:r w:rsidRPr="0085161C">
        <w:t xml:space="preserve">“…made on a one-off basis according to individual customer specification and not </w:t>
      </w:r>
      <w:r w:rsidRPr="0085161C">
        <w:rPr>
          <w:u w:val="single"/>
        </w:rPr>
        <w:t>equivalent</w:t>
      </w:r>
      <w:r w:rsidRPr="0085161C">
        <w:t xml:space="preserve"> [emphasis added] to other professional refrigerated storage cabinets as described in definition 10 of Annex 1.”</w:t>
      </w:r>
    </w:p>
    <w:p w14:paraId="10B53EE8" w14:textId="77777777" w:rsidR="005636C7" w:rsidRPr="0085161C" w:rsidRDefault="005636C7" w:rsidP="005636C7">
      <w:pPr>
        <w:pStyle w:val="E3BodyText"/>
      </w:pPr>
      <w:r w:rsidRPr="0085161C">
        <w:t>‘Equivalent’ is further defined in Annex 1 as:</w:t>
      </w:r>
    </w:p>
    <w:p w14:paraId="143B03C1" w14:textId="77777777" w:rsidR="005636C7" w:rsidRPr="0085161C" w:rsidRDefault="005636C7" w:rsidP="005636C7">
      <w:pPr>
        <w:pStyle w:val="E3BodyText"/>
      </w:pPr>
      <w:r w:rsidRPr="0085161C">
        <w:t>“a professional refrigerated storage cabinet model placed on the market with the same net volume, same technical, efficiency and performance characteristics, and same compartment types and volumes as another professional refrigerated storage cabinet model placed on the market under a different commercial code number by the same manufacturer.” [clause 10 of Annex 1]</w:t>
      </w:r>
    </w:p>
    <w:p w14:paraId="370BC2CE" w14:textId="77777777" w:rsidR="005636C7" w:rsidRPr="0085161C" w:rsidRDefault="005636C7" w:rsidP="004F3785">
      <w:pPr>
        <w:pStyle w:val="E3BodyText"/>
        <w:rPr>
          <w:lang w:val="en-NZ"/>
        </w:rPr>
      </w:pPr>
      <w:r w:rsidRPr="0085161C">
        <w:t>This would mean that in an Australasian scheme, both built in, custom made storage cabinets and one-off cabinets, would also be exempt from MEPS compliance.</w:t>
      </w:r>
    </w:p>
    <w:p w14:paraId="593D1B72" w14:textId="77777777" w:rsidR="005636C7" w:rsidRPr="0093439C" w:rsidRDefault="005636C7" w:rsidP="005636C7">
      <w:pPr>
        <w:pStyle w:val="E3Heading4"/>
      </w:pPr>
      <w:r w:rsidRPr="0093439C">
        <w:t>Custom-made or one-off display cabinets.</w:t>
      </w:r>
    </w:p>
    <w:p w14:paraId="1852D09D" w14:textId="77777777" w:rsidR="005636C7" w:rsidRPr="0085161C" w:rsidRDefault="005636C7" w:rsidP="004F3785">
      <w:pPr>
        <w:pStyle w:val="E3BodyText"/>
        <w:spacing w:line="276" w:lineRule="auto"/>
      </w:pPr>
      <w:r w:rsidRPr="0085161C">
        <w:t xml:space="preserve">Custom made display cabinets are also exempt from the scope of the EC regulations: these are defined in Article 1 clause 2(h) as: </w:t>
      </w:r>
    </w:p>
    <w:p w14:paraId="3C19D59A" w14:textId="77777777" w:rsidR="005636C7" w:rsidRPr="0085161C" w:rsidRDefault="005636C7" w:rsidP="004F3785">
      <w:pPr>
        <w:pStyle w:val="E3BodyText"/>
        <w:spacing w:line="276" w:lineRule="auto"/>
      </w:pPr>
      <w:r w:rsidRPr="0085161C">
        <w:t xml:space="preserve">“…made on a one-off basis according to individual customer specification and not </w:t>
      </w:r>
      <w:r w:rsidRPr="0085161C">
        <w:rPr>
          <w:u w:val="single"/>
        </w:rPr>
        <w:t>equivalent</w:t>
      </w:r>
      <w:r w:rsidRPr="0085161C">
        <w:t xml:space="preserve"> [emphasis added] to other refrigerated commercial display cabinets as described in definition 18 of Annex 1.” </w:t>
      </w:r>
    </w:p>
    <w:p w14:paraId="4624421F" w14:textId="77777777" w:rsidR="005636C7" w:rsidRPr="0085161C" w:rsidRDefault="005636C7" w:rsidP="004F3785">
      <w:pPr>
        <w:pStyle w:val="E3BodyText"/>
        <w:spacing w:line="276" w:lineRule="auto"/>
      </w:pPr>
      <w:r w:rsidRPr="0085161C">
        <w:t>‘Equivalent’ is further defined in Annex 1 as:</w:t>
      </w:r>
    </w:p>
    <w:p w14:paraId="78097C8B" w14:textId="77777777" w:rsidR="005636C7" w:rsidRPr="0085161C" w:rsidRDefault="005636C7" w:rsidP="004F3785">
      <w:pPr>
        <w:pStyle w:val="E3BodyText"/>
        <w:spacing w:line="276" w:lineRule="auto"/>
      </w:pPr>
      <w:r w:rsidRPr="0085161C">
        <w:t>“a refrigerated commercial display cabinet placed on the market with the same net volume, or total display area, same technical, efficiency and performance characteristics, and same compartment types, display areas and volumes as another refrigerated commercial display cabinet model placed on the market under a different commercial code number by the same manufacturer.” [clause 18 of Annex 1]</w:t>
      </w:r>
    </w:p>
    <w:p w14:paraId="1EFBE62C" w14:textId="77777777" w:rsidR="005636C7" w:rsidRDefault="005636C7" w:rsidP="004F3785">
      <w:pPr>
        <w:pStyle w:val="E3BodyText"/>
        <w:spacing w:line="276" w:lineRule="auto"/>
      </w:pPr>
      <w:r w:rsidRPr="0085161C">
        <w:t>This would mean that in an Australasian scheme, both built in, custom made storage cabinets and one-off cabinets, would also be exempt from MEPS compliance.</w:t>
      </w:r>
    </w:p>
    <w:p w14:paraId="40B9DB42" w14:textId="77777777" w:rsidR="005636C7" w:rsidRPr="0093439C" w:rsidRDefault="005636C7" w:rsidP="005636C7">
      <w:pPr>
        <w:pStyle w:val="E3Heading4"/>
      </w:pPr>
      <w:r w:rsidRPr="0093439C">
        <w:t>By grouping cabinet types, and allocating MEPS – wine and chocolate cabinets are covered</w:t>
      </w:r>
    </w:p>
    <w:p w14:paraId="351D5270" w14:textId="77777777" w:rsidR="005636C7" w:rsidRDefault="005636C7" w:rsidP="004F3785">
      <w:pPr>
        <w:pStyle w:val="E3BodyText"/>
        <w:spacing w:line="276" w:lineRule="auto"/>
      </w:pPr>
      <w:r w:rsidRPr="00AC7259">
        <w:t>Because the MEPS specifications (</w:t>
      </w:r>
      <w:r>
        <w:t xml:space="preserve">implemented or to be introduced </w:t>
      </w:r>
      <w:r w:rsidRPr="00AC7259">
        <w:t>in Europe) are proposed to be based on groups of cabinet types – all cabinets must be tested to a specified holding temperature (M, L or S)</w:t>
      </w:r>
      <w:r>
        <w:t xml:space="preserve">. This is </w:t>
      </w:r>
      <w:r w:rsidRPr="00AC7259">
        <w:t>irrespective of them being remote or integral</w:t>
      </w:r>
      <w:r>
        <w:t>.</w:t>
      </w:r>
      <w:r w:rsidRPr="00AC7259">
        <w:t xml:space="preserve">  </w:t>
      </w:r>
      <w:r>
        <w:t>W</w:t>
      </w:r>
      <w:r w:rsidRPr="00AC7259">
        <w:t xml:space="preserve">ine cabinets, chocolate cabinets and other ‘special’ temperatures must then comply with the relevant MEPS levels.  Specific mention is made of ‘wine STORAGE applications’ (emphasis added) being </w:t>
      </w:r>
      <w:r w:rsidRPr="00AC7259">
        <w:rPr>
          <w:i/>
        </w:rPr>
        <w:t>excluded</w:t>
      </w:r>
      <w:r w:rsidRPr="00AC7259">
        <w:t xml:space="preserve"> from the draft </w:t>
      </w:r>
      <w:r w:rsidRPr="00AC7259">
        <w:rPr>
          <w:i/>
        </w:rPr>
        <w:t>display</w:t>
      </w:r>
      <w:r w:rsidRPr="00AC7259">
        <w:t xml:space="preserve"> cabinet EC regulations however these are specifically captured in the </w:t>
      </w:r>
      <w:r w:rsidRPr="00AC7259">
        <w:rPr>
          <w:i/>
        </w:rPr>
        <w:t>storage cabinet</w:t>
      </w:r>
      <w:r w:rsidRPr="00AC7259">
        <w:t xml:space="preserve"> standard (classified as cabinets containing ‘foodstuffs’. The definition of ‘foodstuffs’ specifically includes wine).</w:t>
      </w:r>
    </w:p>
    <w:p w14:paraId="40F055E6" w14:textId="77777777" w:rsidR="005636C7" w:rsidRPr="0093439C" w:rsidRDefault="005636C7" w:rsidP="005636C7">
      <w:pPr>
        <w:pStyle w:val="E3Heading4"/>
      </w:pPr>
      <w:bookmarkStart w:id="564" w:name="_Toc295033289"/>
      <w:r w:rsidRPr="0093439C">
        <w:t>Cabinets with non-standard storage temperatures</w:t>
      </w:r>
      <w:bookmarkEnd w:id="564"/>
    </w:p>
    <w:p w14:paraId="5F1C2FC5" w14:textId="77777777" w:rsidR="005636C7" w:rsidRPr="00AC7259" w:rsidRDefault="005636C7" w:rsidP="004F3785">
      <w:pPr>
        <w:pStyle w:val="E3BodyText"/>
        <w:spacing w:line="276" w:lineRule="auto"/>
      </w:pPr>
      <w:r w:rsidRPr="00AC7259">
        <w:t>Cabinets can be split into two broad operating temperature classes, those with mean storage temperatures:</w:t>
      </w:r>
    </w:p>
    <w:p w14:paraId="576182E3" w14:textId="77777777" w:rsidR="005636C7" w:rsidRPr="004F3785" w:rsidRDefault="005636C7" w:rsidP="004F3785">
      <w:pPr>
        <w:pStyle w:val="ListBullet"/>
        <w:spacing w:line="276" w:lineRule="auto"/>
        <w:rPr>
          <w:rFonts w:ascii="Georgia" w:hAnsi="Georgia"/>
        </w:rPr>
      </w:pPr>
      <w:r w:rsidRPr="004F3785">
        <w:rPr>
          <w:rFonts w:ascii="Georgia" w:hAnsi="Georgia"/>
        </w:rPr>
        <w:t xml:space="preserve">Below zero, or low temperature cabinets such as freezers; and </w:t>
      </w:r>
    </w:p>
    <w:p w14:paraId="52E73500" w14:textId="77777777" w:rsidR="005636C7" w:rsidRPr="004F3785" w:rsidRDefault="005636C7" w:rsidP="004F3785">
      <w:pPr>
        <w:pStyle w:val="ListBullet"/>
        <w:spacing w:line="276" w:lineRule="auto"/>
        <w:rPr>
          <w:rFonts w:ascii="Georgia" w:hAnsi="Georgia"/>
        </w:rPr>
      </w:pPr>
      <w:r w:rsidRPr="004F3785">
        <w:rPr>
          <w:rFonts w:ascii="Georgia" w:hAnsi="Georgia"/>
        </w:rPr>
        <w:t>Above zero, or medium temperature cabinets such as chillers and refrigerators.</w:t>
      </w:r>
    </w:p>
    <w:p w14:paraId="0AE9287B" w14:textId="77777777" w:rsidR="005636C7" w:rsidRPr="00AC7259" w:rsidRDefault="005636C7" w:rsidP="004F3785">
      <w:pPr>
        <w:pStyle w:val="E3BodyText"/>
        <w:spacing w:before="240" w:line="276" w:lineRule="auto"/>
      </w:pPr>
      <w:r w:rsidRPr="00AC7259">
        <w:t xml:space="preserve">Grouping commercial refrigeration products into several broader classifications rather than a multitude of specific types and sub-type means there is less scope for cabinets to be excluded because they may not exactly fit a specific definition or sub-type. </w:t>
      </w:r>
    </w:p>
    <w:p w14:paraId="2DC2A43E" w14:textId="77777777" w:rsidR="005636C7" w:rsidRPr="00AC7259" w:rsidRDefault="005636C7" w:rsidP="004F3785">
      <w:pPr>
        <w:pStyle w:val="E3BodyText"/>
        <w:spacing w:line="276" w:lineRule="auto"/>
      </w:pPr>
      <w:r w:rsidRPr="00AC7259">
        <w:t>Specific cabinets with “non-standard” product storage temperatures such as those intended to store chocolate or wine can be included in the broad group with mean storage temperatures above zero.</w:t>
      </w:r>
    </w:p>
    <w:p w14:paraId="1F23A2C9" w14:textId="77777777" w:rsidR="005636C7" w:rsidRPr="00AC7259" w:rsidRDefault="005636C7" w:rsidP="004F3785">
      <w:pPr>
        <w:pStyle w:val="E3BodyText"/>
        <w:spacing w:line="276" w:lineRule="auto"/>
      </w:pPr>
      <w:r w:rsidRPr="00AC7259">
        <w:t>Currently AS 1731 specifies MEPS levels for storage temperature classes L1, L2, M1 and M2 for integral cabinets but not for remote cabinets. Irrespective of the temperature class of a remote cabinet it is assumed that the MEPS level will apply to all the medium temperature classes and to all the low temperatures classes.</w:t>
      </w:r>
    </w:p>
    <w:p w14:paraId="3528BEB4" w14:textId="77777777" w:rsidR="005636C7" w:rsidRPr="00AC7259" w:rsidRDefault="005636C7" w:rsidP="004F3785">
      <w:pPr>
        <w:pStyle w:val="E3BodyText"/>
        <w:spacing w:line="276" w:lineRule="auto"/>
      </w:pPr>
      <w:r w:rsidRPr="00AC7259">
        <w:t>Thus cabinets falling outside of these temperature ranges or those that do not fall within the definitions of the various sub-types are not subject to maximum energy consumption limits.</w:t>
      </w:r>
    </w:p>
    <w:p w14:paraId="7728D661" w14:textId="77777777" w:rsidR="005636C7" w:rsidRPr="00AC7259" w:rsidRDefault="005636C7" w:rsidP="004F3785">
      <w:pPr>
        <w:pStyle w:val="E3BodyText"/>
        <w:spacing w:line="276" w:lineRule="auto"/>
      </w:pPr>
      <w:r w:rsidRPr="00AC7259">
        <w:t>However a refrigerated cabinet intended to store and display wine is a refrigerated cabinet with a mean storage temperature above zero and therefore should be included in this grouping, although they may need to be subject to a specific definition and modified test requirements.</w:t>
      </w:r>
    </w:p>
    <w:p w14:paraId="74B54304" w14:textId="77777777" w:rsidR="005636C7" w:rsidRPr="00AC7259" w:rsidRDefault="005636C7" w:rsidP="004F3785">
      <w:pPr>
        <w:pStyle w:val="E3BodyText"/>
        <w:spacing w:line="276" w:lineRule="auto"/>
      </w:pPr>
      <w:r w:rsidRPr="00AC7259">
        <w:t>The performance standard for household refrigerating appliances AS/NZS 4474 incorporates very specific requirements in Clause 1.3.18 (e) covering the definition of cabinets specifically designed exclusively for the storage and/or long term maturation of wine. This includes the ability to keep products above the ambient temperature if such circumstances occur, maintain temperatures within a 0.5 K tolerance, control of humidity and construction to reduce vibration.</w:t>
      </w:r>
      <w:r>
        <w:t xml:space="preserve"> </w:t>
      </w:r>
      <w:r w:rsidRPr="00AC7259">
        <w:t>While cabinets or compartments meeting this criteria are specifically excluded by the scope of this particular performance standard, household refrigerating appliances that may be used to store wine are still covered by this standard, although when tested do not have to meet all of the test requirements.</w:t>
      </w:r>
    </w:p>
    <w:p w14:paraId="68D8F35A" w14:textId="77777777" w:rsidR="005636C7" w:rsidRPr="00AC7259" w:rsidRDefault="005636C7" w:rsidP="004F3785">
      <w:pPr>
        <w:pStyle w:val="E3BodyText"/>
      </w:pPr>
      <w:r w:rsidRPr="00AC7259">
        <w:t>In terms of refrigeration capacity a refrigerating appliance, such as a wine cabinet, storing product at temperatures above that required for the normal safe storage of foodstuffs, would be less demanding than a cabinet storing product at safe storage temperatures and therefore would have a lower daily energy consumption requirement.</w:t>
      </w:r>
    </w:p>
    <w:p w14:paraId="65FCAA1F" w14:textId="77777777" w:rsidR="005636C7" w:rsidRPr="00AC7259" w:rsidRDefault="005636C7" w:rsidP="004F3785">
      <w:pPr>
        <w:pStyle w:val="E3BodyText"/>
      </w:pPr>
      <w:r w:rsidRPr="00AC7259">
        <w:t>Such cabinets would, without doubt, meet any universal minimum energy performance standards applied to commercial refrigerating appliances intended for operation at mean storage temperature above zero, should undergo testing at the intended storage temperature, and apart from an exclusion from meeting the door opening requirements, be subject to regulation, without exception.</w:t>
      </w:r>
    </w:p>
    <w:p w14:paraId="29174CB7" w14:textId="77777777" w:rsidR="005636C7" w:rsidRPr="00293D1C" w:rsidRDefault="005636C7" w:rsidP="004F3785">
      <w:pPr>
        <w:pStyle w:val="E3BodyText"/>
        <w:rPr>
          <w:b/>
        </w:rPr>
      </w:pPr>
      <w:r w:rsidRPr="00AC7259">
        <w:t xml:space="preserve">Basically an all-encompassing structure should be used to apply minimum efficiency levels to all commercial refrigerating appliances regardless of storage temperature. The basic structure of the European combined group classification is shown </w:t>
      </w:r>
      <w:r>
        <w:t xml:space="preserve">by </w:t>
      </w:r>
      <w:r w:rsidRPr="00AC7259">
        <w:rPr>
          <w:b/>
        </w:rPr>
        <w:fldChar w:fldCharType="begin"/>
      </w:r>
      <w:r w:rsidRPr="00AC7259">
        <w:rPr>
          <w:b/>
        </w:rPr>
        <w:instrText xml:space="preserve"> REF _Ref449963900 \h  \* MERGEFORMAT </w:instrText>
      </w:r>
      <w:r w:rsidRPr="00AC7259">
        <w:rPr>
          <w:b/>
        </w:rPr>
      </w:r>
      <w:r w:rsidRPr="00AC7259">
        <w:rPr>
          <w:b/>
        </w:rPr>
        <w:fldChar w:fldCharType="separate"/>
      </w:r>
      <w:r w:rsidR="00AC6998" w:rsidRPr="00AC6998">
        <w:rPr>
          <w:b/>
          <w:noProof/>
        </w:rPr>
        <w:t>Table</w:t>
      </w:r>
      <w:r w:rsidR="00AC6998">
        <w:t xml:space="preserve"> </w:t>
      </w:r>
      <w:r w:rsidR="00AC6998" w:rsidRPr="00AC6998">
        <w:rPr>
          <w:b/>
        </w:rPr>
        <w:t>10</w:t>
      </w:r>
      <w:r w:rsidRPr="00AC7259">
        <w:rPr>
          <w:b/>
        </w:rPr>
        <w:fldChar w:fldCharType="end"/>
      </w:r>
      <w:r w:rsidRPr="00AC7259">
        <w:t xml:space="preserve"> below.</w:t>
      </w:r>
    </w:p>
    <w:p w14:paraId="7DE6E011" w14:textId="77777777" w:rsidR="005636C7" w:rsidRPr="00BD78D5" w:rsidRDefault="005636C7" w:rsidP="005636C7">
      <w:pPr>
        <w:pStyle w:val="E3TableTitles"/>
        <w:spacing w:before="240"/>
      </w:pPr>
      <w:bookmarkStart w:id="565" w:name="_Ref449963900"/>
      <w:bookmarkStart w:id="566" w:name="_Toc449708966"/>
      <w:bookmarkStart w:id="567" w:name="_Toc449968530"/>
      <w:bookmarkStart w:id="568" w:name="_Toc494142468"/>
      <w:bookmarkStart w:id="569" w:name="_Toc500159688"/>
      <w:r>
        <w:t xml:space="preserve">Table </w:t>
      </w:r>
      <w:r>
        <w:fldChar w:fldCharType="begin"/>
      </w:r>
      <w:r>
        <w:instrText xml:space="preserve"> SEQ Table \* ARABIC </w:instrText>
      </w:r>
      <w:r>
        <w:fldChar w:fldCharType="separate"/>
      </w:r>
      <w:r w:rsidR="00AC6998">
        <w:rPr>
          <w:noProof/>
        </w:rPr>
        <w:t>10</w:t>
      </w:r>
      <w:r>
        <w:rPr>
          <w:noProof/>
        </w:rPr>
        <w:fldChar w:fldCharType="end"/>
      </w:r>
      <w:bookmarkEnd w:id="565"/>
      <w:r w:rsidRPr="00431E1B">
        <w:t xml:space="preserve">: </w:t>
      </w:r>
      <w:r>
        <w:t xml:space="preserve">Summary structure of EU </w:t>
      </w:r>
      <w:r w:rsidRPr="004F1B85">
        <w:t>combined group classification</w:t>
      </w:r>
      <w:r>
        <w:t>s</w:t>
      </w:r>
      <w:r w:rsidRPr="00431E1B">
        <w:t>.</w:t>
      </w:r>
      <w:bookmarkEnd w:id="566"/>
      <w:bookmarkEnd w:id="567"/>
      <w:bookmarkEnd w:id="568"/>
      <w:bookmarkEnd w:id="56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posed groups of cabinets according to European classifications"/>
        <w:tblDescription w:val="Structure of EU classification of refrigerated display cabinets"/>
      </w:tblPr>
      <w:tblGrid>
        <w:gridCol w:w="993"/>
        <w:gridCol w:w="708"/>
        <w:gridCol w:w="999"/>
        <w:gridCol w:w="1080"/>
        <w:gridCol w:w="1080"/>
        <w:gridCol w:w="900"/>
        <w:gridCol w:w="900"/>
        <w:gridCol w:w="720"/>
        <w:gridCol w:w="900"/>
        <w:gridCol w:w="1359"/>
      </w:tblGrid>
      <w:tr w:rsidR="005636C7" w:rsidRPr="00BE74AD" w14:paraId="6CE1C870" w14:textId="77777777" w:rsidTr="004F3785">
        <w:trPr>
          <w:trHeight w:val="782"/>
          <w:tblHeader/>
        </w:trPr>
        <w:tc>
          <w:tcPr>
            <w:tcW w:w="4860" w:type="dxa"/>
            <w:gridSpan w:val="5"/>
            <w:shd w:val="clear" w:color="auto" w:fill="000000" w:themeFill="text1"/>
            <w:vAlign w:val="center"/>
          </w:tcPr>
          <w:p w14:paraId="1D2EF958" w14:textId="77777777" w:rsidR="005636C7" w:rsidRPr="00BE74AD" w:rsidRDefault="005636C7" w:rsidP="005636C7">
            <w:pPr>
              <w:pStyle w:val="E3TableHeading"/>
              <w:jc w:val="center"/>
              <w:rPr>
                <w:szCs w:val="15"/>
              </w:rPr>
            </w:pPr>
            <w:r w:rsidRPr="00BE74AD">
              <w:rPr>
                <w:szCs w:val="15"/>
              </w:rPr>
              <w:t>Medium Temperature (Refrigerators)</w:t>
            </w:r>
          </w:p>
          <w:p w14:paraId="2E20608A" w14:textId="77777777" w:rsidR="005636C7" w:rsidRPr="00BE74AD" w:rsidRDefault="005636C7" w:rsidP="005636C7">
            <w:pPr>
              <w:pStyle w:val="E3TableHeading"/>
              <w:jc w:val="center"/>
              <w:rPr>
                <w:szCs w:val="15"/>
              </w:rPr>
            </w:pPr>
            <w:r w:rsidRPr="00BE74AD">
              <w:rPr>
                <w:szCs w:val="15"/>
              </w:rPr>
              <w:t>Mean storage temperature above 0</w:t>
            </w:r>
            <w:r w:rsidRPr="00BE74AD">
              <w:rPr>
                <w:szCs w:val="15"/>
                <w:vertAlign w:val="superscript"/>
              </w:rPr>
              <w:t>o</w:t>
            </w:r>
            <w:r w:rsidRPr="00BE74AD">
              <w:rPr>
                <w:szCs w:val="15"/>
              </w:rPr>
              <w:t>C</w:t>
            </w:r>
          </w:p>
          <w:p w14:paraId="2B24511F" w14:textId="77777777" w:rsidR="005636C7" w:rsidRPr="00BE74AD" w:rsidRDefault="005636C7" w:rsidP="005636C7">
            <w:pPr>
              <w:pStyle w:val="E3TableHeading"/>
              <w:jc w:val="center"/>
              <w:rPr>
                <w:szCs w:val="15"/>
              </w:rPr>
            </w:pPr>
            <w:r w:rsidRPr="00BE74AD">
              <w:rPr>
                <w:szCs w:val="15"/>
              </w:rPr>
              <w:t>Class  M, M0, M1, M2, H1, H2, S</w:t>
            </w:r>
          </w:p>
        </w:tc>
        <w:tc>
          <w:tcPr>
            <w:tcW w:w="4779" w:type="dxa"/>
            <w:gridSpan w:val="5"/>
            <w:shd w:val="clear" w:color="auto" w:fill="000000" w:themeFill="text1"/>
            <w:vAlign w:val="center"/>
          </w:tcPr>
          <w:p w14:paraId="2B48D493" w14:textId="77777777" w:rsidR="005636C7" w:rsidRPr="00BE74AD" w:rsidRDefault="005636C7" w:rsidP="005636C7">
            <w:pPr>
              <w:pStyle w:val="E3TableHeading"/>
              <w:jc w:val="center"/>
              <w:rPr>
                <w:szCs w:val="15"/>
              </w:rPr>
            </w:pPr>
            <w:r w:rsidRPr="00BE74AD">
              <w:rPr>
                <w:szCs w:val="15"/>
              </w:rPr>
              <w:t>Low temperature (Freezers)</w:t>
            </w:r>
          </w:p>
          <w:p w14:paraId="240FDBBA" w14:textId="77777777" w:rsidR="005636C7" w:rsidRPr="00BE74AD" w:rsidRDefault="005636C7" w:rsidP="005636C7">
            <w:pPr>
              <w:pStyle w:val="E3TableHeading"/>
              <w:jc w:val="center"/>
              <w:rPr>
                <w:szCs w:val="15"/>
              </w:rPr>
            </w:pPr>
            <w:r w:rsidRPr="00BE74AD">
              <w:rPr>
                <w:szCs w:val="15"/>
              </w:rPr>
              <w:t>Mean storage temperature below 0</w:t>
            </w:r>
            <w:r w:rsidRPr="00BE74AD">
              <w:rPr>
                <w:szCs w:val="15"/>
                <w:vertAlign w:val="superscript"/>
              </w:rPr>
              <w:t>o</w:t>
            </w:r>
            <w:r w:rsidRPr="00BE74AD">
              <w:rPr>
                <w:szCs w:val="15"/>
              </w:rPr>
              <w:t>C</w:t>
            </w:r>
          </w:p>
          <w:p w14:paraId="0F6D3D9F" w14:textId="77777777" w:rsidR="005636C7" w:rsidRPr="00BE74AD" w:rsidRDefault="005636C7" w:rsidP="005636C7">
            <w:pPr>
              <w:pStyle w:val="E3TableHeading"/>
              <w:jc w:val="center"/>
              <w:rPr>
                <w:szCs w:val="15"/>
              </w:rPr>
            </w:pPr>
            <w:r w:rsidRPr="00BE74AD">
              <w:rPr>
                <w:szCs w:val="15"/>
              </w:rPr>
              <w:t>Class  L1, L2, L3</w:t>
            </w:r>
          </w:p>
        </w:tc>
      </w:tr>
      <w:tr w:rsidR="005636C7" w:rsidRPr="00BE74AD" w14:paraId="0A81A477" w14:textId="77777777" w:rsidTr="004F3785">
        <w:trPr>
          <w:trHeight w:val="468"/>
        </w:trPr>
        <w:tc>
          <w:tcPr>
            <w:tcW w:w="2700" w:type="dxa"/>
            <w:gridSpan w:val="3"/>
            <w:vAlign w:val="center"/>
          </w:tcPr>
          <w:p w14:paraId="2CD35C10" w14:textId="77777777" w:rsidR="005636C7" w:rsidRPr="0093439C" w:rsidRDefault="005636C7" w:rsidP="005636C7">
            <w:pPr>
              <w:pStyle w:val="E3tabletext1"/>
              <w:rPr>
                <w:rFonts w:ascii="Helvetica" w:hAnsi="Helvetica" w:cs="Helvetica"/>
              </w:rPr>
            </w:pPr>
            <w:r w:rsidRPr="0093439C">
              <w:rPr>
                <w:rFonts w:ascii="Helvetica" w:hAnsi="Helvetica" w:cs="Helvetica"/>
              </w:rPr>
              <w:t>Display cabinets</w:t>
            </w:r>
          </w:p>
        </w:tc>
        <w:tc>
          <w:tcPr>
            <w:tcW w:w="2160" w:type="dxa"/>
            <w:gridSpan w:val="2"/>
            <w:vAlign w:val="center"/>
          </w:tcPr>
          <w:p w14:paraId="437F9087" w14:textId="77777777" w:rsidR="005636C7" w:rsidRPr="0093439C" w:rsidRDefault="005636C7" w:rsidP="005636C7">
            <w:pPr>
              <w:pStyle w:val="E3tabletext1"/>
              <w:rPr>
                <w:rFonts w:ascii="Helvetica" w:hAnsi="Helvetica" w:cs="Helvetica"/>
              </w:rPr>
            </w:pPr>
            <w:r w:rsidRPr="0093439C">
              <w:rPr>
                <w:rFonts w:ascii="Helvetica" w:hAnsi="Helvetica" w:cs="Helvetica"/>
              </w:rPr>
              <w:t>Storage cabinets</w:t>
            </w:r>
          </w:p>
        </w:tc>
        <w:tc>
          <w:tcPr>
            <w:tcW w:w="2520" w:type="dxa"/>
            <w:gridSpan w:val="3"/>
            <w:vAlign w:val="center"/>
          </w:tcPr>
          <w:p w14:paraId="0FD86629" w14:textId="77777777" w:rsidR="005636C7" w:rsidRPr="0093439C" w:rsidRDefault="005636C7" w:rsidP="005636C7">
            <w:pPr>
              <w:pStyle w:val="E3tabletext1"/>
              <w:rPr>
                <w:rFonts w:ascii="Helvetica" w:hAnsi="Helvetica" w:cs="Helvetica"/>
              </w:rPr>
            </w:pPr>
            <w:r w:rsidRPr="0093439C">
              <w:rPr>
                <w:rFonts w:ascii="Helvetica" w:hAnsi="Helvetica" w:cs="Helvetica"/>
              </w:rPr>
              <w:t>Display cabinets</w:t>
            </w:r>
          </w:p>
        </w:tc>
        <w:tc>
          <w:tcPr>
            <w:tcW w:w="2259" w:type="dxa"/>
            <w:gridSpan w:val="2"/>
            <w:vAlign w:val="center"/>
          </w:tcPr>
          <w:p w14:paraId="7BD3E192" w14:textId="77777777" w:rsidR="005636C7" w:rsidRPr="0093439C" w:rsidRDefault="005636C7" w:rsidP="005636C7">
            <w:pPr>
              <w:pStyle w:val="E3tabletext1"/>
              <w:rPr>
                <w:rFonts w:ascii="Helvetica" w:hAnsi="Helvetica" w:cs="Helvetica"/>
              </w:rPr>
            </w:pPr>
            <w:r w:rsidRPr="0093439C">
              <w:rPr>
                <w:rFonts w:ascii="Helvetica" w:hAnsi="Helvetica" w:cs="Helvetica"/>
              </w:rPr>
              <w:t>Storage cabinets</w:t>
            </w:r>
          </w:p>
        </w:tc>
      </w:tr>
      <w:tr w:rsidR="005636C7" w:rsidRPr="00BE74AD" w14:paraId="5F848001" w14:textId="77777777" w:rsidTr="004F3785">
        <w:trPr>
          <w:trHeight w:val="518"/>
        </w:trPr>
        <w:tc>
          <w:tcPr>
            <w:tcW w:w="1701" w:type="dxa"/>
            <w:gridSpan w:val="2"/>
            <w:vAlign w:val="center"/>
          </w:tcPr>
          <w:p w14:paraId="2A8F179D"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999" w:type="dxa"/>
            <w:vMerge w:val="restart"/>
            <w:vAlign w:val="center"/>
          </w:tcPr>
          <w:p w14:paraId="4E89A638"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c>
          <w:tcPr>
            <w:tcW w:w="1080" w:type="dxa"/>
            <w:vMerge w:val="restart"/>
            <w:vAlign w:val="center"/>
          </w:tcPr>
          <w:p w14:paraId="11BA976D"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1080" w:type="dxa"/>
            <w:vMerge w:val="restart"/>
            <w:vAlign w:val="center"/>
          </w:tcPr>
          <w:p w14:paraId="3E4FE559"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c>
          <w:tcPr>
            <w:tcW w:w="900" w:type="dxa"/>
            <w:vMerge w:val="restart"/>
            <w:vAlign w:val="center"/>
          </w:tcPr>
          <w:p w14:paraId="1A1E5C61"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1620" w:type="dxa"/>
            <w:gridSpan w:val="2"/>
            <w:vAlign w:val="center"/>
          </w:tcPr>
          <w:p w14:paraId="19CAAEF0"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c>
          <w:tcPr>
            <w:tcW w:w="900" w:type="dxa"/>
            <w:vMerge w:val="restart"/>
            <w:vAlign w:val="center"/>
          </w:tcPr>
          <w:p w14:paraId="0FA5DB6C" w14:textId="77777777" w:rsidR="005636C7" w:rsidRPr="0093439C" w:rsidRDefault="005636C7" w:rsidP="005636C7">
            <w:pPr>
              <w:pStyle w:val="E3tabletext1"/>
              <w:rPr>
                <w:rFonts w:ascii="Helvetica" w:hAnsi="Helvetica" w:cs="Helvetica"/>
              </w:rPr>
            </w:pPr>
            <w:r w:rsidRPr="0093439C">
              <w:rPr>
                <w:rFonts w:ascii="Helvetica" w:hAnsi="Helvetica" w:cs="Helvetica"/>
              </w:rPr>
              <w:t>Vertical</w:t>
            </w:r>
          </w:p>
        </w:tc>
        <w:tc>
          <w:tcPr>
            <w:tcW w:w="1359" w:type="dxa"/>
            <w:vMerge w:val="restart"/>
            <w:vAlign w:val="center"/>
          </w:tcPr>
          <w:p w14:paraId="68DF747B" w14:textId="77777777" w:rsidR="005636C7" w:rsidRPr="0093439C" w:rsidRDefault="005636C7" w:rsidP="005636C7">
            <w:pPr>
              <w:pStyle w:val="E3tabletext1"/>
              <w:rPr>
                <w:rFonts w:ascii="Helvetica" w:hAnsi="Helvetica" w:cs="Helvetica"/>
              </w:rPr>
            </w:pPr>
            <w:r w:rsidRPr="0093439C">
              <w:rPr>
                <w:rFonts w:ascii="Helvetica" w:hAnsi="Helvetica" w:cs="Helvetica"/>
              </w:rPr>
              <w:t>Horizontal</w:t>
            </w:r>
          </w:p>
        </w:tc>
      </w:tr>
      <w:tr w:rsidR="005636C7" w:rsidRPr="00BE74AD" w14:paraId="1056D75E" w14:textId="77777777" w:rsidTr="004F3785">
        <w:trPr>
          <w:trHeight w:val="540"/>
        </w:trPr>
        <w:tc>
          <w:tcPr>
            <w:tcW w:w="993" w:type="dxa"/>
            <w:vAlign w:val="center"/>
          </w:tcPr>
          <w:p w14:paraId="792F80B9" w14:textId="77777777" w:rsidR="005636C7" w:rsidRPr="0093439C" w:rsidRDefault="005636C7" w:rsidP="005636C7">
            <w:pPr>
              <w:pStyle w:val="E3tabletext1"/>
              <w:rPr>
                <w:rFonts w:ascii="Helvetica" w:hAnsi="Helvetica" w:cs="Helvetica"/>
              </w:rPr>
            </w:pPr>
            <w:r w:rsidRPr="0093439C">
              <w:rPr>
                <w:rFonts w:ascii="Helvetica" w:hAnsi="Helvetica" w:cs="Helvetica"/>
              </w:rPr>
              <w:t>Beverage</w:t>
            </w:r>
          </w:p>
        </w:tc>
        <w:tc>
          <w:tcPr>
            <w:tcW w:w="708" w:type="dxa"/>
            <w:vAlign w:val="center"/>
          </w:tcPr>
          <w:p w14:paraId="2E6A3BA9" w14:textId="77777777" w:rsidR="005636C7" w:rsidRPr="0093439C" w:rsidRDefault="005636C7" w:rsidP="005636C7">
            <w:pPr>
              <w:pStyle w:val="E3tabletext1"/>
              <w:rPr>
                <w:rFonts w:ascii="Helvetica" w:hAnsi="Helvetica" w:cs="Helvetica"/>
              </w:rPr>
            </w:pPr>
            <w:r w:rsidRPr="0093439C">
              <w:rPr>
                <w:rFonts w:ascii="Helvetica" w:hAnsi="Helvetica" w:cs="Helvetica"/>
              </w:rPr>
              <w:t>Others</w:t>
            </w:r>
          </w:p>
        </w:tc>
        <w:tc>
          <w:tcPr>
            <w:tcW w:w="999" w:type="dxa"/>
            <w:vMerge/>
            <w:vAlign w:val="center"/>
          </w:tcPr>
          <w:p w14:paraId="3C7F7F03" w14:textId="77777777" w:rsidR="005636C7" w:rsidRPr="0093439C" w:rsidRDefault="005636C7" w:rsidP="005636C7">
            <w:pPr>
              <w:pStyle w:val="E3tabletext1"/>
              <w:rPr>
                <w:rFonts w:ascii="Helvetica" w:hAnsi="Helvetica" w:cs="Helvetica"/>
              </w:rPr>
            </w:pPr>
          </w:p>
        </w:tc>
        <w:tc>
          <w:tcPr>
            <w:tcW w:w="1080" w:type="dxa"/>
            <w:vMerge/>
            <w:vAlign w:val="center"/>
          </w:tcPr>
          <w:p w14:paraId="02386DE9" w14:textId="77777777" w:rsidR="005636C7" w:rsidRPr="0093439C" w:rsidRDefault="005636C7" w:rsidP="005636C7">
            <w:pPr>
              <w:pStyle w:val="E3tabletext1"/>
              <w:rPr>
                <w:rFonts w:ascii="Helvetica" w:hAnsi="Helvetica" w:cs="Helvetica"/>
              </w:rPr>
            </w:pPr>
          </w:p>
        </w:tc>
        <w:tc>
          <w:tcPr>
            <w:tcW w:w="1080" w:type="dxa"/>
            <w:vMerge/>
            <w:vAlign w:val="center"/>
          </w:tcPr>
          <w:p w14:paraId="49DD32A0" w14:textId="77777777" w:rsidR="005636C7" w:rsidRPr="0093439C" w:rsidRDefault="005636C7" w:rsidP="005636C7">
            <w:pPr>
              <w:pStyle w:val="E3tabletext1"/>
              <w:rPr>
                <w:rFonts w:ascii="Helvetica" w:hAnsi="Helvetica" w:cs="Helvetica"/>
              </w:rPr>
            </w:pPr>
          </w:p>
        </w:tc>
        <w:tc>
          <w:tcPr>
            <w:tcW w:w="900" w:type="dxa"/>
            <w:vMerge/>
            <w:vAlign w:val="center"/>
          </w:tcPr>
          <w:p w14:paraId="45EBF9B2" w14:textId="77777777" w:rsidR="005636C7" w:rsidRPr="0093439C" w:rsidRDefault="005636C7" w:rsidP="005636C7">
            <w:pPr>
              <w:pStyle w:val="E3tabletext1"/>
              <w:rPr>
                <w:rFonts w:ascii="Helvetica" w:hAnsi="Helvetica" w:cs="Helvetica"/>
              </w:rPr>
            </w:pPr>
          </w:p>
        </w:tc>
        <w:tc>
          <w:tcPr>
            <w:tcW w:w="900" w:type="dxa"/>
            <w:vAlign w:val="center"/>
          </w:tcPr>
          <w:p w14:paraId="08D6FCC8" w14:textId="77777777" w:rsidR="005636C7" w:rsidRPr="0093439C" w:rsidRDefault="005636C7" w:rsidP="005636C7">
            <w:pPr>
              <w:pStyle w:val="E3tabletext1"/>
              <w:rPr>
                <w:rFonts w:ascii="Helvetica" w:hAnsi="Helvetica" w:cs="Helvetica"/>
              </w:rPr>
            </w:pPr>
            <w:r w:rsidRPr="0093439C">
              <w:rPr>
                <w:rFonts w:ascii="Helvetica" w:hAnsi="Helvetica" w:cs="Helvetica"/>
              </w:rPr>
              <w:t>Small Ice-cream</w:t>
            </w:r>
          </w:p>
        </w:tc>
        <w:tc>
          <w:tcPr>
            <w:tcW w:w="720" w:type="dxa"/>
            <w:vAlign w:val="center"/>
          </w:tcPr>
          <w:p w14:paraId="3AAC3356" w14:textId="77777777" w:rsidR="005636C7" w:rsidRPr="0093439C" w:rsidRDefault="005636C7" w:rsidP="005636C7">
            <w:pPr>
              <w:pStyle w:val="E3tabletext1"/>
              <w:rPr>
                <w:rFonts w:ascii="Helvetica" w:hAnsi="Helvetica" w:cs="Helvetica"/>
              </w:rPr>
            </w:pPr>
            <w:r w:rsidRPr="0093439C">
              <w:rPr>
                <w:rFonts w:ascii="Helvetica" w:hAnsi="Helvetica" w:cs="Helvetica"/>
              </w:rPr>
              <w:t>Others</w:t>
            </w:r>
          </w:p>
        </w:tc>
        <w:tc>
          <w:tcPr>
            <w:tcW w:w="900" w:type="dxa"/>
            <w:vMerge/>
            <w:vAlign w:val="center"/>
          </w:tcPr>
          <w:p w14:paraId="7B3A4A4C" w14:textId="77777777" w:rsidR="005636C7" w:rsidRPr="0093439C" w:rsidRDefault="005636C7" w:rsidP="005636C7">
            <w:pPr>
              <w:pStyle w:val="E3tabletext1"/>
              <w:rPr>
                <w:rFonts w:ascii="Helvetica" w:hAnsi="Helvetica" w:cs="Helvetica"/>
              </w:rPr>
            </w:pPr>
          </w:p>
        </w:tc>
        <w:tc>
          <w:tcPr>
            <w:tcW w:w="1359" w:type="dxa"/>
            <w:vMerge/>
            <w:vAlign w:val="center"/>
          </w:tcPr>
          <w:p w14:paraId="06414092" w14:textId="77777777" w:rsidR="005636C7" w:rsidRPr="0093439C" w:rsidRDefault="005636C7" w:rsidP="005636C7">
            <w:pPr>
              <w:pStyle w:val="E3tabletext1"/>
              <w:rPr>
                <w:rFonts w:ascii="Helvetica" w:hAnsi="Helvetica" w:cs="Helvetica"/>
              </w:rPr>
            </w:pPr>
          </w:p>
        </w:tc>
      </w:tr>
      <w:tr w:rsidR="005636C7" w:rsidRPr="00BE74AD" w14:paraId="45D6945C" w14:textId="77777777" w:rsidTr="004F3785">
        <w:trPr>
          <w:trHeight w:val="355"/>
        </w:trPr>
        <w:tc>
          <w:tcPr>
            <w:tcW w:w="9639" w:type="dxa"/>
            <w:gridSpan w:val="10"/>
            <w:vAlign w:val="center"/>
          </w:tcPr>
          <w:p w14:paraId="6E90D8B5" w14:textId="77777777" w:rsidR="005636C7" w:rsidRPr="0093439C" w:rsidRDefault="005636C7" w:rsidP="005636C7">
            <w:pPr>
              <w:pStyle w:val="E3tabletext1"/>
              <w:rPr>
                <w:rFonts w:ascii="Helvetica" w:hAnsi="Helvetica" w:cs="Helvetica"/>
              </w:rPr>
            </w:pPr>
            <w:r w:rsidRPr="0093439C">
              <w:rPr>
                <w:rFonts w:ascii="Helvetica" w:hAnsi="Helvetica" w:cs="Helvetica"/>
              </w:rPr>
              <w:t>Note:   (1) Temperature Classes, M, M0, M1, M2, H1, H2, S, L1, L2 and L3 are all defined in ISO 23953.2:2015.</w:t>
            </w:r>
          </w:p>
        </w:tc>
      </w:tr>
    </w:tbl>
    <w:p w14:paraId="151BC25C" w14:textId="77777777" w:rsidR="005636C7" w:rsidRPr="00DA4189" w:rsidRDefault="005636C7" w:rsidP="004F3785">
      <w:pPr>
        <w:pStyle w:val="E3Heading4"/>
        <w:spacing w:before="240"/>
      </w:pPr>
      <w:bookmarkStart w:id="570" w:name="_Toc295033290"/>
      <w:r w:rsidRPr="00DA4189">
        <w:t>Beverage Cabinets</w:t>
      </w:r>
      <w:bookmarkEnd w:id="570"/>
    </w:p>
    <w:p w14:paraId="64FBFB8B" w14:textId="77777777" w:rsidR="005636C7" w:rsidRPr="00AC7259" w:rsidRDefault="005636C7" w:rsidP="004F3785">
      <w:pPr>
        <w:pStyle w:val="E3BodyText"/>
      </w:pPr>
      <w:r w:rsidRPr="00AC7259">
        <w:t>In the Australian and New Zealand market there has been little or no distinction on the specific application of display cabinets and it is usually assumed that a refrigerated display cabinet is universally intended to display foodstuffs of any type whether it be food, beverages or a combination of both. While beverages are generally defined as a foodstuff there are beverages that do not require refrigerating for food safety reasons but rather for consumer preference. Most dairy products and some juices are required to be kept at chilled temperatures to avoid deterioration. The application can have an impact on the energy consumption of a cabinet and when determining efficiency levels it is desirable to achieve the best individual savings that can be made in relation to the variety of products in the market.</w:t>
      </w:r>
    </w:p>
    <w:p w14:paraId="31EDDF36" w14:textId="77777777" w:rsidR="005636C7" w:rsidRPr="00AC7259" w:rsidRDefault="005636C7" w:rsidP="004F3785">
      <w:pPr>
        <w:pStyle w:val="E3BodyText"/>
      </w:pPr>
      <w:r w:rsidRPr="00AC7259">
        <w:t>The Europeans have recognised that there are large numbers of self-contained display cabinets, often with fleet ownership, that are designed with a “pull-down” capability rather than a simple “holding” capability and have created a designated classification that these cabinets can be grouped into.</w:t>
      </w:r>
    </w:p>
    <w:p w14:paraId="0D98DAAF" w14:textId="77777777" w:rsidR="005636C7" w:rsidRPr="00AC7259" w:rsidRDefault="005636C7" w:rsidP="004F3785">
      <w:pPr>
        <w:pStyle w:val="E3BodyText"/>
      </w:pPr>
      <w:r w:rsidRPr="00AC7259">
        <w:t>Often these “pull-down” cabinets fulfil the specific requirements of bottling or beverage companies in that a cabinet must be able to achieve the correct product storage temperature within a set time frame when loaded with product at ambient temperature. Additional refrigeration load is required to bring the stored product down to an acceptable temperature. These cabinets are also normally specified for operation in onerous climatic conditions because they may be required to operate in unknown locations globally.</w:t>
      </w:r>
    </w:p>
    <w:p w14:paraId="3C0A2AAA" w14:textId="77777777" w:rsidR="005636C7" w:rsidRPr="00AC7259" w:rsidRDefault="005636C7" w:rsidP="004F3785">
      <w:pPr>
        <w:pStyle w:val="E3BodyText"/>
      </w:pPr>
      <w:r w:rsidRPr="00AC7259">
        <w:t>A holding cabinet is normally loaded with product close to or already at the desired storage temperature and therefore does not require additional refrigeration load to cool down the product.</w:t>
      </w:r>
    </w:p>
    <w:p w14:paraId="6D139359" w14:textId="77777777" w:rsidR="005636C7" w:rsidRDefault="005636C7" w:rsidP="004F3785">
      <w:pPr>
        <w:pStyle w:val="E3BodyText"/>
      </w:pPr>
      <w:r w:rsidRPr="00AC7259">
        <w:t>Due to these differences in refrigeration load the performance of the refrigeration system can be considerably greater than a holding cabinet</w:t>
      </w:r>
      <w:r>
        <w:t>. Despite these differences, “beverage” cabinets are currently subject to the same test methods and maximum energy consumption requirements which apply to a holding cabinet.</w:t>
      </w:r>
    </w:p>
    <w:p w14:paraId="2308A423" w14:textId="77777777" w:rsidR="005636C7" w:rsidRPr="00AC7259" w:rsidRDefault="005636C7" w:rsidP="004F3785">
      <w:pPr>
        <w:pStyle w:val="E3BodyText"/>
      </w:pPr>
      <w:r w:rsidRPr="00AC7259">
        <w:t>In the Australian and New Zealand markets, self-contained “beverage” cabinets comprise the largest individual sector in the market and subjecting them to different treatment could offer greater potential benefits than if they were treated in the same way as larger capacity remote supermarket cabinets.</w:t>
      </w:r>
    </w:p>
    <w:p w14:paraId="1D8D8E49" w14:textId="77777777" w:rsidR="005636C7" w:rsidRDefault="005636C7" w:rsidP="004F3785">
      <w:pPr>
        <w:pStyle w:val="E3BodyText"/>
      </w:pPr>
      <w:r w:rsidRPr="00AC7259">
        <w:t>Due to the nature of the stored product most beverage cabinets can also be temperature controlled in a manner that might otherwise create a health risk in a cabinet solely containing food. Electronic controls can raise the storage temperature at night or at times of low use in order to save energy and may require different test methods to measure “normal” energy consumption. Specific test requirements to cover the operation of such controls when measuring energy consumption would enable the value of such controls, in reducing energy consumption, to be recognised.</w:t>
      </w:r>
    </w:p>
    <w:p w14:paraId="5A984981" w14:textId="77777777" w:rsidR="005636C7" w:rsidRPr="0093439C" w:rsidRDefault="005636C7" w:rsidP="005636C7">
      <w:pPr>
        <w:pStyle w:val="E3Heading2"/>
        <w:spacing w:after="240"/>
        <w:rPr>
          <w:rFonts w:ascii="Georgia" w:hAnsi="Georgia"/>
          <w:sz w:val="24"/>
        </w:rPr>
      </w:pPr>
      <w:bookmarkStart w:id="571" w:name="_Toc447533646"/>
      <w:bookmarkStart w:id="572" w:name="_Toc449708815"/>
      <w:bookmarkStart w:id="573" w:name="_Toc494898007"/>
      <w:bookmarkStart w:id="574" w:name="_Toc494955799"/>
      <w:bookmarkStart w:id="575" w:name="_Toc494959607"/>
      <w:bookmarkStart w:id="576" w:name="_Toc494972733"/>
      <w:bookmarkStart w:id="577" w:name="_Toc494973920"/>
      <w:bookmarkStart w:id="578" w:name="_Toc494974609"/>
      <w:bookmarkStart w:id="579" w:name="_Toc500151854"/>
      <w:r w:rsidRPr="0093439C">
        <w:rPr>
          <w:rFonts w:ascii="Georgia" w:hAnsi="Georgia"/>
          <w:sz w:val="24"/>
        </w:rPr>
        <w:t>Beyond Europe – other efficiency regimes for refrigerated cabinets</w:t>
      </w:r>
      <w:bookmarkEnd w:id="571"/>
      <w:bookmarkEnd w:id="572"/>
      <w:bookmarkEnd w:id="573"/>
      <w:bookmarkEnd w:id="574"/>
      <w:bookmarkEnd w:id="575"/>
      <w:bookmarkEnd w:id="576"/>
      <w:bookmarkEnd w:id="577"/>
      <w:bookmarkEnd w:id="578"/>
      <w:bookmarkEnd w:id="579"/>
    </w:p>
    <w:p w14:paraId="1F48C28A" w14:textId="77777777" w:rsidR="005636C7" w:rsidRPr="00AC7259" w:rsidRDefault="005636C7" w:rsidP="005636C7">
      <w:pPr>
        <w:pStyle w:val="E3BodyText"/>
      </w:pPr>
      <w:r w:rsidRPr="00AC7259">
        <w:t>The most significant regimes (other than Europe) in terms of energy efficiency measures are North America (USA and Canada) and China. Apart from the USA, other economies tend to align closely with Europe. Both t</w:t>
      </w:r>
      <w:r>
        <w:t xml:space="preserve">he US and EU efficiency methods and </w:t>
      </w:r>
      <w:r w:rsidRPr="00AC7259">
        <w:t>levels have a forward looking direction i.e. efficiency limits are progressively ramped down and signalled to industry well in advance.</w:t>
      </w:r>
    </w:p>
    <w:p w14:paraId="455BF875" w14:textId="77777777" w:rsidR="005636C7" w:rsidRPr="00DD102F" w:rsidRDefault="005636C7" w:rsidP="005636C7">
      <w:pPr>
        <w:pStyle w:val="E3BodyText"/>
      </w:pPr>
      <w:r w:rsidRPr="00DD102F">
        <w:t>The USA and Canada have efficiency levels aligned in some product groupings. However these are different categories from the EU and AU/NZ regimes.  The test methods, while similar, do not align with AS 1731. This includes number of door openings and test packs. Treatment of display area is also different and volume is used instead of Display area, for some categories.</w:t>
      </w:r>
    </w:p>
    <w:p w14:paraId="74576F8D" w14:textId="77777777" w:rsidR="005636C7" w:rsidRPr="00AC7259" w:rsidRDefault="005636C7" w:rsidP="005636C7">
      <w:pPr>
        <w:pStyle w:val="E3BodyText"/>
      </w:pPr>
      <w:r w:rsidRPr="00AC7259">
        <w:t xml:space="preserve">The USA uses the efficiency standard </w:t>
      </w:r>
      <w:r w:rsidRPr="00AC7259">
        <w:rPr>
          <w:rStyle w:val="t"/>
        </w:rPr>
        <w:t xml:space="preserve">ANSI/AHRI 1200 </w:t>
      </w:r>
      <w:r w:rsidRPr="00AC7259">
        <w:rPr>
          <w:rStyle w:val="t"/>
          <w:i/>
        </w:rPr>
        <w:t>Performance Rating of Commercial Refrigerated Display Merchandisers and Storage cabinet</w:t>
      </w:r>
      <w:r w:rsidRPr="00AC7259">
        <w:t>. The maximum daily energy consumption requirements are published by the US Department of Energy (DOE). There are 50 individual equipment families each with a unique code describing the application and including food storage cabinets.</w:t>
      </w:r>
    </w:p>
    <w:p w14:paraId="595F6643" w14:textId="77777777" w:rsidR="005636C7" w:rsidRPr="00AC7259" w:rsidRDefault="005636C7" w:rsidP="005636C7">
      <w:pPr>
        <w:pStyle w:val="E3BodyText"/>
      </w:pPr>
      <w:r w:rsidRPr="00AC7259">
        <w:t>The standard uses Imperial units (Inch-Pound (I-P)), refers to and requires the use of several other standards. The method of calculating Total Display Area (TDA) has changed over time however the light transmission factor of the glazing material is not taken into account (i.e. different from AS 1731.14). This increases their TDA in relation to the Australian TDA. It also differs from the AS 1731 and ISO 23953 in the door opening sequence (eight hour door opening test for closed cabinets while Europe, China, Australia and New Zealand all require a twelve hour opening period.) In addition North America is for the most part using a refrigerated volume metric for closed display cabinets and display area metric for open cabinets. The USA is about to start developing their beverage vending machine MEPS.</w:t>
      </w:r>
      <w:r w:rsidRPr="00AC7259">
        <w:rPr>
          <w:rStyle w:val="FootnoteReference"/>
        </w:rPr>
        <w:footnoteReference w:id="60"/>
      </w:r>
    </w:p>
    <w:p w14:paraId="3BE303DD" w14:textId="77777777" w:rsidR="005636C7" w:rsidRPr="00DA4189" w:rsidRDefault="005636C7" w:rsidP="005636C7">
      <w:pPr>
        <w:pStyle w:val="E3Heading4"/>
      </w:pPr>
      <w:bookmarkStart w:id="580" w:name="_Toc447533648"/>
      <w:r w:rsidRPr="00DA4189">
        <w:t>Canada</w:t>
      </w:r>
      <w:bookmarkEnd w:id="580"/>
    </w:p>
    <w:p w14:paraId="0F1801DD" w14:textId="77777777" w:rsidR="005636C7" w:rsidRPr="00AC7259" w:rsidRDefault="005636C7" w:rsidP="005636C7">
      <w:pPr>
        <w:pStyle w:val="E3BodyText"/>
      </w:pPr>
      <w:r w:rsidRPr="00F3524D">
        <w:t>Canada no longer fully aligns with the USA and has a re</w:t>
      </w:r>
      <w:r>
        <w:t xml:space="preserve">gime that covers self-contained </w:t>
      </w:r>
      <w:r w:rsidRPr="00F3524D">
        <w:t xml:space="preserve">refrigerators and freezers and combination cabinets. </w:t>
      </w:r>
      <w:r w:rsidRPr="00AC7259">
        <w:t>Equipment is segmented into very broad groups compared basically by temperature above or below freezing and whether the display face is transparent, has solid doors or drawers.  Testing is carried out according to the AHRI Standard 1200-2008 Performance Rating of Commercial Refrigerated Display Merchandisers and Storage cabinets and refers to other standards. It covers ice-cream freezers, Wine chillers or floral storage cabinets.</w:t>
      </w:r>
    </w:p>
    <w:p w14:paraId="270C4730" w14:textId="77777777" w:rsidR="005636C7" w:rsidRPr="00AC7259" w:rsidRDefault="005636C7" w:rsidP="005636C7">
      <w:pPr>
        <w:pStyle w:val="E3BodyText"/>
      </w:pPr>
      <w:r w:rsidRPr="00AC7259">
        <w:t>The volume is used as part of the performance metric (in litres) calculated in accordance with CSA C300: 2008 Energy Performance and Capacity of Household Refrigerators, Refrigerator-Freezers, Freezers and Wine Chillers. Door openings are the same standard as the USA.</w:t>
      </w:r>
    </w:p>
    <w:p w14:paraId="1D13D65B" w14:textId="77777777" w:rsidR="005636C7" w:rsidRPr="00AC7259" w:rsidRDefault="005636C7" w:rsidP="005636C7">
      <w:pPr>
        <w:pStyle w:val="E3BodyText"/>
      </w:pPr>
      <w:r w:rsidRPr="00AC7259">
        <w:t>The performance levels cover all self-contained refrigerators, freezers and refrigerator freezers manufactured since 2010 and are aligned with the USA for similar self-contained equipment although use metric units instead of Imperial units.</w:t>
      </w:r>
    </w:p>
    <w:p w14:paraId="1D131357" w14:textId="77777777" w:rsidR="005636C7" w:rsidRPr="00DA4189" w:rsidRDefault="005636C7" w:rsidP="005636C7">
      <w:pPr>
        <w:pStyle w:val="E3Heading4"/>
      </w:pPr>
      <w:bookmarkStart w:id="581" w:name="_Toc447533649"/>
      <w:r w:rsidRPr="00DA4189">
        <w:t>China</w:t>
      </w:r>
      <w:bookmarkEnd w:id="581"/>
    </w:p>
    <w:p w14:paraId="7FD99F82" w14:textId="77777777" w:rsidR="005636C7" w:rsidRDefault="005636C7" w:rsidP="005636C7">
      <w:pPr>
        <w:pStyle w:val="E3Bullets"/>
        <w:jc w:val="both"/>
      </w:pPr>
      <w:r w:rsidRPr="00AC7259">
        <w:t>China has closely followed the test metho</w:t>
      </w:r>
      <w:r>
        <w:t xml:space="preserve">ds and MEPS levels applied in Australia and </w:t>
      </w:r>
    </w:p>
    <w:p w14:paraId="5AC93330" w14:textId="77777777" w:rsidR="005636C7" w:rsidRDefault="005636C7" w:rsidP="005636C7">
      <w:pPr>
        <w:pStyle w:val="E3Bullets"/>
        <w:jc w:val="both"/>
      </w:pPr>
      <w:r w:rsidRPr="00AC7259">
        <w:t>N</w:t>
      </w:r>
      <w:r>
        <w:t xml:space="preserve">ew </w:t>
      </w:r>
      <w:r w:rsidRPr="00AC7259">
        <w:t>Z</w:t>
      </w:r>
      <w:r>
        <w:t>ealand</w:t>
      </w:r>
      <w:r w:rsidRPr="00AC7259">
        <w:t>, however at this stage only remote equipment has been covered.</w:t>
      </w:r>
    </w:p>
    <w:p w14:paraId="73BDA71B" w14:textId="77777777" w:rsidR="005636C7" w:rsidRPr="00AC7259" w:rsidRDefault="005636C7" w:rsidP="005636C7">
      <w:pPr>
        <w:pStyle w:val="E3BodyText"/>
      </w:pPr>
      <w:r w:rsidRPr="00AC7259">
        <w:t>China is globally significant because of its large manufacturing base, huge local market with considerable exports to Europe and Australasia.</w:t>
      </w:r>
    </w:p>
    <w:p w14:paraId="4DC09B83" w14:textId="77777777" w:rsidR="005636C7" w:rsidRPr="00AC7259" w:rsidRDefault="005636C7" w:rsidP="005636C7">
      <w:pPr>
        <w:pStyle w:val="E3BodyText"/>
      </w:pPr>
      <w:r w:rsidRPr="00AC7259">
        <w:t>China brought in regulations in 2012 to cover remote display cabinets</w:t>
      </w:r>
      <w:r>
        <w:t>.</w:t>
      </w:r>
      <w:r w:rsidRPr="00AC7259">
        <w:t xml:space="preserve"> </w:t>
      </w:r>
      <w:r>
        <w:t xml:space="preserve">These used </w:t>
      </w:r>
      <w:r w:rsidRPr="00AC7259">
        <w:t>standards based on the Australian Standard AS 1731 and the International Standard ISO 23953. Their GB/T21001.1 and GB/T21001.2 standards approximately equate to ISO 23953.1 and ISO 23953.2. They contains the type classifications and definitions and the MEPS levels or Energy Consumption Coefficients (ECC) along with specifications for efficiency grades called Minimum allowable values of energy efficiency and energy efficiency grades of commercial refrigerating appliances – Part 1: Refrigerated display cabinets with remote condensing unit.</w:t>
      </w:r>
    </w:p>
    <w:p w14:paraId="711ACF39" w14:textId="77777777" w:rsidR="005636C7" w:rsidRPr="00AC7259" w:rsidRDefault="005636C7" w:rsidP="005636C7">
      <w:pPr>
        <w:pStyle w:val="E3BodyText"/>
      </w:pPr>
      <w:r w:rsidRPr="00AC7259">
        <w:t xml:space="preserve">The classifications for the various types of equipment families basically align with the Australian categories for remote cabinets, however in some instances they have expanded their technical definitions. For the most part the Chinese ECCs align with AS 1731 MEPS for cabinets with the lowest temperature ranges but are more stringent than AS 1731 for cabinets working at higher temperatures.  Where “no value” exists for the Australian MEPS, </w:t>
      </w:r>
      <w:r>
        <w:t xml:space="preserve">the same applies to </w:t>
      </w:r>
      <w:r w:rsidRPr="00AC7259">
        <w:t xml:space="preserve">the Chinese standard. </w:t>
      </w:r>
    </w:p>
    <w:p w14:paraId="2C8CA75C" w14:textId="77777777" w:rsidR="005636C7" w:rsidRPr="00AC7259" w:rsidRDefault="005636C7" w:rsidP="005636C7">
      <w:pPr>
        <w:pStyle w:val="E3BodyText"/>
      </w:pPr>
      <w:r w:rsidRPr="00AC7259">
        <w:t>Energy Efficiency Grades from 1 to 5 are applied to the level of efficiency with 1 being the highest and representing a product that is better than 55% of the set ECC level and 5 being the lowest and representing a product that complies and up to 90% of the ECC level</w:t>
      </w:r>
    </w:p>
    <w:p w14:paraId="2AFD2C65" w14:textId="77777777" w:rsidR="005636C7" w:rsidRPr="00AC7259" w:rsidRDefault="005636C7" w:rsidP="005636C7">
      <w:pPr>
        <w:pStyle w:val="E3BodyText"/>
      </w:pPr>
      <w:r w:rsidRPr="00AC7259">
        <w:t>Testing is carried out at Climate Class 3, 25oC and 60% RH and with identical test conditions, M-packages and door openings as AS1731 and ISO 23953:2005 however the “Australian” Filler packages are not included. The TDA is currently also subject to the glazing light transmission factors as set out in the Australian Standard.</w:t>
      </w:r>
    </w:p>
    <w:p w14:paraId="4D9CEC77" w14:textId="77777777" w:rsidR="005636C7" w:rsidRPr="00AC7259" w:rsidRDefault="005636C7" w:rsidP="005636C7">
      <w:pPr>
        <w:pStyle w:val="E3BodyText"/>
      </w:pPr>
      <w:r w:rsidRPr="00AC7259">
        <w:t>It was expected that a standard GB 26290.2 would be introduced in 2014 to cover self-contained refrigerated cabinets but as yet this does not appear to have progressed.</w:t>
      </w:r>
    </w:p>
    <w:p w14:paraId="61B1045F" w14:textId="77777777" w:rsidR="00AC6998" w:rsidRPr="004F3785" w:rsidRDefault="005636C7" w:rsidP="005636C7">
      <w:pPr>
        <w:pStyle w:val="E3BodyText"/>
      </w:pPr>
      <w:r w:rsidRPr="00AC7259">
        <w:t>The Peoples Republic of China (PRC) has introduced a graded rating and labelling scheme similar to the program proposed for the EU (</w:t>
      </w:r>
      <w:r w:rsidRPr="00AC7259">
        <w:rPr>
          <w:b/>
        </w:rPr>
        <w:fldChar w:fldCharType="begin"/>
      </w:r>
      <w:r w:rsidRPr="00AC7259">
        <w:rPr>
          <w:b/>
        </w:rPr>
        <w:instrText xml:space="preserve"> REF _Ref450641991 \h  \* MERGEFORMAT </w:instrText>
      </w:r>
      <w:r w:rsidRPr="00AC7259">
        <w:rPr>
          <w:b/>
        </w:rPr>
      </w:r>
      <w:r w:rsidRPr="00AC7259">
        <w:rPr>
          <w:b/>
        </w:rPr>
        <w:fldChar w:fldCharType="separate"/>
      </w:r>
    </w:p>
    <w:p w14:paraId="64BF7F42" w14:textId="272313E8" w:rsidR="005636C7" w:rsidRPr="004F3785" w:rsidRDefault="00AC6998" w:rsidP="005636C7">
      <w:pPr>
        <w:pStyle w:val="E3BodyText"/>
      </w:pPr>
      <w:r>
        <w:t>Table F</w:t>
      </w:r>
      <w:r>
        <w:rPr>
          <w:noProof/>
        </w:rPr>
        <w:t xml:space="preserve"> 8</w:t>
      </w:r>
      <w:r w:rsidR="005636C7" w:rsidRPr="00AC7259">
        <w:rPr>
          <w:b/>
        </w:rPr>
        <w:fldChar w:fldCharType="end"/>
      </w:r>
      <w:r w:rsidR="005636C7" w:rsidRPr="00AC7259">
        <w:t>). The PRC scheme is based on an Energy Efficiency Index with each tier representing a percentage range of the efficiency versus the allowable Base Energy Consumption (BEC) or MEPS level. The program only has five energy efficiency classes and is limited to remote condensing units whereas the EU proposal has seven classes for display cabinets and ten for storage cabinets.</w:t>
      </w:r>
      <w:bookmarkStart w:id="582" w:name="_Ref450641991"/>
      <w:bookmarkStart w:id="583" w:name="_Toc449708989"/>
      <w:bookmarkStart w:id="584" w:name="_Toc456164818"/>
    </w:p>
    <w:p w14:paraId="2181E59D" w14:textId="77777777" w:rsidR="005636C7" w:rsidRPr="002C62EA" w:rsidRDefault="005636C7" w:rsidP="005636C7">
      <w:pPr>
        <w:pStyle w:val="E3TableTitles"/>
        <w:spacing w:before="240"/>
        <w:rPr>
          <w:noProof/>
        </w:rPr>
      </w:pPr>
      <w:bookmarkStart w:id="585" w:name="_Toc500159689"/>
      <w:r>
        <w:t xml:space="preserve">Table F </w:t>
      </w:r>
      <w:r>
        <w:fldChar w:fldCharType="begin"/>
      </w:r>
      <w:r>
        <w:instrText xml:space="preserve"> SEQ Table_F \* ARABIC </w:instrText>
      </w:r>
      <w:r>
        <w:fldChar w:fldCharType="separate"/>
      </w:r>
      <w:r w:rsidR="00AC6998">
        <w:rPr>
          <w:noProof/>
        </w:rPr>
        <w:t>8</w:t>
      </w:r>
      <w:r>
        <w:rPr>
          <w:noProof/>
        </w:rPr>
        <w:fldChar w:fldCharType="end"/>
      </w:r>
      <w:bookmarkEnd w:id="582"/>
      <w:r w:rsidRPr="002C62EA">
        <w:t>: PRC Energy efficiency grades of refrigerated display cabinets with remote condensing units.</w:t>
      </w:r>
      <w:bookmarkEnd w:id="583"/>
      <w:bookmarkEnd w:id="584"/>
      <w:bookmarkEnd w:id="5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fficiency grades in China for remote display units"/>
      </w:tblPr>
      <w:tblGrid>
        <w:gridCol w:w="3747"/>
        <w:gridCol w:w="5774"/>
      </w:tblGrid>
      <w:tr w:rsidR="005636C7" w:rsidRPr="002C62EA" w14:paraId="60B0F4A8" w14:textId="77777777" w:rsidTr="004F3785">
        <w:trPr>
          <w:tblHeader/>
        </w:trPr>
        <w:tc>
          <w:tcPr>
            <w:tcW w:w="3747" w:type="dxa"/>
            <w:shd w:val="clear" w:color="auto" w:fill="0C0C0C"/>
            <w:vAlign w:val="center"/>
          </w:tcPr>
          <w:p w14:paraId="0F527B53"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sz w:val="15"/>
                <w:szCs w:val="15"/>
              </w:rPr>
              <w:t>Energy Efficiency Grade</w:t>
            </w:r>
          </w:p>
        </w:tc>
        <w:tc>
          <w:tcPr>
            <w:tcW w:w="5774" w:type="dxa"/>
            <w:shd w:val="clear" w:color="auto" w:fill="0C0C0C"/>
            <w:vAlign w:val="center"/>
          </w:tcPr>
          <w:p w14:paraId="6A51D6F9"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sz w:val="15"/>
                <w:szCs w:val="15"/>
              </w:rPr>
              <w:t>Energy Efficiency Index range</w:t>
            </w:r>
          </w:p>
        </w:tc>
      </w:tr>
      <w:tr w:rsidR="005636C7" w:rsidRPr="0013179D" w14:paraId="15F0D6B2" w14:textId="77777777" w:rsidTr="004F3785">
        <w:tc>
          <w:tcPr>
            <w:tcW w:w="3747" w:type="dxa"/>
            <w:vAlign w:val="center"/>
          </w:tcPr>
          <w:p w14:paraId="7FA6C7F0"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1</w:t>
            </w:r>
          </w:p>
        </w:tc>
        <w:tc>
          <w:tcPr>
            <w:tcW w:w="5774" w:type="dxa"/>
            <w:vAlign w:val="center"/>
          </w:tcPr>
          <w:p w14:paraId="3C514C81"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sym w:font="Symbol" w:char="0045"/>
            </w:r>
            <w:r w:rsidRPr="0093439C">
              <w:rPr>
                <w:rFonts w:ascii="Helvetica" w:hAnsi="Helvetica" w:cs="Helvetica"/>
                <w:color w:val="000000"/>
                <w:sz w:val="15"/>
                <w:szCs w:val="15"/>
              </w:rPr>
              <w:sym w:font="Symbol" w:char="0045"/>
            </w:r>
            <w:r w:rsidRPr="0093439C">
              <w:rPr>
                <w:rFonts w:ascii="Helvetica" w:hAnsi="Helvetica" w:cs="Helvetica"/>
                <w:color w:val="000000"/>
                <w:sz w:val="15"/>
                <w:szCs w:val="15"/>
              </w:rPr>
              <w:sym w:font="Symbol" w:char="0049"/>
            </w:r>
            <w:r w:rsidRPr="0093439C">
              <w:rPr>
                <w:rFonts w:ascii="Helvetica" w:hAnsi="Helvetica" w:cs="Helvetica"/>
                <w:color w:val="000000"/>
                <w:sz w:val="15"/>
                <w:szCs w:val="15"/>
              </w:rPr>
              <w:sym w:font="Symbol" w:char="0020"/>
            </w:r>
            <w:r w:rsidRPr="0093439C">
              <w:rPr>
                <w:rFonts w:ascii="Helvetica" w:hAnsi="Helvetica" w:cs="Helvetica"/>
                <w:color w:val="000000"/>
                <w:sz w:val="15"/>
                <w:szCs w:val="15"/>
              </w:rPr>
              <w:t xml:space="preserve">≤ </w:t>
            </w:r>
            <w:r w:rsidRPr="0093439C">
              <w:rPr>
                <w:rFonts w:ascii="Helvetica" w:hAnsi="Helvetica" w:cs="Helvetica"/>
                <w:color w:val="000000"/>
                <w:sz w:val="15"/>
                <w:szCs w:val="15"/>
              </w:rPr>
              <w:sym w:font="Symbol" w:char="0035"/>
            </w:r>
            <w:r w:rsidRPr="0093439C">
              <w:rPr>
                <w:rFonts w:ascii="Helvetica" w:hAnsi="Helvetica" w:cs="Helvetica"/>
                <w:color w:val="000000"/>
                <w:sz w:val="15"/>
                <w:szCs w:val="15"/>
              </w:rPr>
              <w:sym w:font="Symbol" w:char="0035"/>
            </w:r>
            <w:r w:rsidRPr="0093439C">
              <w:rPr>
                <w:rFonts w:ascii="Helvetica" w:hAnsi="Helvetica" w:cs="Helvetica"/>
                <w:color w:val="000000"/>
                <w:sz w:val="15"/>
                <w:szCs w:val="15"/>
              </w:rPr>
              <w:sym w:font="Symbol" w:char="0025"/>
            </w:r>
          </w:p>
        </w:tc>
      </w:tr>
      <w:tr w:rsidR="005636C7" w:rsidRPr="0013179D" w14:paraId="744BF18E" w14:textId="77777777" w:rsidTr="004F3785">
        <w:tc>
          <w:tcPr>
            <w:tcW w:w="3747" w:type="dxa"/>
            <w:vAlign w:val="center"/>
          </w:tcPr>
          <w:p w14:paraId="5369185F"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2</w:t>
            </w:r>
          </w:p>
        </w:tc>
        <w:tc>
          <w:tcPr>
            <w:tcW w:w="5774" w:type="dxa"/>
            <w:vAlign w:val="center"/>
          </w:tcPr>
          <w:p w14:paraId="01D8C6B6"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55% &lt; EEI ≤ 65%</w:t>
            </w:r>
          </w:p>
        </w:tc>
      </w:tr>
      <w:tr w:rsidR="005636C7" w:rsidRPr="0013179D" w14:paraId="24F7A4D6" w14:textId="77777777" w:rsidTr="004F3785">
        <w:tc>
          <w:tcPr>
            <w:tcW w:w="3747" w:type="dxa"/>
            <w:vAlign w:val="center"/>
          </w:tcPr>
          <w:p w14:paraId="207ED2B2"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3</w:t>
            </w:r>
          </w:p>
        </w:tc>
        <w:tc>
          <w:tcPr>
            <w:tcW w:w="5774" w:type="dxa"/>
            <w:vAlign w:val="center"/>
          </w:tcPr>
          <w:p w14:paraId="3C65B5AE"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65% &lt; EEI ≤ 80%</w:t>
            </w:r>
          </w:p>
        </w:tc>
      </w:tr>
      <w:tr w:rsidR="005636C7" w:rsidRPr="0013179D" w14:paraId="0A0A40EB" w14:textId="77777777" w:rsidTr="004F3785">
        <w:tc>
          <w:tcPr>
            <w:tcW w:w="3747" w:type="dxa"/>
            <w:vAlign w:val="center"/>
          </w:tcPr>
          <w:p w14:paraId="4B7B6A4D"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4</w:t>
            </w:r>
          </w:p>
        </w:tc>
        <w:tc>
          <w:tcPr>
            <w:tcW w:w="5774" w:type="dxa"/>
            <w:vAlign w:val="center"/>
          </w:tcPr>
          <w:p w14:paraId="58A9ED87"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80% &lt; EEI ≤ 90%</w:t>
            </w:r>
          </w:p>
        </w:tc>
      </w:tr>
      <w:tr w:rsidR="005636C7" w:rsidRPr="0013179D" w14:paraId="2B364485" w14:textId="77777777" w:rsidTr="004F3785">
        <w:tc>
          <w:tcPr>
            <w:tcW w:w="3747" w:type="dxa"/>
            <w:vAlign w:val="center"/>
          </w:tcPr>
          <w:p w14:paraId="466927ED"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5</w:t>
            </w:r>
          </w:p>
        </w:tc>
        <w:tc>
          <w:tcPr>
            <w:tcW w:w="5774" w:type="dxa"/>
            <w:vAlign w:val="center"/>
          </w:tcPr>
          <w:p w14:paraId="4B2D7D8C" w14:textId="77777777" w:rsidR="005636C7" w:rsidRPr="0093439C" w:rsidRDefault="005636C7" w:rsidP="005636C7">
            <w:pPr>
              <w:pStyle w:val="E3tabletext1"/>
              <w:rPr>
                <w:rFonts w:ascii="Helvetica" w:hAnsi="Helvetica" w:cs="Helvetica"/>
                <w:sz w:val="15"/>
                <w:szCs w:val="15"/>
              </w:rPr>
            </w:pPr>
            <w:r w:rsidRPr="0093439C">
              <w:rPr>
                <w:rFonts w:ascii="Helvetica" w:hAnsi="Helvetica" w:cs="Helvetica"/>
                <w:color w:val="000000"/>
                <w:sz w:val="15"/>
                <w:szCs w:val="15"/>
              </w:rPr>
              <w:t>90% &lt; EEI ≤ 100%</w:t>
            </w:r>
          </w:p>
        </w:tc>
      </w:tr>
    </w:tbl>
    <w:p w14:paraId="5BEF61EE" w14:textId="77777777" w:rsidR="005636C7" w:rsidRPr="00AC7259" w:rsidRDefault="005636C7" w:rsidP="005636C7">
      <w:pPr>
        <w:jc w:val="both"/>
      </w:pPr>
    </w:p>
    <w:p w14:paraId="098CC979" w14:textId="77777777" w:rsidR="005636C7" w:rsidRDefault="005636C7" w:rsidP="005636C7">
      <w:pPr>
        <w:pStyle w:val="E3ChapterTitle"/>
      </w:pPr>
      <w:bookmarkStart w:id="586" w:name="_Toc500151855"/>
      <w:r>
        <w:rPr>
          <w:noProof/>
          <w:lang w:eastAsia="en-AU"/>
        </w:rPr>
        <w:drawing>
          <wp:anchor distT="0" distB="0" distL="114300" distR="114300" simplePos="0" relativeHeight="251674624" behindDoc="1" locked="1" layoutInCell="1" allowOverlap="1" wp14:anchorId="2319ADA0" wp14:editId="2B268F98">
            <wp:simplePos x="0" y="0"/>
            <wp:positionH relativeFrom="margin">
              <wp:align>left</wp:align>
            </wp:positionH>
            <wp:positionV relativeFrom="margin">
              <wp:posOffset>-429260</wp:posOffset>
            </wp:positionV>
            <wp:extent cx="6124575" cy="1800225"/>
            <wp:effectExtent l="0" t="0" r="9525" b="9525"/>
            <wp:wrapNone/>
            <wp:docPr id="7"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39"/>
                    <a:stretch>
                      <a:fillRect/>
                    </a:stretch>
                  </pic:blipFill>
                  <pic:spPr>
                    <a:xfrm>
                      <a:off x="0" y="0"/>
                      <a:ext cx="6124575" cy="1800225"/>
                    </a:xfrm>
                    <a:prstGeom prst="rect">
                      <a:avLst/>
                    </a:prstGeom>
                  </pic:spPr>
                </pic:pic>
              </a:graphicData>
            </a:graphic>
          </wp:anchor>
        </w:drawing>
      </w:r>
      <w:r>
        <w:t>Attachment F – Technical Working Group Recommendations</w:t>
      </w:r>
      <w:bookmarkEnd w:id="586"/>
    </w:p>
    <w:p w14:paraId="7919CA8B" w14:textId="77777777" w:rsidR="005636C7" w:rsidRPr="0093439C" w:rsidRDefault="005636C7" w:rsidP="005636C7">
      <w:pPr>
        <w:pStyle w:val="E3Heading4"/>
      </w:pPr>
      <w:r w:rsidRPr="0093439C">
        <w:t>Overview</w:t>
      </w:r>
    </w:p>
    <w:p w14:paraId="6D7C4169" w14:textId="77777777" w:rsidR="005636C7" w:rsidRDefault="005636C7" w:rsidP="004F3785">
      <w:pPr>
        <w:pStyle w:val="E3BodyText"/>
      </w:pPr>
      <w:r>
        <w:t>The Technical Working Group (TWG) was formed on behalf of E3 to discuss technical issues which arose following consultation on the Consultation RIS and to make recommendations in relation to the proposed policy options.  The TWG was made up of industry representatives, regulators and independent experts.</w:t>
      </w:r>
    </w:p>
    <w:p w14:paraId="52E6505B" w14:textId="77777777" w:rsidR="005636C7" w:rsidRDefault="005636C7" w:rsidP="004F3785">
      <w:pPr>
        <w:pStyle w:val="E3BodyText"/>
      </w:pPr>
      <w:r>
        <w:t xml:space="preserve">The TWG has considered whether any technical adjustments are required in order to achieve alignment with the European Standards and Test Methods as proposed under the preferred option 4. There was consensus among TWG members that a move to adopt international standards was the best policy option and that the same policy measures should be extended to both refrigerated display and storage cabinets. </w:t>
      </w:r>
    </w:p>
    <w:p w14:paraId="68A58C99" w14:textId="77777777" w:rsidR="005636C7" w:rsidRDefault="005636C7" w:rsidP="004F3785">
      <w:pPr>
        <w:pStyle w:val="E3BodyText"/>
      </w:pPr>
      <w:r>
        <w:t xml:space="preserve">An important aspect of the TWG recommendations relates to alternative channels of registration for refrigerated commercial cabinets.  In particular, the feedback from industry supported a ‘deemed to comply’ pathway to demonstrating compliance and the need to clarify the definition of families of cabinets.  Both of these issues have been addressed by the TWG recommendations. </w:t>
      </w:r>
    </w:p>
    <w:p w14:paraId="320FA5BF" w14:textId="77777777" w:rsidR="005636C7" w:rsidRDefault="005636C7" w:rsidP="004F3785">
      <w:pPr>
        <w:pStyle w:val="E3BodyText"/>
      </w:pPr>
      <w:r>
        <w:t>The TWG recommendations have been the subject of a consultation paper that has gone out to industry for further feedback. The full consultation paper (and technical appendix) can be viewed on the Energy Rating Website (</w:t>
      </w:r>
      <w:hyperlink r:id="rId78" w:history="1">
        <w:r w:rsidRPr="00DB4BBD">
          <w:rPr>
            <w:rStyle w:val="Hyperlink"/>
            <w:rFonts w:cs="Helvetica"/>
          </w:rPr>
          <w:t>www.energyrating.gov.au</w:t>
        </w:r>
      </w:hyperlink>
      <w:r>
        <w:t>). The TWG recommendations are referred to below.</w:t>
      </w:r>
    </w:p>
    <w:p w14:paraId="1D5653E6" w14:textId="77777777" w:rsidR="005636C7" w:rsidRPr="004F3785" w:rsidRDefault="005636C7" w:rsidP="005636C7">
      <w:pPr>
        <w:pBdr>
          <w:top w:val="nil"/>
          <w:left w:val="nil"/>
          <w:bottom w:val="nil"/>
          <w:right w:val="nil"/>
          <w:between w:val="nil"/>
          <w:bar w:val="nil"/>
        </w:pBdr>
        <w:spacing w:before="240" w:after="240"/>
        <w:jc w:val="both"/>
        <w:rPr>
          <w:rFonts w:ascii="Georgia" w:eastAsia="Calibri" w:hAnsi="Georgia" w:cs="Helvetica"/>
          <w:color w:val="0D0D0D"/>
          <w:u w:color="0D0D0D"/>
          <w:bdr w:val="nil"/>
          <w:lang w:val="en-US"/>
        </w:rPr>
      </w:pPr>
      <w:r w:rsidRPr="004F3785">
        <w:rPr>
          <w:rFonts w:ascii="Georgia" w:eastAsia="Calibri" w:hAnsi="Georgia" w:cs="Helvetica"/>
          <w:b/>
          <w:color w:val="0D0D0D"/>
          <w:u w:color="0D0D0D"/>
          <w:bdr w:val="nil"/>
          <w:lang w:val="en-US"/>
        </w:rPr>
        <w:t>Recommendation 1: Adoption of EU efficiency levels for refrigerated display cabinets</w:t>
      </w:r>
      <w:r w:rsidRPr="004F3785">
        <w:rPr>
          <w:rFonts w:ascii="Georgia" w:eastAsia="Calibri" w:hAnsi="Georgia" w:cs="Helvetica"/>
          <w:color w:val="0D0D0D"/>
          <w:u w:color="0D0D0D"/>
          <w:bdr w:val="nil"/>
          <w:lang w:val="en-US"/>
        </w:rPr>
        <w:t>.</w:t>
      </w:r>
    </w:p>
    <w:p w14:paraId="13DD6B49" w14:textId="77777777" w:rsidR="005636C7" w:rsidRPr="00C26E2D" w:rsidRDefault="005636C7" w:rsidP="004F3785">
      <w:pPr>
        <w:pStyle w:val="E3BodyText"/>
      </w:pPr>
      <w:r w:rsidRPr="00C26E2D">
        <w:t>The proposed AU/NZ efficiency levels for Refrigerated Display Cabinets are based on minimum efficiencies aligned with previously published European levels (with adjustments to one cabinet category).  These are shown in the appended summary table.  The intention is to base the efficiency requirements on the EU Efficiency Regulations (See Option 4: Consultation RIS July 2016 Page 27).</w:t>
      </w:r>
    </w:p>
    <w:p w14:paraId="306982FF" w14:textId="77777777" w:rsidR="005636C7" w:rsidRPr="00C26E2D" w:rsidRDefault="005636C7" w:rsidP="004F3785">
      <w:pPr>
        <w:pStyle w:val="E3BodyText"/>
      </w:pPr>
      <w:r w:rsidRPr="00C26E2D">
        <w:t>Proposed efficiency levels follow the policy option 4 proposals apart from IRV-4 (Integral Refrigerated Vertical Cabinet with Glass doors) that follows a modified policy option 4 to take into account the change from a volume based metric back to a TDA based metric. The efficiency level based on an Energy Efficiency Index (EEI), together with the proposed date of introduction, are shown in the</w:t>
      </w:r>
      <w:r w:rsidRPr="00C26E2D">
        <w:rPr>
          <w:b/>
        </w:rPr>
        <w:t xml:space="preserve"> table</w:t>
      </w:r>
      <w:r w:rsidRPr="00C26E2D">
        <w:t xml:space="preserve"> below. Efficiency levels for the majority of refrigerated display cabinets will be covered by the test methods set out in ISO 23953:2015.</w:t>
      </w:r>
    </w:p>
    <w:p w14:paraId="5AD3424F" w14:textId="77777777" w:rsidR="005636C7" w:rsidRPr="00C26E2D" w:rsidRDefault="005636C7" w:rsidP="005636C7">
      <w:pPr>
        <w:spacing w:after="120"/>
        <w:jc w:val="both"/>
        <w:rPr>
          <w:rFonts w:asciiTheme="minorHAnsi" w:hAnsiTheme="minorHAnsi" w:cstheme="minorHAnsi"/>
          <w:sz w:val="22"/>
          <w:szCs w:val="22"/>
        </w:rPr>
      </w:pPr>
    </w:p>
    <w:tbl>
      <w:tblPr>
        <w:tblW w:w="7656" w:type="dxa"/>
        <w:jc w:val="center"/>
        <w:tblLook w:val="04A0" w:firstRow="1" w:lastRow="0" w:firstColumn="1" w:lastColumn="0" w:noHBand="0" w:noVBand="1"/>
      </w:tblPr>
      <w:tblGrid>
        <w:gridCol w:w="3265"/>
        <w:gridCol w:w="4391"/>
      </w:tblGrid>
      <w:tr w:rsidR="005636C7" w:rsidRPr="00C26E2D" w14:paraId="22C10295" w14:textId="77777777" w:rsidTr="005636C7">
        <w:trPr>
          <w:trHeight w:val="315"/>
          <w:jc w:val="center"/>
        </w:trPr>
        <w:tc>
          <w:tcPr>
            <w:tcW w:w="7656" w:type="dxa"/>
            <w:gridSpan w:val="2"/>
            <w:tcBorders>
              <w:top w:val="nil"/>
              <w:left w:val="single" w:sz="4" w:space="0" w:color="auto"/>
              <w:bottom w:val="nil"/>
              <w:right w:val="nil"/>
            </w:tcBorders>
            <w:shd w:val="clear" w:color="000000" w:fill="000000"/>
            <w:noWrap/>
            <w:vAlign w:val="center"/>
            <w:hideMark/>
          </w:tcPr>
          <w:p w14:paraId="75A3AA16" w14:textId="77777777" w:rsidR="005636C7" w:rsidRPr="00510214" w:rsidRDefault="005636C7" w:rsidP="005636C7">
            <w:pPr>
              <w:spacing w:before="60" w:after="60"/>
              <w:rPr>
                <w:rFonts w:ascii="Helvetica" w:hAnsi="Helvetica" w:cs="Helvetica"/>
                <w:color w:val="FFFFFF"/>
                <w:sz w:val="20"/>
                <w:szCs w:val="20"/>
                <w:lang w:val="en-NZ" w:eastAsia="en-NZ"/>
              </w:rPr>
            </w:pPr>
            <w:r w:rsidRPr="00510214">
              <w:rPr>
                <w:rFonts w:ascii="Helvetica" w:hAnsi="Helvetica" w:cs="Helvetica"/>
                <w:color w:val="FFFFFF"/>
                <w:sz w:val="20"/>
                <w:szCs w:val="20"/>
                <w:lang w:val="en-NZ" w:eastAsia="en-NZ"/>
              </w:rPr>
              <w:t>Proposed EU energy efficiency level for refrigerated display cabinets</w:t>
            </w:r>
          </w:p>
        </w:tc>
      </w:tr>
      <w:tr w:rsidR="005636C7" w:rsidRPr="00C26E2D" w14:paraId="630B0325" w14:textId="77777777" w:rsidTr="005636C7">
        <w:trPr>
          <w:trHeight w:val="315"/>
          <w:jc w:val="center"/>
        </w:trPr>
        <w:tc>
          <w:tcPr>
            <w:tcW w:w="3265" w:type="dxa"/>
            <w:tcBorders>
              <w:top w:val="single" w:sz="4" w:space="0" w:color="auto"/>
              <w:left w:val="single" w:sz="4" w:space="0" w:color="auto"/>
              <w:bottom w:val="single" w:sz="4" w:space="0" w:color="auto"/>
              <w:right w:val="single" w:sz="4" w:space="0" w:color="auto"/>
            </w:tcBorders>
            <w:shd w:val="clear" w:color="000000" w:fill="D7E4BC"/>
            <w:vAlign w:val="bottom"/>
            <w:hideMark/>
          </w:tcPr>
          <w:p w14:paraId="618CD9E1"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Introduction</w:t>
            </w:r>
          </w:p>
        </w:tc>
        <w:tc>
          <w:tcPr>
            <w:tcW w:w="4391" w:type="dxa"/>
            <w:tcBorders>
              <w:top w:val="single" w:sz="4" w:space="0" w:color="auto"/>
              <w:left w:val="nil"/>
              <w:bottom w:val="single" w:sz="4" w:space="0" w:color="auto"/>
              <w:right w:val="single" w:sz="4" w:space="0" w:color="auto"/>
            </w:tcBorders>
            <w:shd w:val="clear" w:color="000000" w:fill="D7E4BC"/>
            <w:noWrap/>
            <w:vAlign w:val="center"/>
            <w:hideMark/>
          </w:tcPr>
          <w:p w14:paraId="738F7F13"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Specific refrigerated display cabinets</w:t>
            </w:r>
          </w:p>
        </w:tc>
      </w:tr>
      <w:tr w:rsidR="005636C7" w:rsidRPr="00C26E2D" w14:paraId="0CE61D15" w14:textId="77777777" w:rsidTr="005636C7">
        <w:trPr>
          <w:trHeight w:val="452"/>
          <w:jc w:val="center"/>
        </w:trPr>
        <w:tc>
          <w:tcPr>
            <w:tcW w:w="3265"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38849D66"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From 1 December 2019</w:t>
            </w:r>
          </w:p>
        </w:tc>
        <w:tc>
          <w:tcPr>
            <w:tcW w:w="439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2972EAA" w14:textId="77777777" w:rsidR="005636C7" w:rsidRPr="00510214" w:rsidRDefault="005636C7" w:rsidP="005636C7">
            <w:pPr>
              <w:jc w:val="both"/>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EEI &lt; 130</w:t>
            </w:r>
          </w:p>
        </w:tc>
      </w:tr>
      <w:tr w:rsidR="005636C7" w:rsidRPr="00C26E2D" w14:paraId="3CC76862" w14:textId="77777777" w:rsidTr="005636C7">
        <w:trPr>
          <w:trHeight w:val="448"/>
          <w:jc w:val="center"/>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72F662A0" w14:textId="77777777" w:rsidR="005636C7" w:rsidRPr="00C26E2D" w:rsidRDefault="005636C7" w:rsidP="005636C7">
            <w:pPr>
              <w:jc w:val="both"/>
              <w:rPr>
                <w:rFonts w:asciiTheme="minorHAnsi" w:hAnsiTheme="minorHAnsi" w:cs="Calibri"/>
                <w:color w:val="000000"/>
                <w:sz w:val="22"/>
                <w:szCs w:val="22"/>
                <w:lang w:val="en-NZ" w:eastAsia="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71329693" w14:textId="77777777" w:rsidR="005636C7" w:rsidRPr="00C26E2D" w:rsidRDefault="005636C7" w:rsidP="005636C7">
            <w:pPr>
              <w:jc w:val="both"/>
              <w:rPr>
                <w:rFonts w:asciiTheme="minorHAnsi" w:hAnsiTheme="minorHAnsi" w:cs="Calibri"/>
                <w:color w:val="000000"/>
                <w:sz w:val="22"/>
                <w:szCs w:val="22"/>
                <w:lang w:val="en-NZ" w:eastAsia="en-NZ"/>
              </w:rPr>
            </w:pPr>
          </w:p>
        </w:tc>
      </w:tr>
      <w:tr w:rsidR="005636C7" w:rsidRPr="00C26E2D" w14:paraId="31392A71" w14:textId="77777777" w:rsidTr="005636C7">
        <w:trPr>
          <w:trHeight w:val="448"/>
          <w:jc w:val="center"/>
        </w:trPr>
        <w:tc>
          <w:tcPr>
            <w:tcW w:w="3265" w:type="dxa"/>
            <w:vMerge/>
            <w:tcBorders>
              <w:top w:val="single" w:sz="4" w:space="0" w:color="auto"/>
              <w:left w:val="single" w:sz="4" w:space="0" w:color="auto"/>
              <w:bottom w:val="single" w:sz="4" w:space="0" w:color="auto"/>
              <w:right w:val="single" w:sz="4" w:space="0" w:color="auto"/>
            </w:tcBorders>
            <w:vAlign w:val="center"/>
            <w:hideMark/>
          </w:tcPr>
          <w:p w14:paraId="48FC4F7E" w14:textId="77777777" w:rsidR="005636C7" w:rsidRPr="00C26E2D" w:rsidRDefault="005636C7" w:rsidP="005636C7">
            <w:pPr>
              <w:jc w:val="both"/>
              <w:rPr>
                <w:rFonts w:asciiTheme="minorHAnsi" w:hAnsiTheme="minorHAnsi" w:cs="Calibri"/>
                <w:color w:val="000000"/>
                <w:sz w:val="22"/>
                <w:szCs w:val="22"/>
                <w:lang w:val="en-NZ" w:eastAsia="en-NZ"/>
              </w:rPr>
            </w:pPr>
          </w:p>
        </w:tc>
        <w:tc>
          <w:tcPr>
            <w:tcW w:w="4391" w:type="dxa"/>
            <w:vMerge/>
            <w:tcBorders>
              <w:top w:val="single" w:sz="4" w:space="0" w:color="auto"/>
              <w:left w:val="single" w:sz="4" w:space="0" w:color="auto"/>
              <w:bottom w:val="single" w:sz="4" w:space="0" w:color="auto"/>
              <w:right w:val="single" w:sz="4" w:space="0" w:color="auto"/>
            </w:tcBorders>
            <w:vAlign w:val="center"/>
            <w:hideMark/>
          </w:tcPr>
          <w:p w14:paraId="12827117" w14:textId="77777777" w:rsidR="005636C7" w:rsidRPr="00C26E2D" w:rsidRDefault="005636C7" w:rsidP="005636C7">
            <w:pPr>
              <w:jc w:val="both"/>
              <w:rPr>
                <w:rFonts w:asciiTheme="minorHAnsi" w:hAnsiTheme="minorHAnsi" w:cs="Calibri"/>
                <w:color w:val="000000"/>
                <w:sz w:val="22"/>
                <w:szCs w:val="22"/>
                <w:lang w:val="en-NZ" w:eastAsia="en-NZ"/>
              </w:rPr>
            </w:pPr>
          </w:p>
        </w:tc>
      </w:tr>
    </w:tbl>
    <w:p w14:paraId="791DF588" w14:textId="77777777" w:rsidR="005636C7" w:rsidRPr="00C26E2D" w:rsidRDefault="005636C7" w:rsidP="005636C7">
      <w:pPr>
        <w:spacing w:after="120"/>
        <w:jc w:val="both"/>
        <w:rPr>
          <w:rFonts w:asciiTheme="minorHAnsi" w:hAnsiTheme="minorHAnsi" w:cstheme="minorHAnsi"/>
          <w:sz w:val="22"/>
          <w:szCs w:val="22"/>
        </w:rPr>
      </w:pPr>
    </w:p>
    <w:p w14:paraId="0D61635C" w14:textId="77777777" w:rsidR="005636C7" w:rsidRPr="004F3785" w:rsidRDefault="005636C7" w:rsidP="005636C7">
      <w:pPr>
        <w:pBdr>
          <w:top w:val="nil"/>
          <w:left w:val="nil"/>
          <w:bottom w:val="nil"/>
          <w:right w:val="nil"/>
          <w:between w:val="nil"/>
          <w:bar w:val="nil"/>
        </w:pBdr>
        <w:jc w:val="both"/>
        <w:rPr>
          <w:rFonts w:ascii="Georgia" w:eastAsia="Calibri" w:hAnsi="Georgia" w:cs="Helvetica"/>
          <w:b/>
          <w:color w:val="0D0D0D"/>
          <w:u w:color="0D0D0D"/>
          <w:bdr w:val="nil"/>
          <w:lang w:val="en-US"/>
        </w:rPr>
      </w:pPr>
      <w:r w:rsidRPr="004F3785">
        <w:rPr>
          <w:rFonts w:ascii="Georgia" w:eastAsia="Calibri" w:hAnsi="Georgia" w:cs="Helvetica"/>
          <w:b/>
          <w:color w:val="0D0D0D"/>
          <w:u w:color="0D0D0D"/>
          <w:bdr w:val="nil"/>
          <w:lang w:val="en-US"/>
        </w:rPr>
        <w:t>Recommendation 2: Adoption of EU efficiency levels for refrigerated storage cabinets.</w:t>
      </w:r>
    </w:p>
    <w:p w14:paraId="2A3F2823" w14:textId="77777777" w:rsidR="005636C7" w:rsidRPr="00C26E2D" w:rsidRDefault="005636C7" w:rsidP="004F3785">
      <w:pPr>
        <w:pStyle w:val="E3BodyText"/>
        <w:spacing w:before="240"/>
        <w:rPr>
          <w:rFonts w:cstheme="minorHAnsi"/>
        </w:rPr>
      </w:pPr>
      <w:r w:rsidRPr="00C26E2D">
        <w:rPr>
          <w:rFonts w:cstheme="minorHAnsi"/>
        </w:rPr>
        <w:t>The TWG recommends the adoption of EU efficiency levels for Refrigerated Storage Cabinets. The proposed efficiency levels for Refrigerated Storage Cabinets are those currently applying in Europe which were implemented under Commission Regulation (EU) 2015/1095 on 5 May 2015 (see Consultation RIS July 2016 Page 27).</w:t>
      </w:r>
    </w:p>
    <w:p w14:paraId="53F39490" w14:textId="77777777" w:rsidR="005636C7" w:rsidRPr="00C26E2D" w:rsidRDefault="005636C7" w:rsidP="004F3785">
      <w:pPr>
        <w:pStyle w:val="E3BodyText"/>
        <w:rPr>
          <w:rFonts w:cstheme="minorHAnsi"/>
        </w:rPr>
      </w:pPr>
      <w:r w:rsidRPr="00C26E2D">
        <w:rPr>
          <w:rFonts w:cstheme="minorHAnsi"/>
        </w:rPr>
        <w:t>The efficiency levels based on an Energy Efficiency Index (EEI), and the proposed date of introduction, are shown in the table below.</w:t>
      </w:r>
    </w:p>
    <w:tbl>
      <w:tblPr>
        <w:tblW w:w="9180" w:type="dxa"/>
        <w:tblInd w:w="108" w:type="dxa"/>
        <w:tblLook w:val="04A0" w:firstRow="1" w:lastRow="0" w:firstColumn="1" w:lastColumn="0" w:noHBand="0" w:noVBand="1"/>
      </w:tblPr>
      <w:tblGrid>
        <w:gridCol w:w="2031"/>
        <w:gridCol w:w="3369"/>
        <w:gridCol w:w="3780"/>
      </w:tblGrid>
      <w:tr w:rsidR="005636C7" w:rsidRPr="00C26E2D" w14:paraId="3CB62DEE" w14:textId="77777777" w:rsidTr="005636C7">
        <w:trPr>
          <w:trHeight w:val="300"/>
        </w:trPr>
        <w:tc>
          <w:tcPr>
            <w:tcW w:w="9180" w:type="dxa"/>
            <w:gridSpan w:val="3"/>
            <w:tcBorders>
              <w:top w:val="nil"/>
              <w:left w:val="single" w:sz="4" w:space="0" w:color="auto"/>
              <w:bottom w:val="nil"/>
              <w:right w:val="nil"/>
            </w:tcBorders>
            <w:shd w:val="clear" w:color="000000" w:fill="000000"/>
            <w:noWrap/>
            <w:vAlign w:val="center"/>
            <w:hideMark/>
          </w:tcPr>
          <w:p w14:paraId="419643DC" w14:textId="77777777" w:rsidR="005636C7" w:rsidRPr="00510214" w:rsidRDefault="005636C7" w:rsidP="005636C7">
            <w:pPr>
              <w:spacing w:before="60" w:after="60"/>
              <w:rPr>
                <w:rFonts w:ascii="Helvetica" w:hAnsi="Helvetica" w:cs="Helvetica"/>
                <w:color w:val="FFFFFF"/>
                <w:sz w:val="20"/>
                <w:szCs w:val="20"/>
                <w:lang w:val="en-NZ" w:eastAsia="en-NZ"/>
              </w:rPr>
            </w:pPr>
            <w:r w:rsidRPr="00510214">
              <w:rPr>
                <w:rFonts w:ascii="Helvetica" w:hAnsi="Helvetica" w:cs="Helvetica"/>
                <w:color w:val="FFFFFF"/>
                <w:sz w:val="20"/>
                <w:szCs w:val="20"/>
                <w:lang w:val="en-NZ" w:eastAsia="en-NZ"/>
              </w:rPr>
              <w:t>Proposed EU energy efficiency level for refrigerated storage cabinets</w:t>
            </w:r>
          </w:p>
        </w:tc>
      </w:tr>
      <w:tr w:rsidR="005636C7" w:rsidRPr="00C26E2D" w14:paraId="130BCE06" w14:textId="77777777" w:rsidTr="005636C7">
        <w:trPr>
          <w:trHeight w:val="300"/>
        </w:trPr>
        <w:tc>
          <w:tcPr>
            <w:tcW w:w="2031" w:type="dxa"/>
            <w:tcBorders>
              <w:top w:val="single" w:sz="4" w:space="0" w:color="auto"/>
              <w:left w:val="single" w:sz="4" w:space="0" w:color="auto"/>
              <w:bottom w:val="single" w:sz="4" w:space="0" w:color="auto"/>
              <w:right w:val="single" w:sz="4" w:space="0" w:color="auto"/>
            </w:tcBorders>
            <w:shd w:val="clear" w:color="000000" w:fill="D7E4BC"/>
            <w:vAlign w:val="bottom"/>
            <w:hideMark/>
          </w:tcPr>
          <w:p w14:paraId="340CE997"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Introduction</w:t>
            </w:r>
          </w:p>
        </w:tc>
        <w:tc>
          <w:tcPr>
            <w:tcW w:w="3369" w:type="dxa"/>
            <w:tcBorders>
              <w:top w:val="single" w:sz="4" w:space="0" w:color="auto"/>
              <w:left w:val="nil"/>
              <w:bottom w:val="single" w:sz="4" w:space="0" w:color="auto"/>
              <w:right w:val="single" w:sz="4" w:space="0" w:color="000000"/>
            </w:tcBorders>
            <w:shd w:val="clear" w:color="000000" w:fill="D7E4BC"/>
            <w:vAlign w:val="center"/>
            <w:hideMark/>
          </w:tcPr>
          <w:p w14:paraId="6E6A0F6F"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Refrigerated storage cabinets</w:t>
            </w:r>
          </w:p>
          <w:p w14:paraId="75DEFD66"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Light and Normal Duty</w:t>
            </w:r>
          </w:p>
        </w:tc>
        <w:tc>
          <w:tcPr>
            <w:tcW w:w="3780" w:type="dxa"/>
            <w:tcBorders>
              <w:top w:val="single" w:sz="4" w:space="0" w:color="auto"/>
              <w:left w:val="nil"/>
              <w:bottom w:val="single" w:sz="4" w:space="0" w:color="auto"/>
              <w:right w:val="single" w:sz="4" w:space="0" w:color="000000"/>
            </w:tcBorders>
            <w:shd w:val="clear" w:color="000000" w:fill="D7E4BC"/>
            <w:noWrap/>
            <w:vAlign w:val="center"/>
            <w:hideMark/>
          </w:tcPr>
          <w:p w14:paraId="06AC1770"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Heavy duty cabinets</w:t>
            </w:r>
          </w:p>
        </w:tc>
      </w:tr>
      <w:tr w:rsidR="005636C7" w:rsidRPr="00C26E2D" w14:paraId="322A3AF8" w14:textId="77777777" w:rsidTr="005636C7">
        <w:trPr>
          <w:trHeight w:val="382"/>
        </w:trPr>
        <w:tc>
          <w:tcPr>
            <w:tcW w:w="2031" w:type="dxa"/>
            <w:vMerge w:val="restart"/>
            <w:tcBorders>
              <w:top w:val="nil"/>
              <w:left w:val="single" w:sz="4" w:space="0" w:color="auto"/>
              <w:bottom w:val="single" w:sz="4" w:space="0" w:color="000000"/>
              <w:right w:val="single" w:sz="4" w:space="0" w:color="auto"/>
            </w:tcBorders>
            <w:shd w:val="clear" w:color="auto" w:fill="auto"/>
            <w:vAlign w:val="center"/>
            <w:hideMark/>
          </w:tcPr>
          <w:p w14:paraId="46EB87B5"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1 December 2019</w:t>
            </w:r>
          </w:p>
        </w:tc>
        <w:tc>
          <w:tcPr>
            <w:tcW w:w="336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C20830"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EEI &lt; 95</w:t>
            </w:r>
          </w:p>
        </w:tc>
        <w:tc>
          <w:tcPr>
            <w:tcW w:w="378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C106AF" w14:textId="77777777" w:rsidR="005636C7" w:rsidRPr="00510214" w:rsidRDefault="005636C7" w:rsidP="005636C7">
            <w:pPr>
              <w:jc w:val="center"/>
              <w:rPr>
                <w:rFonts w:ascii="Helvetica" w:hAnsi="Helvetica" w:cs="Helvetica"/>
                <w:color w:val="000000"/>
                <w:sz w:val="20"/>
                <w:szCs w:val="20"/>
                <w:lang w:val="en-NZ" w:eastAsia="en-NZ"/>
              </w:rPr>
            </w:pPr>
            <w:r w:rsidRPr="00510214">
              <w:rPr>
                <w:rFonts w:ascii="Helvetica" w:hAnsi="Helvetica" w:cs="Helvetica"/>
                <w:color w:val="000000"/>
                <w:sz w:val="20"/>
                <w:szCs w:val="20"/>
                <w:lang w:val="en-NZ" w:eastAsia="en-NZ"/>
              </w:rPr>
              <w:t>EEI &lt; 115</w:t>
            </w:r>
          </w:p>
        </w:tc>
      </w:tr>
      <w:tr w:rsidR="005636C7" w:rsidRPr="00C26E2D" w14:paraId="2D5D0281"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19251C4E" w14:textId="77777777" w:rsidR="005636C7" w:rsidRPr="00C26E2D" w:rsidRDefault="005636C7" w:rsidP="005636C7">
            <w:pPr>
              <w:rPr>
                <w:rFonts w:ascii="Calibri" w:hAnsi="Calibri" w:cs="Calibri"/>
                <w:color w:val="000000"/>
                <w:highlight w:val="yellow"/>
                <w:lang w:val="en-NZ" w:eastAsia="en-NZ"/>
              </w:rPr>
            </w:pPr>
          </w:p>
        </w:tc>
        <w:tc>
          <w:tcPr>
            <w:tcW w:w="3369" w:type="dxa"/>
            <w:vMerge/>
            <w:tcBorders>
              <w:top w:val="single" w:sz="4" w:space="0" w:color="auto"/>
              <w:left w:val="single" w:sz="4" w:space="0" w:color="auto"/>
              <w:bottom w:val="single" w:sz="4" w:space="0" w:color="000000"/>
              <w:right w:val="single" w:sz="4" w:space="0" w:color="000000"/>
            </w:tcBorders>
            <w:vAlign w:val="center"/>
            <w:hideMark/>
          </w:tcPr>
          <w:p w14:paraId="3FBB9881" w14:textId="77777777" w:rsidR="005636C7" w:rsidRPr="00C26E2D" w:rsidRDefault="005636C7" w:rsidP="005636C7">
            <w:pPr>
              <w:rPr>
                <w:rFonts w:ascii="Calibri" w:hAnsi="Calibri" w:cs="Calibri"/>
                <w:color w:val="000000"/>
                <w:highlight w:val="yellow"/>
                <w:lang w:val="en-NZ" w:eastAsia="en-NZ"/>
              </w:rPr>
            </w:pPr>
          </w:p>
        </w:tc>
        <w:tc>
          <w:tcPr>
            <w:tcW w:w="3780" w:type="dxa"/>
            <w:vMerge/>
            <w:tcBorders>
              <w:top w:val="single" w:sz="4" w:space="0" w:color="auto"/>
              <w:left w:val="single" w:sz="4" w:space="0" w:color="auto"/>
              <w:bottom w:val="single" w:sz="4" w:space="0" w:color="000000"/>
              <w:right w:val="single" w:sz="4" w:space="0" w:color="000000"/>
            </w:tcBorders>
            <w:vAlign w:val="center"/>
            <w:hideMark/>
          </w:tcPr>
          <w:p w14:paraId="1AD6613C" w14:textId="77777777" w:rsidR="005636C7" w:rsidRPr="00C26E2D" w:rsidRDefault="005636C7" w:rsidP="005636C7">
            <w:pPr>
              <w:rPr>
                <w:rFonts w:ascii="Calibri" w:hAnsi="Calibri" w:cs="Calibri"/>
                <w:color w:val="000000"/>
                <w:highlight w:val="yellow"/>
                <w:lang w:val="en-NZ" w:eastAsia="en-NZ"/>
              </w:rPr>
            </w:pPr>
          </w:p>
        </w:tc>
      </w:tr>
      <w:tr w:rsidR="005636C7" w:rsidRPr="00C26E2D" w14:paraId="0674257B" w14:textId="77777777" w:rsidTr="005636C7">
        <w:trPr>
          <w:trHeight w:val="448"/>
        </w:trPr>
        <w:tc>
          <w:tcPr>
            <w:tcW w:w="2031" w:type="dxa"/>
            <w:vMerge/>
            <w:tcBorders>
              <w:top w:val="nil"/>
              <w:left w:val="single" w:sz="4" w:space="0" w:color="auto"/>
              <w:bottom w:val="single" w:sz="4" w:space="0" w:color="000000"/>
              <w:right w:val="single" w:sz="4" w:space="0" w:color="auto"/>
            </w:tcBorders>
            <w:vAlign w:val="center"/>
            <w:hideMark/>
          </w:tcPr>
          <w:p w14:paraId="6435E22F" w14:textId="77777777" w:rsidR="005636C7" w:rsidRPr="00C26E2D" w:rsidRDefault="005636C7" w:rsidP="005636C7">
            <w:pPr>
              <w:rPr>
                <w:rFonts w:ascii="Calibri" w:hAnsi="Calibri" w:cs="Calibri"/>
                <w:color w:val="000000"/>
                <w:lang w:val="en-NZ" w:eastAsia="en-NZ"/>
              </w:rPr>
            </w:pPr>
          </w:p>
        </w:tc>
        <w:tc>
          <w:tcPr>
            <w:tcW w:w="3369" w:type="dxa"/>
            <w:vMerge/>
            <w:tcBorders>
              <w:top w:val="single" w:sz="4" w:space="0" w:color="auto"/>
              <w:left w:val="single" w:sz="4" w:space="0" w:color="auto"/>
              <w:bottom w:val="single" w:sz="4" w:space="0" w:color="000000"/>
              <w:right w:val="single" w:sz="4" w:space="0" w:color="000000"/>
            </w:tcBorders>
            <w:vAlign w:val="center"/>
            <w:hideMark/>
          </w:tcPr>
          <w:p w14:paraId="0232FE51" w14:textId="77777777" w:rsidR="005636C7" w:rsidRPr="00C26E2D" w:rsidRDefault="005636C7" w:rsidP="005636C7">
            <w:pPr>
              <w:rPr>
                <w:rFonts w:ascii="Calibri" w:hAnsi="Calibri" w:cs="Calibri"/>
                <w:color w:val="000000"/>
                <w:lang w:val="en-NZ" w:eastAsia="en-NZ"/>
              </w:rPr>
            </w:pPr>
          </w:p>
        </w:tc>
        <w:tc>
          <w:tcPr>
            <w:tcW w:w="3780" w:type="dxa"/>
            <w:vMerge/>
            <w:tcBorders>
              <w:top w:val="single" w:sz="4" w:space="0" w:color="auto"/>
              <w:left w:val="single" w:sz="4" w:space="0" w:color="auto"/>
              <w:bottom w:val="single" w:sz="4" w:space="0" w:color="000000"/>
              <w:right w:val="single" w:sz="4" w:space="0" w:color="000000"/>
            </w:tcBorders>
            <w:vAlign w:val="center"/>
            <w:hideMark/>
          </w:tcPr>
          <w:p w14:paraId="795329B6" w14:textId="77777777" w:rsidR="005636C7" w:rsidRPr="00C26E2D" w:rsidRDefault="005636C7" w:rsidP="005636C7">
            <w:pPr>
              <w:rPr>
                <w:rFonts w:ascii="Calibri" w:hAnsi="Calibri" w:cs="Calibri"/>
                <w:color w:val="000000"/>
                <w:lang w:val="en-NZ" w:eastAsia="en-NZ"/>
              </w:rPr>
            </w:pPr>
          </w:p>
        </w:tc>
      </w:tr>
    </w:tbl>
    <w:p w14:paraId="30CE9B8D" w14:textId="77777777" w:rsidR="005636C7" w:rsidRPr="00C26E2D" w:rsidRDefault="005636C7" w:rsidP="005636C7">
      <w:pPr>
        <w:rPr>
          <w:rFonts w:ascii="Calibri" w:hAnsi="Calibri" w:cstheme="minorHAnsi"/>
          <w:sz w:val="22"/>
          <w:szCs w:val="22"/>
        </w:rPr>
      </w:pPr>
    </w:p>
    <w:p w14:paraId="01324F16" w14:textId="77777777" w:rsidR="005636C7" w:rsidRPr="00C26E2D" w:rsidRDefault="005636C7" w:rsidP="00713A3E">
      <w:pPr>
        <w:pStyle w:val="E3BodyText"/>
      </w:pPr>
      <w:r w:rsidRPr="00C26E2D">
        <w:t xml:space="preserve">For regulatory purposes, Refrigerated Storage Cabinets are grouped into four categories based on physical characteristics: </w:t>
      </w:r>
    </w:p>
    <w:p w14:paraId="0210B0D3" w14:textId="77777777" w:rsidR="005636C7" w:rsidRPr="00713A3E" w:rsidRDefault="005636C7" w:rsidP="00713A3E">
      <w:pPr>
        <w:pStyle w:val="ListBullet"/>
        <w:rPr>
          <w:rFonts w:ascii="Georgia" w:hAnsi="Georgia"/>
        </w:rPr>
      </w:pPr>
      <w:r w:rsidRPr="00713A3E">
        <w:rPr>
          <w:rFonts w:ascii="Georgia" w:hAnsi="Georgia"/>
        </w:rPr>
        <w:t>Vertical Chilled</w:t>
      </w:r>
    </w:p>
    <w:p w14:paraId="555C3A1C" w14:textId="77777777" w:rsidR="005636C7" w:rsidRPr="00713A3E" w:rsidRDefault="005636C7" w:rsidP="00713A3E">
      <w:pPr>
        <w:pStyle w:val="ListBullet"/>
        <w:rPr>
          <w:rFonts w:ascii="Georgia" w:hAnsi="Georgia"/>
        </w:rPr>
      </w:pPr>
      <w:r w:rsidRPr="00713A3E">
        <w:rPr>
          <w:rFonts w:ascii="Georgia" w:hAnsi="Georgia"/>
        </w:rPr>
        <w:t>Vertical Frozen</w:t>
      </w:r>
    </w:p>
    <w:p w14:paraId="4E2E36FF" w14:textId="77777777" w:rsidR="005636C7" w:rsidRPr="00713A3E" w:rsidRDefault="005636C7" w:rsidP="00713A3E">
      <w:pPr>
        <w:pStyle w:val="ListBullet"/>
        <w:rPr>
          <w:rFonts w:ascii="Georgia" w:hAnsi="Georgia"/>
        </w:rPr>
      </w:pPr>
      <w:r w:rsidRPr="00713A3E">
        <w:rPr>
          <w:rFonts w:ascii="Georgia" w:hAnsi="Georgia"/>
        </w:rPr>
        <w:t>Counter Chilled</w:t>
      </w:r>
    </w:p>
    <w:p w14:paraId="5E00B8AA" w14:textId="77777777" w:rsidR="005636C7" w:rsidRPr="00713A3E" w:rsidRDefault="005636C7" w:rsidP="00713A3E">
      <w:pPr>
        <w:pStyle w:val="ListBullet"/>
        <w:rPr>
          <w:rFonts w:ascii="Georgia" w:hAnsi="Georgia"/>
        </w:rPr>
      </w:pPr>
      <w:r w:rsidRPr="00713A3E">
        <w:rPr>
          <w:rFonts w:ascii="Georgia" w:hAnsi="Georgia"/>
        </w:rPr>
        <w:t>Counter Frozen</w:t>
      </w:r>
    </w:p>
    <w:p w14:paraId="5CB93E67" w14:textId="77777777" w:rsidR="005636C7" w:rsidRPr="00C26E2D" w:rsidRDefault="005636C7" w:rsidP="00713A3E">
      <w:pPr>
        <w:pStyle w:val="E3BodyText"/>
      </w:pPr>
      <w:r w:rsidRPr="00C26E2D">
        <w:t>These products are then further classified by a Duty Rating based on the ambient conditions in which the cabinets are intended to operate:</w:t>
      </w:r>
    </w:p>
    <w:p w14:paraId="499BDDCB" w14:textId="77777777" w:rsidR="005636C7" w:rsidRPr="00713A3E" w:rsidRDefault="005636C7" w:rsidP="00713A3E">
      <w:pPr>
        <w:pStyle w:val="ListBullet"/>
        <w:rPr>
          <w:rFonts w:ascii="Georgia" w:hAnsi="Georgia"/>
        </w:rPr>
      </w:pPr>
      <w:r w:rsidRPr="00713A3E">
        <w:rPr>
          <w:rFonts w:ascii="Georgia" w:hAnsi="Georgia"/>
        </w:rPr>
        <w:t xml:space="preserve">Light duty </w:t>
      </w:r>
    </w:p>
    <w:p w14:paraId="7B988F8E" w14:textId="77777777" w:rsidR="005636C7" w:rsidRPr="00713A3E" w:rsidRDefault="005636C7" w:rsidP="00713A3E">
      <w:pPr>
        <w:pStyle w:val="ListBullet"/>
        <w:rPr>
          <w:rFonts w:ascii="Georgia" w:hAnsi="Georgia"/>
        </w:rPr>
      </w:pPr>
      <w:r w:rsidRPr="00713A3E">
        <w:rPr>
          <w:rFonts w:ascii="Georgia" w:hAnsi="Georgia"/>
        </w:rPr>
        <w:t>Normal duty</w:t>
      </w:r>
    </w:p>
    <w:p w14:paraId="26C8407C" w14:textId="77777777" w:rsidR="005636C7" w:rsidRPr="00713A3E" w:rsidRDefault="005636C7" w:rsidP="00713A3E">
      <w:pPr>
        <w:pStyle w:val="ListBullet"/>
        <w:rPr>
          <w:rFonts w:ascii="Georgia" w:hAnsi="Georgia"/>
        </w:rPr>
      </w:pPr>
      <w:r w:rsidRPr="00713A3E">
        <w:rPr>
          <w:rFonts w:ascii="Georgia" w:hAnsi="Georgia"/>
        </w:rPr>
        <w:t>Heavy duty</w:t>
      </w:r>
    </w:p>
    <w:p w14:paraId="6B5E9F4C" w14:textId="77777777" w:rsidR="005636C7" w:rsidRPr="00713A3E" w:rsidRDefault="005636C7" w:rsidP="00713A3E">
      <w:pPr>
        <w:spacing w:before="240" w:line="276" w:lineRule="auto"/>
        <w:jc w:val="both"/>
        <w:rPr>
          <w:rFonts w:ascii="Georgia" w:hAnsi="Georgia" w:cstheme="minorHAnsi"/>
        </w:rPr>
      </w:pPr>
      <w:r w:rsidRPr="00713A3E">
        <w:rPr>
          <w:rFonts w:ascii="Georgia" w:hAnsi="Georgia" w:cstheme="minorHAnsi"/>
        </w:rPr>
        <w:t xml:space="preserve">The Standard detailing the test method for these cabinets is EN 16825:2016, </w:t>
      </w:r>
      <w:r w:rsidRPr="00713A3E">
        <w:rPr>
          <w:rFonts w:ascii="Georgia" w:hAnsi="Georgia" w:cstheme="minorHAnsi"/>
          <w:i/>
        </w:rPr>
        <w:t xml:space="preserve">Refrigerated storage cabinets for professional use – Classification, requirements and test conditions. </w:t>
      </w:r>
      <w:r w:rsidRPr="00713A3E">
        <w:rPr>
          <w:rFonts w:ascii="Georgia" w:hAnsi="Georgia" w:cstheme="minorHAnsi"/>
        </w:rPr>
        <w:t xml:space="preserve">Temperature performance and energy consumption are tested to determine energy efficiency in the form of an Energy Efficiency Index (EEI), with the EEI calculated using formulae prescribed by EU Regulations. </w:t>
      </w:r>
    </w:p>
    <w:p w14:paraId="2812270A" w14:textId="77777777" w:rsidR="005636C7" w:rsidRPr="00713A3E"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13A3E">
        <w:rPr>
          <w:rFonts w:ascii="Georgia" w:eastAsia="Calibri" w:hAnsi="Georgia" w:cs="Helvetica"/>
          <w:b/>
          <w:color w:val="0D0D0D"/>
          <w:u w:color="0D0D0D"/>
          <w:bdr w:val="nil"/>
          <w:lang w:val="en-US"/>
        </w:rPr>
        <w:t>Recommendation 3: Three defined registration channels</w:t>
      </w:r>
    </w:p>
    <w:p w14:paraId="5B706AFF" w14:textId="77777777" w:rsidR="005636C7" w:rsidRPr="00842B90" w:rsidRDefault="005636C7" w:rsidP="005636C7">
      <w:pPr>
        <w:pBdr>
          <w:top w:val="nil"/>
          <w:left w:val="nil"/>
          <w:bottom w:val="nil"/>
          <w:right w:val="nil"/>
          <w:between w:val="nil"/>
          <w:bar w:val="nil"/>
        </w:pBdr>
        <w:jc w:val="both"/>
        <w:rPr>
          <w:rFonts w:eastAsia="Calibri" w:cs="Helvetica"/>
          <w:b/>
          <w:color w:val="0D0D0D"/>
          <w:u w:color="0D0D0D"/>
          <w:bdr w:val="nil"/>
          <w:lang w:val="en-US"/>
        </w:rPr>
      </w:pPr>
    </w:p>
    <w:p w14:paraId="02C5939B" w14:textId="77777777" w:rsidR="005636C7" w:rsidRPr="00C26E2D" w:rsidRDefault="005636C7" w:rsidP="00713A3E">
      <w:pPr>
        <w:pStyle w:val="E3BodyText"/>
        <w:rPr>
          <w:b/>
          <w:u w:color="0D0D0D"/>
          <w:bdr w:val="nil"/>
        </w:rPr>
      </w:pPr>
      <w:r w:rsidRPr="00C26E2D">
        <w:rPr>
          <w:u w:color="0D0D0D"/>
          <w:bdr w:val="nil"/>
        </w:rPr>
        <w:t>The TWG identified three defined registration channels:</w:t>
      </w:r>
    </w:p>
    <w:p w14:paraId="013ED508" w14:textId="77777777" w:rsidR="005636C7" w:rsidRPr="00C26E2D" w:rsidRDefault="005636C7" w:rsidP="00713A3E">
      <w:pPr>
        <w:pStyle w:val="E3BodyText"/>
        <w:numPr>
          <w:ilvl w:val="0"/>
          <w:numId w:val="32"/>
        </w:numPr>
        <w:rPr>
          <w:rFonts w:cs="Calibri"/>
          <w:u w:color="0D0D0D"/>
          <w:bdr w:val="nil"/>
        </w:rPr>
      </w:pPr>
      <w:r w:rsidRPr="00C26E2D">
        <w:rPr>
          <w:rFonts w:cs="Calibri"/>
          <w:u w:color="0D0D0D"/>
          <w:bdr w:val="nil"/>
        </w:rPr>
        <w:t>Single model registrations.</w:t>
      </w:r>
    </w:p>
    <w:p w14:paraId="627F321A" w14:textId="77777777" w:rsidR="005636C7" w:rsidRPr="00C26E2D" w:rsidRDefault="005636C7" w:rsidP="00713A3E">
      <w:pPr>
        <w:pStyle w:val="E3BodyText"/>
        <w:numPr>
          <w:ilvl w:val="0"/>
          <w:numId w:val="32"/>
        </w:numPr>
        <w:rPr>
          <w:rFonts w:cs="Calibri"/>
          <w:u w:color="0D0D0D"/>
          <w:bdr w:val="nil"/>
        </w:rPr>
      </w:pPr>
      <w:r w:rsidRPr="00C26E2D">
        <w:rPr>
          <w:rFonts w:cs="Calibri"/>
          <w:u w:color="0D0D0D"/>
          <w:bdr w:val="nil"/>
        </w:rPr>
        <w:t>Family model registrations - in a ‘family’ registration the maximum energy consumption and minimum energy efficiency performance will be evidenced by a certified performance test conducted on the worst performing cabinet model. The worst performing model will be designated as the “parent” model in a family registration.</w:t>
      </w:r>
    </w:p>
    <w:p w14:paraId="44B1F101" w14:textId="77777777" w:rsidR="005636C7" w:rsidRPr="00C26E2D" w:rsidRDefault="005636C7" w:rsidP="00713A3E">
      <w:pPr>
        <w:pStyle w:val="E3BodyText"/>
        <w:numPr>
          <w:ilvl w:val="0"/>
          <w:numId w:val="32"/>
        </w:numPr>
        <w:rPr>
          <w:rFonts w:cs="Calibri"/>
          <w:u w:color="0D0D0D"/>
          <w:bdr w:val="nil"/>
        </w:rPr>
      </w:pPr>
      <w:r w:rsidRPr="00C26E2D">
        <w:rPr>
          <w:rFonts w:cs="Calibri"/>
          <w:u w:color="0D0D0D"/>
          <w:bdr w:val="nil"/>
        </w:rPr>
        <w:t>Deemed to Comply registrations – reserved for low volume bespoke/custom units that cannot be tested in a standard testing facility. This channel will have prescribed technical information required at the point of registration to enable a (ISO 23953 based) calculated efficiency level.</w:t>
      </w:r>
    </w:p>
    <w:p w14:paraId="79778555" w14:textId="77777777" w:rsidR="005636C7" w:rsidRPr="00713A3E" w:rsidRDefault="005636C7" w:rsidP="005636C7">
      <w:pPr>
        <w:pBdr>
          <w:top w:val="nil"/>
          <w:left w:val="nil"/>
          <w:bottom w:val="nil"/>
          <w:right w:val="nil"/>
          <w:between w:val="nil"/>
          <w:bar w:val="nil"/>
        </w:pBdr>
        <w:spacing w:after="240"/>
        <w:jc w:val="both"/>
        <w:rPr>
          <w:rFonts w:ascii="Georgia" w:eastAsia="Calibri" w:hAnsi="Georgia" w:cs="Calibri"/>
          <w:b/>
          <w:bCs/>
          <w:color w:val="0D0D0D"/>
          <w:u w:color="0D0D0D"/>
          <w:bdr w:val="nil"/>
          <w:lang w:val="en-US"/>
        </w:rPr>
      </w:pPr>
      <w:r w:rsidRPr="00713A3E">
        <w:rPr>
          <w:rFonts w:ascii="Georgia" w:eastAsia="Calibri" w:hAnsi="Georgia" w:cs="Calibri"/>
          <w:b/>
          <w:bCs/>
          <w:color w:val="0D0D0D"/>
          <w:u w:color="0D0D0D"/>
          <w:bdr w:val="nil"/>
          <w:lang w:val="en-US"/>
        </w:rPr>
        <w:t>Family of models – definition</w:t>
      </w:r>
    </w:p>
    <w:p w14:paraId="79430323" w14:textId="77777777" w:rsidR="005636C7" w:rsidRPr="00C26E2D" w:rsidRDefault="005636C7" w:rsidP="00713A3E">
      <w:pPr>
        <w:pStyle w:val="E3BodyText"/>
      </w:pPr>
      <w:r w:rsidRPr="00C26E2D">
        <w:t>A family of models is a range of models of the same brand.</w:t>
      </w:r>
      <w:r>
        <w:rPr>
          <w:rStyle w:val="FootnoteReference"/>
        </w:rPr>
        <w:footnoteReference w:id="61"/>
      </w:r>
      <w:r w:rsidRPr="00C26E2D">
        <w:t xml:space="preserve">  Each family is based on a ‘parent’ model that has undergone a certified performance test and is registered on the energyrating.govt.au website. All other models in the family must have the same or better energy </w:t>
      </w:r>
      <w:r w:rsidRPr="00C26E2D">
        <w:rPr>
          <w:rFonts w:cs="Calibri"/>
          <w:bCs/>
          <w:color w:val="0D0D0D"/>
          <w:u w:color="0D0D0D"/>
        </w:rPr>
        <w:t>rating</w:t>
      </w:r>
      <w:r w:rsidRPr="00C26E2D">
        <w:t xml:space="preserve"> characteristics than the ‘parent’ model. The parent model’s certified performance test documentation is required to be uploaded at the point of registration, along with (physically identifiable) model number variations for all other models that are being registered as members of the same family. The TWG recommended that a maximum of 20 family member models be permitted in a family registration.</w:t>
      </w:r>
    </w:p>
    <w:p w14:paraId="1ADC6043" w14:textId="77777777" w:rsidR="005636C7" w:rsidRPr="00713A3E" w:rsidRDefault="005636C7" w:rsidP="005636C7">
      <w:pPr>
        <w:spacing w:before="240" w:after="120"/>
        <w:jc w:val="both"/>
        <w:rPr>
          <w:rFonts w:ascii="Georgia" w:hAnsi="Georgia"/>
          <w:b/>
        </w:rPr>
      </w:pPr>
      <w:r w:rsidRPr="00713A3E">
        <w:rPr>
          <w:rFonts w:ascii="Georgia" w:hAnsi="Georgia"/>
          <w:b/>
        </w:rPr>
        <w:t xml:space="preserve">Models that are part of a family </w:t>
      </w:r>
    </w:p>
    <w:p w14:paraId="13659846" w14:textId="77777777" w:rsidR="005636C7" w:rsidRPr="00C26E2D" w:rsidRDefault="005636C7" w:rsidP="00713A3E">
      <w:pPr>
        <w:pStyle w:val="E3BodyText"/>
      </w:pPr>
      <w:r w:rsidRPr="00C26E2D">
        <w:t>To be included as a member of a family, it is proposed that all of the following conditions must be met:</w:t>
      </w:r>
    </w:p>
    <w:p w14:paraId="3B8F762B" w14:textId="77777777" w:rsidR="005636C7" w:rsidRPr="00713A3E" w:rsidRDefault="005636C7" w:rsidP="00713A3E">
      <w:pPr>
        <w:pStyle w:val="E3BodyText"/>
        <w:numPr>
          <w:ilvl w:val="0"/>
          <w:numId w:val="33"/>
        </w:numPr>
        <w:spacing w:line="276" w:lineRule="auto"/>
        <w:rPr>
          <w:rFonts w:eastAsiaTheme="minorHAnsi"/>
        </w:rPr>
      </w:pPr>
      <w:r w:rsidRPr="00C26E2D">
        <w:rPr>
          <w:rFonts w:eastAsiaTheme="minorHAnsi"/>
        </w:rPr>
        <w:t xml:space="preserve">At the point of registration the least efficient model is selected as the parent model and the </w:t>
      </w:r>
      <w:r w:rsidRPr="00713A3E">
        <w:rPr>
          <w:rFonts w:eastAsiaTheme="minorHAnsi"/>
        </w:rPr>
        <w:t>registration individually identifies all other same or better efficiency models in the family; and,</w:t>
      </w:r>
    </w:p>
    <w:p w14:paraId="09B52711" w14:textId="77777777" w:rsidR="005636C7" w:rsidRPr="00713A3E" w:rsidRDefault="005636C7" w:rsidP="00713A3E">
      <w:pPr>
        <w:numPr>
          <w:ilvl w:val="0"/>
          <w:numId w:val="33"/>
        </w:numPr>
        <w:spacing w:line="276" w:lineRule="auto"/>
        <w:contextualSpacing/>
        <w:jc w:val="both"/>
        <w:rPr>
          <w:rFonts w:ascii="Georgia" w:eastAsiaTheme="minorHAnsi" w:hAnsi="Georgia"/>
        </w:rPr>
      </w:pPr>
      <w:r w:rsidRPr="00713A3E">
        <w:rPr>
          <w:rFonts w:ascii="Georgia" w:eastAsiaTheme="minorHAnsi" w:hAnsi="Georgia"/>
        </w:rPr>
        <w:t>Family member models must not exceed the allowable maximum energy consumption</w:t>
      </w:r>
      <w:r w:rsidRPr="00713A3E">
        <w:rPr>
          <w:rFonts w:ascii="Georgia" w:eastAsiaTheme="minorHAnsi" w:hAnsi="Georgia"/>
          <w:vertAlign w:val="superscript"/>
        </w:rPr>
        <w:footnoteReference w:id="62"/>
      </w:r>
      <w:r w:rsidRPr="00713A3E">
        <w:rPr>
          <w:rFonts w:ascii="Georgia" w:eastAsiaTheme="minorHAnsi" w:hAnsi="Georgia"/>
        </w:rPr>
        <w:t xml:space="preserve"> (TEC/TDA) in kWh/day/m</w:t>
      </w:r>
      <w:r w:rsidRPr="00713A3E">
        <w:rPr>
          <w:rFonts w:ascii="Georgia" w:eastAsiaTheme="minorHAnsi" w:hAnsi="Georgia"/>
          <w:vertAlign w:val="superscript"/>
        </w:rPr>
        <w:t>2</w:t>
      </w:r>
      <w:r w:rsidRPr="00713A3E">
        <w:rPr>
          <w:rFonts w:ascii="Georgia" w:eastAsiaTheme="minorHAnsi" w:hAnsi="Georgia"/>
        </w:rPr>
        <w:t xml:space="preserve"> or (TEC/V</w:t>
      </w:r>
      <w:r w:rsidRPr="00713A3E">
        <w:rPr>
          <w:rFonts w:ascii="Georgia" w:eastAsiaTheme="minorHAnsi" w:hAnsi="Georgia"/>
          <w:vertAlign w:val="subscript"/>
        </w:rPr>
        <w:t>N</w:t>
      </w:r>
      <w:r w:rsidRPr="00713A3E">
        <w:rPr>
          <w:rFonts w:ascii="Georgia" w:eastAsiaTheme="minorHAnsi" w:hAnsi="Georgia"/>
        </w:rPr>
        <w:t>) in kWh/day/m</w:t>
      </w:r>
      <w:r w:rsidRPr="00713A3E">
        <w:rPr>
          <w:rFonts w:ascii="Georgia" w:eastAsiaTheme="minorHAnsi" w:hAnsi="Georgia"/>
          <w:vertAlign w:val="superscript"/>
        </w:rPr>
        <w:t>3</w:t>
      </w:r>
      <w:r w:rsidRPr="00713A3E">
        <w:rPr>
          <w:rFonts w:ascii="Georgia" w:eastAsiaTheme="minorHAnsi" w:hAnsi="Georgia"/>
        </w:rPr>
        <w:t xml:space="preserve"> of the parent model; and,</w:t>
      </w:r>
    </w:p>
    <w:p w14:paraId="05A869AE" w14:textId="77777777" w:rsidR="005636C7" w:rsidRPr="00713A3E" w:rsidRDefault="005636C7" w:rsidP="00713A3E">
      <w:pPr>
        <w:numPr>
          <w:ilvl w:val="0"/>
          <w:numId w:val="33"/>
        </w:numPr>
        <w:spacing w:line="276" w:lineRule="auto"/>
        <w:contextualSpacing/>
        <w:jc w:val="both"/>
        <w:rPr>
          <w:rFonts w:ascii="Georgia" w:eastAsiaTheme="minorHAnsi" w:hAnsi="Georgia"/>
        </w:rPr>
      </w:pPr>
      <w:r w:rsidRPr="00713A3E">
        <w:rPr>
          <w:rFonts w:ascii="Georgia" w:eastAsiaTheme="minorHAnsi" w:hAnsi="Georgia"/>
        </w:rPr>
        <w:t>Family member models must have an identical or warmer product temperature range (M-package temperature) than the parent model; and,</w:t>
      </w:r>
    </w:p>
    <w:p w14:paraId="28EAFC06" w14:textId="77777777" w:rsidR="005636C7" w:rsidRPr="00713A3E" w:rsidRDefault="005636C7" w:rsidP="00713A3E">
      <w:pPr>
        <w:numPr>
          <w:ilvl w:val="0"/>
          <w:numId w:val="33"/>
        </w:numPr>
        <w:spacing w:after="120" w:line="276" w:lineRule="auto"/>
        <w:contextualSpacing/>
        <w:jc w:val="both"/>
        <w:rPr>
          <w:rFonts w:ascii="Georgia" w:hAnsi="Georgia"/>
        </w:rPr>
      </w:pPr>
      <w:r w:rsidRPr="00713A3E">
        <w:rPr>
          <w:rFonts w:ascii="Georgia" w:eastAsiaTheme="minorHAnsi" w:hAnsi="Georgia"/>
        </w:rPr>
        <w:t>Family member models must be of an i</w:t>
      </w:r>
      <w:r w:rsidRPr="00713A3E">
        <w:rPr>
          <w:rFonts w:ascii="Georgia" w:eastAsiaTheme="minorHAnsi" w:hAnsi="Georgia" w:cstheme="minorBidi"/>
        </w:rPr>
        <w:t>den</w:t>
      </w:r>
      <w:r w:rsidRPr="00713A3E">
        <w:rPr>
          <w:rFonts w:ascii="Georgia" w:hAnsi="Georgia"/>
        </w:rPr>
        <w:t>tical cabinet type and use the same method of access to products being displayed or stored as the parent model (either all open or all closed cabinets).</w:t>
      </w:r>
    </w:p>
    <w:p w14:paraId="59D3346A" w14:textId="77777777" w:rsidR="005636C7" w:rsidRPr="00C26E2D" w:rsidRDefault="005636C7" w:rsidP="005636C7">
      <w:pPr>
        <w:spacing w:after="120"/>
        <w:ind w:left="460"/>
        <w:contextualSpacing/>
        <w:jc w:val="both"/>
      </w:pPr>
    </w:p>
    <w:p w14:paraId="168EB63B" w14:textId="77777777" w:rsidR="005636C7" w:rsidRPr="00C26E2D" w:rsidRDefault="005636C7" w:rsidP="00713A3E">
      <w:pPr>
        <w:pStyle w:val="E3BodyText"/>
        <w:rPr>
          <w:rFonts w:eastAsiaTheme="minorHAnsi"/>
          <w:color w:val="1F497D"/>
        </w:rPr>
      </w:pPr>
      <w:r w:rsidRPr="00C26E2D">
        <w:t xml:space="preserve">To assist in determining the model to be selected as the ‘parent’ of a family of self-contained cabinet models or remote cabinet models, criteria can be applied to identify the model that will produce the highest allowable maximum energy consumption and thus be the least energy efficient (refer </w:t>
      </w:r>
      <w:r w:rsidRPr="00C26E2D">
        <w:rPr>
          <w:b/>
        </w:rPr>
        <w:t>Technical Appendix</w:t>
      </w:r>
      <w:r w:rsidRPr="00C26E2D">
        <w:t xml:space="preserve"> for criteria: </w:t>
      </w:r>
      <w:hyperlink r:id="rId79" w:history="1">
        <w:r w:rsidRPr="0037697A">
          <w:rPr>
            <w:color w:val="0000FF"/>
            <w:u w:val="single"/>
          </w:rPr>
          <w:t>http://energyrating.gov.au/document/industry-update-refrigerated-display-and-storage-cabinets-technical-working-group</w:t>
        </w:r>
      </w:hyperlink>
      <w:r w:rsidRPr="00C26E2D">
        <w:t>).</w:t>
      </w:r>
    </w:p>
    <w:p w14:paraId="7BF1A23D" w14:textId="77777777" w:rsidR="005636C7" w:rsidRPr="00C26E2D" w:rsidRDefault="005636C7" w:rsidP="00713A3E">
      <w:pPr>
        <w:pStyle w:val="E3BodyText"/>
      </w:pPr>
      <w:r w:rsidRPr="00C26E2D">
        <w:t xml:space="preserve">Alternate components are permitted to be substituted in a cabinet that is part of a family registration provided the components have the same or better specification and performance.  Compliance activity and check testing will be used to ensure registered performance is maintained. </w:t>
      </w:r>
    </w:p>
    <w:p w14:paraId="7FE9EFD3" w14:textId="77777777" w:rsidR="005636C7" w:rsidRPr="00713A3E" w:rsidRDefault="005636C7" w:rsidP="005636C7">
      <w:pPr>
        <w:spacing w:before="240" w:after="240"/>
        <w:jc w:val="both"/>
        <w:rPr>
          <w:rFonts w:ascii="Georgia" w:hAnsi="Georgia"/>
          <w:b/>
        </w:rPr>
      </w:pPr>
      <w:r w:rsidRPr="00713A3E">
        <w:rPr>
          <w:rFonts w:ascii="Georgia" w:hAnsi="Georgia"/>
          <w:b/>
        </w:rPr>
        <w:t>Deemed to comply registrations</w:t>
      </w:r>
    </w:p>
    <w:p w14:paraId="4CA2609F" w14:textId="77777777" w:rsidR="005636C7" w:rsidRPr="00C26E2D" w:rsidRDefault="005636C7" w:rsidP="00713A3E">
      <w:pPr>
        <w:pStyle w:val="E3BodyText"/>
      </w:pPr>
      <w:r w:rsidRPr="00C26E2D">
        <w:t xml:space="preserve">Deemed to comply is an alternative registration method for cabinets that are produced in low quantities (i.e. one-offs, bespoke/custom or built in) that cannot be tested in a standard testing facility. </w:t>
      </w:r>
    </w:p>
    <w:p w14:paraId="0C618E0E" w14:textId="77777777" w:rsidR="005636C7" w:rsidRPr="00C26E2D" w:rsidRDefault="005636C7" w:rsidP="00713A3E">
      <w:pPr>
        <w:pStyle w:val="E3BodyText"/>
      </w:pPr>
      <w:r w:rsidRPr="00C26E2D">
        <w:t>A certified performance test to the recognised Standard is the most certain method for a risk free registration but the practicalities and relative costs are prohibitive with low volume cabinets, and generally outweigh the overall benefits. In this scenario, a simple method of analysing the energy characteristics of a design to demonstrate the energy efficiency of a cabinet, relative to the regulated minimum efficiency level, is considered to be a more viable approach.</w:t>
      </w:r>
    </w:p>
    <w:p w14:paraId="15935DD8" w14:textId="77777777" w:rsidR="005636C7" w:rsidRPr="00C26E2D" w:rsidRDefault="005636C7" w:rsidP="00713A3E">
      <w:pPr>
        <w:pStyle w:val="E3BodyText"/>
      </w:pPr>
      <w:r w:rsidRPr="00C26E2D">
        <w:t>ISO 23953.2:2015 (Annex D) sets out a method for establishing data requirements for Standard Ratings and evaluating alternative components for both remote and self-contained refrigerated display cabinets based on the AHRI 1200 Standard.</w:t>
      </w:r>
      <w:r w:rsidRPr="0037697A">
        <w:rPr>
          <w:vertAlign w:val="superscript"/>
        </w:rPr>
        <w:footnoteReference w:id="63"/>
      </w:r>
      <w:r w:rsidRPr="00C26E2D">
        <w:t xml:space="preserve"> This method is also incorporated into Annex B of EN 16838:2016 (Refrigerated display scooping cabinets for gelato).</w:t>
      </w:r>
    </w:p>
    <w:p w14:paraId="5183E822" w14:textId="77777777" w:rsidR="005636C7" w:rsidRPr="00C26E2D" w:rsidRDefault="005636C7" w:rsidP="00713A3E">
      <w:pPr>
        <w:pStyle w:val="E3BodyText"/>
      </w:pPr>
      <w:r w:rsidRPr="00C26E2D">
        <w:t xml:space="preserve">These methods have conditions. For example, if an electrical component increases energy consumption then the cabinet efficiency must be revised based on actual measurements. If there has been an energy reduction, the calculation </w:t>
      </w:r>
      <w:r w:rsidRPr="00C26E2D">
        <w:rPr>
          <w:u w:val="single"/>
        </w:rPr>
        <w:t>or</w:t>
      </w:r>
      <w:r w:rsidRPr="00C26E2D">
        <w:t xml:space="preserve"> measurement method can be used. </w:t>
      </w:r>
    </w:p>
    <w:p w14:paraId="4C6D30D3" w14:textId="77777777" w:rsidR="005636C7" w:rsidRPr="00C26E2D" w:rsidRDefault="005636C7" w:rsidP="00713A3E">
      <w:pPr>
        <w:pStyle w:val="E3BodyText"/>
      </w:pPr>
      <w:r w:rsidRPr="00C26E2D">
        <w:t>When submitting efficiency data for a commercial cabinet that has been calculated rather than physically tested, it is expected that a calculation adjustment factor of an additional 15% would be added to the claimed energy consumption to take into account real-world operation.</w:t>
      </w:r>
    </w:p>
    <w:p w14:paraId="13F6EBA4" w14:textId="77777777" w:rsidR="005636C7" w:rsidRPr="00713A3E" w:rsidRDefault="005636C7" w:rsidP="005636C7">
      <w:pPr>
        <w:pBdr>
          <w:top w:val="nil"/>
          <w:left w:val="nil"/>
          <w:bottom w:val="nil"/>
          <w:right w:val="nil"/>
          <w:between w:val="nil"/>
          <w:bar w:val="nil"/>
        </w:pBdr>
        <w:spacing w:after="240"/>
        <w:jc w:val="both"/>
        <w:rPr>
          <w:rFonts w:ascii="Georgia" w:eastAsia="Calibri" w:hAnsi="Georgia" w:cs="Calibri"/>
          <w:b/>
          <w:bCs/>
          <w:color w:val="0D0D0D"/>
          <w:u w:color="0D0D0D"/>
          <w:bdr w:val="nil"/>
          <w:lang w:val="en-US"/>
        </w:rPr>
      </w:pPr>
      <w:r w:rsidRPr="00713A3E">
        <w:rPr>
          <w:rFonts w:ascii="Georgia" w:eastAsia="Calibri" w:hAnsi="Georgia" w:cs="Calibri"/>
          <w:b/>
          <w:bCs/>
          <w:color w:val="0D0D0D"/>
          <w:u w:color="0D0D0D"/>
          <w:bdr w:val="nil"/>
          <w:lang w:val="en-US"/>
        </w:rPr>
        <w:t>Registration costs</w:t>
      </w:r>
    </w:p>
    <w:p w14:paraId="02BAB605" w14:textId="77777777" w:rsidR="005636C7" w:rsidRPr="00C26E2D" w:rsidRDefault="005636C7" w:rsidP="00713A3E">
      <w:pPr>
        <w:pStyle w:val="E3BodyText"/>
        <w:rPr>
          <w:u w:color="0D0D0D"/>
        </w:rPr>
      </w:pPr>
      <w:r w:rsidRPr="00C26E2D">
        <w:rPr>
          <w:u w:color="0D0D0D"/>
        </w:rPr>
        <w:t>The TWG had broad representation from local manufacturers, importers and companies who have experience in both manufacturing and importing in the Australian and New Zealand markets.  Extensive discussion and debate was directed at ensuring that registration costs would be fair and equitable under the new regulatory structure.  Provision of wider registration channels through the ‘family of models’ and ‘deemed to comply’ pathways was accepted as providing industry with the means to comply with legal requirements at a fair and reasonable cost.</w:t>
      </w:r>
    </w:p>
    <w:p w14:paraId="4FE57D36" w14:textId="77777777" w:rsidR="005636C7" w:rsidRPr="00774AEA" w:rsidRDefault="005636C7" w:rsidP="005636C7">
      <w:pPr>
        <w:pBdr>
          <w:top w:val="nil"/>
          <w:left w:val="nil"/>
          <w:bottom w:val="nil"/>
          <w:right w:val="nil"/>
          <w:between w:val="nil"/>
          <w:bar w:val="nil"/>
        </w:pBdr>
        <w:spacing w:before="240" w:after="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Recommendation 4: Voluntary online labelling</w:t>
      </w:r>
    </w:p>
    <w:p w14:paraId="32015E95" w14:textId="77777777" w:rsidR="005636C7" w:rsidRPr="00C26E2D" w:rsidRDefault="005636C7" w:rsidP="00774AEA">
      <w:pPr>
        <w:pStyle w:val="E3BodyText"/>
        <w:rPr>
          <w:u w:color="0D0D0D"/>
        </w:rPr>
      </w:pPr>
      <w:r w:rsidRPr="00C26E2D">
        <w:rPr>
          <w:u w:color="0D0D0D"/>
        </w:rPr>
        <w:t xml:space="preserve">While a mandatory labelling system was not supported by industry, there was consensus by industry and regulators at TWG meetings that there was still a compelling case for labelling which should be online and voluntary (however, some manufacturers may still choose to apply physical labels to cabinets under a </w:t>
      </w:r>
      <w:r>
        <w:rPr>
          <w:u w:color="0D0D0D"/>
        </w:rPr>
        <w:t>online energy rating information</w:t>
      </w:r>
      <w:r w:rsidRPr="00C26E2D">
        <w:rPr>
          <w:u w:color="0D0D0D"/>
        </w:rPr>
        <w:t xml:space="preserve"> scheme). </w:t>
      </w:r>
    </w:p>
    <w:p w14:paraId="79963C10" w14:textId="77777777" w:rsidR="005636C7" w:rsidRPr="00C26E2D" w:rsidRDefault="005636C7" w:rsidP="00774AEA">
      <w:pPr>
        <w:pStyle w:val="E3BodyText"/>
        <w:rPr>
          <w:u w:color="0D0D0D"/>
        </w:rPr>
      </w:pPr>
      <w:r w:rsidRPr="00C26E2D">
        <w:rPr>
          <w:u w:color="0D0D0D"/>
        </w:rPr>
        <w:t>The cabinet efficiency characteristics shall be provided online, and in a standardised star rating format. The development of a star rating label (and the transition to the European Energy Efficiency Index) will require labelling algorithms to be developed by consultants (and published prior to implementation of the new MEPS scheme) in conjunction with New Zealand and Australian regulators.</w:t>
      </w:r>
    </w:p>
    <w:p w14:paraId="138B2C06" w14:textId="77777777" w:rsidR="005636C7" w:rsidRPr="00774AE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Recommendation 5: Adoption of ISO 23953 (Refrigerated Display Cabinets) with minor amendments</w:t>
      </w:r>
    </w:p>
    <w:p w14:paraId="5D249F8B"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61098EA1" w14:textId="77777777" w:rsidR="005636C7" w:rsidRPr="00C26E2D" w:rsidRDefault="005636C7" w:rsidP="00774AEA">
      <w:pPr>
        <w:pStyle w:val="E3BodyText"/>
        <w:rPr>
          <w:u w:color="0D0D0D"/>
          <w:bdr w:val="nil"/>
        </w:rPr>
      </w:pPr>
      <w:r w:rsidRPr="00C26E2D">
        <w:rPr>
          <w:u w:color="0D0D0D"/>
          <w:bdr w:val="nil"/>
        </w:rPr>
        <w:t xml:space="preserve">The TWG noted that the light transmission factor and the change to the higher frequency of door openings for closed chillers are the main test differences between ISO 23953 and AS 1731. </w:t>
      </w:r>
    </w:p>
    <w:p w14:paraId="46B1AF59" w14:textId="77777777" w:rsidR="005636C7" w:rsidRPr="00C26E2D" w:rsidRDefault="005636C7" w:rsidP="00774AEA">
      <w:pPr>
        <w:pStyle w:val="E3BodyText"/>
        <w:rPr>
          <w:u w:color="0D0D0D"/>
          <w:bdr w:val="nil"/>
        </w:rPr>
      </w:pPr>
      <w:r w:rsidRPr="00C26E2D">
        <w:rPr>
          <w:u w:color="0D0D0D"/>
          <w:bdr w:val="nil"/>
        </w:rPr>
        <w:t>It was agreed a key performance aspect is to ensure that a closed cabinet maintains the specified temperature when subject to door openings.</w:t>
      </w:r>
    </w:p>
    <w:p w14:paraId="29A0C2A6" w14:textId="77777777" w:rsidR="005636C7" w:rsidRPr="00C26E2D" w:rsidRDefault="005636C7" w:rsidP="00774AEA">
      <w:pPr>
        <w:pStyle w:val="E3BodyText"/>
      </w:pPr>
      <w:r w:rsidRPr="00C26E2D">
        <w:t>The TWG accepted the ISO inclusion of a sneeze guard. However, the ISO dimensional limit of not less than 1500mm may not be appropriate for all commercial cabinet types. Specific dimensions may be required in certain jurisdictions. The wording on sneeze guards as used in AS 1731 is preferred.</w:t>
      </w:r>
    </w:p>
    <w:p w14:paraId="17582190" w14:textId="77777777" w:rsidR="005636C7" w:rsidRPr="00C26E2D" w:rsidRDefault="005636C7" w:rsidP="00774AEA">
      <w:pPr>
        <w:pStyle w:val="E3BodyText"/>
        <w:rPr>
          <w:u w:color="0D0D0D"/>
        </w:rPr>
      </w:pPr>
      <w:r w:rsidRPr="00C26E2D">
        <w:rPr>
          <w:u w:color="0D0D0D"/>
        </w:rPr>
        <w:t>The TWG accepted ISO 23953 Annex A which effectively removes the light transmission factor.</w:t>
      </w:r>
    </w:p>
    <w:p w14:paraId="2B0C6130" w14:textId="77777777" w:rsidR="005636C7" w:rsidRPr="00842B90" w:rsidRDefault="005636C7" w:rsidP="00774AEA">
      <w:pPr>
        <w:pBdr>
          <w:top w:val="nil"/>
          <w:left w:val="nil"/>
          <w:bottom w:val="nil"/>
          <w:right w:val="nil"/>
          <w:between w:val="nil"/>
          <w:bar w:val="nil"/>
        </w:pBdr>
        <w:jc w:val="both"/>
        <w:rPr>
          <w:rFonts w:eastAsia="Calibri" w:cs="Helvetica"/>
          <w:b/>
          <w:color w:val="0D0D0D"/>
          <w:u w:color="0D0D0D"/>
          <w:bdr w:val="nil"/>
          <w:lang w:val="en-US"/>
        </w:rPr>
      </w:pPr>
      <w:r w:rsidRPr="00842B90">
        <w:rPr>
          <w:rFonts w:eastAsia="Calibri" w:cs="Helvetica"/>
          <w:b/>
          <w:color w:val="0D0D0D"/>
          <w:u w:color="0D0D0D"/>
          <w:bdr w:val="nil"/>
          <w:lang w:val="en-US"/>
        </w:rPr>
        <w:t>Recommendation 6: Adoption of ISO 23953.1 (Vocabulary) – concerning groups of cabinets as classified by type</w:t>
      </w:r>
      <w:r w:rsidRPr="00842B90">
        <w:rPr>
          <w:rFonts w:eastAsia="Calibri" w:cs="Helvetica"/>
          <w:b/>
          <w:color w:val="0D0D0D"/>
          <w:u w:color="0D0D0D"/>
          <w:bdr w:val="nil"/>
          <w:lang w:val="de-DE"/>
        </w:rPr>
        <w:t>.</w:t>
      </w:r>
    </w:p>
    <w:p w14:paraId="14F93A0B" w14:textId="77777777" w:rsidR="005636C7" w:rsidRPr="00C26E2D" w:rsidRDefault="005636C7" w:rsidP="005636C7">
      <w:pPr>
        <w:pBdr>
          <w:top w:val="nil"/>
          <w:left w:val="nil"/>
          <w:bottom w:val="nil"/>
          <w:right w:val="nil"/>
          <w:between w:val="nil"/>
          <w:bar w:val="nil"/>
        </w:pBdr>
        <w:jc w:val="both"/>
        <w:rPr>
          <w:rFonts w:eastAsia="Calibri" w:cs="Calibri"/>
          <w:color w:val="0D0D0D"/>
          <w:u w:color="0D0D0D"/>
          <w:bdr w:val="nil"/>
          <w:lang w:val="de-DE"/>
        </w:rPr>
      </w:pPr>
    </w:p>
    <w:p w14:paraId="3834760A" w14:textId="77777777" w:rsidR="005636C7" w:rsidRPr="00C26E2D" w:rsidRDefault="005636C7" w:rsidP="005636C7">
      <w:pPr>
        <w:contextualSpacing/>
        <w:jc w:val="both"/>
        <w:rPr>
          <w:rFonts w:eastAsia="Calibri" w:cs="Calibri"/>
          <w:color w:val="0D0D0D"/>
          <w:u w:color="0D0D0D"/>
        </w:rPr>
      </w:pPr>
      <w:r w:rsidRPr="00C26E2D">
        <w:rPr>
          <w:rFonts w:eastAsia="Calibri" w:cs="Calibri"/>
          <w:color w:val="0D0D0D"/>
          <w:u w:color="0D0D0D"/>
        </w:rPr>
        <w:t>The TWG accepted ISO 23953.1 which concerns groups of cabinets as classified by Type (see</w:t>
      </w:r>
      <w:r w:rsidRPr="00C26E2D">
        <w:rPr>
          <w:rFonts w:eastAsia="Calibri" w:cs="Calibri"/>
          <w:b/>
          <w:color w:val="0D0D0D"/>
          <w:u w:color="0D0D0D"/>
        </w:rPr>
        <w:t xml:space="preserve"> table </w:t>
      </w:r>
      <w:r w:rsidRPr="00C26E2D">
        <w:rPr>
          <w:rFonts w:eastAsia="Calibri" w:cs="Calibri"/>
          <w:color w:val="0D0D0D"/>
          <w:u w:color="0D0D0D"/>
        </w:rPr>
        <w:t xml:space="preserve">below). </w:t>
      </w:r>
    </w:p>
    <w:p w14:paraId="4FA12065" w14:textId="77777777" w:rsidR="005636C7" w:rsidRPr="00C26E2D" w:rsidRDefault="005636C7" w:rsidP="005636C7">
      <w:pPr>
        <w:contextualSpacing/>
        <w:jc w:val="both"/>
        <w:rPr>
          <w:rFonts w:eastAsia="Calibri" w:cs="Calibri"/>
          <w:color w:val="0D0D0D"/>
          <w:u w:color="0D0D0D"/>
        </w:rPr>
      </w:pPr>
    </w:p>
    <w:p w14:paraId="73649675" w14:textId="77777777" w:rsidR="005636C7" w:rsidRPr="00C26E2D" w:rsidRDefault="005636C7" w:rsidP="005636C7">
      <w:pPr>
        <w:contextualSpacing/>
        <w:rPr>
          <w:rFonts w:ascii="Calibri" w:eastAsia="Calibri" w:hAnsi="Calibri" w:cs="Calibri"/>
          <w:color w:val="0D0D0D"/>
          <w:u w:color="0D0D0D"/>
        </w:rPr>
      </w:pPr>
      <w:r w:rsidRPr="00C26E2D">
        <w:rPr>
          <w:noProof/>
          <w:u w:color="00000D"/>
        </w:rPr>
        <w:drawing>
          <wp:inline distT="0" distB="0" distL="0" distR="0" wp14:anchorId="015F841A" wp14:editId="485B90AB">
            <wp:extent cx="5962650" cy="6452840"/>
            <wp:effectExtent l="0" t="0" r="0" b="5715"/>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965644" cy="6456080"/>
                    </a:xfrm>
                    <a:prstGeom prst="rect">
                      <a:avLst/>
                    </a:prstGeom>
                    <a:noFill/>
                    <a:ln w="9525">
                      <a:noFill/>
                      <a:miter lim="800000"/>
                      <a:headEnd/>
                      <a:tailEnd/>
                    </a:ln>
                  </pic:spPr>
                </pic:pic>
              </a:graphicData>
            </a:graphic>
          </wp:inline>
        </w:drawing>
      </w:r>
    </w:p>
    <w:p w14:paraId="74ED098D" w14:textId="77777777" w:rsidR="005636C7" w:rsidRPr="00774AE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 xml:space="preserve">Recommendation 7: Adoption of ISO 23953.2 (Refrigerated Display Cabinets – Classifications, Requirements and Test Conditions) </w:t>
      </w:r>
    </w:p>
    <w:p w14:paraId="44945A96"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0A6409C8" w14:textId="77777777" w:rsidR="005636C7" w:rsidRPr="00C26E2D" w:rsidRDefault="005636C7" w:rsidP="00774AEA">
      <w:pPr>
        <w:pStyle w:val="E3BodyText"/>
        <w:rPr>
          <w:rFonts w:eastAsia="Arial Unicode MS" w:cs="Arial Unicode MS"/>
          <w:u w:color="000000"/>
          <w:bdr w:val="nil"/>
          <w:lang w:val="de-DE"/>
        </w:rPr>
      </w:pPr>
      <w:r w:rsidRPr="00C26E2D">
        <w:rPr>
          <w:u w:color="0D0D0D"/>
          <w:bdr w:val="nil"/>
        </w:rPr>
        <w:t>The TWG recommends that ISO 23953.2 be adopted in relation to Refrigerated Display Cabinets, including minor amendments to clauses concerning controls, closed chiller loading heights and component substitution</w:t>
      </w:r>
      <w:r w:rsidRPr="00C26E2D">
        <w:rPr>
          <w:rFonts w:eastAsia="Arial Unicode MS" w:cs="Arial Unicode MS"/>
          <w:u w:color="000000"/>
          <w:bdr w:val="nil"/>
          <w:lang w:val="de-DE"/>
        </w:rPr>
        <w:t>.</w:t>
      </w:r>
      <w:r w:rsidRPr="0037697A">
        <w:rPr>
          <w:rFonts w:eastAsia="Arial Unicode MS" w:cs="Arial Unicode MS"/>
          <w:u w:color="000000"/>
          <w:bdr w:val="nil"/>
          <w:vertAlign w:val="superscript"/>
          <w:lang w:val="de-DE"/>
        </w:rPr>
        <w:footnoteReference w:id="64"/>
      </w:r>
    </w:p>
    <w:p w14:paraId="0A1C4D96" w14:textId="77777777" w:rsidR="005636C7" w:rsidRPr="00C26E2D" w:rsidRDefault="005636C7" w:rsidP="00774AEA">
      <w:pPr>
        <w:pStyle w:val="E3BodyText"/>
        <w:rPr>
          <w:u w:color="0D0D0D"/>
          <w:bdr w:val="nil"/>
        </w:rPr>
      </w:pPr>
      <w:r w:rsidRPr="00C26E2D">
        <w:rPr>
          <w:u w:color="0D0D0D"/>
          <w:bdr w:val="nil"/>
        </w:rPr>
        <w:t>The TWG also accepted clause 5.3.2.7 and 5.3.2.8 (requirements for cabinet lighting controls). However, cabinets from Europe always contain a switch. To ensure the full interpretation of the ISO standard, and to encourage energy savings, it was recommended that AS 1731 wording be included to allow an automatic switch to be fitted.</w:t>
      </w:r>
    </w:p>
    <w:p w14:paraId="7AD92C96" w14:textId="77777777" w:rsidR="005636C7" w:rsidRPr="00C26E2D" w:rsidRDefault="005636C7" w:rsidP="00774AEA">
      <w:pPr>
        <w:pStyle w:val="E3BodyText"/>
      </w:pPr>
      <w:r w:rsidRPr="00C26E2D">
        <w:rPr>
          <w:u w:color="0D0D0D"/>
        </w:rPr>
        <w:t>The TWG accepted clause 5.3.2.3.2 (loading heights of closed cabinets), with a suggested variation to revert to the half-height loading of test packages using wording from AS 1731 (that provides clarity for the trans-Tasman market).</w:t>
      </w:r>
    </w:p>
    <w:p w14:paraId="78906010" w14:textId="77777777" w:rsidR="005636C7" w:rsidRPr="00C26E2D" w:rsidRDefault="005636C7" w:rsidP="00774AEA">
      <w:pPr>
        <w:pStyle w:val="E3BodyText"/>
      </w:pPr>
      <w:r w:rsidRPr="00C26E2D">
        <w:t>The TWG accepted ISO 23953 Annex D, which defines the various components that determine the energy consumption and performance of a refrigerated cabinet. This allows the ability to substitute components and calculate the difference using the technical standard methodology. The TWG suggested clarity be provided to ensure Annex D is clearly translated into regulation.</w:t>
      </w:r>
    </w:p>
    <w:p w14:paraId="55C24377" w14:textId="77777777" w:rsidR="005636C7" w:rsidRPr="00C26E2D" w:rsidRDefault="005636C7" w:rsidP="00774AEA">
      <w:pPr>
        <w:pStyle w:val="E3BodyText"/>
      </w:pPr>
      <w:r w:rsidRPr="00C26E2D">
        <w:t>The TWG also accepted the Table 1 M-Package temperature classifications and the Table 3 Climate Classification of ISO 23953:2015, both of which incorporate additional classifications that were not present in AS 1731 (reproduced below).</w:t>
      </w:r>
    </w:p>
    <w:p w14:paraId="18A31D9A" w14:textId="77777777" w:rsidR="005636C7" w:rsidRPr="00C26E2D" w:rsidRDefault="005636C7" w:rsidP="00774AEA">
      <w:pPr>
        <w:pStyle w:val="E3BodyText"/>
        <w:rPr>
          <w:rFonts w:ascii="Calibri" w:hAnsi="Calibri"/>
          <w:sz w:val="22"/>
          <w:szCs w:val="22"/>
        </w:rPr>
      </w:pPr>
    </w:p>
    <w:p w14:paraId="44B3499A" w14:textId="77777777" w:rsidR="005636C7" w:rsidRPr="00C26E2D" w:rsidRDefault="005636C7" w:rsidP="005636C7">
      <w:pPr>
        <w:spacing w:before="240"/>
        <w:jc w:val="both"/>
        <w:rPr>
          <w:rFonts w:asciiTheme="minorHAnsi" w:hAnsiTheme="minorHAnsi"/>
          <w:sz w:val="22"/>
          <w:szCs w:val="22"/>
        </w:rPr>
      </w:pPr>
      <w:r w:rsidRPr="00C26E2D">
        <w:rPr>
          <w:rFonts w:ascii="Calibri" w:eastAsia="Calibri" w:hAnsi="Calibri" w:cs="Calibri"/>
          <w:bCs/>
          <w:noProof/>
          <w:color w:val="0D0D0D"/>
        </w:rPr>
        <w:drawing>
          <wp:inline distT="0" distB="0" distL="0" distR="0" wp14:anchorId="7BC9C4F0" wp14:editId="0695282C">
            <wp:extent cx="5975498" cy="6885413"/>
            <wp:effectExtent l="0" t="0" r="635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77788" cy="6888052"/>
                    </a:xfrm>
                    <a:prstGeom prst="rect">
                      <a:avLst/>
                    </a:prstGeom>
                    <a:noFill/>
                    <a:ln>
                      <a:noFill/>
                    </a:ln>
                  </pic:spPr>
                </pic:pic>
              </a:graphicData>
            </a:graphic>
          </wp:inline>
        </w:drawing>
      </w:r>
    </w:p>
    <w:p w14:paraId="2D1B7CAD" w14:textId="77777777" w:rsidR="005636C7" w:rsidRPr="00774AE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774AEA">
        <w:rPr>
          <w:rFonts w:ascii="Georgia" w:eastAsia="Calibri" w:hAnsi="Georgia" w:cs="Helvetica"/>
          <w:b/>
          <w:color w:val="0D0D0D"/>
          <w:u w:color="0D0D0D"/>
          <w:bdr w:val="nil"/>
          <w:lang w:val="en-US"/>
        </w:rPr>
        <w:t xml:space="preserve">Recommendation 8: Adoption of EN 16825:2016 (Refrigerated Storage Cabinets and Counters for Professional Use) </w:t>
      </w:r>
    </w:p>
    <w:p w14:paraId="7165AB41" w14:textId="77777777" w:rsidR="005636C7" w:rsidRPr="00C26E2D" w:rsidRDefault="005636C7" w:rsidP="00215F9A">
      <w:pPr>
        <w:pStyle w:val="E3BodyText"/>
        <w:spacing w:before="240"/>
        <w:rPr>
          <w:u w:color="0D0D0D"/>
          <w:bdr w:val="nil"/>
        </w:rPr>
      </w:pPr>
      <w:r w:rsidRPr="00C26E2D">
        <w:rPr>
          <w:u w:color="0D0D0D"/>
          <w:bdr w:val="nil"/>
        </w:rPr>
        <w:t>The TWG recommends adopting EN 16825:2016, with minor amendments to clauses concerning climate class testing, and including a specific additional clause regarding test room conditions for the water vapour test.</w:t>
      </w:r>
    </w:p>
    <w:p w14:paraId="7F7AF080" w14:textId="77777777" w:rsidR="005636C7" w:rsidRPr="00C26E2D" w:rsidRDefault="005636C7" w:rsidP="00774AEA">
      <w:pPr>
        <w:pStyle w:val="E3BodyText"/>
        <w:rPr>
          <w:u w:color="0D0D0D"/>
          <w:bdr w:val="nil"/>
        </w:rPr>
      </w:pPr>
      <w:r w:rsidRPr="00C26E2D">
        <w:rPr>
          <w:rFonts w:eastAsiaTheme="minorHAnsi" w:cstheme="minorBidi"/>
          <w:u w:color="000000"/>
          <w:lang w:val="en-NZ"/>
        </w:rPr>
        <w:t xml:space="preserve">The TWG noted a light duty cabinet is tested at Climate Class 3, and the efficiency value is multiplied by an Adjustment Factor of 1.2 (stated in Annex IV 2 (b), Page L177/36) to normalise the efficiency rating at Climate Class 4. </w:t>
      </w:r>
    </w:p>
    <w:p w14:paraId="2A6954BD" w14:textId="77777777" w:rsidR="005636C7" w:rsidRPr="00C26E2D" w:rsidRDefault="005636C7" w:rsidP="00774AEA">
      <w:pPr>
        <w:pStyle w:val="E3BodyText"/>
        <w:rPr>
          <w:u w:color="000000"/>
        </w:rPr>
      </w:pPr>
      <w:r w:rsidRPr="00C26E2D">
        <w:rPr>
          <w:u w:color="000000"/>
        </w:rPr>
        <w:t>The TWG also noted the clause that specifies heavy duty cabinets need to be tested at three different Climate Classes:</w:t>
      </w:r>
    </w:p>
    <w:p w14:paraId="25E4A26A" w14:textId="77777777" w:rsidR="005636C7" w:rsidRPr="004A0834" w:rsidRDefault="005636C7" w:rsidP="004A0834">
      <w:pPr>
        <w:pStyle w:val="ListBullet"/>
        <w:spacing w:after="240"/>
        <w:rPr>
          <w:rFonts w:ascii="Georgia" w:eastAsiaTheme="minorHAnsi" w:hAnsi="Georgia"/>
        </w:rPr>
      </w:pPr>
      <w:r w:rsidRPr="004A0834">
        <w:rPr>
          <w:rFonts w:ascii="Georgia" w:eastAsiaTheme="minorHAnsi" w:hAnsi="Georgia"/>
        </w:rPr>
        <w:t>Climate Class 5 to validate that the cabinet could be operated at these conditions.</w:t>
      </w:r>
    </w:p>
    <w:p w14:paraId="4F37887C" w14:textId="77777777" w:rsidR="005636C7" w:rsidRPr="004A0834" w:rsidRDefault="005636C7" w:rsidP="004A0834">
      <w:pPr>
        <w:pStyle w:val="ListBullet"/>
        <w:spacing w:after="240"/>
        <w:rPr>
          <w:rFonts w:ascii="Georgia" w:eastAsiaTheme="minorHAnsi" w:hAnsi="Georgia"/>
        </w:rPr>
      </w:pPr>
      <w:r w:rsidRPr="004A0834">
        <w:rPr>
          <w:rFonts w:ascii="Georgia" w:eastAsiaTheme="minorHAnsi" w:hAnsi="Georgia"/>
        </w:rPr>
        <w:t xml:space="preserve">Climate Class 4 for efficiency ratings. </w:t>
      </w:r>
    </w:p>
    <w:p w14:paraId="207BDDEE" w14:textId="77777777" w:rsidR="005636C7" w:rsidRPr="004A0834" w:rsidRDefault="005636C7" w:rsidP="004A0834">
      <w:pPr>
        <w:pStyle w:val="ListBullet"/>
        <w:spacing w:after="240"/>
        <w:rPr>
          <w:rFonts w:ascii="Georgia" w:eastAsiaTheme="minorHAnsi" w:hAnsi="Georgia"/>
        </w:rPr>
      </w:pPr>
      <w:r w:rsidRPr="004A0834">
        <w:rPr>
          <w:rFonts w:ascii="Georgia" w:eastAsiaTheme="minorHAnsi" w:hAnsi="Georgia"/>
        </w:rPr>
        <w:t>Climate Class 7 to measure water vapour condensation.</w:t>
      </w:r>
    </w:p>
    <w:p w14:paraId="4AFDC7FB" w14:textId="6E453511" w:rsidR="005636C7" w:rsidRPr="004A0834" w:rsidRDefault="005636C7" w:rsidP="004A0834">
      <w:pPr>
        <w:pStyle w:val="indenta"/>
        <w:tabs>
          <w:tab w:val="clear" w:pos="1531"/>
          <w:tab w:val="right" w:pos="0"/>
        </w:tabs>
        <w:spacing w:after="240"/>
        <w:ind w:left="0" w:firstLine="0"/>
        <w:jc w:val="both"/>
        <w:rPr>
          <w:rFonts w:ascii="Georgia" w:eastAsia="Calibri" w:hAnsi="Georgia" w:cs="Calibri"/>
          <w:bCs/>
          <w:color w:val="0D0D0D"/>
          <w:sz w:val="24"/>
          <w:szCs w:val="24"/>
          <w:u w:color="0D0D0D"/>
          <w:bdr w:val="nil"/>
          <w:lang w:val="en-US"/>
        </w:rPr>
      </w:pPr>
      <w:r w:rsidRPr="004A0834">
        <w:rPr>
          <w:rFonts w:ascii="Georgia" w:eastAsiaTheme="minorHAnsi" w:hAnsi="Georgia"/>
          <w:sz w:val="24"/>
          <w:szCs w:val="24"/>
          <w:u w:color="000000"/>
        </w:rPr>
        <w:t>The TWG recommended inclusion of an option allowing for</w:t>
      </w:r>
      <w:r w:rsidR="004A0834">
        <w:rPr>
          <w:rFonts w:ascii="Georgia" w:eastAsiaTheme="minorHAnsi" w:hAnsi="Georgia"/>
          <w:sz w:val="24"/>
          <w:szCs w:val="24"/>
          <w:u w:color="000000"/>
        </w:rPr>
        <w:t xml:space="preserve"> alternative Australian/NZ test </w:t>
      </w:r>
      <w:r w:rsidRPr="004A0834">
        <w:rPr>
          <w:rFonts w:ascii="Georgia" w:eastAsiaTheme="minorHAnsi" w:hAnsi="Georgia"/>
          <w:sz w:val="24"/>
          <w:szCs w:val="24"/>
          <w:u w:color="000000"/>
        </w:rPr>
        <w:t>filler packages as EN 16825 does not have provision for an alternative (as allowed for in ISO 23953).</w:t>
      </w:r>
    </w:p>
    <w:p w14:paraId="04EDBDD5" w14:textId="77777777" w:rsidR="005636C7" w:rsidRPr="00774AEA" w:rsidRDefault="005636C7" w:rsidP="004A0834">
      <w:pPr>
        <w:spacing w:after="240"/>
        <w:rPr>
          <w:rFonts w:ascii="Georgia" w:eastAsia="Calibri" w:hAnsi="Georgia" w:cs="Calibri"/>
          <w:b/>
          <w:bCs/>
          <w:color w:val="0D0D0D"/>
          <w:lang w:val="en-US"/>
        </w:rPr>
      </w:pPr>
      <w:r w:rsidRPr="00774AEA">
        <w:rPr>
          <w:rFonts w:ascii="Georgia" w:eastAsia="Calibri" w:hAnsi="Georgia" w:cs="Calibri"/>
          <w:b/>
          <w:bCs/>
          <w:color w:val="0D0D0D"/>
          <w:lang w:val="en-US"/>
        </w:rPr>
        <w:t xml:space="preserve">EN16825:2016 Addition – test room conditions for water vapour condensation test </w:t>
      </w:r>
    </w:p>
    <w:p w14:paraId="2F983918" w14:textId="77777777" w:rsidR="005636C7" w:rsidRPr="004A0834" w:rsidRDefault="005636C7" w:rsidP="004A0834">
      <w:pPr>
        <w:pStyle w:val="indenta"/>
        <w:tabs>
          <w:tab w:val="clear" w:pos="1531"/>
          <w:tab w:val="right" w:pos="0"/>
        </w:tabs>
        <w:spacing w:after="240"/>
        <w:ind w:left="0" w:firstLine="0"/>
        <w:rPr>
          <w:rFonts w:ascii="Georgia" w:eastAsia="Calibri" w:hAnsi="Georgia"/>
          <w:sz w:val="24"/>
          <w:szCs w:val="24"/>
        </w:rPr>
      </w:pPr>
      <w:r w:rsidRPr="004A0834">
        <w:rPr>
          <w:rFonts w:ascii="Georgia" w:eastAsia="Calibri" w:hAnsi="Georgia"/>
          <w:sz w:val="24"/>
          <w:szCs w:val="24"/>
        </w:rPr>
        <w:t>The TWG noted it is unclear from the wording of EN16825 whether or not the condensation test can result in a pass or fail energy efficiency requirement. There is no logical reason for undertaking the condensation test to Climate Class 7 (as stated in the Standard), as opposed to the Climate Class for which the Light, Normal and Heavy duty cabinets are intended (i.e. classes 3, 4 and 5 respectively). Adopting EN 16825 verbatim would require an additional 24 hours testing time and expense for no quantifiable benefit. Generally cabinets are tested at the climate condition that they are intended to operate at and have been designed for.</w:t>
      </w:r>
    </w:p>
    <w:p w14:paraId="7DD327B4" w14:textId="77777777" w:rsidR="005636C7" w:rsidRPr="004A0834" w:rsidRDefault="005636C7" w:rsidP="004A0834">
      <w:pPr>
        <w:pStyle w:val="indenta"/>
        <w:tabs>
          <w:tab w:val="clear" w:pos="1531"/>
          <w:tab w:val="right" w:pos="0"/>
        </w:tabs>
        <w:spacing w:after="240"/>
        <w:ind w:left="0" w:firstLine="0"/>
        <w:rPr>
          <w:rFonts w:ascii="Georgia" w:eastAsia="Calibri" w:hAnsi="Georgia"/>
          <w:sz w:val="24"/>
          <w:szCs w:val="24"/>
        </w:rPr>
      </w:pPr>
      <w:r w:rsidRPr="004A0834">
        <w:rPr>
          <w:rFonts w:ascii="Georgia" w:eastAsia="Calibri" w:hAnsi="Georgia"/>
          <w:sz w:val="24"/>
          <w:szCs w:val="24"/>
        </w:rPr>
        <w:t>This ambiguity was evidenced by an independent MEPS test report to the FprEN16825:2016 test standard by a member of the TWG Committee. The report showed the test cabinet had condensation present during that test, but the result was not a fail.</w:t>
      </w:r>
    </w:p>
    <w:p w14:paraId="28A72A5D" w14:textId="77777777" w:rsidR="005636C7" w:rsidRPr="004A0834" w:rsidRDefault="005636C7" w:rsidP="004A0834">
      <w:pPr>
        <w:pStyle w:val="indenta"/>
        <w:tabs>
          <w:tab w:val="clear" w:pos="1531"/>
          <w:tab w:val="right" w:pos="0"/>
        </w:tabs>
        <w:ind w:left="0" w:firstLine="0"/>
        <w:rPr>
          <w:rFonts w:ascii="Georgia" w:eastAsia="Calibri" w:hAnsi="Georgia"/>
          <w:sz w:val="24"/>
          <w:szCs w:val="24"/>
        </w:rPr>
      </w:pPr>
      <w:r w:rsidRPr="004A0834">
        <w:rPr>
          <w:rFonts w:ascii="Georgia" w:eastAsia="Calibri" w:hAnsi="Georgia"/>
          <w:sz w:val="24"/>
          <w:szCs w:val="24"/>
        </w:rPr>
        <w:t>The TWG agreed to include the condensation test, and also to progress the action point of contacting the EN Standard project team in Europe, passing on the concerns from the TWG and requesting the rationale to rectify the ambiguity and possible contradiction in terms. Local variations will then be considered (i.e. requiring undertaking the test at the intended Climate Class but with the option of a test for information only at Climate Class 6 for Light duty and Normal duty cabinets, and at Climate Class 7 for Heavy duty cabinets). However, this local adaptation cannot occur until agreement is reached and direction obtained from the European Standard Committee.</w:t>
      </w:r>
    </w:p>
    <w:p w14:paraId="301102EF" w14:textId="77777777" w:rsidR="005636C7" w:rsidRPr="00215F9A" w:rsidRDefault="005636C7" w:rsidP="004A0834">
      <w:pPr>
        <w:pBdr>
          <w:top w:val="nil"/>
          <w:left w:val="nil"/>
          <w:bottom w:val="nil"/>
          <w:right w:val="nil"/>
          <w:between w:val="nil"/>
          <w:bar w:val="nil"/>
        </w:pBdr>
        <w:spacing w:before="240" w:after="240"/>
        <w:jc w:val="both"/>
        <w:rPr>
          <w:rFonts w:ascii="Georgia" w:eastAsia="Calibri" w:hAnsi="Georgia" w:cs="Calibri"/>
          <w:bCs/>
          <w:color w:val="0D0D0D"/>
          <w:u w:color="0D0D0D"/>
          <w:bdr w:val="nil"/>
          <w:lang w:val="en-US"/>
        </w:rPr>
      </w:pPr>
      <w:r w:rsidRPr="00215F9A">
        <w:rPr>
          <w:rFonts w:ascii="Georgia" w:eastAsia="Calibri" w:hAnsi="Georgia" w:cs="Helvetica"/>
          <w:b/>
          <w:color w:val="0D0D0D"/>
          <w:u w:color="0D0D0D"/>
          <w:bdr w:val="nil"/>
          <w:lang w:val="en-US"/>
        </w:rPr>
        <w:t>Recommendation 9: Adoption of EN 16901:2016 (Ice-Cream Freezers – Classifications, Requirements and Test Conditions</w:t>
      </w:r>
      <w:r w:rsidRPr="00215F9A">
        <w:rPr>
          <w:rFonts w:ascii="Georgia" w:eastAsia="Calibri" w:hAnsi="Georgia" w:cs="Calibri"/>
          <w:bCs/>
          <w:color w:val="0D0D0D"/>
          <w:u w:color="0D0D0D"/>
          <w:bdr w:val="nil"/>
          <w:lang w:val="en-US"/>
        </w:rPr>
        <w:t>)</w:t>
      </w:r>
    </w:p>
    <w:p w14:paraId="17AA59CD" w14:textId="77777777" w:rsidR="005636C7" w:rsidRPr="004A0834" w:rsidRDefault="005636C7" w:rsidP="004A0834">
      <w:pPr>
        <w:pStyle w:val="indenta"/>
        <w:ind w:left="0" w:firstLine="0"/>
        <w:rPr>
          <w:rFonts w:ascii="Georgia" w:hAnsi="Georgia"/>
          <w:sz w:val="24"/>
          <w:szCs w:val="24"/>
        </w:rPr>
      </w:pPr>
      <w:r w:rsidRPr="004A0834">
        <w:rPr>
          <w:rFonts w:ascii="Georgia" w:eastAsia="Calibri" w:hAnsi="Georgia"/>
          <w:sz w:val="24"/>
          <w:szCs w:val="24"/>
        </w:rPr>
        <w:t xml:space="preserve">The TWG accepted EN 16901 for small ice-cream freezers subject to a number of minor changes required to clarify definitions and a minor modification to a diagram. </w:t>
      </w:r>
    </w:p>
    <w:p w14:paraId="7D43D22E" w14:textId="77777777" w:rsidR="005636C7" w:rsidRPr="00215F9A" w:rsidRDefault="005636C7" w:rsidP="005636C7">
      <w:pPr>
        <w:pBdr>
          <w:top w:val="nil"/>
          <w:left w:val="nil"/>
          <w:bottom w:val="nil"/>
          <w:right w:val="nil"/>
          <w:between w:val="nil"/>
          <w:bar w:val="nil"/>
        </w:pBdr>
        <w:spacing w:before="240"/>
        <w:jc w:val="both"/>
        <w:rPr>
          <w:rFonts w:ascii="Georgia" w:eastAsia="Calibri" w:hAnsi="Georgia" w:cs="Helvetica"/>
          <w:b/>
          <w:color w:val="0D0D0D"/>
          <w:u w:color="0D0D0D"/>
          <w:bdr w:val="nil"/>
          <w:lang w:val="en-US"/>
        </w:rPr>
      </w:pPr>
      <w:r w:rsidRPr="00215F9A">
        <w:rPr>
          <w:rFonts w:ascii="Georgia" w:eastAsia="Calibri" w:hAnsi="Georgia" w:cs="Helvetica"/>
          <w:b/>
          <w:color w:val="0D0D0D"/>
          <w:u w:color="0D0D0D"/>
          <w:bdr w:val="nil"/>
          <w:lang w:val="en-US"/>
        </w:rPr>
        <w:t xml:space="preserve">Recommendation 10: Exclusion of EN 16902 (Commercial Beverage Coolers – Classifications, Requirements and Test Conditions). </w:t>
      </w:r>
    </w:p>
    <w:p w14:paraId="2DE31E35"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7D0A9584" w14:textId="77777777" w:rsidR="005636C7" w:rsidRPr="004A0834" w:rsidRDefault="005636C7" w:rsidP="004A0834">
      <w:pPr>
        <w:pStyle w:val="indenta"/>
        <w:ind w:left="0" w:firstLine="0"/>
        <w:rPr>
          <w:rFonts w:ascii="Georgia" w:eastAsia="Calibri" w:hAnsi="Georgia"/>
          <w:sz w:val="24"/>
          <w:szCs w:val="24"/>
        </w:rPr>
      </w:pPr>
      <w:r w:rsidRPr="004A0834">
        <w:rPr>
          <w:rFonts w:ascii="Georgia" w:eastAsia="Calibri" w:hAnsi="Georgia"/>
          <w:sz w:val="24"/>
          <w:szCs w:val="24"/>
        </w:rPr>
        <w:t>The TWG considers that this Standard is not currently fit for purpose in the trans-Tasman setting. Instead, the TWG recommends that ISO 23953 be used to test beverage coolers.</w:t>
      </w:r>
    </w:p>
    <w:p w14:paraId="1A16E6FC" w14:textId="77777777" w:rsidR="005636C7" w:rsidRPr="004A0834" w:rsidRDefault="005636C7" w:rsidP="004A0834">
      <w:pPr>
        <w:pStyle w:val="indenta"/>
        <w:spacing w:after="240"/>
        <w:ind w:left="0" w:firstLine="0"/>
        <w:rPr>
          <w:rFonts w:ascii="Georgia" w:eastAsia="Calibri" w:hAnsi="Georgia"/>
          <w:sz w:val="24"/>
          <w:szCs w:val="24"/>
        </w:rPr>
      </w:pPr>
      <w:r w:rsidRPr="004A0834">
        <w:rPr>
          <w:rFonts w:ascii="Georgia" w:eastAsiaTheme="minorHAnsi" w:hAnsi="Georgia"/>
          <w:sz w:val="24"/>
          <w:szCs w:val="24"/>
        </w:rPr>
        <w:t>The TWG discussed the adequacy of adopting EN 16092 Commercial Beverage Coolers (currently all refrigerated display cabinets, including beverage coolers, are regulated by AS 1731).</w:t>
      </w:r>
    </w:p>
    <w:p w14:paraId="7BA8191A" w14:textId="77777777" w:rsidR="005636C7" w:rsidRPr="004A0834" w:rsidRDefault="005636C7" w:rsidP="004A0834">
      <w:pPr>
        <w:pStyle w:val="indenta"/>
        <w:spacing w:after="240"/>
        <w:ind w:left="0" w:firstLine="0"/>
        <w:rPr>
          <w:rFonts w:ascii="Georgia" w:eastAsia="Calibri" w:hAnsi="Georgia"/>
          <w:sz w:val="24"/>
          <w:szCs w:val="24"/>
        </w:rPr>
      </w:pPr>
      <w:r w:rsidRPr="004A0834">
        <w:rPr>
          <w:rFonts w:ascii="Georgia" w:eastAsiaTheme="minorHAnsi" w:hAnsi="Georgia"/>
          <w:sz w:val="24"/>
          <w:szCs w:val="24"/>
        </w:rPr>
        <w:t xml:space="preserve">A separate EN standard for beverage coolers was developed and published due to the requirement of large European based beverage companies specifying canned or bottled carbonated beverages be chilled to a defined temperature at the point of sale. In these dedicated beverage coolers an electronic management device (EMD) was commonly used. An EMD permits the cabinet to reduce refrigeration cooling overnight (i.e. reducing power consumption during non-retail hours by raising the temperature of the displayed goods), before pulling the cabinet temperature back down to the prescribed temperature in time for retail opening hours. Naturally, this was pertinent to cabinets only containing canned or bottled carbonated beverages but was unsuitable for cabinets that could contain perishable beverages or foodstuffs (such as milk or fruit juice based products). A label was often used by beverage companies - ‘cabinet not for use with perishable products’ to leave discretion and risk to end users. </w:t>
      </w:r>
    </w:p>
    <w:p w14:paraId="7AD7E630" w14:textId="77777777" w:rsidR="005636C7" w:rsidRPr="004A0834" w:rsidRDefault="005636C7" w:rsidP="004A0834">
      <w:pPr>
        <w:pStyle w:val="indenta"/>
        <w:spacing w:after="240"/>
        <w:ind w:left="0" w:firstLine="0"/>
        <w:rPr>
          <w:rFonts w:ascii="Georgia" w:eastAsia="Calibri" w:hAnsi="Georgia"/>
          <w:sz w:val="24"/>
          <w:szCs w:val="24"/>
        </w:rPr>
      </w:pPr>
      <w:r w:rsidRPr="004A0834">
        <w:rPr>
          <w:rFonts w:ascii="Georgia" w:eastAsiaTheme="minorHAnsi" w:hAnsi="Georgia"/>
          <w:sz w:val="24"/>
          <w:szCs w:val="24"/>
        </w:rPr>
        <w:t>To adapt these beverage coolers to suit the perishable market, many manufacturers simply shipped them from factory in ‘perishable mode’ i.e. with the Energy Management Device (EMD) disabled. To enable supply to both markets most beverage coolers had to be tested to both EN 16902 and ISO 23953 (with the EMD enabled). In Australia and New Zealand the majority of these coolers are suitable as display cabinets for both perishable foodstuffs and non-perishable beverages.</w:t>
      </w:r>
    </w:p>
    <w:p w14:paraId="47A6C76F" w14:textId="77777777" w:rsidR="005636C7" w:rsidRPr="004A0834" w:rsidRDefault="005636C7" w:rsidP="004A0834">
      <w:pPr>
        <w:pStyle w:val="indenta"/>
        <w:spacing w:after="240"/>
        <w:ind w:left="0" w:firstLine="0"/>
        <w:rPr>
          <w:rFonts w:ascii="Georgia" w:eastAsiaTheme="minorHAnsi" w:hAnsi="Georgia"/>
          <w:sz w:val="24"/>
          <w:szCs w:val="24"/>
        </w:rPr>
      </w:pPr>
      <w:r w:rsidRPr="004A0834">
        <w:rPr>
          <w:rFonts w:ascii="Georgia" w:eastAsiaTheme="minorHAnsi" w:hAnsi="Georgia"/>
          <w:sz w:val="24"/>
          <w:szCs w:val="24"/>
        </w:rPr>
        <w:t>From a technical perspective, EN 16902 is about pull down, not testing for energy efficiency. Test results supplied by TWG members showed cases tested under EN 16902, with the EMD enabled, portrayed an artificially low energy consumption measure (i.e. approx. 25% less) compared to actual, or when compared to a cabinet tested under ISO 23953 for refrigerated display cabinets. In addition, EN 16902 does not require a door opening test for closed cabinets to simulate actual use. The difference in energy consumption when comparing cabinets with and without doors was minimised during testing.</w:t>
      </w:r>
    </w:p>
    <w:p w14:paraId="643DBAE0" w14:textId="77777777" w:rsidR="005636C7" w:rsidRPr="004A0834" w:rsidRDefault="005636C7" w:rsidP="004A0834">
      <w:pPr>
        <w:pStyle w:val="indenta"/>
        <w:spacing w:after="240"/>
        <w:ind w:left="0" w:firstLine="0"/>
        <w:rPr>
          <w:rFonts w:ascii="Georgia" w:eastAsiaTheme="minorHAnsi" w:hAnsi="Georgia"/>
          <w:sz w:val="24"/>
          <w:szCs w:val="24"/>
        </w:rPr>
      </w:pPr>
      <w:r w:rsidRPr="004A0834">
        <w:rPr>
          <w:rFonts w:ascii="Georgia" w:eastAsiaTheme="minorHAnsi" w:hAnsi="Georgia"/>
          <w:sz w:val="24"/>
          <w:szCs w:val="24"/>
        </w:rPr>
        <w:t xml:space="preserve">The TWG acknowledged that the test conditions in this Standard do not simulate the real world situations beverage cabinets would be subject too. Overall the TWG was concerned that introducing this Standard would add unnecessary registration/compliance complexity and may allow lower efficiency products into the market as it promotes a less onerous test. </w:t>
      </w:r>
    </w:p>
    <w:p w14:paraId="2F36FD24" w14:textId="77777777" w:rsidR="005636C7" w:rsidRPr="004A0834" w:rsidRDefault="005636C7" w:rsidP="004A0834">
      <w:pPr>
        <w:pStyle w:val="indenta"/>
        <w:ind w:left="0" w:firstLine="0"/>
        <w:rPr>
          <w:rFonts w:ascii="Georgia" w:eastAsiaTheme="minorHAnsi" w:hAnsi="Georgia"/>
          <w:sz w:val="24"/>
          <w:szCs w:val="24"/>
        </w:rPr>
      </w:pPr>
      <w:r w:rsidRPr="004A0834">
        <w:rPr>
          <w:rFonts w:ascii="Georgia" w:eastAsiaTheme="minorHAnsi" w:hAnsi="Georgia"/>
          <w:sz w:val="24"/>
          <w:szCs w:val="24"/>
        </w:rPr>
        <w:t>From the Government regulators perspective, there is no obvious way to distinguish beverage coolers from refrigerated display cabinets based on their appearance. It is almost impossible to flag a refrigerated display cabinet as a beverage cooler because the EMD can be enabled or disabled before entering the market. It was also noted by regulators that ISO is currently considering an incorporation of EN 16902. It makes sense to assess adoption of the ISO version of this Standard when available.</w:t>
      </w:r>
    </w:p>
    <w:p w14:paraId="6B9A18C8" w14:textId="77777777" w:rsidR="005636C7" w:rsidRPr="00215F9A" w:rsidRDefault="005636C7" w:rsidP="004A0834">
      <w:pPr>
        <w:pStyle w:val="E3BodyText"/>
        <w:spacing w:before="240"/>
      </w:pPr>
      <w:r w:rsidRPr="00215F9A">
        <w:t>TWG members therefore unanimously recommended that EN 16902 not be adopted and that ISO 23953 be used as the test Standard for beverage coolers.</w:t>
      </w:r>
    </w:p>
    <w:p w14:paraId="11B58E2B" w14:textId="77777777" w:rsidR="005636C7" w:rsidRPr="00215F9A" w:rsidRDefault="005636C7" w:rsidP="00215F9A">
      <w:pPr>
        <w:pBdr>
          <w:top w:val="nil"/>
          <w:left w:val="nil"/>
          <w:bottom w:val="nil"/>
          <w:right w:val="nil"/>
          <w:between w:val="nil"/>
          <w:bar w:val="nil"/>
        </w:pBdr>
        <w:jc w:val="both"/>
        <w:rPr>
          <w:rFonts w:ascii="Georgia" w:eastAsiaTheme="minorHAnsi" w:hAnsi="Georgia" w:cs="Helvetica"/>
          <w:u w:color="000000"/>
          <w:lang w:val="en-NZ"/>
        </w:rPr>
      </w:pPr>
      <w:r w:rsidRPr="00215F9A">
        <w:rPr>
          <w:rFonts w:ascii="Georgia" w:eastAsia="Calibri" w:hAnsi="Georgia" w:cs="Helvetica"/>
          <w:b/>
          <w:color w:val="0D0D0D"/>
          <w:u w:color="0D0D0D"/>
          <w:bdr w:val="nil"/>
          <w:lang w:val="en-US"/>
        </w:rPr>
        <w:t xml:space="preserve">Recommendation 11: Adoption of EN 16838:2016 (Refrigerated Display Scooping Cabinets for Gelato – Classification, Requirements and Test Conditions). </w:t>
      </w:r>
    </w:p>
    <w:p w14:paraId="7D1BD578" w14:textId="77777777" w:rsidR="005636C7" w:rsidRPr="00C26E2D" w:rsidRDefault="005636C7" w:rsidP="005636C7">
      <w:pPr>
        <w:pBdr>
          <w:top w:val="nil"/>
          <w:left w:val="nil"/>
          <w:bottom w:val="nil"/>
          <w:right w:val="nil"/>
          <w:between w:val="nil"/>
          <w:bar w:val="nil"/>
        </w:pBdr>
        <w:jc w:val="both"/>
        <w:rPr>
          <w:rFonts w:eastAsia="Calibri" w:cs="Calibri"/>
          <w:bCs/>
          <w:color w:val="0D0D0D"/>
          <w:u w:color="0D0D0D"/>
          <w:bdr w:val="nil"/>
          <w:lang w:val="en-US"/>
        </w:rPr>
      </w:pPr>
    </w:p>
    <w:p w14:paraId="3F34822B" w14:textId="6F527974" w:rsidR="005636C7" w:rsidRPr="00C26E2D" w:rsidRDefault="005636C7" w:rsidP="00215F9A">
      <w:pPr>
        <w:pStyle w:val="E3BodyText"/>
      </w:pPr>
      <w:r w:rsidRPr="00C26E2D">
        <w:t xml:space="preserve">The TWG accepted EN 16901 for gelato scooping cabinets without any changes other than the possibility of applying this Standard to ice-cream scooping cabinets. </w:t>
      </w:r>
    </w:p>
    <w:p w14:paraId="24A126A0" w14:textId="338B2109" w:rsidR="005636C7" w:rsidRPr="006F5C60" w:rsidRDefault="005636C7" w:rsidP="004A0834">
      <w:pPr>
        <w:pBdr>
          <w:top w:val="nil"/>
          <w:left w:val="nil"/>
          <w:bottom w:val="nil"/>
          <w:right w:val="nil"/>
          <w:between w:val="nil"/>
          <w:bar w:val="nil"/>
        </w:pBdr>
        <w:jc w:val="both"/>
        <w:sectPr w:rsidR="005636C7" w:rsidRPr="006F5C60" w:rsidSect="005F483B">
          <w:type w:val="continuous"/>
          <w:pgSz w:w="11907" w:h="16840" w:code="9"/>
          <w:pgMar w:top="993" w:right="1134" w:bottom="993" w:left="1134" w:header="709" w:footer="709" w:gutter="0"/>
          <w:cols w:space="720"/>
          <w:titlePg/>
          <w:docGrid w:linePitch="360"/>
        </w:sectPr>
      </w:pPr>
      <w:r w:rsidRPr="00215F9A">
        <w:rPr>
          <w:rFonts w:ascii="Georgia" w:eastAsia="Calibri" w:hAnsi="Georgia" w:cs="Helvetica"/>
          <w:b/>
          <w:color w:val="0D0D0D"/>
          <w:u w:color="0D0D0D"/>
          <w:bdr w:val="nil"/>
          <w:lang w:val="en-US"/>
        </w:rPr>
        <w:t>Recommendation 12: Refrigerants are out of scope.</w:t>
      </w:r>
    </w:p>
    <w:p w14:paraId="17B5C584" w14:textId="7B7F2205" w:rsidR="005636C7" w:rsidRPr="005636C7" w:rsidRDefault="005636C7" w:rsidP="005636C7">
      <w:pPr>
        <w:rPr>
          <w:u w:val="single"/>
        </w:rPr>
      </w:pPr>
    </w:p>
    <w:sectPr w:rsidR="005636C7" w:rsidRPr="005636C7" w:rsidSect="00662031">
      <w:pgSz w:w="11907" w:h="16839" w:code="9"/>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F449A" w14:textId="77777777" w:rsidR="0047107E" w:rsidRDefault="0047107E">
      <w:r>
        <w:separator/>
      </w:r>
    </w:p>
  </w:endnote>
  <w:endnote w:type="continuationSeparator" w:id="0">
    <w:p w14:paraId="28C14FC4" w14:textId="77777777" w:rsidR="0047107E" w:rsidRDefault="0047107E">
      <w:r>
        <w:continuationSeparator/>
      </w:r>
    </w:p>
  </w:endnote>
  <w:endnote w:type="continuationNotice" w:id="1">
    <w:p w14:paraId="169D77FD" w14:textId="77777777" w:rsidR="0047107E" w:rsidRDefault="00471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IBBF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SC STKaiti">
    <w:altName w:val="Arial Unicode MS"/>
    <w:panose1 w:val="00000000000000000000"/>
    <w:charset w:val="86"/>
    <w:family w:val="auto"/>
    <w:notTrueType/>
    <w:pitch w:val="variable"/>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Helvetica Neue Light">
    <w:altName w:val="Corbel"/>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188CB" w14:textId="77777777" w:rsidR="0047107E" w:rsidRDefault="0047107E" w:rsidP="004A11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29B335" w14:textId="77777777" w:rsidR="0047107E" w:rsidRDefault="0047107E" w:rsidP="00F516B1">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A6AF0" w14:textId="77777777" w:rsidR="0047107E" w:rsidRDefault="00306270" w:rsidP="005636C7">
    <w:pPr>
      <w:pStyle w:val="Footer"/>
    </w:pPr>
    <w:r>
      <w:pict w14:anchorId="40344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6.7pt;height:1.3pt" o:hrpct="0" o:hralign="center" o:hr="t">
          <v:imagedata r:id="rId1" o:title="Default Line"/>
        </v:shape>
      </w:pict>
    </w:r>
    <w:r w:rsidR="0047107E" w:rsidRPr="00FA525C">
      <w:t xml:space="preserve"> </w:t>
    </w:r>
    <w:r w:rsidR="0047107E">
      <w:t>Decision Regulation Impact Statement: Refrigerated Display and Storage Cabinets</w:t>
    </w:r>
    <w:r w:rsidR="0047107E">
      <w:tab/>
    </w:r>
  </w:p>
  <w:p w14:paraId="02A552BB" w14:textId="77777777" w:rsidR="0047107E" w:rsidRPr="00D14FB0" w:rsidRDefault="0047107E" w:rsidP="005636C7">
    <w:pPr>
      <w:pStyle w:val="Footer"/>
    </w:pP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06270">
      <w:rPr>
        <w:rStyle w:val="PageNumber"/>
        <w:noProof/>
      </w:rPr>
      <w:t>6</w:t>
    </w:r>
    <w:r w:rsidRPr="002D3654">
      <w:rPr>
        <w:rStyle w:val="PageNumber"/>
      </w:rPr>
      <w:fldChar w:fldCharType="end"/>
    </w:r>
  </w:p>
  <w:p w14:paraId="1B6385BC" w14:textId="77777777" w:rsidR="0047107E" w:rsidRPr="00A37E0E" w:rsidRDefault="0047107E" w:rsidP="005636C7">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928EE" w14:textId="77777777" w:rsidR="0047107E" w:rsidRDefault="00306270" w:rsidP="005636C7">
    <w:pPr>
      <w:pStyle w:val="Footer"/>
    </w:pPr>
    <w:r>
      <w:pict w14:anchorId="309A9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6.7pt;height:1.3pt" o:hrpct="0" o:hralign="center" o:hr="t">
          <v:imagedata r:id="rId1" o:title="Default Line"/>
        </v:shape>
      </w:pict>
    </w:r>
    <w:r w:rsidR="0047107E" w:rsidRPr="00FA525C">
      <w:t xml:space="preserve"> </w:t>
    </w:r>
    <w:r w:rsidR="0047107E">
      <w:t>Decision Regulation Impact Statement: Refrigerated Display and Storage Cabinets</w:t>
    </w:r>
    <w:r w:rsidR="0047107E">
      <w:tab/>
    </w:r>
  </w:p>
  <w:p w14:paraId="4304033C" w14:textId="77777777" w:rsidR="0047107E" w:rsidRPr="00D14FB0" w:rsidRDefault="0047107E" w:rsidP="005636C7">
    <w:pPr>
      <w:pStyle w:val="Footer"/>
    </w:pPr>
    <w:r>
      <w:tab/>
    </w:r>
    <w:r>
      <w:tab/>
    </w:r>
    <w:r>
      <w:rPr>
        <w:rStyle w:val="PageNumber"/>
      </w:rPr>
      <w:t>7</w:t>
    </w:r>
  </w:p>
  <w:p w14:paraId="0BFCE74C" w14:textId="77777777" w:rsidR="0047107E" w:rsidRPr="00A37E0E" w:rsidRDefault="0047107E" w:rsidP="005636C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09B72" w14:textId="463972F4" w:rsidR="0047107E" w:rsidRPr="004D3369" w:rsidRDefault="0047107E">
    <w:pPr>
      <w:pStyle w:val="Footer"/>
      <w:jc w:val="center"/>
      <w:rPr>
        <w:b/>
      </w:rPr>
    </w:pPr>
    <w:r w:rsidRPr="004D3369">
      <w:rPr>
        <w:b/>
      </w:rPr>
      <w:fldChar w:fldCharType="begin"/>
    </w:r>
    <w:r w:rsidRPr="004D3369">
      <w:rPr>
        <w:b/>
      </w:rPr>
      <w:instrText xml:space="preserve"> PAGE   \* MERGEFORMAT </w:instrText>
    </w:r>
    <w:r w:rsidRPr="004D3369">
      <w:rPr>
        <w:b/>
      </w:rPr>
      <w:fldChar w:fldCharType="separate"/>
    </w:r>
    <w:r w:rsidR="00306270">
      <w:rPr>
        <w:b/>
        <w:noProof/>
      </w:rPr>
      <w:t>6</w:t>
    </w:r>
    <w:r w:rsidRPr="004D3369">
      <w:rPr>
        <w:b/>
        <w:noProof/>
      </w:rPr>
      <w:fldChar w:fldCharType="end"/>
    </w:r>
  </w:p>
  <w:p w14:paraId="13984EBE" w14:textId="77777777" w:rsidR="0047107E" w:rsidRPr="00065F71" w:rsidRDefault="0047107E" w:rsidP="009619E7">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506447"/>
      <w:docPartObj>
        <w:docPartGallery w:val="Page Numbers (Bottom of Page)"/>
        <w:docPartUnique/>
      </w:docPartObj>
    </w:sdtPr>
    <w:sdtEndPr>
      <w:rPr>
        <w:noProof/>
      </w:rPr>
    </w:sdtEndPr>
    <w:sdtContent>
      <w:p w14:paraId="7A8E0EB2" w14:textId="677D364A" w:rsidR="0047107E" w:rsidRDefault="0047107E">
        <w:pPr>
          <w:pStyle w:val="Footer"/>
          <w:jc w:val="center"/>
        </w:pPr>
        <w:r>
          <w:fldChar w:fldCharType="begin"/>
        </w:r>
        <w:r>
          <w:instrText xml:space="preserve"> PAGE   \* MERGEFORMAT </w:instrText>
        </w:r>
        <w:r>
          <w:fldChar w:fldCharType="separate"/>
        </w:r>
        <w:r w:rsidR="00306270">
          <w:rPr>
            <w:noProof/>
          </w:rPr>
          <w:t>1</w:t>
        </w:r>
        <w:r>
          <w:rPr>
            <w:noProof/>
          </w:rPr>
          <w:fldChar w:fldCharType="end"/>
        </w:r>
      </w:p>
    </w:sdtContent>
  </w:sdt>
  <w:p w14:paraId="19BF61D0" w14:textId="77777777" w:rsidR="0047107E" w:rsidRDefault="004710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00E93" w14:textId="15AEF0EE" w:rsidR="0047107E" w:rsidRPr="004D3369" w:rsidRDefault="0047107E">
    <w:pPr>
      <w:pStyle w:val="Footer"/>
      <w:jc w:val="center"/>
      <w:rPr>
        <w:b/>
      </w:rPr>
    </w:pPr>
    <w:r w:rsidRPr="004D3369">
      <w:rPr>
        <w:b/>
      </w:rPr>
      <w:fldChar w:fldCharType="begin"/>
    </w:r>
    <w:r w:rsidRPr="004D3369">
      <w:rPr>
        <w:b/>
      </w:rPr>
      <w:instrText xml:space="preserve"> PAGE   \* MERGEFORMAT </w:instrText>
    </w:r>
    <w:r w:rsidRPr="004D3369">
      <w:rPr>
        <w:b/>
      </w:rPr>
      <w:fldChar w:fldCharType="separate"/>
    </w:r>
    <w:r w:rsidR="00306270">
      <w:rPr>
        <w:b/>
        <w:noProof/>
      </w:rPr>
      <w:t>19</w:t>
    </w:r>
    <w:r w:rsidRPr="004D3369">
      <w:rPr>
        <w:b/>
        <w:noProof/>
      </w:rPr>
      <w:fldChar w:fldCharType="end"/>
    </w:r>
  </w:p>
  <w:p w14:paraId="7B9BF2D1" w14:textId="77777777" w:rsidR="0047107E" w:rsidRPr="00065F71" w:rsidRDefault="0047107E" w:rsidP="009619E7">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F75B0" w14:textId="77777777" w:rsidR="0047107E" w:rsidRDefault="004710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C0E3" w14:textId="77777777" w:rsidR="0047107E" w:rsidRPr="00C90016" w:rsidRDefault="00306270" w:rsidP="00C90016">
    <w:pPr>
      <w:pStyle w:val="Footer"/>
      <w:tabs>
        <w:tab w:val="clear" w:pos="4153"/>
        <w:tab w:val="clear" w:pos="8306"/>
      </w:tabs>
      <w:autoSpaceDE w:val="0"/>
      <w:autoSpaceDN w:val="0"/>
      <w:adjustRightInd w:val="0"/>
      <w:jc w:val="right"/>
      <w:rPr>
        <w:rFonts w:ascii="Helvetica" w:eastAsia="Calibri" w:hAnsi="Helvetica" w:cs="Georgia"/>
        <w:b/>
        <w:color w:val="000000"/>
        <w:sz w:val="20"/>
        <w:szCs w:val="19"/>
        <w:lang w:val="en-US" w:eastAsia="en-US"/>
      </w:rPr>
    </w:pPr>
    <w:r>
      <w:pict w14:anchorId="0810C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47107E" w:rsidRPr="00C90016">
      <w:rPr>
        <w:rFonts w:ascii="Helvetica" w:eastAsia="Calibri" w:hAnsi="Helvetica" w:cs="Georgia"/>
        <w:b/>
        <w:color w:val="000000"/>
        <w:sz w:val="20"/>
        <w:szCs w:val="19"/>
        <w:lang w:val="en-US" w:eastAsia="en-US"/>
      </w:rPr>
      <w:t>Decision Regulation Impact Statement: Refrigerated Display and Storage Cabinets</w:t>
    </w:r>
    <w:r w:rsidR="0047107E" w:rsidRPr="00C90016">
      <w:rPr>
        <w:rFonts w:ascii="Helvetica" w:eastAsia="Calibri" w:hAnsi="Helvetica" w:cs="Georgia"/>
        <w:b/>
        <w:color w:val="000000"/>
        <w:sz w:val="20"/>
        <w:szCs w:val="19"/>
        <w:lang w:val="en-US" w:eastAsia="en-US"/>
      </w:rPr>
      <w:tab/>
    </w:r>
  </w:p>
  <w:p w14:paraId="25FC8A4D" w14:textId="77777777" w:rsidR="0047107E" w:rsidRPr="00C90016" w:rsidRDefault="0047107E" w:rsidP="00C90016">
    <w:pPr>
      <w:pStyle w:val="Footer"/>
      <w:tabs>
        <w:tab w:val="clear" w:pos="4153"/>
        <w:tab w:val="clear" w:pos="8306"/>
      </w:tabs>
      <w:autoSpaceDE w:val="0"/>
      <w:autoSpaceDN w:val="0"/>
      <w:adjustRightInd w:val="0"/>
      <w:jc w:val="right"/>
      <w:rPr>
        <w:rFonts w:ascii="Helvetica" w:eastAsia="Calibri" w:hAnsi="Helvetica" w:cs="Georgia"/>
        <w:i/>
        <w:color w:val="000000"/>
        <w:sz w:val="20"/>
        <w:szCs w:val="19"/>
        <w:lang w:val="en-US" w:eastAsia="en-US"/>
      </w:rPr>
    </w:pPr>
    <w:r w:rsidRPr="00C90016">
      <w:rPr>
        <w:rFonts w:ascii="Helvetica" w:eastAsia="Calibri" w:hAnsi="Helvetica" w:cs="Georgia"/>
        <w:b/>
        <w:color w:val="000000"/>
        <w:sz w:val="20"/>
        <w:szCs w:val="19"/>
        <w:lang w:val="en-US" w:eastAsia="en-US"/>
      </w:rPr>
      <w:tab/>
    </w:r>
    <w:r w:rsidRPr="00C90016">
      <w:rPr>
        <w:rFonts w:ascii="Helvetica" w:eastAsia="Calibri" w:hAnsi="Helvetica" w:cs="Georgia"/>
        <w:b/>
        <w:color w:val="000000"/>
        <w:sz w:val="20"/>
        <w:szCs w:val="19"/>
        <w:lang w:val="en-US" w:eastAsia="en-US"/>
      </w:rPr>
      <w:tab/>
    </w:r>
    <w:r w:rsidRPr="00C90016">
      <w:rPr>
        <w:rFonts w:ascii="Helvetica" w:eastAsia="Calibri" w:hAnsi="Helvetica" w:cs="Georgia"/>
        <w:i/>
        <w:color w:val="000000"/>
        <w:sz w:val="20"/>
        <w:szCs w:val="19"/>
        <w:lang w:val="en-US" w:eastAsia="en-US"/>
      </w:rPr>
      <w:fldChar w:fldCharType="begin"/>
    </w:r>
    <w:r w:rsidRPr="00C90016">
      <w:rPr>
        <w:rFonts w:ascii="Helvetica" w:eastAsia="Calibri" w:hAnsi="Helvetica" w:cs="Georgia"/>
        <w:i/>
        <w:color w:val="000000"/>
        <w:sz w:val="20"/>
        <w:szCs w:val="19"/>
        <w:lang w:val="en-US" w:eastAsia="en-US"/>
      </w:rPr>
      <w:instrText xml:space="preserve"> PAGE </w:instrText>
    </w:r>
    <w:r w:rsidRPr="00C90016">
      <w:rPr>
        <w:rFonts w:ascii="Helvetica" w:eastAsia="Calibri" w:hAnsi="Helvetica" w:cs="Georgia"/>
        <w:i/>
        <w:color w:val="000000"/>
        <w:sz w:val="20"/>
        <w:szCs w:val="19"/>
        <w:lang w:val="en-US" w:eastAsia="en-US"/>
      </w:rPr>
      <w:fldChar w:fldCharType="separate"/>
    </w:r>
    <w:r w:rsidR="00306270">
      <w:rPr>
        <w:rFonts w:ascii="Helvetica" w:eastAsia="Calibri" w:hAnsi="Helvetica" w:cs="Georgia"/>
        <w:i/>
        <w:noProof/>
        <w:color w:val="000000"/>
        <w:sz w:val="20"/>
        <w:szCs w:val="19"/>
        <w:lang w:val="en-US" w:eastAsia="en-US"/>
      </w:rPr>
      <w:t>93</w:t>
    </w:r>
    <w:r w:rsidRPr="00C90016">
      <w:rPr>
        <w:rFonts w:ascii="Helvetica" w:eastAsia="Calibri" w:hAnsi="Helvetica" w:cs="Georgia"/>
        <w:i/>
        <w:color w:val="000000"/>
        <w:sz w:val="20"/>
        <w:szCs w:val="19"/>
        <w:lang w:val="en-US" w:eastAsia="en-US"/>
      </w:rPr>
      <w:fldChar w:fldCharType="end"/>
    </w:r>
  </w:p>
  <w:p w14:paraId="64526A89" w14:textId="77777777" w:rsidR="0047107E" w:rsidRPr="0027738F" w:rsidRDefault="0047107E" w:rsidP="005636C7">
    <w:pPr>
      <w:pStyle w:val="Footer"/>
      <w:rPr>
        <w:rFonts w:ascii="Helvetica" w:eastAsia="Calibri" w:hAnsi="Helvetica" w:cs="Georgia"/>
        <w:b/>
        <w:color w:val="000000"/>
        <w:sz w:val="20"/>
        <w:szCs w:val="19"/>
        <w:lang w:val="en-US" w:eastAsia="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80331" w14:textId="77777777" w:rsidR="0047107E" w:rsidRPr="00E638CE" w:rsidRDefault="0047107E" w:rsidP="005636C7">
    <w:pPr>
      <w:pStyle w:val="E3CoverFooter"/>
    </w:pPr>
    <w:r>
      <w:t>A joint initiative of Australian, State and Territory</w:t>
    </w:r>
    <w:r>
      <w:br/>
      <w:t>and New Zealand Governments.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E819D" w14:textId="77777777" w:rsidR="0047107E" w:rsidRPr="00D14FB0" w:rsidRDefault="0047107E" w:rsidP="005636C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6C108" w14:textId="77777777" w:rsidR="0047107E" w:rsidRPr="00D14FB0" w:rsidRDefault="00306270" w:rsidP="005636C7">
    <w:pPr>
      <w:pStyle w:val="Footer"/>
    </w:pPr>
    <w:r>
      <w:pict w14:anchorId="07576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rsidR="0047107E">
      <w:tab/>
    </w:r>
  </w:p>
  <w:p w14:paraId="4D0818BC" w14:textId="77777777" w:rsidR="0047107E" w:rsidRPr="00D14FB0" w:rsidRDefault="0047107E" w:rsidP="005636C7">
    <w:pPr>
      <w:pStyle w:val="Footer"/>
    </w:pPr>
    <w:r>
      <w:t>E3 RIS</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306270">
      <w:rPr>
        <w:rStyle w:val="PageNumber"/>
        <w:noProof/>
      </w:rPr>
      <w:t>1</w:t>
    </w:r>
    <w:r w:rsidRPr="002D3654">
      <w:rPr>
        <w:rStyle w:val="PageNumber"/>
      </w:rPr>
      <w:fldChar w:fldCharType="end"/>
    </w:r>
  </w:p>
  <w:p w14:paraId="4AA9D36A" w14:textId="77777777" w:rsidR="0047107E" w:rsidRPr="00D14FB0" w:rsidRDefault="0047107E" w:rsidP="005636C7">
    <w:pPr>
      <w:pStyle w:val="Footer"/>
      <w:tabs>
        <w:tab w:val="left" w:pos="85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E5886" w14:textId="77777777" w:rsidR="0047107E" w:rsidRDefault="0047107E">
      <w:r>
        <w:separator/>
      </w:r>
    </w:p>
  </w:footnote>
  <w:footnote w:type="continuationSeparator" w:id="0">
    <w:p w14:paraId="3B4C0DBB" w14:textId="77777777" w:rsidR="0047107E" w:rsidRDefault="0047107E">
      <w:r>
        <w:continuationSeparator/>
      </w:r>
    </w:p>
  </w:footnote>
  <w:footnote w:type="continuationNotice" w:id="1">
    <w:p w14:paraId="0CD28518" w14:textId="77777777" w:rsidR="0047107E" w:rsidRDefault="0047107E"/>
  </w:footnote>
  <w:footnote w:id="2">
    <w:p w14:paraId="2332D290" w14:textId="77777777" w:rsidR="0047107E" w:rsidRPr="00AD114D" w:rsidRDefault="0047107E" w:rsidP="005636C7">
      <w:pPr>
        <w:pStyle w:val="FootnoteText"/>
        <w:rPr>
          <w:lang w:val="en-NZ"/>
        </w:rPr>
      </w:pPr>
      <w:r>
        <w:rPr>
          <w:rStyle w:val="FootnoteReference"/>
        </w:rPr>
        <w:footnoteRef/>
      </w:r>
      <w:r>
        <w:t xml:space="preserve"> </w:t>
      </w:r>
      <w:r>
        <w:rPr>
          <w:lang w:val="en-NZ"/>
        </w:rPr>
        <w:t>Population growth is a primary driver</w:t>
      </w:r>
    </w:p>
    <w:p w14:paraId="6FC4A917" w14:textId="77777777" w:rsidR="0047107E" w:rsidRPr="0041262C" w:rsidRDefault="0047107E" w:rsidP="005636C7">
      <w:pPr>
        <w:pStyle w:val="FootnoteText"/>
        <w:rPr>
          <w:lang w:val="en-NZ"/>
        </w:rPr>
      </w:pPr>
    </w:p>
  </w:footnote>
  <w:footnote w:id="3">
    <w:p w14:paraId="6697BBD5" w14:textId="77777777" w:rsidR="0047107E" w:rsidRPr="006E48B1" w:rsidRDefault="0047107E" w:rsidP="005636C7">
      <w:pPr>
        <w:pStyle w:val="FootnoteText"/>
        <w:rPr>
          <w:highlight w:val="yellow"/>
          <w:lang w:val="en-NZ"/>
        </w:rPr>
      </w:pPr>
      <w:r>
        <w:rPr>
          <w:rStyle w:val="FootnoteReference"/>
        </w:rPr>
        <w:footnoteRef/>
      </w:r>
      <w:r>
        <w:t xml:space="preserve"> December 1</w:t>
      </w:r>
      <w:r w:rsidRPr="001E1C3E">
        <w:rPr>
          <w:vertAlign w:val="superscript"/>
        </w:rPr>
        <w:t>st</w:t>
      </w:r>
      <w:r>
        <w:t xml:space="preserve"> 2019 is the proposed implementation date for both refrigerated display cabinets and storage cabinets</w:t>
      </w:r>
    </w:p>
  </w:footnote>
  <w:footnote w:id="4">
    <w:p w14:paraId="660DCA8B" w14:textId="77777777" w:rsidR="0047107E" w:rsidRPr="006E48B1" w:rsidRDefault="0047107E" w:rsidP="005636C7">
      <w:pPr>
        <w:pStyle w:val="FootnoteText"/>
        <w:rPr>
          <w:lang w:val="en-NZ"/>
        </w:rPr>
      </w:pPr>
      <w:r w:rsidRPr="001E1C3E">
        <w:rPr>
          <w:rStyle w:val="FootnoteReference"/>
        </w:rPr>
        <w:footnoteRef/>
      </w:r>
      <w:r w:rsidRPr="001E1C3E">
        <w:t xml:space="preserve"> ISO 23953, EN16825, EN16901, EN16838</w:t>
      </w:r>
    </w:p>
  </w:footnote>
  <w:footnote w:id="5">
    <w:p w14:paraId="3A20337A" w14:textId="77777777" w:rsidR="0047107E" w:rsidRPr="004B6D51" w:rsidRDefault="0047107E" w:rsidP="005636C7">
      <w:pPr>
        <w:pStyle w:val="FootnoteText"/>
        <w:rPr>
          <w:lang w:val="en-NZ"/>
        </w:rPr>
      </w:pPr>
      <w:r w:rsidRPr="001E1C3E">
        <w:rPr>
          <w:rStyle w:val="FootnoteReference"/>
        </w:rPr>
        <w:footnoteRef/>
      </w:r>
      <w:r w:rsidRPr="001E1C3E">
        <w:t xml:space="preserve"> </w:t>
      </w:r>
      <w:r w:rsidRPr="001E1C3E">
        <w:rPr>
          <w:lang w:val="en-NZ"/>
        </w:rPr>
        <w:t>AS1731</w:t>
      </w:r>
      <w:r>
        <w:rPr>
          <w:lang w:val="en-NZ"/>
        </w:rPr>
        <w:t xml:space="preserve"> parts 1-14</w:t>
      </w:r>
    </w:p>
  </w:footnote>
  <w:footnote w:id="6">
    <w:p w14:paraId="0063A844" w14:textId="77777777" w:rsidR="0047107E" w:rsidRPr="00120A42" w:rsidRDefault="0047107E" w:rsidP="005636C7">
      <w:pPr>
        <w:pStyle w:val="FootnoteText"/>
        <w:rPr>
          <w:lang w:val="en-AU"/>
        </w:rPr>
      </w:pPr>
      <w:r>
        <w:rPr>
          <w:rStyle w:val="FootnoteReference"/>
        </w:rPr>
        <w:footnoteRef/>
      </w:r>
      <w:r>
        <w:t xml:space="preserve"> </w:t>
      </w:r>
      <w:r w:rsidRPr="00120A42">
        <w:t>The analysis has been revised since the Consultation RIS. The period of the analysis is 2017 to 2035 (rather than 2014 to 2035), with a delay in the ability to accumulate savings through to 2020 (3 years less cumulative savings). The overall BCR is lower for New Zealand due to the use of the long run marginal electricity price and wholesale costs of electricity. A New Zealand discount rate of 6% has also been applied rather than the 5% used in the Consultation RIS analysis.</w:t>
      </w:r>
    </w:p>
  </w:footnote>
  <w:footnote w:id="7">
    <w:p w14:paraId="0A3ADD1F" w14:textId="77777777" w:rsidR="0047107E" w:rsidRPr="00D90628" w:rsidRDefault="0047107E" w:rsidP="005636C7">
      <w:pPr>
        <w:pStyle w:val="FootnoteText"/>
        <w:rPr>
          <w:lang w:val="en-NZ"/>
        </w:rPr>
      </w:pPr>
      <w:r>
        <w:rPr>
          <w:rStyle w:val="FootnoteReference"/>
        </w:rPr>
        <w:footnoteRef/>
      </w:r>
      <w:r>
        <w:t xml:space="preserve"> The avoided costs of GHG emissions abatement due to the decrease in energy used by commercial refrigeration equipment</w:t>
      </w:r>
    </w:p>
  </w:footnote>
  <w:footnote w:id="8">
    <w:p w14:paraId="0F41AC62" w14:textId="77777777" w:rsidR="0047107E" w:rsidRPr="00555886" w:rsidRDefault="0047107E" w:rsidP="005636C7">
      <w:pPr>
        <w:pStyle w:val="E3FootnoteText"/>
        <w:rPr>
          <w:lang w:val="en-NZ"/>
        </w:rPr>
      </w:pPr>
      <w:r>
        <w:rPr>
          <w:rStyle w:val="FootnoteReference"/>
        </w:rPr>
        <w:footnoteRef/>
      </w:r>
      <w:r>
        <w:t xml:space="preserve"> </w:t>
      </w:r>
      <w:r w:rsidRPr="00120A42">
        <w:rPr>
          <w:sz w:val="19"/>
          <w:lang w:val="en-NZ"/>
        </w:rPr>
        <w:t>See the discussion in the Problem Section as to split-incentives arising from this aspect of the market.</w:t>
      </w:r>
    </w:p>
  </w:footnote>
  <w:footnote w:id="9">
    <w:p w14:paraId="657EDD58" w14:textId="77777777" w:rsidR="0047107E" w:rsidRPr="00120A42" w:rsidRDefault="0047107E" w:rsidP="005636C7">
      <w:pPr>
        <w:pStyle w:val="E3FootnoteText"/>
        <w:rPr>
          <w:sz w:val="19"/>
        </w:rPr>
      </w:pPr>
      <w:r>
        <w:rPr>
          <w:rStyle w:val="FootnoteReference"/>
        </w:rPr>
        <w:footnoteRef/>
      </w:r>
      <w:r>
        <w:t xml:space="preserve"> </w:t>
      </w:r>
      <w:r w:rsidRPr="00120A42">
        <w:rPr>
          <w:sz w:val="19"/>
        </w:rPr>
        <w:t>Refrigerated storage cabinets were the subject of an extensive European Eco-design study in 2011 which found that they comprised around 20% of the market by quantity.</w:t>
      </w:r>
    </w:p>
    <w:p w14:paraId="4EFE5AF0" w14:textId="77777777" w:rsidR="0047107E" w:rsidRPr="00D24F4A" w:rsidRDefault="0047107E" w:rsidP="005636C7">
      <w:pPr>
        <w:pStyle w:val="FootnoteText"/>
        <w:rPr>
          <w:lang w:val="en-NZ"/>
        </w:rPr>
      </w:pPr>
    </w:p>
  </w:footnote>
  <w:footnote w:id="10">
    <w:p w14:paraId="0EF382CE" w14:textId="77777777" w:rsidR="0047107E" w:rsidRPr="00120A42" w:rsidRDefault="0047107E" w:rsidP="005636C7">
      <w:pPr>
        <w:pStyle w:val="E3FootnoteText"/>
      </w:pPr>
      <w:r w:rsidRPr="0084790F">
        <w:rPr>
          <w:rStyle w:val="FootnoteReference"/>
          <w:szCs w:val="16"/>
        </w:rPr>
        <w:footnoteRef/>
      </w:r>
      <w:r w:rsidRPr="0084790F">
        <w:t xml:space="preserve"> </w:t>
      </w:r>
      <w:r w:rsidRPr="00120A42">
        <w:rPr>
          <w:sz w:val="19"/>
        </w:rPr>
        <w:t>Product Profile: Commercial Refrigeration - Refrigerated Display and Storage Cabinets. 28/08/2013. Energy rating website.</w:t>
      </w:r>
    </w:p>
  </w:footnote>
  <w:footnote w:id="11">
    <w:p w14:paraId="2EEDD59B" w14:textId="77777777" w:rsidR="0047107E" w:rsidRPr="0009144D" w:rsidRDefault="0047107E" w:rsidP="005636C7">
      <w:pPr>
        <w:pStyle w:val="E3FootnoteText"/>
        <w:rPr>
          <w:i/>
          <w:lang w:val="en-NZ"/>
        </w:rPr>
      </w:pPr>
      <w:r>
        <w:rPr>
          <w:rStyle w:val="FootnoteReference"/>
        </w:rPr>
        <w:footnoteRef/>
      </w:r>
      <w:r>
        <w:t xml:space="preserve"> </w:t>
      </w:r>
      <w:r w:rsidRPr="00120A42">
        <w:rPr>
          <w:sz w:val="19"/>
          <w:lang w:val="en-NZ"/>
        </w:rPr>
        <w:t xml:space="preserve">EECA has the power to collect sales data per model on an annual basis under the </w:t>
      </w:r>
      <w:r w:rsidRPr="00120A42">
        <w:rPr>
          <w:i/>
          <w:sz w:val="19"/>
          <w:lang w:val="en-NZ"/>
        </w:rPr>
        <w:t>Energy Efficiency (Energy Using Products) Regulations 2002.</w:t>
      </w:r>
    </w:p>
  </w:footnote>
  <w:footnote w:id="12">
    <w:p w14:paraId="75285AB2" w14:textId="77777777" w:rsidR="0047107E" w:rsidRPr="00E20311" w:rsidRDefault="0047107E" w:rsidP="005636C7">
      <w:pPr>
        <w:pStyle w:val="E3FootnoteText"/>
      </w:pPr>
      <w:r w:rsidRPr="00D63481">
        <w:rPr>
          <w:rStyle w:val="FootnoteReference"/>
          <w:sz w:val="14"/>
          <w:szCs w:val="14"/>
        </w:rPr>
        <w:footnoteRef/>
      </w:r>
      <w:r w:rsidRPr="00D63481">
        <w:rPr>
          <w:sz w:val="14"/>
          <w:szCs w:val="14"/>
        </w:rPr>
        <w:t xml:space="preserve"> </w:t>
      </w:r>
      <w:r w:rsidRPr="00120A42">
        <w:rPr>
          <w:sz w:val="19"/>
        </w:rPr>
        <w:t xml:space="preserve">As 1731.1–2003: Refrigerated display cabinets-Part 14 contains the MEPS levels and cabinet type definitions and the applicable testing standards are in parts 1 to 13 (see also schedule 1 of the </w:t>
      </w:r>
      <w:r w:rsidRPr="00120A42">
        <w:rPr>
          <w:i/>
          <w:sz w:val="19"/>
        </w:rPr>
        <w:t xml:space="preserve">Energy Efficiency (Energy Using Products) Regulations </w:t>
      </w:r>
      <w:r w:rsidRPr="00120A42">
        <w:rPr>
          <w:sz w:val="19"/>
        </w:rPr>
        <w:t>2002).</w:t>
      </w:r>
    </w:p>
  </w:footnote>
  <w:footnote w:id="13">
    <w:p w14:paraId="282C5221" w14:textId="77777777" w:rsidR="0047107E" w:rsidRPr="00E20311" w:rsidRDefault="0047107E" w:rsidP="005636C7">
      <w:pPr>
        <w:pStyle w:val="E3FootnoteText"/>
        <w:rPr>
          <w:lang w:val="en-NZ"/>
        </w:rPr>
      </w:pPr>
      <w:r w:rsidRPr="00664321">
        <w:rPr>
          <w:rStyle w:val="FootnoteReference"/>
          <w:szCs w:val="16"/>
        </w:rPr>
        <w:footnoteRef/>
      </w:r>
      <w:r w:rsidRPr="00664321">
        <w:t xml:space="preserve"> </w:t>
      </w:r>
      <w:r>
        <w:rPr>
          <w:lang w:val="en-NZ"/>
        </w:rPr>
        <w:t>AS 1731.1 – Part 1.1.</w:t>
      </w:r>
    </w:p>
  </w:footnote>
  <w:footnote w:id="14">
    <w:p w14:paraId="47579261" w14:textId="77777777" w:rsidR="0047107E" w:rsidRPr="00555886" w:rsidRDefault="0047107E" w:rsidP="005636C7">
      <w:pPr>
        <w:pStyle w:val="E3FootnoteText"/>
        <w:rPr>
          <w:lang w:val="en-NZ"/>
        </w:rPr>
      </w:pPr>
      <w:r>
        <w:rPr>
          <w:rStyle w:val="FootnoteReference"/>
        </w:rPr>
        <w:footnoteRef/>
      </w:r>
      <w:r>
        <w:t xml:space="preserve">  </w:t>
      </w:r>
      <w:r w:rsidRPr="00120A42">
        <w:rPr>
          <w:i/>
          <w:sz w:val="19"/>
          <w:lang w:val="en-NZ"/>
        </w:rPr>
        <w:t>Achievements of appliance energy efficiency standards and labelling programs – A Global Assessment</w:t>
      </w:r>
      <w:r w:rsidRPr="00120A42">
        <w:rPr>
          <w:sz w:val="19"/>
          <w:lang w:val="en-NZ"/>
        </w:rPr>
        <w:t xml:space="preserve"> – 4E Energy Efficient End-use Equipment International Energy Agency.</w:t>
      </w:r>
      <w:r>
        <w:rPr>
          <w:lang w:val="en-NZ"/>
        </w:rPr>
        <w:t xml:space="preserve"> </w:t>
      </w:r>
    </w:p>
  </w:footnote>
  <w:footnote w:id="15">
    <w:p w14:paraId="05977DA4" w14:textId="77777777" w:rsidR="0047107E" w:rsidRPr="007A5346" w:rsidRDefault="0047107E" w:rsidP="005636C7">
      <w:pPr>
        <w:pStyle w:val="E3FootnoteText"/>
        <w:rPr>
          <w:lang w:val="en-NZ"/>
        </w:rPr>
      </w:pPr>
      <w:r>
        <w:rPr>
          <w:rStyle w:val="FootnoteReference"/>
        </w:rPr>
        <w:footnoteRef/>
      </w:r>
      <w:r>
        <w:rPr>
          <w:sz w:val="19"/>
          <w:lang w:val="en-NZ"/>
        </w:rPr>
        <w:t xml:space="preserve"> </w:t>
      </w:r>
      <w:r w:rsidRPr="00120A42">
        <w:rPr>
          <w:sz w:val="19"/>
          <w:lang w:val="en-NZ"/>
        </w:rPr>
        <w:t>Based on average prices of 20c/kwh in AU and 16.6 c/kWh in NZ, and a 10% saving of the weighted average annual energy use for cabinets.</w:t>
      </w:r>
    </w:p>
  </w:footnote>
  <w:footnote w:id="16">
    <w:p w14:paraId="1FBBAD5C" w14:textId="77777777" w:rsidR="0047107E" w:rsidRPr="00732BBB" w:rsidRDefault="0047107E" w:rsidP="005636C7">
      <w:pPr>
        <w:pStyle w:val="E3FootnoteText"/>
        <w:rPr>
          <w:lang w:val="en-NZ"/>
        </w:rPr>
      </w:pPr>
      <w:r w:rsidRPr="00732BBB">
        <w:rPr>
          <w:rStyle w:val="FootnoteReference"/>
          <w:sz w:val="18"/>
          <w:szCs w:val="18"/>
        </w:rPr>
        <w:footnoteRef/>
      </w:r>
      <w:r w:rsidRPr="00732BBB">
        <w:t xml:space="preserve"> </w:t>
      </w:r>
      <w:r w:rsidRPr="00120A42">
        <w:rPr>
          <w:sz w:val="19"/>
          <w:lang w:val="en-NZ"/>
        </w:rPr>
        <w:t xml:space="preserve">Australian Standard (AS 1731.1 – 2003) Refrigerated display cabinets, first published 1 October 2013; see also Schedule 1 of the </w:t>
      </w:r>
      <w:r w:rsidRPr="00120A42">
        <w:rPr>
          <w:i/>
          <w:sz w:val="19"/>
          <w:lang w:val="en-NZ"/>
        </w:rPr>
        <w:t xml:space="preserve">Energy Efficiency (Energy Using Products) Regulations 2002 </w:t>
      </w:r>
      <w:r w:rsidRPr="00120A42">
        <w:rPr>
          <w:sz w:val="19"/>
          <w:lang w:val="en-NZ"/>
        </w:rPr>
        <w:t>which specifies the MEPS requirements in New Zealand (AS 1731.14-2003).</w:t>
      </w:r>
    </w:p>
  </w:footnote>
  <w:footnote w:id="17">
    <w:p w14:paraId="7DF65F69" w14:textId="77777777" w:rsidR="0047107E" w:rsidRPr="00732BBB" w:rsidRDefault="0047107E" w:rsidP="005636C7">
      <w:pPr>
        <w:pStyle w:val="E3FootnoteText"/>
        <w:rPr>
          <w:lang w:val="en-NZ"/>
        </w:rPr>
      </w:pPr>
      <w:r w:rsidRPr="00732BBB">
        <w:rPr>
          <w:rStyle w:val="FootnoteReference"/>
          <w:sz w:val="18"/>
          <w:szCs w:val="18"/>
        </w:rPr>
        <w:footnoteRef/>
      </w:r>
      <w:r w:rsidRPr="00732BBB">
        <w:t xml:space="preserve"> </w:t>
      </w:r>
      <w:r w:rsidRPr="00120A42">
        <w:rPr>
          <w:sz w:val="19"/>
          <w:lang w:val="en-NZ"/>
        </w:rPr>
        <w:t>The majority of refrigerated cabinets are imported, with more than 80% coming from Asia, notably China. Approximately 15% are imported from Europe, 2% from North America and 0.5% from South Africa.</w:t>
      </w:r>
    </w:p>
  </w:footnote>
  <w:footnote w:id="18">
    <w:p w14:paraId="6FB739CD" w14:textId="77777777" w:rsidR="0047107E" w:rsidRPr="006D796B" w:rsidRDefault="0047107E" w:rsidP="005636C7">
      <w:pPr>
        <w:pStyle w:val="FootnoteText"/>
        <w:rPr>
          <w:lang w:val="en-NZ"/>
        </w:rPr>
      </w:pPr>
      <w:r>
        <w:rPr>
          <w:rStyle w:val="FootnoteReference"/>
        </w:rPr>
        <w:footnoteRef/>
      </w:r>
      <w:r>
        <w:t xml:space="preserve"> For example,</w:t>
      </w:r>
      <w:r w:rsidRPr="00A24816">
        <w:t xml:space="preserve"> the definition of a family of models could refer to individual sections of cabinets (built as clip-on units stacked side by side) or the resulting cabinet once these units are put together.</w:t>
      </w:r>
    </w:p>
  </w:footnote>
  <w:footnote w:id="19">
    <w:p w14:paraId="633154A6" w14:textId="77777777" w:rsidR="0047107E" w:rsidRPr="00732BBB" w:rsidRDefault="0047107E" w:rsidP="005636C7">
      <w:pPr>
        <w:pStyle w:val="FootnoteText"/>
        <w:rPr>
          <w:sz w:val="18"/>
          <w:szCs w:val="18"/>
        </w:rPr>
      </w:pPr>
      <w:r w:rsidRPr="00732BBB">
        <w:rPr>
          <w:rStyle w:val="FootnoteReference"/>
          <w:sz w:val="18"/>
          <w:szCs w:val="18"/>
        </w:rPr>
        <w:footnoteRef/>
      </w:r>
      <w:r w:rsidRPr="00732BBB">
        <w:rPr>
          <w:sz w:val="18"/>
          <w:szCs w:val="18"/>
        </w:rPr>
        <w:t xml:space="preserve"> </w:t>
      </w:r>
      <w:r w:rsidRPr="007A5346">
        <w:t>If they have no MEPS value, regulators can interpret this to mean that cabinets are exempt from testing and registration requirements.</w:t>
      </w:r>
      <w:r w:rsidRPr="00732BBB">
        <w:rPr>
          <w:sz w:val="18"/>
          <w:szCs w:val="18"/>
        </w:rPr>
        <w:t xml:space="preserve"> </w:t>
      </w:r>
    </w:p>
  </w:footnote>
  <w:footnote w:id="20">
    <w:p w14:paraId="768942C9" w14:textId="77777777" w:rsidR="0047107E" w:rsidRPr="004D36D8" w:rsidRDefault="0047107E" w:rsidP="005636C7">
      <w:pPr>
        <w:pStyle w:val="FootnoteText"/>
        <w:rPr>
          <w:lang w:val="en-NZ"/>
        </w:rPr>
      </w:pPr>
      <w:r>
        <w:rPr>
          <w:rStyle w:val="FootnoteReference"/>
        </w:rPr>
        <w:footnoteRef/>
      </w:r>
      <w:r>
        <w:t xml:space="preserve"> </w:t>
      </w:r>
      <w:r>
        <w:rPr>
          <w:lang w:val="en-NZ"/>
        </w:rPr>
        <w:t>These manufacturers represent only a small share of the overall market: see Section One for a more detailed discussion of the market.</w:t>
      </w:r>
    </w:p>
  </w:footnote>
  <w:footnote w:id="21">
    <w:p w14:paraId="0AD41B19" w14:textId="77777777" w:rsidR="0047107E" w:rsidRPr="009352DD" w:rsidRDefault="0047107E" w:rsidP="005636C7">
      <w:pPr>
        <w:pStyle w:val="FootnoteText"/>
        <w:spacing w:line="240" w:lineRule="auto"/>
        <w:jc w:val="both"/>
        <w:rPr>
          <w:sz w:val="18"/>
          <w:szCs w:val="18"/>
          <w:lang w:val="en-NZ"/>
        </w:rPr>
      </w:pPr>
      <w:r w:rsidRPr="0041262C">
        <w:rPr>
          <w:rStyle w:val="FootnoteReference"/>
          <w:szCs w:val="18"/>
        </w:rPr>
        <w:footnoteRef/>
      </w:r>
      <w:r w:rsidRPr="0041262C">
        <w:rPr>
          <w:szCs w:val="18"/>
        </w:rPr>
        <w:t xml:space="preserve">  </w:t>
      </w:r>
      <w:r w:rsidRPr="0041262C">
        <w:rPr>
          <w:szCs w:val="18"/>
          <w:lang w:val="en-NZ"/>
        </w:rPr>
        <w:t xml:space="preserve">A minor sub-category of storage cabinets are by definition potentially covered by the Standard: for example, some “solid door” storage cabinets have specified MEPS levels. </w:t>
      </w:r>
    </w:p>
  </w:footnote>
  <w:footnote w:id="22">
    <w:p w14:paraId="06204E26" w14:textId="77777777" w:rsidR="0047107E" w:rsidRPr="0041262C" w:rsidRDefault="0047107E" w:rsidP="005636C7">
      <w:pPr>
        <w:pStyle w:val="E3BodyText"/>
        <w:rPr>
          <w:sz w:val="16"/>
          <w:szCs w:val="16"/>
        </w:rPr>
      </w:pPr>
      <w:r w:rsidRPr="0041262C">
        <w:rPr>
          <w:rStyle w:val="FootnoteReference"/>
          <w:sz w:val="16"/>
          <w:szCs w:val="16"/>
        </w:rPr>
        <w:footnoteRef/>
      </w:r>
      <w:r w:rsidRPr="0041262C">
        <w:rPr>
          <w:sz w:val="16"/>
          <w:szCs w:val="16"/>
        </w:rPr>
        <w:t xml:space="preserve"> </w:t>
      </w:r>
      <w:r w:rsidRPr="001A279D">
        <w:rPr>
          <w:sz w:val="16"/>
          <w:szCs w:val="16"/>
        </w:rPr>
        <w:t>This market stock percentage is taken from Australian data and is estimated from the proportion of stock in Europe and stock count by outlet type.</w:t>
      </w:r>
      <w:r w:rsidRPr="0041262C">
        <w:rPr>
          <w:sz w:val="16"/>
          <w:szCs w:val="16"/>
        </w:rPr>
        <w:t xml:space="preserve"> </w:t>
      </w:r>
    </w:p>
  </w:footnote>
  <w:footnote w:id="23">
    <w:p w14:paraId="2062C6E6" w14:textId="77777777" w:rsidR="0047107E" w:rsidRPr="00D646FE" w:rsidRDefault="0047107E" w:rsidP="005636C7">
      <w:pPr>
        <w:pStyle w:val="E3FootnoteText"/>
        <w:rPr>
          <w:szCs w:val="16"/>
          <w:lang w:val="en-NZ"/>
        </w:rPr>
      </w:pPr>
      <w:r w:rsidRPr="0041262C">
        <w:rPr>
          <w:rStyle w:val="FootnoteReference"/>
          <w:szCs w:val="16"/>
        </w:rPr>
        <w:footnoteRef/>
      </w:r>
      <w:r w:rsidRPr="001A279D">
        <w:rPr>
          <w:szCs w:val="16"/>
        </w:rPr>
        <w:t xml:space="preserve"> </w:t>
      </w:r>
      <w:r w:rsidRPr="00120A42">
        <w:rPr>
          <w:sz w:val="19"/>
        </w:rPr>
        <w:t>The submitter who disagreed was a small company who felt there was little to be gained (by way of energy savings and GHG reduction) from including storage cabinets within the scope of the regulatory measures.</w:t>
      </w:r>
    </w:p>
  </w:footnote>
  <w:footnote w:id="24">
    <w:p w14:paraId="087516C9" w14:textId="77777777" w:rsidR="0047107E" w:rsidRPr="000C3A37" w:rsidRDefault="0047107E" w:rsidP="005636C7">
      <w:pPr>
        <w:pStyle w:val="E3FootnoteText"/>
        <w:rPr>
          <w:szCs w:val="16"/>
          <w:lang w:val="en-NZ"/>
        </w:rPr>
      </w:pPr>
      <w:r w:rsidRPr="0041262C">
        <w:rPr>
          <w:rStyle w:val="FootnoteReference"/>
          <w:szCs w:val="16"/>
        </w:rPr>
        <w:footnoteRef/>
      </w:r>
      <w:r w:rsidRPr="001A279D">
        <w:rPr>
          <w:szCs w:val="16"/>
        </w:rPr>
        <w:t xml:space="preserve"> </w:t>
      </w:r>
      <w:r w:rsidRPr="00120A42">
        <w:rPr>
          <w:i/>
          <w:sz w:val="19"/>
        </w:rPr>
        <w:t xml:space="preserve">European Commission DG ENTR, </w:t>
      </w:r>
      <w:r w:rsidRPr="00120A42">
        <w:rPr>
          <w:sz w:val="19"/>
        </w:rPr>
        <w:t xml:space="preserve">Preparatory Study for Eco-design (Refrigerating and freezing equipment, February 2011). The market stock proportion of 20% is consistent with market research undertaken in Australian and New Zealand as part of the Consultation RIS process: collecting data on </w:t>
      </w:r>
      <w:r w:rsidRPr="00120A42">
        <w:rPr>
          <w:rFonts w:eastAsia="Times New Roman" w:cstheme="minorHAnsi"/>
          <w:sz w:val="19"/>
          <w:lang w:eastAsia="en-NZ"/>
        </w:rPr>
        <w:t>types of catering and hospitality businesses/institutions, combined with estimates of the typical number of refrigeration cabinets by businesses/institution to derive a bottom up stock estimate, reviewing Department of Environment and Energy pre-charged import equipment data, a comprehensive review of existing suppliers and interviewing key market participants.</w:t>
      </w:r>
    </w:p>
  </w:footnote>
  <w:footnote w:id="25">
    <w:p w14:paraId="0EF7DD76" w14:textId="77777777" w:rsidR="0047107E" w:rsidRPr="00732BBB" w:rsidRDefault="0047107E" w:rsidP="005636C7">
      <w:pPr>
        <w:pStyle w:val="FootnoteText"/>
        <w:jc w:val="both"/>
        <w:rPr>
          <w:sz w:val="18"/>
          <w:szCs w:val="18"/>
        </w:rPr>
      </w:pPr>
      <w:r w:rsidRPr="00732BBB">
        <w:rPr>
          <w:rStyle w:val="FootnoteReference"/>
          <w:sz w:val="18"/>
          <w:szCs w:val="18"/>
        </w:rPr>
        <w:footnoteRef/>
      </w:r>
      <w:r w:rsidRPr="00732BBB">
        <w:rPr>
          <w:sz w:val="18"/>
          <w:szCs w:val="18"/>
        </w:rPr>
        <w:t xml:space="preserve"> </w:t>
      </w:r>
      <w:r w:rsidRPr="00FB050B">
        <w:rPr>
          <w:szCs w:val="16"/>
        </w:rPr>
        <w:t>Based on the TEC of an “average” Supermarket display cabinet of 39 kWh/day with energy cost (commercial) of 16.9 c/kWh, increasing at 2.5% per annum. Cost of an “average” Supermarket display cabinet at $12,500. Over a 13 year lifetime the energy cost is $39,740. No depreciation or GST taken into account.</w:t>
      </w:r>
    </w:p>
  </w:footnote>
  <w:footnote w:id="26">
    <w:p w14:paraId="55F7B36F" w14:textId="77777777" w:rsidR="0047107E" w:rsidRPr="0041262C" w:rsidRDefault="0047107E" w:rsidP="005636C7">
      <w:pPr>
        <w:pStyle w:val="E3BodyText"/>
        <w:rPr>
          <w:sz w:val="16"/>
          <w:szCs w:val="16"/>
        </w:rPr>
      </w:pPr>
      <w:r w:rsidRPr="007A5346">
        <w:rPr>
          <w:rStyle w:val="FootnoteReference"/>
          <w:sz w:val="16"/>
          <w:szCs w:val="16"/>
        </w:rPr>
        <w:footnoteRef/>
      </w:r>
      <w:r w:rsidRPr="007A5346">
        <w:rPr>
          <w:sz w:val="16"/>
          <w:szCs w:val="16"/>
        </w:rPr>
        <w:t xml:space="preserve"> These</w:t>
      </w:r>
      <w:r w:rsidRPr="0041262C">
        <w:rPr>
          <w:sz w:val="16"/>
          <w:szCs w:val="16"/>
        </w:rPr>
        <w:t xml:space="preserve"> companies included: Coca-Cola Amatil, Frigoglass, Huxford-Orford, McAlpine Hussmann, Sanden International, Skope and Stoddart (Koldtech).</w:t>
      </w:r>
    </w:p>
  </w:footnote>
  <w:footnote w:id="27">
    <w:p w14:paraId="1AAB92AD" w14:textId="77777777" w:rsidR="0047107E" w:rsidRPr="00C203E0" w:rsidRDefault="0047107E" w:rsidP="005636C7">
      <w:pPr>
        <w:pStyle w:val="FootnoteText"/>
      </w:pPr>
      <w:r w:rsidRPr="001A279D">
        <w:rPr>
          <w:rStyle w:val="FootnoteReference"/>
          <w:szCs w:val="16"/>
        </w:rPr>
        <w:footnoteRef/>
      </w:r>
      <w:r w:rsidRPr="001A279D">
        <w:rPr>
          <w:szCs w:val="16"/>
        </w:rPr>
        <w:t xml:space="preserve"> </w:t>
      </w:r>
      <w:r w:rsidRPr="0093208D">
        <w:rPr>
          <w:szCs w:val="16"/>
        </w:rPr>
        <w:t>http://reg.energyrating.gov.au/comparator/product_types/</w:t>
      </w:r>
    </w:p>
  </w:footnote>
  <w:footnote w:id="28">
    <w:p w14:paraId="4326B929" w14:textId="77777777" w:rsidR="0047107E" w:rsidRPr="00DA4189" w:rsidRDefault="0047107E" w:rsidP="005636C7">
      <w:pPr>
        <w:pStyle w:val="E3FootnoteText"/>
        <w:rPr>
          <w:szCs w:val="16"/>
        </w:rPr>
      </w:pPr>
      <w:r w:rsidRPr="0041262C">
        <w:rPr>
          <w:rStyle w:val="FootnoteReference"/>
          <w:szCs w:val="16"/>
        </w:rPr>
        <w:footnoteRef/>
      </w:r>
      <w:r w:rsidRPr="001A279D">
        <w:rPr>
          <w:szCs w:val="16"/>
        </w:rPr>
        <w:t xml:space="preserve"> While New Zealand has a much higher level of renewable electricity generation than Australia, it does have so</w:t>
      </w:r>
      <w:r w:rsidRPr="0093208D">
        <w:rPr>
          <w:szCs w:val="16"/>
        </w:rPr>
        <w:t>me fossil fuel electricity generation.  New Zealand has an Emissions Trading Scheme (ETS) and a carbon price, however this is considered to be insufficient to drive significant emissions reduction and does not fully reflect the total costs of the greenhous</w:t>
      </w:r>
      <w:r w:rsidRPr="00D646FE">
        <w:rPr>
          <w:szCs w:val="16"/>
        </w:rPr>
        <w:t xml:space="preserve">e </w:t>
      </w:r>
      <w:r w:rsidRPr="00DA4189">
        <w:rPr>
          <w:szCs w:val="16"/>
        </w:rPr>
        <w:t>emissions arising from electricity use.</w:t>
      </w:r>
    </w:p>
    <w:p w14:paraId="3F9A2A38" w14:textId="77777777" w:rsidR="0047107E" w:rsidRPr="00AA0FBC" w:rsidRDefault="0047107E" w:rsidP="005636C7">
      <w:pPr>
        <w:pStyle w:val="FootnoteText"/>
        <w:rPr>
          <w:lang w:val="en-NZ"/>
        </w:rPr>
      </w:pPr>
    </w:p>
  </w:footnote>
  <w:footnote w:id="29">
    <w:p w14:paraId="18527565" w14:textId="77777777" w:rsidR="0047107E" w:rsidRPr="0069706E" w:rsidRDefault="0047107E" w:rsidP="005636C7">
      <w:pPr>
        <w:pStyle w:val="FootnoteText"/>
        <w:jc w:val="both"/>
        <w:rPr>
          <w:lang w:val="en-NZ"/>
        </w:rPr>
      </w:pPr>
      <w:r>
        <w:rPr>
          <w:rStyle w:val="FootnoteReference"/>
        </w:rPr>
        <w:footnoteRef/>
      </w:r>
      <w:r>
        <w:t xml:space="preserve"> Preliminary analysis for this RIS showed that simply adopting these standards makes very little difference to energy savings or greenhouse gas reduction. Changing the MEPS levels makes the most difference to these. It does however subject a wider range of cabinet types, to regulation – and associated costs of registration and testing.</w:t>
      </w:r>
    </w:p>
  </w:footnote>
  <w:footnote w:id="30">
    <w:p w14:paraId="2E6E6F5F" w14:textId="77777777" w:rsidR="0047107E" w:rsidRPr="00E55786" w:rsidRDefault="0047107E" w:rsidP="005636C7">
      <w:pPr>
        <w:pStyle w:val="FootnoteText"/>
        <w:jc w:val="both"/>
        <w:rPr>
          <w:lang w:val="en-NZ"/>
        </w:rPr>
      </w:pPr>
      <w:r>
        <w:rPr>
          <w:rStyle w:val="FootnoteReference"/>
        </w:rPr>
        <w:footnoteRef/>
      </w:r>
      <w:r>
        <w:t xml:space="preserve"> </w:t>
      </w:r>
      <w:r>
        <w:rPr>
          <w:lang w:val="en-NZ"/>
        </w:rPr>
        <w:t xml:space="preserve">Option 4 has been modified so that it no longer involves the adoption of EC MEPS for all cabinet types – it now involves developing AU/NZ MEPS (posed per group) which are based on the implemented EC MEPS levels (storage and gelato cabinets) or the draft EC MEPS levels (display cabinets and small ice-cream freezers). Adoption of EC MEPS will be considered once they have been implemented in Europe for all relevant cabinet types. </w:t>
      </w:r>
    </w:p>
  </w:footnote>
  <w:footnote w:id="31">
    <w:p w14:paraId="5DB35485" w14:textId="77777777" w:rsidR="0047107E" w:rsidRPr="0022649C" w:rsidRDefault="0047107E" w:rsidP="005636C7">
      <w:pPr>
        <w:pStyle w:val="FootnoteText"/>
        <w:jc w:val="both"/>
        <w:rPr>
          <w:lang w:val="en-NZ"/>
        </w:rPr>
      </w:pPr>
      <w:r>
        <w:rPr>
          <w:rStyle w:val="FootnoteReference"/>
        </w:rPr>
        <w:footnoteRef/>
      </w:r>
      <w:r>
        <w:t xml:space="preserve"> </w:t>
      </w:r>
      <w:r>
        <w:rPr>
          <w:lang w:val="en-NZ"/>
        </w:rPr>
        <w:t>Option 5 includes incentive schemes and buyer education campaigns which were not modelled but are explained in the non-regulatory part of this section.</w:t>
      </w:r>
    </w:p>
  </w:footnote>
  <w:footnote w:id="32">
    <w:p w14:paraId="43BE5752" w14:textId="77777777" w:rsidR="0047107E" w:rsidRPr="00081123" w:rsidRDefault="0047107E" w:rsidP="005636C7">
      <w:pPr>
        <w:pStyle w:val="FootnoteText"/>
        <w:jc w:val="both"/>
        <w:rPr>
          <w:lang w:val="en-NZ"/>
        </w:rPr>
      </w:pPr>
      <w:r>
        <w:rPr>
          <w:rStyle w:val="FootnoteReference"/>
        </w:rPr>
        <w:footnoteRef/>
      </w:r>
      <w:r>
        <w:t xml:space="preserve"> </w:t>
      </w:r>
      <w:r>
        <w:rPr>
          <w:lang w:val="en-NZ"/>
        </w:rPr>
        <w:t>Cabinets are defined into more than 50 different classes across four operating temperatures, with different MEPS levels and test procedures.</w:t>
      </w:r>
    </w:p>
  </w:footnote>
  <w:footnote w:id="33">
    <w:p w14:paraId="7828B8EE" w14:textId="77777777" w:rsidR="0047107E" w:rsidRPr="007D795B" w:rsidRDefault="0047107E" w:rsidP="005636C7">
      <w:pPr>
        <w:pStyle w:val="E3Caption"/>
        <w:spacing w:after="0"/>
        <w:jc w:val="both"/>
        <w:rPr>
          <w:lang w:val="en-NZ"/>
        </w:rPr>
      </w:pPr>
      <w:r w:rsidRPr="00B91370">
        <w:rPr>
          <w:rStyle w:val="FootnoteReference"/>
        </w:rPr>
        <w:footnoteRef/>
      </w:r>
      <w:r w:rsidRPr="00B91370">
        <w:t xml:space="preserve"> </w:t>
      </w:r>
      <w:r w:rsidRPr="001F3C44">
        <w:rPr>
          <w:i w:val="0"/>
          <w:sz w:val="19"/>
          <w:szCs w:val="19"/>
        </w:rPr>
        <w:t>EECA data collected via the Energy Efficiency (Energy Using Products) Regulations 2002 sales profile was largely used to establish the local profile by cabinet type and sub-type. There was a slight adjustment for additional sales of IVC4 that was shared across the remote devices. This adjustment made the groupings more consistent with the stock count by outlet estimates</w:t>
      </w:r>
      <w:r w:rsidRPr="001F3C44">
        <w:rPr>
          <w:sz w:val="19"/>
          <w:szCs w:val="19"/>
        </w:rPr>
        <w:t xml:space="preserve">. </w:t>
      </w:r>
    </w:p>
  </w:footnote>
  <w:footnote w:id="34">
    <w:p w14:paraId="4D4B81FD" w14:textId="77777777" w:rsidR="0047107E" w:rsidRPr="007D795B" w:rsidRDefault="0047107E" w:rsidP="005636C7">
      <w:pPr>
        <w:pStyle w:val="FootnoteText"/>
        <w:rPr>
          <w:lang w:val="en-NZ"/>
        </w:rPr>
      </w:pPr>
      <w:r>
        <w:rPr>
          <w:rStyle w:val="FootnoteReference"/>
        </w:rPr>
        <w:footnoteRef/>
      </w:r>
      <w:r>
        <w:t xml:space="preserve"> </w:t>
      </w:r>
      <w:r w:rsidRPr="00532AE7">
        <w:t>An allowance was added for storage cabinets similar to the proportion found in the EU and stock count by outlet reviews. The cabinets account for 20% of total sales in Australia, and 22% in New Zealand</w:t>
      </w:r>
      <w:r>
        <w:t>.</w:t>
      </w:r>
    </w:p>
  </w:footnote>
  <w:footnote w:id="35">
    <w:p w14:paraId="64C6A6BE" w14:textId="77777777" w:rsidR="0047107E" w:rsidRPr="00E55629" w:rsidRDefault="0047107E" w:rsidP="005636C7">
      <w:pPr>
        <w:pStyle w:val="FootnoteText"/>
        <w:jc w:val="both"/>
        <w:rPr>
          <w:lang w:val="en-NZ"/>
        </w:rPr>
      </w:pPr>
      <w:r>
        <w:rPr>
          <w:rStyle w:val="FootnoteReference"/>
        </w:rPr>
        <w:footnoteRef/>
      </w:r>
      <w:r>
        <w:t xml:space="preserve"> </w:t>
      </w:r>
      <w:r>
        <w:rPr>
          <w:lang w:val="en-NZ"/>
        </w:rPr>
        <w:t>For example, a model that had energy consumption which measured as being exactly equal to the Standard Annual Energy Efficiency has an EEI of 100%. A model that was better by half again would have an EEI score of 50%. The term “MEPS” is not used in the European Standards which instead uses the term “efficiency grade” to refer to two concepts: the efficiency grade from A to G and the requirement to meet a better efficiency grade. The EEI Score is based on the SAEC and extra reduction factors or coefficients for specific cabinet uses – both factors were devised by a working group of experts.</w:t>
      </w:r>
    </w:p>
  </w:footnote>
  <w:footnote w:id="36">
    <w:p w14:paraId="33F7AD14" w14:textId="77777777" w:rsidR="0047107E" w:rsidRDefault="0047107E" w:rsidP="005636C7">
      <w:pPr>
        <w:pStyle w:val="FootnoteText"/>
      </w:pPr>
      <w:r>
        <w:rPr>
          <w:rStyle w:val="FootnoteReference"/>
        </w:rPr>
        <w:footnoteRef/>
      </w:r>
      <w:r w:rsidRPr="006D1C46">
        <w:t xml:space="preserve"> For more information on voluntary online labelling, go to </w:t>
      </w:r>
      <w:hyperlink r:id="rId1" w:history="1">
        <w:r>
          <w:rPr>
            <w:rStyle w:val="Hyperlink"/>
          </w:rPr>
          <w:t>labelling resources on the Energy rating website</w:t>
        </w:r>
      </w:hyperlink>
      <w:r>
        <w:t>.</w:t>
      </w:r>
    </w:p>
  </w:footnote>
  <w:footnote w:id="37">
    <w:p w14:paraId="3FB79AE1" w14:textId="77777777" w:rsidR="0047107E" w:rsidRPr="003672CE" w:rsidRDefault="0047107E" w:rsidP="005636C7">
      <w:pPr>
        <w:pStyle w:val="E3FootnoteText"/>
        <w:rPr>
          <w:lang w:val="en-NZ"/>
        </w:rPr>
      </w:pPr>
      <w:r>
        <w:rPr>
          <w:rStyle w:val="FootnoteReference"/>
        </w:rPr>
        <w:footnoteRef/>
      </w:r>
      <w:r>
        <w:t xml:space="preserve"> </w:t>
      </w:r>
      <w:hyperlink r:id="rId2" w:history="1">
        <w:r>
          <w:rPr>
            <w:rStyle w:val="Hyperlink"/>
          </w:rPr>
          <w:t>UK Government Energy Technology List</w:t>
        </w:r>
      </w:hyperlink>
    </w:p>
  </w:footnote>
  <w:footnote w:id="38">
    <w:p w14:paraId="01BD6F93" w14:textId="77777777" w:rsidR="0047107E" w:rsidRDefault="0047107E" w:rsidP="005636C7">
      <w:pPr>
        <w:pStyle w:val="FootnoteText"/>
        <w:rPr>
          <w:lang w:val="en-NZ"/>
        </w:rPr>
      </w:pPr>
      <w:r>
        <w:rPr>
          <w:rStyle w:val="FootnoteReference"/>
        </w:rPr>
        <w:footnoteRef/>
      </w:r>
      <w:r>
        <w:t xml:space="preserve"> The costs and benefits analysis was conducted by the consultancy firms Expert Group and Expert Consult.</w:t>
      </w:r>
    </w:p>
  </w:footnote>
  <w:footnote w:id="39">
    <w:p w14:paraId="5B6E18F7" w14:textId="77777777" w:rsidR="0047107E" w:rsidRDefault="0047107E" w:rsidP="005636C7">
      <w:pPr>
        <w:pStyle w:val="FootnoteText"/>
        <w:rPr>
          <w:lang w:val="en-NZ"/>
        </w:rPr>
      </w:pPr>
      <w:r>
        <w:rPr>
          <w:rStyle w:val="FootnoteReference"/>
        </w:rPr>
        <w:footnoteRef/>
      </w:r>
      <w:r>
        <w:t xml:space="preserve"> Australia 1,156 GWh per year by 2035, NZ 205 GWh per year by 2035. See CBA for further details.</w:t>
      </w:r>
    </w:p>
  </w:footnote>
  <w:footnote w:id="40">
    <w:p w14:paraId="29C0AF46" w14:textId="77777777" w:rsidR="0047107E" w:rsidRDefault="0047107E" w:rsidP="005636C7">
      <w:pPr>
        <w:pStyle w:val="FootnoteText"/>
        <w:rPr>
          <w:lang w:val="en-NZ"/>
        </w:rPr>
      </w:pPr>
      <w:r>
        <w:rPr>
          <w:rStyle w:val="FootnoteReference"/>
        </w:rPr>
        <w:footnoteRef/>
      </w:r>
      <w:r>
        <w:t xml:space="preserve"> </w:t>
      </w:r>
      <w:r>
        <w:rPr>
          <w:lang w:val="en-NZ"/>
        </w:rPr>
        <w:t>As mentioned earlier, most imported cabinets are manufactured to international Standards.</w:t>
      </w:r>
    </w:p>
  </w:footnote>
  <w:footnote w:id="41">
    <w:p w14:paraId="6010DE5A" w14:textId="77777777" w:rsidR="0047107E" w:rsidRPr="008F7BFC" w:rsidRDefault="0047107E" w:rsidP="005636C7">
      <w:pPr>
        <w:pStyle w:val="FootnoteText"/>
        <w:rPr>
          <w:lang w:val="en-NZ"/>
        </w:rPr>
      </w:pPr>
      <w:r>
        <w:rPr>
          <w:rStyle w:val="FootnoteReference"/>
        </w:rPr>
        <w:footnoteRef/>
      </w:r>
      <w:r>
        <w:t xml:space="preserve"> </w:t>
      </w:r>
      <w:r>
        <w:rPr>
          <w:lang w:val="en-NZ"/>
        </w:rPr>
        <w:t>Based on wholesale electricity price and manufacturing cost.</w:t>
      </w:r>
    </w:p>
  </w:footnote>
  <w:footnote w:id="42">
    <w:p w14:paraId="022F1F4E" w14:textId="77777777" w:rsidR="0047107E" w:rsidRPr="008F7BFC" w:rsidRDefault="0047107E" w:rsidP="005636C7">
      <w:pPr>
        <w:pStyle w:val="FootnoteText"/>
        <w:rPr>
          <w:lang w:val="en-NZ"/>
        </w:rPr>
      </w:pPr>
      <w:r>
        <w:rPr>
          <w:rStyle w:val="FootnoteReference"/>
        </w:rPr>
        <w:footnoteRef/>
      </w:r>
      <w:r>
        <w:t xml:space="preserve"> </w:t>
      </w:r>
      <w:r>
        <w:rPr>
          <w:lang w:val="en-NZ"/>
        </w:rPr>
        <w:t>Based on wholesale electricity price and manufacturing cost</w:t>
      </w:r>
    </w:p>
  </w:footnote>
  <w:footnote w:id="43">
    <w:p w14:paraId="64D0A96F" w14:textId="77777777" w:rsidR="0047107E" w:rsidRPr="008F7BFC" w:rsidRDefault="0047107E" w:rsidP="005636C7">
      <w:pPr>
        <w:pStyle w:val="FootnoteText"/>
        <w:rPr>
          <w:lang w:val="en-NZ"/>
        </w:rPr>
      </w:pPr>
      <w:r>
        <w:rPr>
          <w:rStyle w:val="FootnoteReference"/>
        </w:rPr>
        <w:footnoteRef/>
      </w:r>
      <w:r>
        <w:t xml:space="preserve"> </w:t>
      </w:r>
      <w:r>
        <w:rPr>
          <w:lang w:val="en-NZ"/>
        </w:rPr>
        <w:t>Based on wholesale electricity price and manufacturing cost</w:t>
      </w:r>
    </w:p>
  </w:footnote>
  <w:footnote w:id="44">
    <w:p w14:paraId="3400E6B6" w14:textId="77777777" w:rsidR="0047107E" w:rsidRDefault="0047107E" w:rsidP="005636C7">
      <w:pPr>
        <w:pStyle w:val="FootnoteText"/>
        <w:rPr>
          <w:lang w:val="en-NZ"/>
        </w:rPr>
      </w:pPr>
      <w:r>
        <w:rPr>
          <w:rStyle w:val="FootnoteReference"/>
        </w:rPr>
        <w:footnoteRef/>
      </w:r>
      <w:r>
        <w:t xml:space="preserve"> </w:t>
      </w:r>
      <w:r>
        <w:rPr>
          <w:lang w:val="en-NZ"/>
        </w:rPr>
        <w:t>It is assumed that all current models would be affected because suppliers would need to add labels to marketing material and all their continuing-to-be-supplied models.</w:t>
      </w:r>
    </w:p>
  </w:footnote>
  <w:footnote w:id="45">
    <w:p w14:paraId="219FA75D" w14:textId="77777777" w:rsidR="0047107E" w:rsidRDefault="0047107E" w:rsidP="005636C7">
      <w:pPr>
        <w:pStyle w:val="E3FootnoteText"/>
        <w:rPr>
          <w:lang w:val="en-NZ"/>
        </w:rPr>
      </w:pPr>
      <w:r w:rsidRPr="00C44352">
        <w:rPr>
          <w:rStyle w:val="FootnoteReference"/>
          <w:szCs w:val="16"/>
        </w:rPr>
        <w:footnoteRef/>
      </w:r>
      <w:r w:rsidRPr="00C44352">
        <w:rPr>
          <w:szCs w:val="16"/>
        </w:rPr>
        <w:t xml:space="preserve"> For more information on voluntary online labelling, go to </w:t>
      </w:r>
      <w:hyperlink r:id="rId3" w:history="1">
        <w:r w:rsidRPr="00C44352">
          <w:rPr>
            <w:rStyle w:val="Hyperlink"/>
            <w:szCs w:val="16"/>
          </w:rPr>
          <w:t>labelling resources on the energy rating website</w:t>
        </w:r>
      </w:hyperlink>
      <w:r>
        <w:rPr>
          <w:rStyle w:val="Hyperlink"/>
          <w:sz w:val="18"/>
          <w:szCs w:val="18"/>
        </w:rPr>
        <w:t>.</w:t>
      </w:r>
    </w:p>
  </w:footnote>
  <w:footnote w:id="46">
    <w:p w14:paraId="04E46D0F" w14:textId="77777777" w:rsidR="0047107E" w:rsidRDefault="0047107E" w:rsidP="005636C7">
      <w:pPr>
        <w:pStyle w:val="FootnoteText"/>
        <w:rPr>
          <w:lang w:val="en-NZ"/>
        </w:rPr>
      </w:pPr>
      <w:r>
        <w:rPr>
          <w:rStyle w:val="FootnoteReference"/>
        </w:rPr>
        <w:footnoteRef/>
      </w:r>
      <w:r>
        <w:t xml:space="preserve"> The analysis was prepared by Energy Consult.</w:t>
      </w:r>
    </w:p>
  </w:footnote>
  <w:footnote w:id="47">
    <w:p w14:paraId="4A389CDC" w14:textId="77777777" w:rsidR="0047107E" w:rsidRDefault="0047107E" w:rsidP="005636C7">
      <w:pPr>
        <w:pStyle w:val="CommentText"/>
        <w:rPr>
          <w:rFonts w:ascii="Georgia" w:hAnsi="Georgia"/>
          <w:sz w:val="16"/>
          <w:szCs w:val="16"/>
        </w:rPr>
      </w:pPr>
      <w:r>
        <w:rPr>
          <w:rStyle w:val="FootnoteReference"/>
          <w:rFonts w:ascii="Georgia" w:hAnsi="Georgia"/>
          <w:sz w:val="16"/>
          <w:szCs w:val="16"/>
        </w:rPr>
        <w:footnoteRef/>
      </w:r>
      <w:r>
        <w:rPr>
          <w:rFonts w:ascii="Georgia" w:hAnsi="Georgia"/>
          <w:sz w:val="16"/>
          <w:szCs w:val="16"/>
        </w:rPr>
        <w:t xml:space="preserve"> 95% of the costs are the costs of increased products due to efficiency improvements, 4% is the admin and testing costs to businesses for compliance, and 1% is the cost of the government to administer and check test.  </w:t>
      </w:r>
    </w:p>
    <w:p w14:paraId="78E6778A" w14:textId="77777777" w:rsidR="0047107E" w:rsidRDefault="0047107E" w:rsidP="005636C7">
      <w:pPr>
        <w:pStyle w:val="FootnoteText"/>
        <w:rPr>
          <w:lang w:val="en-NZ"/>
        </w:rPr>
      </w:pPr>
    </w:p>
  </w:footnote>
  <w:footnote w:id="48">
    <w:p w14:paraId="3C84DE3F" w14:textId="77777777" w:rsidR="0047107E" w:rsidRPr="00B872EC" w:rsidRDefault="0047107E" w:rsidP="005636C7">
      <w:pPr>
        <w:jc w:val="both"/>
        <w:rPr>
          <w:sz w:val="16"/>
          <w:szCs w:val="16"/>
          <w:lang w:val="en-US"/>
        </w:rPr>
      </w:pPr>
      <w:r w:rsidRPr="0041262C">
        <w:rPr>
          <w:rStyle w:val="FootnoteReference"/>
          <w:sz w:val="16"/>
          <w:szCs w:val="16"/>
        </w:rPr>
        <w:footnoteRef/>
      </w:r>
      <w:r w:rsidRPr="0041262C">
        <w:rPr>
          <w:sz w:val="16"/>
          <w:szCs w:val="16"/>
        </w:rPr>
        <w:t xml:space="preserve"> </w:t>
      </w:r>
      <w:r w:rsidRPr="00B872EC">
        <w:rPr>
          <w:sz w:val="16"/>
          <w:szCs w:val="16"/>
          <w:lang w:val="en-US"/>
        </w:rPr>
        <w:t>Other sources of information include: Eco</w:t>
      </w:r>
      <w:r>
        <w:rPr>
          <w:sz w:val="16"/>
          <w:szCs w:val="16"/>
          <w:lang w:val="en-US"/>
        </w:rPr>
        <w:t xml:space="preserve"> </w:t>
      </w:r>
      <w:r w:rsidRPr="00B872EC">
        <w:rPr>
          <w:sz w:val="16"/>
          <w:szCs w:val="16"/>
          <w:lang w:val="en-US"/>
        </w:rPr>
        <w:t>Design (European MEPS policy development and processes), ABS data on business counts (and the New Zealand equivalent), published counts on numbers of retail outlets (</w:t>
      </w:r>
      <w:r>
        <w:rPr>
          <w:sz w:val="16"/>
          <w:szCs w:val="16"/>
          <w:lang w:val="en-US"/>
        </w:rPr>
        <w:t>for example, Westfarmers, IGA, Woolworths</w:t>
      </w:r>
      <w:r w:rsidRPr="00B872EC">
        <w:rPr>
          <w:sz w:val="16"/>
          <w:szCs w:val="16"/>
          <w:lang w:val="en-US"/>
        </w:rPr>
        <w:t xml:space="preserve">), BIS Shrapnel Food and Catering report and governmental data sources including Department of </w:t>
      </w:r>
      <w:r>
        <w:rPr>
          <w:sz w:val="16"/>
          <w:szCs w:val="16"/>
          <w:lang w:val="en-US"/>
        </w:rPr>
        <w:t xml:space="preserve">the </w:t>
      </w:r>
      <w:r w:rsidRPr="00B872EC">
        <w:rPr>
          <w:sz w:val="16"/>
          <w:szCs w:val="16"/>
          <w:lang w:val="en-US"/>
        </w:rPr>
        <w:t xml:space="preserve">Environment </w:t>
      </w:r>
      <w:r>
        <w:rPr>
          <w:sz w:val="16"/>
          <w:szCs w:val="16"/>
          <w:lang w:val="en-US"/>
        </w:rPr>
        <w:t xml:space="preserve">and Energy </w:t>
      </w:r>
      <w:r w:rsidRPr="00B872EC">
        <w:rPr>
          <w:sz w:val="16"/>
          <w:szCs w:val="16"/>
          <w:lang w:val="en-US"/>
        </w:rPr>
        <w:t>in Australia for pre-charged equipment and Energy Efficiency and Conservation Authority for amalg</w:t>
      </w:r>
      <w:r>
        <w:rPr>
          <w:sz w:val="16"/>
          <w:szCs w:val="16"/>
          <w:lang w:val="en-US"/>
        </w:rPr>
        <w:t>amated unattributed sales data.</w:t>
      </w:r>
    </w:p>
  </w:footnote>
  <w:footnote w:id="49">
    <w:p w14:paraId="504EED21" w14:textId="77777777" w:rsidR="0047107E" w:rsidRPr="00B625FC" w:rsidRDefault="0047107E" w:rsidP="005636C7">
      <w:pPr>
        <w:pStyle w:val="E3FootnoteText"/>
      </w:pPr>
      <w:r w:rsidRPr="0041262C">
        <w:rPr>
          <w:rStyle w:val="FootnoteReference"/>
          <w:szCs w:val="16"/>
        </w:rPr>
        <w:footnoteRef/>
      </w:r>
      <w:r w:rsidRPr="0041262C">
        <w:rPr>
          <w:szCs w:val="16"/>
        </w:rPr>
        <w:t xml:space="preserve"> </w:t>
      </w:r>
      <w:r w:rsidRPr="001F3C44">
        <w:rPr>
          <w:sz w:val="19"/>
        </w:rPr>
        <w:t>Consultation on this topic was undertaken with industry in 2009 as part of the review of “</w:t>
      </w:r>
      <w:r w:rsidRPr="001F3C44">
        <w:rPr>
          <w:i/>
          <w:sz w:val="19"/>
        </w:rPr>
        <w:t xml:space="preserve">In from the Cold” </w:t>
      </w:r>
      <w:r w:rsidRPr="001F3C44">
        <w:rPr>
          <w:sz w:val="19"/>
        </w:rPr>
        <w:t xml:space="preserve">(E3 2009) and more recently with the release of the </w:t>
      </w:r>
      <w:r w:rsidRPr="001F3C44">
        <w:rPr>
          <w:i/>
          <w:sz w:val="19"/>
        </w:rPr>
        <w:t>Product Profile</w:t>
      </w:r>
      <w:r w:rsidRPr="001F3C44">
        <w:rPr>
          <w:sz w:val="19"/>
        </w:rPr>
        <w:t xml:space="preserve"> (E3 2013). It has been consistently agreed by industry stakeholders that this methodology could be applied to custom made cabinets sold in Australia and New Zealand.</w:t>
      </w:r>
      <w:r w:rsidRPr="00B6174F">
        <w:t xml:space="preserve"> </w:t>
      </w:r>
    </w:p>
  </w:footnote>
  <w:footnote w:id="50">
    <w:p w14:paraId="7EEBE772" w14:textId="77777777" w:rsidR="0047107E" w:rsidRPr="00AC7259" w:rsidRDefault="0047107E" w:rsidP="005636C7">
      <w:pPr>
        <w:pStyle w:val="FootnoteText"/>
        <w:rPr>
          <w:lang w:val="en-NZ"/>
        </w:rPr>
      </w:pPr>
      <w:r>
        <w:rPr>
          <w:rStyle w:val="FootnoteReference"/>
        </w:rPr>
        <w:footnoteRef/>
      </w:r>
      <w:r>
        <w:t xml:space="preserve"> </w:t>
      </w:r>
      <w:r>
        <w:rPr>
          <w:lang w:val="en-NZ"/>
        </w:rPr>
        <w:t>By comparison there were 14 submissions following the product profile consultation. Seven of the submitters at the C0nsultation RIS stage had also provided submissions in 2013.</w:t>
      </w:r>
    </w:p>
  </w:footnote>
  <w:footnote w:id="51">
    <w:p w14:paraId="3B1B0629" w14:textId="77777777" w:rsidR="0047107E" w:rsidRPr="00605BFF" w:rsidRDefault="0047107E" w:rsidP="005636C7">
      <w:pPr>
        <w:pStyle w:val="FootnoteText"/>
        <w:rPr>
          <w:lang w:val="en-NZ"/>
        </w:rPr>
      </w:pPr>
      <w:r>
        <w:rPr>
          <w:rStyle w:val="FootnoteReference"/>
        </w:rPr>
        <w:footnoteRef/>
      </w:r>
      <w:r>
        <w:t xml:space="preserve">  </w:t>
      </w:r>
      <w:r>
        <w:rPr>
          <w:lang w:val="en-NZ"/>
        </w:rPr>
        <w:t>From 2017 as then modelled. The implementation date is now 1 December 2019.</w:t>
      </w:r>
    </w:p>
  </w:footnote>
  <w:footnote w:id="52">
    <w:p w14:paraId="16C83594" w14:textId="77777777" w:rsidR="0047107E" w:rsidRPr="001F3C44" w:rsidRDefault="0047107E" w:rsidP="005636C7">
      <w:pPr>
        <w:pStyle w:val="FootnoteText"/>
        <w:rPr>
          <w:lang w:val="en-AU"/>
        </w:rPr>
      </w:pPr>
      <w:r>
        <w:rPr>
          <w:rStyle w:val="FootnoteReference"/>
        </w:rPr>
        <w:footnoteRef/>
      </w:r>
      <w:r>
        <w:t xml:space="preserve"> </w:t>
      </w:r>
      <w:r w:rsidRPr="001F3C44">
        <w:t>The implementation date referred to at the consultation meetings was 2019 at the earliest, taking into account the regulatory process</w:t>
      </w:r>
      <w:r>
        <w:t>.</w:t>
      </w:r>
    </w:p>
  </w:footnote>
  <w:footnote w:id="53">
    <w:p w14:paraId="19BC2AB6" w14:textId="77777777" w:rsidR="0047107E" w:rsidRPr="003C1DFC" w:rsidRDefault="0047107E" w:rsidP="005636C7">
      <w:pPr>
        <w:pStyle w:val="E3FootnoteText"/>
        <w:rPr>
          <w:lang w:val="en-NZ"/>
        </w:rPr>
      </w:pPr>
      <w:r>
        <w:rPr>
          <w:rStyle w:val="FootnoteReference"/>
        </w:rPr>
        <w:footnoteRef/>
      </w:r>
      <w:r>
        <w:t xml:space="preserve"> </w:t>
      </w:r>
      <w:r w:rsidRPr="00063AFB">
        <w:t>A specific concern was expressed as to whether the European Commission intended to include wine cabinets in the domestic fridge standard</w:t>
      </w:r>
      <w:r>
        <w:t>. W</w:t>
      </w:r>
      <w:r>
        <w:rPr>
          <w:lang w:val="en-NZ"/>
        </w:rPr>
        <w:t>ine Cabinets are not covered by these regulatory proposals but they will be considered at a later time.</w:t>
      </w:r>
    </w:p>
  </w:footnote>
  <w:footnote w:id="54">
    <w:p w14:paraId="62BF4794" w14:textId="77777777" w:rsidR="0047107E" w:rsidRPr="00D866F8" w:rsidRDefault="0047107E" w:rsidP="005636C7">
      <w:pPr>
        <w:pStyle w:val="FootnoteText"/>
        <w:rPr>
          <w:szCs w:val="18"/>
        </w:rPr>
      </w:pPr>
      <w:r>
        <w:rPr>
          <w:rStyle w:val="FootnoteReference"/>
        </w:rPr>
        <w:footnoteRef/>
      </w:r>
      <w:r>
        <w:t xml:space="preserve"> </w:t>
      </w:r>
      <w:r w:rsidRPr="00772A2A">
        <w:rPr>
          <w:szCs w:val="18"/>
        </w:rPr>
        <w:t xml:space="preserve">ABS 8165.0 2013 provides business counts for </w:t>
      </w:r>
      <w:r>
        <w:rPr>
          <w:szCs w:val="18"/>
        </w:rPr>
        <w:t xml:space="preserve">business with and without employees. </w:t>
      </w:r>
      <w:r w:rsidRPr="00772A2A">
        <w:rPr>
          <w:szCs w:val="18"/>
        </w:rPr>
        <w:t>The</w:t>
      </w:r>
      <w:r>
        <w:rPr>
          <w:szCs w:val="18"/>
        </w:rPr>
        <w:t xml:space="preserve"> counts for businesses without employees </w:t>
      </w:r>
      <w:r w:rsidRPr="00772A2A">
        <w:rPr>
          <w:szCs w:val="18"/>
        </w:rPr>
        <w:t>have been excluded as they are generally considered to be double counts and/or business t</w:t>
      </w:r>
      <w:r>
        <w:rPr>
          <w:szCs w:val="18"/>
        </w:rPr>
        <w:t>hat may no longer be operating</w:t>
      </w:r>
      <w:r w:rsidRPr="00D866F8">
        <w:rPr>
          <w:szCs w:val="18"/>
        </w:rPr>
        <w:t>.</w:t>
      </w:r>
    </w:p>
  </w:footnote>
  <w:footnote w:id="55">
    <w:p w14:paraId="5F29F332" w14:textId="77777777" w:rsidR="0047107E" w:rsidRPr="00526039" w:rsidRDefault="0047107E" w:rsidP="005636C7">
      <w:pPr>
        <w:pStyle w:val="E3FootnoteText"/>
        <w:rPr>
          <w:lang w:val="en-NZ"/>
        </w:rPr>
      </w:pPr>
      <w:r>
        <w:rPr>
          <w:rStyle w:val="FootnoteReference"/>
        </w:rPr>
        <w:footnoteRef/>
      </w:r>
      <w:r>
        <w:t xml:space="preserve"> A large supermarket is  </w:t>
      </w:r>
      <w:r>
        <w:rPr>
          <w:rFonts w:eastAsia="Times New Roman"/>
        </w:rPr>
        <w:t>≥ 2,750 m2</w:t>
      </w:r>
    </w:p>
  </w:footnote>
  <w:footnote w:id="56">
    <w:p w14:paraId="6763BDB9" w14:textId="77777777" w:rsidR="0047107E" w:rsidRPr="0034411F" w:rsidRDefault="0047107E" w:rsidP="005636C7">
      <w:pPr>
        <w:pStyle w:val="E3FootnoteText"/>
        <w:rPr>
          <w:lang w:val="en-NZ"/>
        </w:rPr>
      </w:pPr>
      <w:r>
        <w:rPr>
          <w:rStyle w:val="FootnoteReference"/>
        </w:rPr>
        <w:footnoteRef/>
      </w:r>
      <w:r>
        <w:t xml:space="preserve"> </w:t>
      </w:r>
      <w:r w:rsidRPr="001F3C44">
        <w:rPr>
          <w:sz w:val="19"/>
        </w:rPr>
        <w:t>Evidence of labelling impacts in the business sector is not available.</w:t>
      </w:r>
    </w:p>
  </w:footnote>
  <w:footnote w:id="57">
    <w:p w14:paraId="78724602" w14:textId="77777777" w:rsidR="0047107E" w:rsidRPr="00CA455C" w:rsidRDefault="0047107E" w:rsidP="005636C7">
      <w:pPr>
        <w:pStyle w:val="FootnoteText"/>
        <w:rPr>
          <w:szCs w:val="16"/>
          <w:lang w:val="en-NZ"/>
        </w:rPr>
      </w:pPr>
      <w:r w:rsidRPr="00CA455C">
        <w:rPr>
          <w:rStyle w:val="FootnoteReference"/>
          <w:szCs w:val="16"/>
        </w:rPr>
        <w:t>1</w:t>
      </w:r>
      <w:r w:rsidRPr="00CA455C">
        <w:rPr>
          <w:szCs w:val="16"/>
        </w:rPr>
        <w:t xml:space="preserve"> Local manufacturing, importation and distribution supply lines are constantly evolving and are subject to change. In addition, some companies trade under multiple company entities, and relationships between importers/suppliers and brand names constantly change.</w:t>
      </w:r>
    </w:p>
  </w:footnote>
  <w:footnote w:id="58">
    <w:p w14:paraId="52F4B8D4" w14:textId="77777777" w:rsidR="0047107E" w:rsidRPr="00622E43" w:rsidRDefault="0047107E" w:rsidP="005636C7">
      <w:pPr>
        <w:pStyle w:val="E3FootnoteText"/>
        <w:rPr>
          <w:lang w:val="en-NZ"/>
        </w:rPr>
      </w:pPr>
      <w:r>
        <w:rPr>
          <w:rStyle w:val="FootnoteReference"/>
        </w:rPr>
        <w:footnoteRef/>
      </w:r>
      <w:r>
        <w:t xml:space="preserve"> </w:t>
      </w:r>
      <w:r w:rsidRPr="001F3C44">
        <w:rPr>
          <w:sz w:val="19"/>
          <w:lang w:val="en-NZ" w:eastAsia="en-NZ"/>
        </w:rPr>
        <w:t>From April 2016 – this is in draft and is not publically available.</w:t>
      </w:r>
    </w:p>
  </w:footnote>
  <w:footnote w:id="59">
    <w:p w14:paraId="116391D5" w14:textId="77777777" w:rsidR="0047107E" w:rsidRPr="00256021" w:rsidRDefault="0047107E" w:rsidP="005636C7">
      <w:pPr>
        <w:pStyle w:val="E3FootnoteText"/>
        <w:rPr>
          <w:lang w:val="en-NZ"/>
        </w:rPr>
      </w:pPr>
      <w:r>
        <w:rPr>
          <w:rStyle w:val="FootnoteReference"/>
        </w:rPr>
        <w:footnoteRef/>
      </w:r>
      <w:r>
        <w:t xml:space="preserve"> </w:t>
      </w:r>
      <w:r w:rsidRPr="001F3C44">
        <w:rPr>
          <w:sz w:val="19"/>
        </w:rPr>
        <w:t>The use of refrigerated display cabinet families will reduce the overall number of models registered by an estimated 20%.</w:t>
      </w:r>
    </w:p>
  </w:footnote>
  <w:footnote w:id="60">
    <w:p w14:paraId="33DE52AD" w14:textId="77777777" w:rsidR="0047107E" w:rsidRPr="00E85B81" w:rsidRDefault="0047107E" w:rsidP="005636C7">
      <w:pPr>
        <w:pStyle w:val="E3FootnoteText"/>
        <w:rPr>
          <w:lang w:val="en-NZ"/>
        </w:rPr>
      </w:pPr>
      <w:r>
        <w:rPr>
          <w:rStyle w:val="FootnoteReference"/>
        </w:rPr>
        <w:footnoteRef/>
      </w:r>
      <w:r>
        <w:t xml:space="preserve"> </w:t>
      </w:r>
      <w:r w:rsidRPr="001F3C44">
        <w:rPr>
          <w:sz w:val="19"/>
          <w:lang w:val="en-NZ"/>
        </w:rPr>
        <w:t>Note that E3 investigated the energy efficiency of vending machines in 2009 in Australia and New Zealand. At that time, most of the stock was at the USA ENERGY STAR® level (highly efficient) so, despite publishing an energy efficiency standard for these machines, the Standard (i.e. regulation for efficiency) was not implemented.</w:t>
      </w:r>
      <w:r>
        <w:rPr>
          <w:lang w:val="en-NZ"/>
        </w:rPr>
        <w:t xml:space="preserve"> </w:t>
      </w:r>
    </w:p>
  </w:footnote>
  <w:footnote w:id="61">
    <w:p w14:paraId="73167676" w14:textId="77777777" w:rsidR="0047107E" w:rsidRPr="003443D0" w:rsidRDefault="0047107E" w:rsidP="005636C7">
      <w:pPr>
        <w:pStyle w:val="FootnoteText"/>
        <w:rPr>
          <w:lang w:val="en-AU"/>
        </w:rPr>
      </w:pPr>
      <w:r>
        <w:rPr>
          <w:rStyle w:val="FootnoteReference"/>
        </w:rPr>
        <w:footnoteRef/>
      </w:r>
      <w:r>
        <w:t xml:space="preserve"> </w:t>
      </w:r>
      <w:r w:rsidRPr="003443D0">
        <w:t>For registration purposes, an identical energy rating specification cabinet can be given an alternative trading brand and model number provided that the manufacturer supplies a declaration stating the products are identical in energy rating performance and identical to the model in test report number XYZ.  This declaration must be on the product manufacturer’s letter head, dated and signed in PDF electronic format and uploaded on the product registration website page along with the test documentation.</w:t>
      </w:r>
    </w:p>
  </w:footnote>
  <w:footnote w:id="62">
    <w:p w14:paraId="3FCB6EE0" w14:textId="77777777" w:rsidR="0047107E" w:rsidRPr="0037697A" w:rsidRDefault="0047107E" w:rsidP="005636C7">
      <w:pPr>
        <w:pStyle w:val="FootnoteText"/>
        <w:jc w:val="both"/>
        <w:rPr>
          <w:lang w:val="en-NZ"/>
        </w:rPr>
      </w:pPr>
      <w:r w:rsidRPr="0037697A">
        <w:rPr>
          <w:rStyle w:val="FootnoteReference"/>
        </w:rPr>
        <w:footnoteRef/>
      </w:r>
      <w:r w:rsidRPr="0037697A">
        <w:t xml:space="preserve"> </w:t>
      </w:r>
      <w:r w:rsidRPr="00842B90">
        <w:rPr>
          <w:szCs w:val="16"/>
        </w:rPr>
        <w:t>Minimum energy performance requirements in terms of the ‘maximum allowable energy consumption’ of a model expressed as the total energy consumption (TEC) per 24 hours of total display area (TDA) (Units: kWh/24h/m2) or net volume (Units kWh/24h/m</w:t>
      </w:r>
      <w:r w:rsidRPr="00842B90">
        <w:rPr>
          <w:szCs w:val="16"/>
          <w:vertAlign w:val="superscript"/>
        </w:rPr>
        <w:t>3</w:t>
      </w:r>
      <w:r w:rsidRPr="00842B90">
        <w:rPr>
          <w:szCs w:val="16"/>
        </w:rPr>
        <w:t>). An energy efficiency factor of a particular model can be determined by comparing the actual total energy consumption per unit display area or unit volume with the maximum allowable energy consumption as specified by regulation.</w:t>
      </w:r>
    </w:p>
  </w:footnote>
  <w:footnote w:id="63">
    <w:p w14:paraId="7A695153" w14:textId="77777777" w:rsidR="0047107E" w:rsidRPr="0037697A" w:rsidRDefault="0047107E" w:rsidP="005636C7">
      <w:pPr>
        <w:pStyle w:val="FootnoteText"/>
        <w:rPr>
          <w:sz w:val="18"/>
          <w:szCs w:val="18"/>
          <w:lang w:val="en-NZ"/>
        </w:rPr>
      </w:pPr>
      <w:r w:rsidRPr="00842B90">
        <w:rPr>
          <w:rStyle w:val="FootnoteReference"/>
          <w:szCs w:val="18"/>
        </w:rPr>
        <w:footnoteRef/>
      </w:r>
      <w:r w:rsidRPr="00842B90">
        <w:rPr>
          <w:szCs w:val="18"/>
        </w:rPr>
        <w:t xml:space="preserve"> </w:t>
      </w:r>
      <w:r w:rsidRPr="00842B90">
        <w:rPr>
          <w:szCs w:val="18"/>
          <w:lang w:val="en-NZ"/>
        </w:rPr>
        <w:t>Air-Conditioning, Heating and Refrigeration Institute (US) – Performance Rating of Commercial Refrigerated Display Merchandisers and Storage cabinets</w:t>
      </w:r>
      <w:r>
        <w:rPr>
          <w:szCs w:val="18"/>
          <w:lang w:val="en-NZ"/>
        </w:rPr>
        <w:t>.</w:t>
      </w:r>
    </w:p>
  </w:footnote>
  <w:footnote w:id="64">
    <w:p w14:paraId="3561E812" w14:textId="77777777" w:rsidR="0047107E" w:rsidRPr="0037697A" w:rsidRDefault="0047107E" w:rsidP="005636C7">
      <w:pPr>
        <w:autoSpaceDE w:val="0"/>
        <w:autoSpaceDN w:val="0"/>
        <w:adjustRightInd w:val="0"/>
        <w:jc w:val="both"/>
        <w:rPr>
          <w:sz w:val="18"/>
          <w:szCs w:val="18"/>
        </w:rPr>
      </w:pPr>
      <w:r w:rsidRPr="00842B90">
        <w:rPr>
          <w:rStyle w:val="FootnoteReference"/>
          <w:sz w:val="16"/>
          <w:szCs w:val="18"/>
        </w:rPr>
        <w:footnoteRef/>
      </w:r>
      <w:r w:rsidRPr="00842B90">
        <w:rPr>
          <w:rStyle w:val="FootnoteReference"/>
          <w:sz w:val="16"/>
          <w:szCs w:val="18"/>
        </w:rPr>
        <w:t xml:space="preserve"> </w:t>
      </w:r>
      <w:r w:rsidRPr="00842B90">
        <w:rPr>
          <w:sz w:val="16"/>
          <w:szCs w:val="18"/>
        </w:rPr>
        <w:t xml:space="preserve">The classification of a refrigerated cabinet is defined by the storage temperature of the product (or M-package temperature class) which it can achieve and by the ambient conditions, or climate class, in which it is designed to operate at, and achieve the required storage temperature. Similarly the climate class classification defines ambient operating conditions that are used in establishing the test room conditions for refrigerated equipment, to determine the electrical energy consumption.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9350" w14:textId="77777777" w:rsidR="0047107E" w:rsidRDefault="0047107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93CC5" w14:textId="6709B794" w:rsidR="0047107E" w:rsidRPr="000F6ACF" w:rsidRDefault="0047107E" w:rsidP="000F6AC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FC49C" w14:textId="77777777" w:rsidR="0047107E" w:rsidRDefault="0047107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18330" w14:textId="77777777" w:rsidR="0047107E" w:rsidRDefault="0047107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B9CFD" w14:textId="3538B851" w:rsidR="0047107E" w:rsidRDefault="0047107E" w:rsidP="000F6ACF">
    <w:pPr>
      <w:jc w:val="right"/>
    </w:pPr>
    <w:r>
      <w:rPr>
        <w:noProof/>
      </w:rPr>
      <w:drawing>
        <wp:anchor distT="0" distB="0" distL="114300" distR="114300" simplePos="0" relativeHeight="251660288" behindDoc="1" locked="0" layoutInCell="1" allowOverlap="1" wp14:anchorId="7F42B891" wp14:editId="3DAF88EA">
          <wp:simplePos x="0" y="0"/>
          <wp:positionH relativeFrom="page">
            <wp:posOffset>0</wp:posOffset>
          </wp:positionH>
          <wp:positionV relativeFrom="page">
            <wp:posOffset>0</wp:posOffset>
          </wp:positionV>
          <wp:extent cx="7557963" cy="10690860"/>
          <wp:effectExtent l="0" t="0" r="5080" b="0"/>
          <wp:wrapNone/>
          <wp:docPr id="2" name="Picture 4" descr="Equipment Energy Efficiency (E3) Program logo"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58768" cy="10691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u w:val="single"/>
      </w:rPr>
      <w:t>Attachment C</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9E17C" w14:textId="77777777" w:rsidR="0047107E" w:rsidRDefault="0047107E">
    <w:r>
      <w:rPr>
        <w:noProof/>
      </w:rPr>
      <w:drawing>
        <wp:anchor distT="0" distB="0" distL="114300" distR="114300" simplePos="0" relativeHeight="251659264" behindDoc="1" locked="1" layoutInCell="0" allowOverlap="1" wp14:anchorId="12245300" wp14:editId="1690E040">
          <wp:simplePos x="0" y="0"/>
          <wp:positionH relativeFrom="page">
            <wp:align>center</wp:align>
          </wp:positionH>
          <wp:positionV relativeFrom="page">
            <wp:align>top</wp:align>
          </wp:positionV>
          <wp:extent cx="6122670" cy="1796415"/>
          <wp:effectExtent l="0" t="0" r="0" b="0"/>
          <wp:wrapTopAndBottom/>
          <wp:docPr id="3"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FBDA7" w14:textId="77777777" w:rsidR="0047107E" w:rsidRDefault="0047107E">
    <w:r>
      <w:rPr>
        <w:noProof/>
      </w:rPr>
      <w:drawing>
        <wp:anchor distT="0" distB="0" distL="114300" distR="114300" simplePos="0" relativeHeight="251661312" behindDoc="1" locked="1" layoutInCell="1" allowOverlap="1" wp14:anchorId="4EF7A209" wp14:editId="0D10023F">
          <wp:simplePos x="0" y="0"/>
          <wp:positionH relativeFrom="page">
            <wp:posOffset>659765</wp:posOffset>
          </wp:positionH>
          <wp:positionV relativeFrom="page">
            <wp:posOffset>177165</wp:posOffset>
          </wp:positionV>
          <wp:extent cx="6124575" cy="1800225"/>
          <wp:effectExtent l="0" t="0" r="9525" b="9525"/>
          <wp:wrapNone/>
          <wp:docPr id="12" name="Picture 1" descr="new chapter"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 RIS chapter start.jpg"/>
                  <pic:cNvPicPr/>
                </pic:nvPicPr>
                <pic:blipFill>
                  <a:blip r:embed="rId1"/>
                  <a:stretch>
                    <a:fillRect/>
                  </a:stretch>
                </pic:blipFill>
                <pic:spPr>
                  <a:xfrm>
                    <a:off x="0" y="0"/>
                    <a:ext cx="6124575" cy="1800225"/>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264E" w14:textId="77777777" w:rsidR="0047107E" w:rsidRPr="004C0BBD" w:rsidRDefault="0047107E" w:rsidP="004C0B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5EBA9" w14:textId="77777777" w:rsidR="0047107E" w:rsidRDefault="004710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D5991" w14:textId="77777777" w:rsidR="0047107E" w:rsidRDefault="004710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235E9" w14:textId="069497C5" w:rsidR="0047107E" w:rsidRPr="00F85BB3" w:rsidRDefault="0047107E"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Part 1—Preliminary</w:t>
    </w:r>
  </w:p>
  <w:p w14:paraId="6806A2C6" w14:textId="77777777" w:rsidR="0047107E" w:rsidRPr="00F85BB3" w:rsidRDefault="0047107E" w:rsidP="00F85B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E801E" w14:textId="66763146" w:rsidR="0047107E" w:rsidRPr="00F85BB3" w:rsidRDefault="0047107E"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2</w:t>
    </w:r>
    <w:r w:rsidRPr="00F85BB3">
      <w:rPr>
        <w:b w:val="0"/>
        <w:sz w:val="20"/>
        <w:szCs w:val="20"/>
      </w:rPr>
      <w:t>—</w:t>
    </w:r>
    <w:r>
      <w:rPr>
        <w:b w:val="0"/>
        <w:sz w:val="20"/>
        <w:szCs w:val="20"/>
      </w:rPr>
      <w:t>Products covered by determination</w:t>
    </w:r>
  </w:p>
  <w:p w14:paraId="47C5BFDC" w14:textId="77777777" w:rsidR="0047107E" w:rsidRPr="00F85BB3" w:rsidRDefault="0047107E" w:rsidP="00F85BB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34238" w14:textId="77777777" w:rsidR="0047107E" w:rsidRPr="00F85BB3" w:rsidRDefault="0047107E"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3</w:t>
    </w:r>
    <w:r w:rsidRPr="00F85BB3">
      <w:rPr>
        <w:b w:val="0"/>
        <w:sz w:val="20"/>
        <w:szCs w:val="20"/>
      </w:rPr>
      <w:t>—</w:t>
    </w:r>
    <w:r>
      <w:rPr>
        <w:b w:val="0"/>
        <w:sz w:val="20"/>
        <w:szCs w:val="20"/>
      </w:rPr>
      <w:t>GEMS level requirements</w:t>
    </w:r>
  </w:p>
  <w:p w14:paraId="4990381C" w14:textId="77777777" w:rsidR="0047107E" w:rsidRPr="00F85BB3" w:rsidRDefault="0047107E" w:rsidP="00F85BB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3D78D" w14:textId="00F7F52B" w:rsidR="0047107E" w:rsidRPr="00F85BB3" w:rsidRDefault="0047107E"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4</w:t>
    </w:r>
    <w:r w:rsidRPr="00F85BB3">
      <w:rPr>
        <w:b w:val="0"/>
        <w:sz w:val="20"/>
        <w:szCs w:val="20"/>
      </w:rPr>
      <w:t>—</w:t>
    </w:r>
    <w:r>
      <w:rPr>
        <w:b w:val="0"/>
        <w:sz w:val="20"/>
        <w:szCs w:val="20"/>
      </w:rPr>
      <w:t>GEMS labelling requirements</w:t>
    </w:r>
  </w:p>
  <w:p w14:paraId="2351177D" w14:textId="77777777" w:rsidR="0047107E" w:rsidRPr="00F85BB3" w:rsidRDefault="0047107E" w:rsidP="00F85BB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ADCD5" w14:textId="61D63356" w:rsidR="0047107E" w:rsidRPr="00F85BB3" w:rsidRDefault="0047107E"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sidRPr="00F85BB3">
      <w:rPr>
        <w:b w:val="0"/>
        <w:sz w:val="20"/>
        <w:szCs w:val="20"/>
      </w:rPr>
      <w:t xml:space="preserve">Part </w:t>
    </w:r>
    <w:r>
      <w:rPr>
        <w:b w:val="0"/>
        <w:sz w:val="20"/>
        <w:szCs w:val="20"/>
      </w:rPr>
      <w:t>5</w:t>
    </w:r>
    <w:r w:rsidRPr="00F85BB3">
      <w:rPr>
        <w:b w:val="0"/>
        <w:sz w:val="20"/>
        <w:szCs w:val="20"/>
      </w:rPr>
      <w:t>—</w:t>
    </w:r>
    <w:r>
      <w:rPr>
        <w:b w:val="0"/>
        <w:sz w:val="20"/>
        <w:szCs w:val="20"/>
      </w:rPr>
      <w:t>Other requirements</w:t>
    </w:r>
  </w:p>
  <w:p w14:paraId="71D688E7" w14:textId="77777777" w:rsidR="0047107E" w:rsidRPr="00F85BB3" w:rsidRDefault="0047107E" w:rsidP="00F85BB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21B81" w14:textId="2819E33E" w:rsidR="0047107E" w:rsidRPr="00F85BB3" w:rsidRDefault="0047107E" w:rsidP="00F85BB3">
    <w:pPr>
      <w:pStyle w:val="Heading3"/>
      <w:pBdr>
        <w:bottom w:val="single" w:sz="6" w:space="1" w:color="auto"/>
      </w:pBdr>
      <w:tabs>
        <w:tab w:val="left" w:pos="2340"/>
      </w:tabs>
      <w:rPr>
        <w:b w:val="0"/>
        <w:sz w:val="20"/>
        <w:szCs w:val="20"/>
      </w:rPr>
    </w:pPr>
    <w:r w:rsidRPr="00F85BB3">
      <w:rPr>
        <w:b w:val="0"/>
        <w:sz w:val="20"/>
        <w:szCs w:val="20"/>
      </w:rPr>
      <w:t>Details of the Determination</w:t>
    </w:r>
    <w:r w:rsidRPr="00F85BB3">
      <w:rPr>
        <w:b w:val="0"/>
        <w:sz w:val="20"/>
        <w:szCs w:val="20"/>
      </w:rPr>
      <w:tab/>
    </w:r>
    <w:r w:rsidRPr="00F85BB3">
      <w:rPr>
        <w:b w:val="0"/>
        <w:sz w:val="20"/>
        <w:szCs w:val="20"/>
      </w:rPr>
      <w:tab/>
    </w:r>
    <w:r w:rsidRPr="00F85BB3">
      <w:rPr>
        <w:b w:val="0"/>
        <w:sz w:val="20"/>
        <w:szCs w:val="20"/>
      </w:rPr>
      <w:tab/>
    </w:r>
    <w:r w:rsidRPr="00F85BB3">
      <w:rPr>
        <w:b w:val="0"/>
        <w:sz w:val="20"/>
        <w:szCs w:val="20"/>
      </w:rPr>
      <w:ptab w:relativeTo="margin" w:alignment="right" w:leader="none"/>
    </w:r>
    <w:r>
      <w:rPr>
        <w:b w:val="0"/>
        <w:sz w:val="20"/>
        <w:szCs w:val="20"/>
      </w:rPr>
      <w:t>Schedules</w:t>
    </w:r>
  </w:p>
  <w:p w14:paraId="26A614C8" w14:textId="77777777" w:rsidR="0047107E" w:rsidRPr="00F85BB3" w:rsidRDefault="0047107E" w:rsidP="00F85B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688E2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9D362D"/>
    <w:multiLevelType w:val="hybridMultilevel"/>
    <w:tmpl w:val="CAB8AEE8"/>
    <w:lvl w:ilvl="0" w:tplc="85EC0D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D3677"/>
    <w:multiLevelType w:val="hybridMultilevel"/>
    <w:tmpl w:val="9BC459E2"/>
    <w:lvl w:ilvl="0" w:tplc="6050753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4DD18E9"/>
    <w:multiLevelType w:val="hybridMultilevel"/>
    <w:tmpl w:val="C792DCB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16947044"/>
    <w:multiLevelType w:val="hybridMultilevel"/>
    <w:tmpl w:val="E75690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90D3313"/>
    <w:multiLevelType w:val="hybridMultilevel"/>
    <w:tmpl w:val="4796B10E"/>
    <w:lvl w:ilvl="0" w:tplc="F2261B92">
      <w:start w:val="1"/>
      <w:numFmt w:val="decimal"/>
      <w:lvlText w:val="%1."/>
      <w:lvlJc w:val="left"/>
      <w:pPr>
        <w:ind w:left="460" w:hanging="4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CA1A38"/>
    <w:multiLevelType w:val="hybridMultilevel"/>
    <w:tmpl w:val="1848D736"/>
    <w:lvl w:ilvl="0" w:tplc="AB0A09CC">
      <w:start w:val="1"/>
      <w:numFmt w:val="decimal"/>
      <w:lvlText w:val="%1."/>
      <w:lvlJc w:val="left"/>
      <w:pPr>
        <w:ind w:left="720" w:hanging="360"/>
      </w:pPr>
      <w:rPr>
        <w:rFonts w:eastAsia="Cambria" w:cs="Times New Roman" w:hint="default"/>
        <w:sz w:val="19"/>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4E05826"/>
    <w:multiLevelType w:val="hybridMultilevel"/>
    <w:tmpl w:val="5C105C6C"/>
    <w:lvl w:ilvl="0" w:tplc="4340442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4E237DF"/>
    <w:multiLevelType w:val="hybridMultilevel"/>
    <w:tmpl w:val="4596FA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6C43DA"/>
    <w:multiLevelType w:val="singleLevel"/>
    <w:tmpl w:val="1E0AC42A"/>
    <w:lvl w:ilvl="0">
      <w:start w:val="1"/>
      <w:numFmt w:val="bullet"/>
      <w:pStyle w:val="Bullet"/>
      <w:lvlText w:val=""/>
      <w:lvlJc w:val="left"/>
      <w:pPr>
        <w:tabs>
          <w:tab w:val="num" w:pos="360"/>
        </w:tabs>
        <w:ind w:left="360" w:hanging="360"/>
      </w:pPr>
      <w:rPr>
        <w:rFonts w:ascii="Symbol" w:hAnsi="Symbol" w:hint="default"/>
        <w:sz w:val="22"/>
      </w:rPr>
    </w:lvl>
  </w:abstractNum>
  <w:abstractNum w:abstractNumId="11" w15:restartNumberingAfterBreak="0">
    <w:nsid w:val="2C60209E"/>
    <w:multiLevelType w:val="hybridMultilevel"/>
    <w:tmpl w:val="D7D243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2B0A19"/>
    <w:multiLevelType w:val="hybridMultilevel"/>
    <w:tmpl w:val="40EAE2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15:restartNumberingAfterBreak="0">
    <w:nsid w:val="322A455D"/>
    <w:multiLevelType w:val="hybridMultilevel"/>
    <w:tmpl w:val="73666D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1053B3"/>
    <w:multiLevelType w:val="hybridMultilevel"/>
    <w:tmpl w:val="984AE82A"/>
    <w:lvl w:ilvl="0" w:tplc="FE5A77CE">
      <w:start w:val="1"/>
      <w:numFmt w:val="bullet"/>
      <w:pStyle w:val="bullet0"/>
      <w:lvlText w:val=""/>
      <w:lvlJc w:val="left"/>
      <w:pPr>
        <w:tabs>
          <w:tab w:val="num" w:pos="283"/>
        </w:tabs>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70F38"/>
    <w:multiLevelType w:val="hybridMultilevel"/>
    <w:tmpl w:val="1502322E"/>
    <w:lvl w:ilvl="0" w:tplc="F7BA2B88">
      <w:start w:val="1"/>
      <w:numFmt w:val="bullet"/>
      <w:lvlText w:val=""/>
      <w:lvlJc w:val="left"/>
      <w:pPr>
        <w:ind w:left="360" w:hanging="360"/>
      </w:pPr>
      <w:rPr>
        <w:rFonts w:ascii="Symbol" w:hAnsi="Symbol" w:hint="default"/>
        <w:color w:val="C00000"/>
        <w:sz w:val="1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8136DA4"/>
    <w:multiLevelType w:val="hybridMultilevel"/>
    <w:tmpl w:val="63DAF910"/>
    <w:lvl w:ilvl="0" w:tplc="9CC47C2E">
      <w:start w:val="1"/>
      <w:numFmt w:val="bullet"/>
      <w:pStyle w:val="Bullets-Major"/>
      <w:lvlText w:val=""/>
      <w:lvlJc w:val="left"/>
      <w:pPr>
        <w:tabs>
          <w:tab w:val="num" w:pos="1287"/>
        </w:tabs>
        <w:ind w:left="1287" w:hanging="360"/>
      </w:pPr>
      <w:rPr>
        <w:rFonts w:ascii="Symbol" w:hAnsi="Symbol" w:hint="default"/>
        <w:sz w:val="2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8B0061D"/>
    <w:multiLevelType w:val="hybridMultilevel"/>
    <w:tmpl w:val="BB2888B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AA50CDC"/>
    <w:multiLevelType w:val="hybridMultilevel"/>
    <w:tmpl w:val="F3BE80CE"/>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5209BC"/>
    <w:multiLevelType w:val="hybridMultilevel"/>
    <w:tmpl w:val="44E8CA7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4ADB7DE1"/>
    <w:multiLevelType w:val="multilevel"/>
    <w:tmpl w:val="2B62B64C"/>
    <w:lvl w:ilvl="0">
      <w:start w:val="1"/>
      <w:numFmt w:val="decimal"/>
      <w:lvlText w:val="%1"/>
      <w:lvlJc w:val="left"/>
      <w:pPr>
        <w:tabs>
          <w:tab w:val="num" w:pos="0"/>
        </w:tabs>
        <w:ind w:left="720" w:hanging="720"/>
      </w:pPr>
      <w:rPr>
        <w:rFonts w:hint="default"/>
      </w:rPr>
    </w:lvl>
    <w:lvl w:ilvl="1">
      <w:start w:val="1"/>
      <w:numFmt w:val="decimal"/>
      <w:pStyle w:val="LSL2"/>
      <w:lvlText w:val="%1.%2"/>
      <w:lvlJc w:val="left"/>
      <w:pPr>
        <w:tabs>
          <w:tab w:val="num" w:pos="0"/>
        </w:tabs>
        <w:ind w:left="720" w:hanging="720"/>
      </w:pPr>
      <w:rPr>
        <w:rFonts w:hint="default"/>
      </w:rPr>
    </w:lvl>
    <w:lvl w:ilvl="2">
      <w:start w:val="1"/>
      <w:numFmt w:val="lowerLetter"/>
      <w:lvlText w:val="(%3)"/>
      <w:lvlJc w:val="left"/>
      <w:pPr>
        <w:tabs>
          <w:tab w:val="num" w:pos="0"/>
        </w:tabs>
        <w:ind w:left="1440" w:hanging="720"/>
      </w:pPr>
      <w:rPr>
        <w:rFonts w:hint="default"/>
      </w:rPr>
    </w:lvl>
    <w:lvl w:ilvl="3">
      <w:start w:val="1"/>
      <w:numFmt w:val="lowerRoman"/>
      <w:lvlText w:val="(%4)"/>
      <w:lvlJc w:val="left"/>
      <w:pPr>
        <w:tabs>
          <w:tab w:val="num" w:pos="0"/>
        </w:tabs>
        <w:ind w:left="2160" w:hanging="720"/>
      </w:pPr>
      <w:rPr>
        <w:rFonts w:hint="default"/>
      </w:rPr>
    </w:lvl>
    <w:lvl w:ilvl="4">
      <w:start w:val="1"/>
      <w:numFmt w:val="upperLetter"/>
      <w:lvlText w:val="(%5)"/>
      <w:lvlJc w:val="left"/>
      <w:pPr>
        <w:tabs>
          <w:tab w:val="num" w:pos="0"/>
        </w:tabs>
        <w:ind w:left="2880" w:hanging="720"/>
      </w:pPr>
      <w:rPr>
        <w:rFonts w:hint="default"/>
      </w:rPr>
    </w:lvl>
    <w:lvl w:ilvl="5">
      <w:start w:val="1"/>
      <w:numFmt w:val="bullet"/>
      <w:lvlText w:val=""/>
      <w:lvlJc w:val="left"/>
      <w:pPr>
        <w:tabs>
          <w:tab w:val="num" w:pos="0"/>
        </w:tabs>
        <w:ind w:left="3312" w:hanging="432"/>
      </w:pPr>
      <w:rPr>
        <w:rFonts w:ascii="Symbol" w:hAnsi="Symbol"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2" w15:restartNumberingAfterBreak="0">
    <w:nsid w:val="4F1818F6"/>
    <w:multiLevelType w:val="hybridMultilevel"/>
    <w:tmpl w:val="E5DCCA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3693715"/>
    <w:multiLevelType w:val="hybridMultilevel"/>
    <w:tmpl w:val="F8C8992A"/>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1">
      <w:start w:val="1"/>
      <w:numFmt w:val="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6315967"/>
    <w:multiLevelType w:val="hybridMultilevel"/>
    <w:tmpl w:val="9DA687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669476C"/>
    <w:multiLevelType w:val="hybridMultilevel"/>
    <w:tmpl w:val="59267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715CCD"/>
    <w:multiLevelType w:val="hybridMultilevel"/>
    <w:tmpl w:val="C9D0B22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46F4A9A"/>
    <w:multiLevelType w:val="hybridMultilevel"/>
    <w:tmpl w:val="74020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9415D9"/>
    <w:multiLevelType w:val="hybridMultilevel"/>
    <w:tmpl w:val="282C75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A6C013A"/>
    <w:multiLevelType w:val="hybridMultilevel"/>
    <w:tmpl w:val="7C9265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5570F5"/>
    <w:multiLevelType w:val="hybridMultilevel"/>
    <w:tmpl w:val="EEA0EE9E"/>
    <w:lvl w:ilvl="0" w:tplc="139CAD2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703F6230"/>
    <w:multiLevelType w:val="hybridMultilevel"/>
    <w:tmpl w:val="EBB2D4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9"/>
  </w:num>
  <w:num w:numId="2">
    <w:abstractNumId w:val="13"/>
  </w:num>
  <w:num w:numId="3">
    <w:abstractNumId w:val="29"/>
  </w:num>
  <w:num w:numId="4">
    <w:abstractNumId w:val="25"/>
  </w:num>
  <w:num w:numId="5">
    <w:abstractNumId w:val="3"/>
  </w:num>
  <w:num w:numId="6">
    <w:abstractNumId w:val="20"/>
  </w:num>
  <w:num w:numId="7">
    <w:abstractNumId w:val="0"/>
  </w:num>
  <w:num w:numId="8">
    <w:abstractNumId w:val="12"/>
  </w:num>
  <w:num w:numId="9">
    <w:abstractNumId w:val="1"/>
  </w:num>
  <w:num w:numId="10">
    <w:abstractNumId w:val="32"/>
  </w:num>
  <w:num w:numId="11">
    <w:abstractNumId w:val="15"/>
  </w:num>
  <w:num w:numId="12">
    <w:abstractNumId w:val="17"/>
  </w:num>
  <w:num w:numId="13">
    <w:abstractNumId w:val="10"/>
  </w:num>
  <w:num w:numId="14">
    <w:abstractNumId w:val="21"/>
  </w:num>
  <w:num w:numId="15">
    <w:abstractNumId w:val="19"/>
  </w:num>
  <w:num w:numId="16">
    <w:abstractNumId w:val="7"/>
  </w:num>
  <w:num w:numId="17">
    <w:abstractNumId w:val="11"/>
  </w:num>
  <w:num w:numId="18">
    <w:abstractNumId w:val="4"/>
  </w:num>
  <w:num w:numId="19">
    <w:abstractNumId w:val="2"/>
  </w:num>
  <w:num w:numId="20">
    <w:abstractNumId w:val="22"/>
  </w:num>
  <w:num w:numId="21">
    <w:abstractNumId w:val="16"/>
  </w:num>
  <w:num w:numId="22">
    <w:abstractNumId w:val="30"/>
  </w:num>
  <w:num w:numId="23">
    <w:abstractNumId w:val="23"/>
  </w:num>
  <w:num w:numId="24">
    <w:abstractNumId w:val="18"/>
  </w:num>
  <w:num w:numId="25">
    <w:abstractNumId w:val="5"/>
  </w:num>
  <w:num w:numId="26">
    <w:abstractNumId w:val="6"/>
  </w:num>
  <w:num w:numId="27">
    <w:abstractNumId w:val="8"/>
  </w:num>
  <w:num w:numId="28">
    <w:abstractNumId w:val="31"/>
  </w:num>
  <w:num w:numId="29">
    <w:abstractNumId w:val="24"/>
  </w:num>
  <w:num w:numId="30">
    <w:abstractNumId w:val="28"/>
  </w:num>
  <w:num w:numId="31">
    <w:abstractNumId w:val="1"/>
  </w:num>
  <w:num w:numId="32">
    <w:abstractNumId w:val="26"/>
  </w:num>
  <w:num w:numId="33">
    <w:abstractNumId w:val="27"/>
  </w:num>
  <w:num w:numId="34">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1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CB"/>
    <w:rsid w:val="000005ED"/>
    <w:rsid w:val="00001AEF"/>
    <w:rsid w:val="00002D39"/>
    <w:rsid w:val="000034FB"/>
    <w:rsid w:val="00004865"/>
    <w:rsid w:val="000053C8"/>
    <w:rsid w:val="00010A06"/>
    <w:rsid w:val="00012000"/>
    <w:rsid w:val="00014B0C"/>
    <w:rsid w:val="00016A6B"/>
    <w:rsid w:val="00025F7C"/>
    <w:rsid w:val="00026333"/>
    <w:rsid w:val="00031918"/>
    <w:rsid w:val="00033058"/>
    <w:rsid w:val="00033C8D"/>
    <w:rsid w:val="00035AAD"/>
    <w:rsid w:val="0004238C"/>
    <w:rsid w:val="0004333E"/>
    <w:rsid w:val="000448C1"/>
    <w:rsid w:val="00045E3C"/>
    <w:rsid w:val="00047255"/>
    <w:rsid w:val="00050BCA"/>
    <w:rsid w:val="00062A45"/>
    <w:rsid w:val="00063146"/>
    <w:rsid w:val="00064E1C"/>
    <w:rsid w:val="00065F71"/>
    <w:rsid w:val="00066A0F"/>
    <w:rsid w:val="0007057F"/>
    <w:rsid w:val="000738A6"/>
    <w:rsid w:val="00075F9A"/>
    <w:rsid w:val="0007713F"/>
    <w:rsid w:val="00081772"/>
    <w:rsid w:val="00083C4E"/>
    <w:rsid w:val="00090444"/>
    <w:rsid w:val="0009340C"/>
    <w:rsid w:val="000A1031"/>
    <w:rsid w:val="000A2545"/>
    <w:rsid w:val="000A5950"/>
    <w:rsid w:val="000A6AEF"/>
    <w:rsid w:val="000B39CB"/>
    <w:rsid w:val="000C1B41"/>
    <w:rsid w:val="000C39B9"/>
    <w:rsid w:val="000C482E"/>
    <w:rsid w:val="000C4906"/>
    <w:rsid w:val="000D066C"/>
    <w:rsid w:val="000D5B78"/>
    <w:rsid w:val="000E1EA5"/>
    <w:rsid w:val="000E43F8"/>
    <w:rsid w:val="000E51EB"/>
    <w:rsid w:val="000F4A8C"/>
    <w:rsid w:val="000F6ACF"/>
    <w:rsid w:val="000F78D6"/>
    <w:rsid w:val="00103053"/>
    <w:rsid w:val="00103913"/>
    <w:rsid w:val="00106879"/>
    <w:rsid w:val="0010758F"/>
    <w:rsid w:val="00107653"/>
    <w:rsid w:val="00110E91"/>
    <w:rsid w:val="00111949"/>
    <w:rsid w:val="0011368B"/>
    <w:rsid w:val="00115EF9"/>
    <w:rsid w:val="0012142F"/>
    <w:rsid w:val="0012150E"/>
    <w:rsid w:val="00121CF9"/>
    <w:rsid w:val="00125166"/>
    <w:rsid w:val="00131E88"/>
    <w:rsid w:val="00136F55"/>
    <w:rsid w:val="00137655"/>
    <w:rsid w:val="00142CE2"/>
    <w:rsid w:val="0014551A"/>
    <w:rsid w:val="00146912"/>
    <w:rsid w:val="00152DF7"/>
    <w:rsid w:val="001535DC"/>
    <w:rsid w:val="001573CB"/>
    <w:rsid w:val="00161028"/>
    <w:rsid w:val="001612A5"/>
    <w:rsid w:val="00170993"/>
    <w:rsid w:val="001716A5"/>
    <w:rsid w:val="001768AB"/>
    <w:rsid w:val="00181FA8"/>
    <w:rsid w:val="0018350F"/>
    <w:rsid w:val="001874F0"/>
    <w:rsid w:val="00196A71"/>
    <w:rsid w:val="001A3009"/>
    <w:rsid w:val="001A4DB9"/>
    <w:rsid w:val="001A6579"/>
    <w:rsid w:val="001B0A13"/>
    <w:rsid w:val="001C0820"/>
    <w:rsid w:val="001D2245"/>
    <w:rsid w:val="001D427C"/>
    <w:rsid w:val="001D44E6"/>
    <w:rsid w:val="001D45B0"/>
    <w:rsid w:val="001D621B"/>
    <w:rsid w:val="001D73AD"/>
    <w:rsid w:val="001E10B9"/>
    <w:rsid w:val="001E3E67"/>
    <w:rsid w:val="001E49A0"/>
    <w:rsid w:val="001E7555"/>
    <w:rsid w:val="001F3F9B"/>
    <w:rsid w:val="001F688C"/>
    <w:rsid w:val="001F6ED9"/>
    <w:rsid w:val="001F7274"/>
    <w:rsid w:val="001F7C05"/>
    <w:rsid w:val="002030F4"/>
    <w:rsid w:val="00203CC1"/>
    <w:rsid w:val="0020444E"/>
    <w:rsid w:val="0021295E"/>
    <w:rsid w:val="00215343"/>
    <w:rsid w:val="00215F9A"/>
    <w:rsid w:val="002166AE"/>
    <w:rsid w:val="0021695F"/>
    <w:rsid w:val="00217360"/>
    <w:rsid w:val="00230B16"/>
    <w:rsid w:val="0023348B"/>
    <w:rsid w:val="002342D7"/>
    <w:rsid w:val="002356DE"/>
    <w:rsid w:val="00235A4F"/>
    <w:rsid w:val="00237F79"/>
    <w:rsid w:val="00240B24"/>
    <w:rsid w:val="00241B6A"/>
    <w:rsid w:val="0024490E"/>
    <w:rsid w:val="00251615"/>
    <w:rsid w:val="00254BB3"/>
    <w:rsid w:val="00256F14"/>
    <w:rsid w:val="00272385"/>
    <w:rsid w:val="00273D06"/>
    <w:rsid w:val="002752AC"/>
    <w:rsid w:val="002756DE"/>
    <w:rsid w:val="0027738F"/>
    <w:rsid w:val="0028039B"/>
    <w:rsid w:val="00280CD5"/>
    <w:rsid w:val="002810EF"/>
    <w:rsid w:val="00283519"/>
    <w:rsid w:val="00285CD2"/>
    <w:rsid w:val="00286127"/>
    <w:rsid w:val="00286224"/>
    <w:rsid w:val="002922E6"/>
    <w:rsid w:val="00292912"/>
    <w:rsid w:val="002938A6"/>
    <w:rsid w:val="0029530E"/>
    <w:rsid w:val="00296799"/>
    <w:rsid w:val="002A116E"/>
    <w:rsid w:val="002A476E"/>
    <w:rsid w:val="002A64B5"/>
    <w:rsid w:val="002B1753"/>
    <w:rsid w:val="002B378B"/>
    <w:rsid w:val="002B3C05"/>
    <w:rsid w:val="002B6F91"/>
    <w:rsid w:val="002C2C61"/>
    <w:rsid w:val="002C4B94"/>
    <w:rsid w:val="002C6A20"/>
    <w:rsid w:val="002C7CFB"/>
    <w:rsid w:val="002D24C6"/>
    <w:rsid w:val="002D2BB4"/>
    <w:rsid w:val="002D6CF1"/>
    <w:rsid w:val="002D7C79"/>
    <w:rsid w:val="002E0F81"/>
    <w:rsid w:val="002E2FFE"/>
    <w:rsid w:val="002E794F"/>
    <w:rsid w:val="002F1FF9"/>
    <w:rsid w:val="003031C1"/>
    <w:rsid w:val="00306270"/>
    <w:rsid w:val="00306914"/>
    <w:rsid w:val="0031594A"/>
    <w:rsid w:val="00316361"/>
    <w:rsid w:val="00324FE2"/>
    <w:rsid w:val="00335FD1"/>
    <w:rsid w:val="003374E7"/>
    <w:rsid w:val="00337BE2"/>
    <w:rsid w:val="00337E7E"/>
    <w:rsid w:val="00347B3D"/>
    <w:rsid w:val="003505C5"/>
    <w:rsid w:val="003514BF"/>
    <w:rsid w:val="00355327"/>
    <w:rsid w:val="00360D67"/>
    <w:rsid w:val="00367930"/>
    <w:rsid w:val="00371C89"/>
    <w:rsid w:val="00377B37"/>
    <w:rsid w:val="003810F2"/>
    <w:rsid w:val="0038144F"/>
    <w:rsid w:val="00385819"/>
    <w:rsid w:val="00390ACD"/>
    <w:rsid w:val="003A41BC"/>
    <w:rsid w:val="003A4868"/>
    <w:rsid w:val="003A539C"/>
    <w:rsid w:val="003B1460"/>
    <w:rsid w:val="003B3DE0"/>
    <w:rsid w:val="003B50A3"/>
    <w:rsid w:val="003B5AA4"/>
    <w:rsid w:val="003B5F1F"/>
    <w:rsid w:val="003C189D"/>
    <w:rsid w:val="003C277B"/>
    <w:rsid w:val="003C618A"/>
    <w:rsid w:val="003D31D0"/>
    <w:rsid w:val="003E2594"/>
    <w:rsid w:val="003E328B"/>
    <w:rsid w:val="003E5413"/>
    <w:rsid w:val="003E6333"/>
    <w:rsid w:val="003F066A"/>
    <w:rsid w:val="00400808"/>
    <w:rsid w:val="00400D56"/>
    <w:rsid w:val="004022FA"/>
    <w:rsid w:val="00404052"/>
    <w:rsid w:val="004053F0"/>
    <w:rsid w:val="00413A34"/>
    <w:rsid w:val="00415308"/>
    <w:rsid w:val="004211A2"/>
    <w:rsid w:val="00421C0A"/>
    <w:rsid w:val="0042227B"/>
    <w:rsid w:val="004234E7"/>
    <w:rsid w:val="00423548"/>
    <w:rsid w:val="0043216F"/>
    <w:rsid w:val="004332AC"/>
    <w:rsid w:val="0043365B"/>
    <w:rsid w:val="0043725E"/>
    <w:rsid w:val="00440523"/>
    <w:rsid w:val="0044079C"/>
    <w:rsid w:val="00442747"/>
    <w:rsid w:val="004457FC"/>
    <w:rsid w:val="00445E56"/>
    <w:rsid w:val="00446885"/>
    <w:rsid w:val="00447380"/>
    <w:rsid w:val="00451079"/>
    <w:rsid w:val="00453C43"/>
    <w:rsid w:val="00456F2F"/>
    <w:rsid w:val="004600DC"/>
    <w:rsid w:val="00461168"/>
    <w:rsid w:val="00461E58"/>
    <w:rsid w:val="0047107E"/>
    <w:rsid w:val="00471DDF"/>
    <w:rsid w:val="00474871"/>
    <w:rsid w:val="004749AE"/>
    <w:rsid w:val="0047503C"/>
    <w:rsid w:val="00480302"/>
    <w:rsid w:val="00483B40"/>
    <w:rsid w:val="0048714C"/>
    <w:rsid w:val="0048722B"/>
    <w:rsid w:val="00490D47"/>
    <w:rsid w:val="00496947"/>
    <w:rsid w:val="004A0834"/>
    <w:rsid w:val="004A0B9C"/>
    <w:rsid w:val="004A0F3D"/>
    <w:rsid w:val="004A11DE"/>
    <w:rsid w:val="004A3408"/>
    <w:rsid w:val="004A4143"/>
    <w:rsid w:val="004A5AB5"/>
    <w:rsid w:val="004B2DC6"/>
    <w:rsid w:val="004B36D4"/>
    <w:rsid w:val="004B4393"/>
    <w:rsid w:val="004B566C"/>
    <w:rsid w:val="004C0BBD"/>
    <w:rsid w:val="004C1C2A"/>
    <w:rsid w:val="004C49AB"/>
    <w:rsid w:val="004D0C21"/>
    <w:rsid w:val="004D2676"/>
    <w:rsid w:val="004D3369"/>
    <w:rsid w:val="004D3B3C"/>
    <w:rsid w:val="004D4862"/>
    <w:rsid w:val="004D4C50"/>
    <w:rsid w:val="004D5EEF"/>
    <w:rsid w:val="004E04D9"/>
    <w:rsid w:val="004E386C"/>
    <w:rsid w:val="004E3A9C"/>
    <w:rsid w:val="004E4F4D"/>
    <w:rsid w:val="004E6AC5"/>
    <w:rsid w:val="004F039B"/>
    <w:rsid w:val="004F16EB"/>
    <w:rsid w:val="004F3785"/>
    <w:rsid w:val="004F5AAA"/>
    <w:rsid w:val="00501D57"/>
    <w:rsid w:val="00502B57"/>
    <w:rsid w:val="00505FE9"/>
    <w:rsid w:val="00510F52"/>
    <w:rsid w:val="005112B4"/>
    <w:rsid w:val="00511804"/>
    <w:rsid w:val="00511A1F"/>
    <w:rsid w:val="005120DA"/>
    <w:rsid w:val="00515337"/>
    <w:rsid w:val="00515662"/>
    <w:rsid w:val="00517B91"/>
    <w:rsid w:val="00521DEF"/>
    <w:rsid w:val="00521F96"/>
    <w:rsid w:val="00525FFB"/>
    <w:rsid w:val="0052648B"/>
    <w:rsid w:val="0053574E"/>
    <w:rsid w:val="00536B96"/>
    <w:rsid w:val="00540EDB"/>
    <w:rsid w:val="00541693"/>
    <w:rsid w:val="00542468"/>
    <w:rsid w:val="00547A82"/>
    <w:rsid w:val="00547FE9"/>
    <w:rsid w:val="00552F5B"/>
    <w:rsid w:val="0055431F"/>
    <w:rsid w:val="005544A1"/>
    <w:rsid w:val="0055660C"/>
    <w:rsid w:val="0055734F"/>
    <w:rsid w:val="00557B13"/>
    <w:rsid w:val="00561196"/>
    <w:rsid w:val="00561D5C"/>
    <w:rsid w:val="005636C7"/>
    <w:rsid w:val="00572566"/>
    <w:rsid w:val="00574A7F"/>
    <w:rsid w:val="00574B22"/>
    <w:rsid w:val="00575318"/>
    <w:rsid w:val="00576666"/>
    <w:rsid w:val="00577CF6"/>
    <w:rsid w:val="005820FC"/>
    <w:rsid w:val="0058316B"/>
    <w:rsid w:val="00591493"/>
    <w:rsid w:val="0059347D"/>
    <w:rsid w:val="00594DC1"/>
    <w:rsid w:val="005A373B"/>
    <w:rsid w:val="005A6684"/>
    <w:rsid w:val="005A7060"/>
    <w:rsid w:val="005A78DF"/>
    <w:rsid w:val="005B160C"/>
    <w:rsid w:val="005B482F"/>
    <w:rsid w:val="005B620E"/>
    <w:rsid w:val="005B6403"/>
    <w:rsid w:val="005C16AE"/>
    <w:rsid w:val="005C1F59"/>
    <w:rsid w:val="005C5BAF"/>
    <w:rsid w:val="005C6662"/>
    <w:rsid w:val="005C7FCD"/>
    <w:rsid w:val="005D0893"/>
    <w:rsid w:val="005D3997"/>
    <w:rsid w:val="005D4392"/>
    <w:rsid w:val="005D4588"/>
    <w:rsid w:val="005D4A13"/>
    <w:rsid w:val="005E195A"/>
    <w:rsid w:val="005F1EAD"/>
    <w:rsid w:val="005F2D73"/>
    <w:rsid w:val="005F2D8A"/>
    <w:rsid w:val="005F483B"/>
    <w:rsid w:val="005F7130"/>
    <w:rsid w:val="005F746D"/>
    <w:rsid w:val="0060419E"/>
    <w:rsid w:val="00606163"/>
    <w:rsid w:val="006068B6"/>
    <w:rsid w:val="006114DF"/>
    <w:rsid w:val="006140F6"/>
    <w:rsid w:val="00620CA4"/>
    <w:rsid w:val="006214FB"/>
    <w:rsid w:val="00627E2C"/>
    <w:rsid w:val="00630B59"/>
    <w:rsid w:val="00630CC3"/>
    <w:rsid w:val="00632CEF"/>
    <w:rsid w:val="00633DB7"/>
    <w:rsid w:val="00636A2E"/>
    <w:rsid w:val="00641620"/>
    <w:rsid w:val="006423A4"/>
    <w:rsid w:val="00643103"/>
    <w:rsid w:val="00650D80"/>
    <w:rsid w:val="006541E8"/>
    <w:rsid w:val="006544A4"/>
    <w:rsid w:val="0065558C"/>
    <w:rsid w:val="00655847"/>
    <w:rsid w:val="00662031"/>
    <w:rsid w:val="00663A13"/>
    <w:rsid w:val="006663C3"/>
    <w:rsid w:val="0066686B"/>
    <w:rsid w:val="00667307"/>
    <w:rsid w:val="00670E72"/>
    <w:rsid w:val="006716DB"/>
    <w:rsid w:val="0067288D"/>
    <w:rsid w:val="006732BE"/>
    <w:rsid w:val="0067798E"/>
    <w:rsid w:val="006779CC"/>
    <w:rsid w:val="0068133E"/>
    <w:rsid w:val="00682993"/>
    <w:rsid w:val="0069006C"/>
    <w:rsid w:val="006903D1"/>
    <w:rsid w:val="00695A0F"/>
    <w:rsid w:val="006A1444"/>
    <w:rsid w:val="006A3D98"/>
    <w:rsid w:val="006B0631"/>
    <w:rsid w:val="006B09FF"/>
    <w:rsid w:val="006B11E8"/>
    <w:rsid w:val="006B2F22"/>
    <w:rsid w:val="006B3450"/>
    <w:rsid w:val="006B5921"/>
    <w:rsid w:val="006B6F2F"/>
    <w:rsid w:val="006B7494"/>
    <w:rsid w:val="006C0B9B"/>
    <w:rsid w:val="006C5731"/>
    <w:rsid w:val="006C64F9"/>
    <w:rsid w:val="006C74F6"/>
    <w:rsid w:val="006D1E2A"/>
    <w:rsid w:val="006D3051"/>
    <w:rsid w:val="006D32D1"/>
    <w:rsid w:val="006D3310"/>
    <w:rsid w:val="006D569C"/>
    <w:rsid w:val="006D7D37"/>
    <w:rsid w:val="006E1E20"/>
    <w:rsid w:val="006E42FF"/>
    <w:rsid w:val="006E67CF"/>
    <w:rsid w:val="006F00D4"/>
    <w:rsid w:val="006F0287"/>
    <w:rsid w:val="006F105F"/>
    <w:rsid w:val="006F2E1F"/>
    <w:rsid w:val="00700BF7"/>
    <w:rsid w:val="007015D6"/>
    <w:rsid w:val="007055D5"/>
    <w:rsid w:val="00705D08"/>
    <w:rsid w:val="0070722D"/>
    <w:rsid w:val="00707FCE"/>
    <w:rsid w:val="00711037"/>
    <w:rsid w:val="0071288D"/>
    <w:rsid w:val="007128DD"/>
    <w:rsid w:val="00712ED0"/>
    <w:rsid w:val="00713923"/>
    <w:rsid w:val="00713A3E"/>
    <w:rsid w:val="0072064A"/>
    <w:rsid w:val="00725B8D"/>
    <w:rsid w:val="00735A0A"/>
    <w:rsid w:val="0073764D"/>
    <w:rsid w:val="00740A19"/>
    <w:rsid w:val="00740E0A"/>
    <w:rsid w:val="00742F87"/>
    <w:rsid w:val="00745FF4"/>
    <w:rsid w:val="00750BB5"/>
    <w:rsid w:val="00755F4F"/>
    <w:rsid w:val="0075742B"/>
    <w:rsid w:val="00757449"/>
    <w:rsid w:val="00757825"/>
    <w:rsid w:val="00773F00"/>
    <w:rsid w:val="00774AEA"/>
    <w:rsid w:val="007868C4"/>
    <w:rsid w:val="00797BBC"/>
    <w:rsid w:val="007A3D57"/>
    <w:rsid w:val="007A4666"/>
    <w:rsid w:val="007A4923"/>
    <w:rsid w:val="007A7E50"/>
    <w:rsid w:val="007B101C"/>
    <w:rsid w:val="007B2F72"/>
    <w:rsid w:val="007B62C6"/>
    <w:rsid w:val="007B6B6E"/>
    <w:rsid w:val="007B7ED7"/>
    <w:rsid w:val="007C093F"/>
    <w:rsid w:val="007C1C82"/>
    <w:rsid w:val="007C1DA3"/>
    <w:rsid w:val="007C6DFC"/>
    <w:rsid w:val="007C7129"/>
    <w:rsid w:val="007D01AF"/>
    <w:rsid w:val="007E02A7"/>
    <w:rsid w:val="007E0631"/>
    <w:rsid w:val="007E5000"/>
    <w:rsid w:val="007E781C"/>
    <w:rsid w:val="007F0301"/>
    <w:rsid w:val="007F26AF"/>
    <w:rsid w:val="007F6ADC"/>
    <w:rsid w:val="00801A45"/>
    <w:rsid w:val="00805354"/>
    <w:rsid w:val="00810A77"/>
    <w:rsid w:val="00810EC8"/>
    <w:rsid w:val="00813377"/>
    <w:rsid w:val="00816407"/>
    <w:rsid w:val="00820B9D"/>
    <w:rsid w:val="00821009"/>
    <w:rsid w:val="0082157D"/>
    <w:rsid w:val="00821721"/>
    <w:rsid w:val="00824356"/>
    <w:rsid w:val="0082467D"/>
    <w:rsid w:val="00824925"/>
    <w:rsid w:val="00825599"/>
    <w:rsid w:val="0083007F"/>
    <w:rsid w:val="00830F5D"/>
    <w:rsid w:val="00831F00"/>
    <w:rsid w:val="00832752"/>
    <w:rsid w:val="00833C3D"/>
    <w:rsid w:val="00834CD5"/>
    <w:rsid w:val="008408F0"/>
    <w:rsid w:val="00843212"/>
    <w:rsid w:val="00843E94"/>
    <w:rsid w:val="0084482F"/>
    <w:rsid w:val="00852F83"/>
    <w:rsid w:val="0085304C"/>
    <w:rsid w:val="00855775"/>
    <w:rsid w:val="00855BEC"/>
    <w:rsid w:val="00860845"/>
    <w:rsid w:val="00861DFA"/>
    <w:rsid w:val="008713AB"/>
    <w:rsid w:val="008726E8"/>
    <w:rsid w:val="0088007E"/>
    <w:rsid w:val="008841E2"/>
    <w:rsid w:val="00886F0A"/>
    <w:rsid w:val="00893065"/>
    <w:rsid w:val="00893CCC"/>
    <w:rsid w:val="00895E55"/>
    <w:rsid w:val="008976E0"/>
    <w:rsid w:val="008A0A2B"/>
    <w:rsid w:val="008A0AC5"/>
    <w:rsid w:val="008A6394"/>
    <w:rsid w:val="008A758E"/>
    <w:rsid w:val="008A7956"/>
    <w:rsid w:val="008B2F4D"/>
    <w:rsid w:val="008B61DF"/>
    <w:rsid w:val="008B6E35"/>
    <w:rsid w:val="008C0480"/>
    <w:rsid w:val="008C0D06"/>
    <w:rsid w:val="008C2902"/>
    <w:rsid w:val="008D3832"/>
    <w:rsid w:val="008E2CB7"/>
    <w:rsid w:val="008E5D8C"/>
    <w:rsid w:val="008E73D4"/>
    <w:rsid w:val="008F5189"/>
    <w:rsid w:val="008F5717"/>
    <w:rsid w:val="008F6829"/>
    <w:rsid w:val="008F798F"/>
    <w:rsid w:val="0090049E"/>
    <w:rsid w:val="0090349A"/>
    <w:rsid w:val="0090382F"/>
    <w:rsid w:val="00903CE4"/>
    <w:rsid w:val="009046CC"/>
    <w:rsid w:val="00904A22"/>
    <w:rsid w:val="00910E1A"/>
    <w:rsid w:val="009115A3"/>
    <w:rsid w:val="00912857"/>
    <w:rsid w:val="00921A63"/>
    <w:rsid w:val="00921BB5"/>
    <w:rsid w:val="00926BB9"/>
    <w:rsid w:val="0093189C"/>
    <w:rsid w:val="00931B5D"/>
    <w:rsid w:val="00934606"/>
    <w:rsid w:val="00937B9B"/>
    <w:rsid w:val="00940544"/>
    <w:rsid w:val="00941971"/>
    <w:rsid w:val="00943497"/>
    <w:rsid w:val="00944EE6"/>
    <w:rsid w:val="009502D6"/>
    <w:rsid w:val="00952F54"/>
    <w:rsid w:val="00954C3F"/>
    <w:rsid w:val="009565D3"/>
    <w:rsid w:val="00960E66"/>
    <w:rsid w:val="009619E7"/>
    <w:rsid w:val="00962ECC"/>
    <w:rsid w:val="00963D60"/>
    <w:rsid w:val="009679A0"/>
    <w:rsid w:val="00970B9E"/>
    <w:rsid w:val="009800C4"/>
    <w:rsid w:val="0098071C"/>
    <w:rsid w:val="00983708"/>
    <w:rsid w:val="00984DC1"/>
    <w:rsid w:val="009920B2"/>
    <w:rsid w:val="00992163"/>
    <w:rsid w:val="009923C8"/>
    <w:rsid w:val="00995594"/>
    <w:rsid w:val="009A115B"/>
    <w:rsid w:val="009A11A1"/>
    <w:rsid w:val="009A34D0"/>
    <w:rsid w:val="009A3BD2"/>
    <w:rsid w:val="009A5598"/>
    <w:rsid w:val="009A7395"/>
    <w:rsid w:val="009B041A"/>
    <w:rsid w:val="009B1C7A"/>
    <w:rsid w:val="009B5BCE"/>
    <w:rsid w:val="009B6696"/>
    <w:rsid w:val="009C1F61"/>
    <w:rsid w:val="009C54BC"/>
    <w:rsid w:val="009C63E0"/>
    <w:rsid w:val="009D3A9C"/>
    <w:rsid w:val="009D45AB"/>
    <w:rsid w:val="009D6C05"/>
    <w:rsid w:val="009D741A"/>
    <w:rsid w:val="009E24A6"/>
    <w:rsid w:val="009E446C"/>
    <w:rsid w:val="009E49FD"/>
    <w:rsid w:val="009E7C16"/>
    <w:rsid w:val="009F29E5"/>
    <w:rsid w:val="009F2BB0"/>
    <w:rsid w:val="009F4EBA"/>
    <w:rsid w:val="009F7AC2"/>
    <w:rsid w:val="00A00357"/>
    <w:rsid w:val="00A01F54"/>
    <w:rsid w:val="00A04561"/>
    <w:rsid w:val="00A05519"/>
    <w:rsid w:val="00A0612E"/>
    <w:rsid w:val="00A0762E"/>
    <w:rsid w:val="00A10DE7"/>
    <w:rsid w:val="00A13FC5"/>
    <w:rsid w:val="00A207E2"/>
    <w:rsid w:val="00A2174D"/>
    <w:rsid w:val="00A21838"/>
    <w:rsid w:val="00A218D2"/>
    <w:rsid w:val="00A224AF"/>
    <w:rsid w:val="00A23464"/>
    <w:rsid w:val="00A240D8"/>
    <w:rsid w:val="00A25BA1"/>
    <w:rsid w:val="00A269F0"/>
    <w:rsid w:val="00A27FD2"/>
    <w:rsid w:val="00A31669"/>
    <w:rsid w:val="00A360EF"/>
    <w:rsid w:val="00A37647"/>
    <w:rsid w:val="00A4177A"/>
    <w:rsid w:val="00A41C40"/>
    <w:rsid w:val="00A4212C"/>
    <w:rsid w:val="00A50A13"/>
    <w:rsid w:val="00A50F96"/>
    <w:rsid w:val="00A52025"/>
    <w:rsid w:val="00A525DC"/>
    <w:rsid w:val="00A52974"/>
    <w:rsid w:val="00A52FC3"/>
    <w:rsid w:val="00A53526"/>
    <w:rsid w:val="00A53E14"/>
    <w:rsid w:val="00A54BD3"/>
    <w:rsid w:val="00A577C3"/>
    <w:rsid w:val="00A64DEA"/>
    <w:rsid w:val="00A661C2"/>
    <w:rsid w:val="00A66A56"/>
    <w:rsid w:val="00A70FBC"/>
    <w:rsid w:val="00A72396"/>
    <w:rsid w:val="00A736C3"/>
    <w:rsid w:val="00A74284"/>
    <w:rsid w:val="00A76334"/>
    <w:rsid w:val="00A76AAA"/>
    <w:rsid w:val="00A76DB5"/>
    <w:rsid w:val="00A8041E"/>
    <w:rsid w:val="00A82015"/>
    <w:rsid w:val="00A82098"/>
    <w:rsid w:val="00A85F58"/>
    <w:rsid w:val="00A878F0"/>
    <w:rsid w:val="00A91E42"/>
    <w:rsid w:val="00AA5A89"/>
    <w:rsid w:val="00AA635C"/>
    <w:rsid w:val="00AB0F2B"/>
    <w:rsid w:val="00AB1F83"/>
    <w:rsid w:val="00AB715D"/>
    <w:rsid w:val="00AC165B"/>
    <w:rsid w:val="00AC16A8"/>
    <w:rsid w:val="00AC6086"/>
    <w:rsid w:val="00AC6998"/>
    <w:rsid w:val="00AD17D5"/>
    <w:rsid w:val="00AD3DF0"/>
    <w:rsid w:val="00AD5769"/>
    <w:rsid w:val="00AD58DF"/>
    <w:rsid w:val="00AD6F3C"/>
    <w:rsid w:val="00AE2997"/>
    <w:rsid w:val="00AF059B"/>
    <w:rsid w:val="00AF4691"/>
    <w:rsid w:val="00AF4B35"/>
    <w:rsid w:val="00AF60AB"/>
    <w:rsid w:val="00AF7205"/>
    <w:rsid w:val="00B02A07"/>
    <w:rsid w:val="00B03411"/>
    <w:rsid w:val="00B038AD"/>
    <w:rsid w:val="00B03E16"/>
    <w:rsid w:val="00B12B7D"/>
    <w:rsid w:val="00B132EE"/>
    <w:rsid w:val="00B15FA8"/>
    <w:rsid w:val="00B16C07"/>
    <w:rsid w:val="00B238BD"/>
    <w:rsid w:val="00B25BA3"/>
    <w:rsid w:val="00B30B66"/>
    <w:rsid w:val="00B33BC8"/>
    <w:rsid w:val="00B34337"/>
    <w:rsid w:val="00B51542"/>
    <w:rsid w:val="00B51D7F"/>
    <w:rsid w:val="00B56675"/>
    <w:rsid w:val="00B57E49"/>
    <w:rsid w:val="00B57E4D"/>
    <w:rsid w:val="00B603BD"/>
    <w:rsid w:val="00B604E2"/>
    <w:rsid w:val="00B65376"/>
    <w:rsid w:val="00B66BCF"/>
    <w:rsid w:val="00B66C34"/>
    <w:rsid w:val="00B76339"/>
    <w:rsid w:val="00B77133"/>
    <w:rsid w:val="00B82AD0"/>
    <w:rsid w:val="00B83BBD"/>
    <w:rsid w:val="00B8483D"/>
    <w:rsid w:val="00B84BA9"/>
    <w:rsid w:val="00B86266"/>
    <w:rsid w:val="00B862D7"/>
    <w:rsid w:val="00B8715E"/>
    <w:rsid w:val="00B90D3E"/>
    <w:rsid w:val="00B9125B"/>
    <w:rsid w:val="00B92D01"/>
    <w:rsid w:val="00B95AD2"/>
    <w:rsid w:val="00B95DB5"/>
    <w:rsid w:val="00B97813"/>
    <w:rsid w:val="00BA2103"/>
    <w:rsid w:val="00BA75AF"/>
    <w:rsid w:val="00BB1E7A"/>
    <w:rsid w:val="00BB2F59"/>
    <w:rsid w:val="00BB3F9A"/>
    <w:rsid w:val="00BB4AA0"/>
    <w:rsid w:val="00BC053C"/>
    <w:rsid w:val="00BC2F09"/>
    <w:rsid w:val="00BD415D"/>
    <w:rsid w:val="00BD58F7"/>
    <w:rsid w:val="00BE2FF2"/>
    <w:rsid w:val="00BE418F"/>
    <w:rsid w:val="00BE4A32"/>
    <w:rsid w:val="00BE5E7B"/>
    <w:rsid w:val="00BE7FDE"/>
    <w:rsid w:val="00BF1F01"/>
    <w:rsid w:val="00BF2AB6"/>
    <w:rsid w:val="00BF2F0B"/>
    <w:rsid w:val="00BF51D6"/>
    <w:rsid w:val="00BF5F6E"/>
    <w:rsid w:val="00BF6195"/>
    <w:rsid w:val="00BF6FA2"/>
    <w:rsid w:val="00C0016D"/>
    <w:rsid w:val="00C00672"/>
    <w:rsid w:val="00C022E0"/>
    <w:rsid w:val="00C06D5C"/>
    <w:rsid w:val="00C07E37"/>
    <w:rsid w:val="00C143D7"/>
    <w:rsid w:val="00C16EE1"/>
    <w:rsid w:val="00C20BE9"/>
    <w:rsid w:val="00C21217"/>
    <w:rsid w:val="00C21510"/>
    <w:rsid w:val="00C215DA"/>
    <w:rsid w:val="00C229AE"/>
    <w:rsid w:val="00C23F97"/>
    <w:rsid w:val="00C24144"/>
    <w:rsid w:val="00C3056E"/>
    <w:rsid w:val="00C31675"/>
    <w:rsid w:val="00C3227B"/>
    <w:rsid w:val="00C33C7C"/>
    <w:rsid w:val="00C33F88"/>
    <w:rsid w:val="00C3542D"/>
    <w:rsid w:val="00C41520"/>
    <w:rsid w:val="00C429CD"/>
    <w:rsid w:val="00C43CB0"/>
    <w:rsid w:val="00C47886"/>
    <w:rsid w:val="00C52CEE"/>
    <w:rsid w:val="00C52F2B"/>
    <w:rsid w:val="00C551EC"/>
    <w:rsid w:val="00C557E3"/>
    <w:rsid w:val="00C62B8A"/>
    <w:rsid w:val="00C63451"/>
    <w:rsid w:val="00C63C43"/>
    <w:rsid w:val="00C659B5"/>
    <w:rsid w:val="00C67E4F"/>
    <w:rsid w:val="00C70DD8"/>
    <w:rsid w:val="00C717A3"/>
    <w:rsid w:val="00C72A72"/>
    <w:rsid w:val="00C73081"/>
    <w:rsid w:val="00C74A25"/>
    <w:rsid w:val="00C76C64"/>
    <w:rsid w:val="00C90016"/>
    <w:rsid w:val="00C9386B"/>
    <w:rsid w:val="00C93E13"/>
    <w:rsid w:val="00C94935"/>
    <w:rsid w:val="00CA032F"/>
    <w:rsid w:val="00CA1519"/>
    <w:rsid w:val="00CB1251"/>
    <w:rsid w:val="00CB2C25"/>
    <w:rsid w:val="00CB2E1F"/>
    <w:rsid w:val="00CB37A7"/>
    <w:rsid w:val="00CB42C4"/>
    <w:rsid w:val="00CB50D5"/>
    <w:rsid w:val="00CC191F"/>
    <w:rsid w:val="00CC1C1E"/>
    <w:rsid w:val="00CC1E9A"/>
    <w:rsid w:val="00CC34B6"/>
    <w:rsid w:val="00CC698C"/>
    <w:rsid w:val="00CC7EBC"/>
    <w:rsid w:val="00CD20F5"/>
    <w:rsid w:val="00CD2513"/>
    <w:rsid w:val="00CD59BA"/>
    <w:rsid w:val="00CD7491"/>
    <w:rsid w:val="00CE034D"/>
    <w:rsid w:val="00CE2F87"/>
    <w:rsid w:val="00CE58C7"/>
    <w:rsid w:val="00CF05FB"/>
    <w:rsid w:val="00CF2DB7"/>
    <w:rsid w:val="00CF65A7"/>
    <w:rsid w:val="00D13E5A"/>
    <w:rsid w:val="00D14786"/>
    <w:rsid w:val="00D14ED4"/>
    <w:rsid w:val="00D157DE"/>
    <w:rsid w:val="00D20388"/>
    <w:rsid w:val="00D20E38"/>
    <w:rsid w:val="00D21B98"/>
    <w:rsid w:val="00D21C06"/>
    <w:rsid w:val="00D22EE3"/>
    <w:rsid w:val="00D25545"/>
    <w:rsid w:val="00D276BC"/>
    <w:rsid w:val="00D30F9B"/>
    <w:rsid w:val="00D315F1"/>
    <w:rsid w:val="00D33AAE"/>
    <w:rsid w:val="00D34E45"/>
    <w:rsid w:val="00D3624C"/>
    <w:rsid w:val="00D40327"/>
    <w:rsid w:val="00D40D68"/>
    <w:rsid w:val="00D4169A"/>
    <w:rsid w:val="00D43990"/>
    <w:rsid w:val="00D46998"/>
    <w:rsid w:val="00D46B1E"/>
    <w:rsid w:val="00D51EFC"/>
    <w:rsid w:val="00D53152"/>
    <w:rsid w:val="00D57E15"/>
    <w:rsid w:val="00D602B7"/>
    <w:rsid w:val="00D6454F"/>
    <w:rsid w:val="00D645B0"/>
    <w:rsid w:val="00D655D8"/>
    <w:rsid w:val="00D66FDD"/>
    <w:rsid w:val="00D70B0D"/>
    <w:rsid w:val="00D8075B"/>
    <w:rsid w:val="00D85C15"/>
    <w:rsid w:val="00D86DE7"/>
    <w:rsid w:val="00D87554"/>
    <w:rsid w:val="00D87B7C"/>
    <w:rsid w:val="00D9743A"/>
    <w:rsid w:val="00DA332D"/>
    <w:rsid w:val="00DA4A92"/>
    <w:rsid w:val="00DB01C0"/>
    <w:rsid w:val="00DB0AC6"/>
    <w:rsid w:val="00DB274F"/>
    <w:rsid w:val="00DB410C"/>
    <w:rsid w:val="00DB6D03"/>
    <w:rsid w:val="00DC150C"/>
    <w:rsid w:val="00DC248A"/>
    <w:rsid w:val="00DC2D5C"/>
    <w:rsid w:val="00DC531F"/>
    <w:rsid w:val="00DD0CA6"/>
    <w:rsid w:val="00DD5C2D"/>
    <w:rsid w:val="00DD7283"/>
    <w:rsid w:val="00DD7A2A"/>
    <w:rsid w:val="00DD7A80"/>
    <w:rsid w:val="00DE120C"/>
    <w:rsid w:val="00DE31B4"/>
    <w:rsid w:val="00DE60C2"/>
    <w:rsid w:val="00DE6479"/>
    <w:rsid w:val="00DE6DF7"/>
    <w:rsid w:val="00DF12A2"/>
    <w:rsid w:val="00DF19F1"/>
    <w:rsid w:val="00DF3DCF"/>
    <w:rsid w:val="00E0060A"/>
    <w:rsid w:val="00E05A64"/>
    <w:rsid w:val="00E07E77"/>
    <w:rsid w:val="00E15917"/>
    <w:rsid w:val="00E16EFC"/>
    <w:rsid w:val="00E2304E"/>
    <w:rsid w:val="00E24AB0"/>
    <w:rsid w:val="00E25001"/>
    <w:rsid w:val="00E26459"/>
    <w:rsid w:val="00E3099C"/>
    <w:rsid w:val="00E32B51"/>
    <w:rsid w:val="00E330C3"/>
    <w:rsid w:val="00E357A8"/>
    <w:rsid w:val="00E418BC"/>
    <w:rsid w:val="00E42047"/>
    <w:rsid w:val="00E42763"/>
    <w:rsid w:val="00E44693"/>
    <w:rsid w:val="00E44F8B"/>
    <w:rsid w:val="00E45116"/>
    <w:rsid w:val="00E46C40"/>
    <w:rsid w:val="00E46D8C"/>
    <w:rsid w:val="00E46DEF"/>
    <w:rsid w:val="00E54C8A"/>
    <w:rsid w:val="00E54EE7"/>
    <w:rsid w:val="00E57707"/>
    <w:rsid w:val="00E641D5"/>
    <w:rsid w:val="00E6452D"/>
    <w:rsid w:val="00E654C3"/>
    <w:rsid w:val="00E65EB8"/>
    <w:rsid w:val="00E71EA9"/>
    <w:rsid w:val="00E731BE"/>
    <w:rsid w:val="00E73DBE"/>
    <w:rsid w:val="00E76C04"/>
    <w:rsid w:val="00E813B7"/>
    <w:rsid w:val="00E83D3B"/>
    <w:rsid w:val="00E87FCB"/>
    <w:rsid w:val="00E91CA1"/>
    <w:rsid w:val="00E92148"/>
    <w:rsid w:val="00E96120"/>
    <w:rsid w:val="00E96463"/>
    <w:rsid w:val="00E96FBB"/>
    <w:rsid w:val="00EA13EC"/>
    <w:rsid w:val="00EA449C"/>
    <w:rsid w:val="00EA4E1C"/>
    <w:rsid w:val="00EB0872"/>
    <w:rsid w:val="00EB3159"/>
    <w:rsid w:val="00EB4193"/>
    <w:rsid w:val="00EB4F18"/>
    <w:rsid w:val="00EC08CF"/>
    <w:rsid w:val="00ED0099"/>
    <w:rsid w:val="00ED07CB"/>
    <w:rsid w:val="00ED1144"/>
    <w:rsid w:val="00ED223D"/>
    <w:rsid w:val="00ED3ACB"/>
    <w:rsid w:val="00ED3E39"/>
    <w:rsid w:val="00ED513D"/>
    <w:rsid w:val="00ED679E"/>
    <w:rsid w:val="00ED72F0"/>
    <w:rsid w:val="00EE35B9"/>
    <w:rsid w:val="00EE3712"/>
    <w:rsid w:val="00EE4B61"/>
    <w:rsid w:val="00EE4C1E"/>
    <w:rsid w:val="00EE4D85"/>
    <w:rsid w:val="00EF6371"/>
    <w:rsid w:val="00F0240F"/>
    <w:rsid w:val="00F02789"/>
    <w:rsid w:val="00F031D0"/>
    <w:rsid w:val="00F11CBC"/>
    <w:rsid w:val="00F12AE3"/>
    <w:rsid w:val="00F130FC"/>
    <w:rsid w:val="00F232B4"/>
    <w:rsid w:val="00F32A29"/>
    <w:rsid w:val="00F409B2"/>
    <w:rsid w:val="00F43017"/>
    <w:rsid w:val="00F475AF"/>
    <w:rsid w:val="00F516B1"/>
    <w:rsid w:val="00F6025E"/>
    <w:rsid w:val="00F60FFB"/>
    <w:rsid w:val="00F64545"/>
    <w:rsid w:val="00F6548F"/>
    <w:rsid w:val="00F67054"/>
    <w:rsid w:val="00F6770F"/>
    <w:rsid w:val="00F80CBF"/>
    <w:rsid w:val="00F84BE6"/>
    <w:rsid w:val="00F852A5"/>
    <w:rsid w:val="00F85BB3"/>
    <w:rsid w:val="00F86711"/>
    <w:rsid w:val="00F93E66"/>
    <w:rsid w:val="00F9409F"/>
    <w:rsid w:val="00FA0A18"/>
    <w:rsid w:val="00FA125F"/>
    <w:rsid w:val="00FA1B87"/>
    <w:rsid w:val="00FA7080"/>
    <w:rsid w:val="00FB3FE3"/>
    <w:rsid w:val="00FB6016"/>
    <w:rsid w:val="00FB7506"/>
    <w:rsid w:val="00FB7632"/>
    <w:rsid w:val="00FC45E6"/>
    <w:rsid w:val="00FD267A"/>
    <w:rsid w:val="00FE0B53"/>
    <w:rsid w:val="00FE2C25"/>
    <w:rsid w:val="00FE5D93"/>
    <w:rsid w:val="00FE6E44"/>
    <w:rsid w:val="00FF1C18"/>
    <w:rsid w:val="00FF2DF5"/>
    <w:rsid w:val="00FF467C"/>
    <w:rsid w:val="00FF5CEA"/>
    <w:rsid w:val="00FF77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3"/>
    <o:shapelayout v:ext="edit">
      <o:idmap v:ext="edit" data="1"/>
    </o:shapelayout>
  </w:shapeDefaults>
  <w:decimalSymbol w:val="."/>
  <w:listSeparator w:val=","/>
  <w14:docId w14:val="7430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B51"/>
    <w:rPr>
      <w:sz w:val="24"/>
      <w:szCs w:val="24"/>
      <w:lang w:val="en-AU" w:eastAsia="en-AU"/>
    </w:rPr>
  </w:style>
  <w:style w:type="paragraph" w:styleId="Heading1">
    <w:name w:val="heading 1"/>
    <w:basedOn w:val="Normal"/>
    <w:next w:val="Normal"/>
    <w:link w:val="Heading1Char"/>
    <w:qFormat/>
    <w:rsid w:val="00C3542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A0551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D58DF"/>
    <w:pPr>
      <w:keepNext/>
      <w:spacing w:before="240" w:after="60"/>
      <w:outlineLvl w:val="2"/>
    </w:pPr>
    <w:rPr>
      <w:rFonts w:ascii="Arial" w:hAnsi="Arial" w:cs="Arial"/>
      <w:b/>
      <w:bCs/>
      <w:sz w:val="26"/>
      <w:szCs w:val="26"/>
    </w:rPr>
  </w:style>
  <w:style w:type="paragraph" w:styleId="Heading4">
    <w:name w:val="heading 4"/>
    <w:basedOn w:val="E3Heading4"/>
    <w:next w:val="Normal"/>
    <w:link w:val="Heading4Char"/>
    <w:qFormat/>
    <w:rsid w:val="005636C7"/>
    <w:pPr>
      <w:keepNext/>
      <w:keepLines/>
      <w:spacing w:before="113"/>
      <w:outlineLvl w:val="3"/>
    </w:pPr>
    <w:rPr>
      <w:rFonts w:eastAsia="Times New Roman"/>
      <w:bCs w:val="0"/>
      <w:iCs/>
    </w:rPr>
  </w:style>
  <w:style w:type="paragraph" w:styleId="Heading5">
    <w:name w:val="heading 5"/>
    <w:basedOn w:val="Normal"/>
    <w:next w:val="Normal"/>
    <w:link w:val="Heading5Char"/>
    <w:unhideWhenUsed/>
    <w:qFormat/>
    <w:rsid w:val="005636C7"/>
    <w:pPr>
      <w:keepNext/>
      <w:keepLines/>
      <w:spacing w:before="200" w:line="278" w:lineRule="auto"/>
      <w:outlineLvl w:val="4"/>
    </w:pPr>
    <w:rPr>
      <w:rFonts w:asciiTheme="majorHAnsi" w:eastAsiaTheme="majorEastAsia" w:hAnsiTheme="majorHAnsi" w:cstheme="majorBidi"/>
      <w:color w:val="243F60" w:themeColor="accent1" w:themeShade="7F"/>
      <w:sz w:val="19"/>
      <w:lang w:eastAsia="en-US"/>
    </w:rPr>
  </w:style>
  <w:style w:type="paragraph" w:styleId="Heading6">
    <w:name w:val="heading 6"/>
    <w:basedOn w:val="Normal"/>
    <w:next w:val="Normal"/>
    <w:link w:val="Heading6Char"/>
    <w:qFormat/>
    <w:rsid w:val="005636C7"/>
    <w:pPr>
      <w:spacing w:before="240" w:after="60"/>
      <w:ind w:left="1152" w:hanging="1152"/>
      <w:outlineLvl w:val="5"/>
    </w:pPr>
    <w:rPr>
      <w:rFonts w:ascii="Cambria" w:hAnsi="Cambria"/>
      <w:b/>
      <w:bCs/>
      <w:sz w:val="22"/>
      <w:szCs w:val="22"/>
      <w:lang w:val="en-US" w:eastAsia="en-US"/>
    </w:rPr>
  </w:style>
  <w:style w:type="paragraph" w:styleId="Heading7">
    <w:name w:val="heading 7"/>
    <w:basedOn w:val="Normal"/>
    <w:next w:val="Normal"/>
    <w:link w:val="Heading7Char"/>
    <w:qFormat/>
    <w:rsid w:val="005636C7"/>
    <w:pPr>
      <w:spacing w:before="240" w:after="60"/>
      <w:ind w:left="1296" w:hanging="1296"/>
      <w:outlineLvl w:val="6"/>
    </w:pPr>
    <w:rPr>
      <w:rFonts w:ascii="Cambria" w:hAnsi="Cambria"/>
      <w:lang w:val="en-US" w:eastAsia="en-US"/>
    </w:rPr>
  </w:style>
  <w:style w:type="paragraph" w:styleId="Heading8">
    <w:name w:val="heading 8"/>
    <w:basedOn w:val="Normal"/>
    <w:next w:val="Normal"/>
    <w:link w:val="Heading8Char"/>
    <w:qFormat/>
    <w:rsid w:val="005636C7"/>
    <w:pPr>
      <w:spacing w:before="240" w:after="60"/>
      <w:ind w:left="1440" w:hanging="1440"/>
      <w:outlineLvl w:val="7"/>
    </w:pPr>
    <w:rPr>
      <w:rFonts w:ascii="Cambria" w:hAnsi="Cambria"/>
      <w:i/>
      <w:iCs/>
      <w:lang w:val="en-US" w:eastAsia="en-US"/>
    </w:rPr>
  </w:style>
  <w:style w:type="paragraph" w:styleId="Heading9">
    <w:name w:val="heading 9"/>
    <w:basedOn w:val="Normal"/>
    <w:next w:val="Normal"/>
    <w:link w:val="Heading9Char"/>
    <w:qFormat/>
    <w:rsid w:val="005636C7"/>
    <w:pPr>
      <w:spacing w:before="240" w:after="60"/>
      <w:ind w:left="1584" w:hanging="1584"/>
      <w:outlineLvl w:val="8"/>
    </w:pPr>
    <w:rPr>
      <w:rFonts w:ascii="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636C7"/>
    <w:rPr>
      <w:rFonts w:ascii="Arial" w:hAnsi="Arial" w:cs="Arial"/>
      <w:b/>
      <w:bCs/>
      <w:kern w:val="32"/>
      <w:sz w:val="32"/>
      <w:szCs w:val="32"/>
      <w:lang w:val="en-AU" w:eastAsia="en-AU"/>
    </w:rPr>
  </w:style>
  <w:style w:type="character" w:customStyle="1" w:styleId="Heading2Char">
    <w:name w:val="Heading 2 Char"/>
    <w:basedOn w:val="DefaultParagraphFont"/>
    <w:link w:val="Heading2"/>
    <w:rsid w:val="00A05519"/>
    <w:rPr>
      <w:rFonts w:asciiTheme="majorHAnsi" w:eastAsiaTheme="majorEastAsia" w:hAnsiTheme="majorHAnsi" w:cstheme="majorBidi"/>
      <w:color w:val="365F91" w:themeColor="accent1" w:themeShade="BF"/>
      <w:sz w:val="26"/>
      <w:szCs w:val="26"/>
      <w:lang w:val="en-AU" w:eastAsia="en-AU"/>
    </w:rPr>
  </w:style>
  <w:style w:type="character" w:customStyle="1" w:styleId="Heading3Char">
    <w:name w:val="Heading 3 Char"/>
    <w:link w:val="Heading3"/>
    <w:rsid w:val="005636C7"/>
    <w:rPr>
      <w:rFonts w:ascii="Arial" w:hAnsi="Arial" w:cs="Arial"/>
      <w:b/>
      <w:bCs/>
      <w:sz w:val="26"/>
      <w:szCs w:val="26"/>
      <w:lang w:val="en-AU" w:eastAsia="en-AU"/>
    </w:rPr>
  </w:style>
  <w:style w:type="paragraph" w:customStyle="1" w:styleId="E3Heading4">
    <w:name w:val="E3 Heading 4"/>
    <w:basedOn w:val="Default"/>
    <w:qFormat/>
    <w:rsid w:val="005636C7"/>
    <w:pPr>
      <w:spacing w:after="113"/>
    </w:pPr>
    <w:rPr>
      <w:rFonts w:ascii="Georgia" w:hAnsi="Georgia" w:cs="Georgia"/>
      <w:b/>
      <w:bCs/>
      <w:szCs w:val="19"/>
    </w:rPr>
  </w:style>
  <w:style w:type="paragraph" w:customStyle="1" w:styleId="Default">
    <w:name w:val="Default"/>
    <w:rsid w:val="005636C7"/>
    <w:pPr>
      <w:widowControl w:val="0"/>
      <w:autoSpaceDE w:val="0"/>
      <w:autoSpaceDN w:val="0"/>
      <w:adjustRightInd w:val="0"/>
    </w:pPr>
    <w:rPr>
      <w:rFonts w:ascii="Arial" w:eastAsia="Calibri" w:hAnsi="Arial" w:cs="Arial"/>
      <w:color w:val="000000"/>
      <w:sz w:val="24"/>
      <w:szCs w:val="24"/>
      <w:lang w:val="en-US" w:eastAsia="en-US"/>
    </w:rPr>
  </w:style>
  <w:style w:type="character" w:customStyle="1" w:styleId="Heading4Char">
    <w:name w:val="Heading 4 Char"/>
    <w:basedOn w:val="DefaultParagraphFont"/>
    <w:link w:val="Heading4"/>
    <w:rsid w:val="005636C7"/>
    <w:rPr>
      <w:rFonts w:ascii="Georgia" w:hAnsi="Georgia" w:cs="Georgia"/>
      <w:b/>
      <w:iCs/>
      <w:color w:val="000000"/>
      <w:sz w:val="24"/>
      <w:szCs w:val="19"/>
      <w:lang w:val="en-US" w:eastAsia="en-US"/>
    </w:rPr>
  </w:style>
  <w:style w:type="character" w:customStyle="1" w:styleId="Heading5Char">
    <w:name w:val="Heading 5 Char"/>
    <w:basedOn w:val="DefaultParagraphFont"/>
    <w:link w:val="Heading5"/>
    <w:rsid w:val="005636C7"/>
    <w:rPr>
      <w:rFonts w:asciiTheme="majorHAnsi" w:eastAsiaTheme="majorEastAsia" w:hAnsiTheme="majorHAnsi" w:cstheme="majorBidi"/>
      <w:color w:val="243F60" w:themeColor="accent1" w:themeShade="7F"/>
      <w:sz w:val="19"/>
      <w:szCs w:val="24"/>
      <w:lang w:val="en-AU" w:eastAsia="en-US"/>
    </w:rPr>
  </w:style>
  <w:style w:type="character" w:customStyle="1" w:styleId="Heading6Char">
    <w:name w:val="Heading 6 Char"/>
    <w:basedOn w:val="DefaultParagraphFont"/>
    <w:link w:val="Heading6"/>
    <w:rsid w:val="005636C7"/>
    <w:rPr>
      <w:rFonts w:ascii="Cambria" w:hAnsi="Cambria"/>
      <w:b/>
      <w:bCs/>
      <w:sz w:val="22"/>
      <w:szCs w:val="22"/>
      <w:lang w:val="en-US" w:eastAsia="en-US"/>
    </w:rPr>
  </w:style>
  <w:style w:type="character" w:customStyle="1" w:styleId="Heading7Char">
    <w:name w:val="Heading 7 Char"/>
    <w:basedOn w:val="DefaultParagraphFont"/>
    <w:link w:val="Heading7"/>
    <w:rsid w:val="005636C7"/>
    <w:rPr>
      <w:rFonts w:ascii="Cambria" w:hAnsi="Cambria"/>
      <w:sz w:val="24"/>
      <w:szCs w:val="24"/>
      <w:lang w:val="en-US" w:eastAsia="en-US"/>
    </w:rPr>
  </w:style>
  <w:style w:type="character" w:customStyle="1" w:styleId="Heading8Char">
    <w:name w:val="Heading 8 Char"/>
    <w:basedOn w:val="DefaultParagraphFont"/>
    <w:link w:val="Heading8"/>
    <w:rsid w:val="005636C7"/>
    <w:rPr>
      <w:rFonts w:ascii="Cambria" w:hAnsi="Cambria"/>
      <w:i/>
      <w:iCs/>
      <w:sz w:val="24"/>
      <w:szCs w:val="24"/>
      <w:lang w:val="en-US" w:eastAsia="en-US"/>
    </w:rPr>
  </w:style>
  <w:style w:type="character" w:customStyle="1" w:styleId="Heading9Char">
    <w:name w:val="Heading 9 Char"/>
    <w:basedOn w:val="DefaultParagraphFont"/>
    <w:link w:val="Heading9"/>
    <w:rsid w:val="005636C7"/>
    <w:rPr>
      <w:rFonts w:ascii="Calibri" w:hAnsi="Calibri"/>
      <w:sz w:val="22"/>
      <w:szCs w:val="22"/>
      <w:lang w:val="en-US" w:eastAsia="en-US"/>
    </w:rPr>
  </w:style>
  <w:style w:type="paragraph" w:customStyle="1" w:styleId="ABABodyText">
    <w:name w:val="ABA Body Text"/>
    <w:basedOn w:val="Normal"/>
    <w:next w:val="Normal"/>
    <w:rsid w:val="001573CB"/>
    <w:pPr>
      <w:autoSpaceDE w:val="0"/>
      <w:autoSpaceDN w:val="0"/>
      <w:adjustRightInd w:val="0"/>
      <w:spacing w:before="80" w:after="120"/>
    </w:pPr>
    <w:rPr>
      <w:rFonts w:ascii="NIBBFE+TimesNewRoman" w:hAnsi="NIBBFE+TimesNewRoman"/>
    </w:rPr>
  </w:style>
  <w:style w:type="paragraph" w:styleId="BalloonText">
    <w:name w:val="Balloon Text"/>
    <w:basedOn w:val="Normal"/>
    <w:link w:val="BalloonTextChar"/>
    <w:rsid w:val="002C7CFB"/>
    <w:rPr>
      <w:rFonts w:ascii="Tahoma" w:hAnsi="Tahoma" w:cs="Tahoma"/>
      <w:sz w:val="16"/>
      <w:szCs w:val="16"/>
    </w:rPr>
  </w:style>
  <w:style w:type="character" w:customStyle="1" w:styleId="BalloonTextChar">
    <w:name w:val="Balloon Text Char"/>
    <w:link w:val="BalloonText"/>
    <w:rsid w:val="005636C7"/>
    <w:rPr>
      <w:rFonts w:ascii="Tahoma" w:hAnsi="Tahoma" w:cs="Tahoma"/>
      <w:sz w:val="16"/>
      <w:szCs w:val="16"/>
      <w:lang w:val="en-AU" w:eastAsia="en-AU"/>
    </w:rPr>
  </w:style>
  <w:style w:type="character" w:styleId="CommentReference">
    <w:name w:val="annotation reference"/>
    <w:rsid w:val="008A6394"/>
    <w:rPr>
      <w:sz w:val="16"/>
      <w:szCs w:val="16"/>
    </w:rPr>
  </w:style>
  <w:style w:type="paragraph" w:styleId="CommentText">
    <w:name w:val="annotation text"/>
    <w:basedOn w:val="Normal"/>
    <w:link w:val="CommentTextChar"/>
    <w:uiPriority w:val="99"/>
    <w:rsid w:val="008A6394"/>
    <w:rPr>
      <w:sz w:val="20"/>
      <w:szCs w:val="20"/>
    </w:rPr>
  </w:style>
  <w:style w:type="character" w:customStyle="1" w:styleId="CommentTextChar">
    <w:name w:val="Comment Text Char"/>
    <w:link w:val="CommentText"/>
    <w:uiPriority w:val="99"/>
    <w:rsid w:val="00833C3D"/>
  </w:style>
  <w:style w:type="paragraph" w:styleId="CommentSubject">
    <w:name w:val="annotation subject"/>
    <w:basedOn w:val="CommentText"/>
    <w:next w:val="CommentText"/>
    <w:link w:val="CommentSubjectChar"/>
    <w:uiPriority w:val="99"/>
    <w:rsid w:val="008A6394"/>
    <w:rPr>
      <w:b/>
      <w:bCs/>
    </w:rPr>
  </w:style>
  <w:style w:type="character" w:customStyle="1" w:styleId="CommentSubjectChar">
    <w:name w:val="Comment Subject Char"/>
    <w:basedOn w:val="CommentTextChar"/>
    <w:link w:val="CommentSubject"/>
    <w:uiPriority w:val="99"/>
    <w:rsid w:val="005636C7"/>
    <w:rPr>
      <w:b/>
      <w:bCs/>
      <w:lang w:val="en-AU" w:eastAsia="en-AU"/>
    </w:rPr>
  </w:style>
  <w:style w:type="paragraph" w:styleId="Footer">
    <w:name w:val="footer"/>
    <w:basedOn w:val="Normal"/>
    <w:link w:val="FooterChar"/>
    <w:uiPriority w:val="99"/>
    <w:rsid w:val="00F516B1"/>
    <w:pPr>
      <w:tabs>
        <w:tab w:val="center" w:pos="4153"/>
        <w:tab w:val="right" w:pos="8306"/>
      </w:tabs>
    </w:pPr>
  </w:style>
  <w:style w:type="character" w:customStyle="1" w:styleId="FooterChar">
    <w:name w:val="Footer Char"/>
    <w:link w:val="Footer"/>
    <w:uiPriority w:val="99"/>
    <w:rsid w:val="004D3369"/>
    <w:rPr>
      <w:sz w:val="24"/>
      <w:szCs w:val="24"/>
    </w:rPr>
  </w:style>
  <w:style w:type="character" w:styleId="PageNumber">
    <w:name w:val="page number"/>
    <w:basedOn w:val="DefaultParagraphFont"/>
    <w:rsid w:val="00F516B1"/>
  </w:style>
  <w:style w:type="character" w:styleId="Hyperlink">
    <w:name w:val="Hyperlink"/>
    <w:uiPriority w:val="99"/>
    <w:rsid w:val="00C47886"/>
    <w:rPr>
      <w:color w:val="0000FF"/>
      <w:u w:val="single"/>
    </w:rPr>
  </w:style>
  <w:style w:type="paragraph" w:styleId="Header">
    <w:name w:val="header"/>
    <w:basedOn w:val="Normal"/>
    <w:link w:val="HeaderChar"/>
    <w:uiPriority w:val="99"/>
    <w:rsid w:val="00C20BE9"/>
    <w:pPr>
      <w:tabs>
        <w:tab w:val="center" w:pos="4153"/>
        <w:tab w:val="right" w:pos="8306"/>
      </w:tabs>
    </w:pPr>
  </w:style>
  <w:style w:type="character" w:customStyle="1" w:styleId="HeaderChar">
    <w:name w:val="Header Char"/>
    <w:basedOn w:val="DefaultParagraphFont"/>
    <w:link w:val="Header"/>
    <w:uiPriority w:val="99"/>
    <w:rsid w:val="005636C7"/>
    <w:rPr>
      <w:sz w:val="24"/>
      <w:szCs w:val="24"/>
      <w:lang w:val="en-AU" w:eastAsia="en-AU"/>
    </w:rPr>
  </w:style>
  <w:style w:type="paragraph" w:customStyle="1" w:styleId="ACMANumberedList">
    <w:name w:val="ACMA Numbered List"/>
    <w:rsid w:val="00D655D8"/>
    <w:pPr>
      <w:numPr>
        <w:numId w:val="1"/>
      </w:numPr>
      <w:tabs>
        <w:tab w:val="clear" w:pos="720"/>
      </w:tabs>
      <w:spacing w:before="20" w:after="20"/>
      <w:ind w:left="360"/>
    </w:pPr>
    <w:rPr>
      <w:sz w:val="24"/>
      <w:lang w:val="en-AU" w:eastAsia="en-US"/>
    </w:rPr>
  </w:style>
  <w:style w:type="paragraph" w:customStyle="1" w:styleId="indenta">
    <w:name w:val="indent(a)"/>
    <w:aliases w:val="a,t_Para,paragraph"/>
    <w:basedOn w:val="Normal"/>
    <w:link w:val="paragraphChar"/>
    <w:qFormat/>
    <w:rsid w:val="00C3542D"/>
    <w:pPr>
      <w:tabs>
        <w:tab w:val="right" w:pos="1531"/>
      </w:tabs>
      <w:spacing w:before="40" w:line="260" w:lineRule="atLeast"/>
      <w:ind w:left="1644" w:hanging="1644"/>
    </w:pPr>
    <w:rPr>
      <w:rFonts w:ascii="Times" w:hAnsi="Times"/>
      <w:sz w:val="22"/>
      <w:szCs w:val="20"/>
      <w:lang w:eastAsia="en-US"/>
    </w:rPr>
  </w:style>
  <w:style w:type="character" w:customStyle="1" w:styleId="paragraphChar">
    <w:name w:val="paragraph Char"/>
    <w:aliases w:val="a Char"/>
    <w:basedOn w:val="DefaultParagraphFont"/>
    <w:link w:val="indenta"/>
    <w:locked/>
    <w:rsid w:val="002E0F81"/>
    <w:rPr>
      <w:rFonts w:ascii="Times" w:hAnsi="Times"/>
      <w:sz w:val="22"/>
      <w:lang w:val="en-AU" w:eastAsia="en-US"/>
    </w:rPr>
  </w:style>
  <w:style w:type="paragraph" w:customStyle="1" w:styleId="ACMABulletLevel1">
    <w:name w:val="ACMA Bullet Level 1"/>
    <w:rsid w:val="007015D6"/>
    <w:pPr>
      <w:numPr>
        <w:numId w:val="2"/>
      </w:numPr>
      <w:tabs>
        <w:tab w:val="clear" w:pos="-31680"/>
        <w:tab w:val="num" w:pos="1008"/>
      </w:tabs>
      <w:spacing w:after="120"/>
      <w:ind w:left="1008" w:hanging="360"/>
    </w:pPr>
    <w:rPr>
      <w:sz w:val="24"/>
      <w:lang w:val="en-AU" w:eastAsia="en-US"/>
    </w:rPr>
  </w:style>
  <w:style w:type="paragraph" w:customStyle="1" w:styleId="tDefn">
    <w:name w:val="t_Defn"/>
    <w:aliases w:val="Definition,dd"/>
    <w:basedOn w:val="Normal"/>
    <w:uiPriority w:val="99"/>
    <w:rsid w:val="002E0F81"/>
    <w:pPr>
      <w:spacing w:before="180"/>
      <w:ind w:left="1134"/>
    </w:pPr>
    <w:rPr>
      <w:sz w:val="22"/>
      <w:szCs w:val="20"/>
    </w:rPr>
  </w:style>
  <w:style w:type="paragraph" w:customStyle="1" w:styleId="nMain">
    <w:name w:val="n_Main"/>
    <w:aliases w:val="n,note(text)"/>
    <w:basedOn w:val="Normal"/>
    <w:link w:val="notetextChar"/>
    <w:qFormat/>
    <w:rsid w:val="002E0F81"/>
    <w:pPr>
      <w:spacing w:before="120"/>
      <w:ind w:left="1985" w:hanging="851"/>
    </w:pPr>
    <w:rPr>
      <w:sz w:val="18"/>
      <w:szCs w:val="20"/>
    </w:rPr>
  </w:style>
  <w:style w:type="character" w:customStyle="1" w:styleId="notetextChar">
    <w:name w:val="note(text) Char"/>
    <w:aliases w:val="n Char"/>
    <w:basedOn w:val="DefaultParagraphFont"/>
    <w:link w:val="nMain"/>
    <w:rsid w:val="002E0F81"/>
    <w:rPr>
      <w:sz w:val="18"/>
      <w:lang w:val="en-AU" w:eastAsia="en-AU"/>
    </w:rPr>
  </w:style>
  <w:style w:type="paragraph" w:customStyle="1" w:styleId="tMain">
    <w:name w:val="t_Main"/>
    <w:aliases w:val="subsection,ss"/>
    <w:basedOn w:val="Normal"/>
    <w:link w:val="subsectionChar"/>
    <w:qFormat/>
    <w:rsid w:val="00D14ED4"/>
    <w:pPr>
      <w:tabs>
        <w:tab w:val="right" w:pos="1021"/>
      </w:tabs>
      <w:spacing w:before="180"/>
      <w:ind w:left="1134" w:hanging="1134"/>
    </w:pPr>
    <w:rPr>
      <w:sz w:val="22"/>
      <w:szCs w:val="20"/>
    </w:rPr>
  </w:style>
  <w:style w:type="character" w:customStyle="1" w:styleId="subsectionChar">
    <w:name w:val="subsection Char"/>
    <w:aliases w:val="ss Char"/>
    <w:basedOn w:val="DefaultParagraphFont"/>
    <w:link w:val="tMain"/>
    <w:locked/>
    <w:rsid w:val="00D14ED4"/>
    <w:rPr>
      <w:sz w:val="22"/>
      <w:lang w:val="en-AU" w:eastAsia="en-AU"/>
    </w:rPr>
  </w:style>
  <w:style w:type="paragraph" w:styleId="Revision">
    <w:name w:val="Revision"/>
    <w:hidden/>
    <w:uiPriority w:val="99"/>
    <w:semiHidden/>
    <w:rsid w:val="00E46D8C"/>
    <w:rPr>
      <w:sz w:val="24"/>
      <w:szCs w:val="24"/>
      <w:lang w:val="en-AU" w:eastAsia="en-AU"/>
    </w:rPr>
  </w:style>
  <w:style w:type="paragraph" w:customStyle="1" w:styleId="ntoHeading">
    <w:name w:val="n_to_Heading"/>
    <w:aliases w:val="nm,note(margin)"/>
    <w:basedOn w:val="Normal"/>
    <w:qFormat/>
    <w:rsid w:val="001D45B0"/>
    <w:pPr>
      <w:tabs>
        <w:tab w:val="left" w:pos="709"/>
      </w:tabs>
      <w:spacing w:before="120"/>
      <w:ind w:left="709" w:hanging="709"/>
    </w:pPr>
    <w:rPr>
      <w:sz w:val="18"/>
      <w:szCs w:val="20"/>
    </w:rPr>
  </w:style>
  <w:style w:type="paragraph" w:styleId="ListBullet">
    <w:name w:val="List Bullet"/>
    <w:basedOn w:val="Normal"/>
    <w:unhideWhenUsed/>
    <w:rsid w:val="005D4392"/>
    <w:pPr>
      <w:numPr>
        <w:numId w:val="7"/>
      </w:numPr>
      <w:contextualSpacing/>
    </w:pPr>
  </w:style>
  <w:style w:type="table" w:styleId="TableGrid">
    <w:name w:val="Table Grid"/>
    <w:basedOn w:val="TableNormal"/>
    <w:uiPriority w:val="59"/>
    <w:rsid w:val="001E4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7FD2"/>
    <w:pPr>
      <w:ind w:left="720"/>
      <w:contextualSpacing/>
    </w:pPr>
  </w:style>
  <w:style w:type="paragraph" w:styleId="NormalWeb">
    <w:name w:val="Normal (Web)"/>
    <w:basedOn w:val="Normal"/>
    <w:uiPriority w:val="99"/>
    <w:unhideWhenUsed/>
    <w:rsid w:val="00995594"/>
  </w:style>
  <w:style w:type="paragraph" w:customStyle="1" w:styleId="E3Heading2">
    <w:name w:val="E3 Heading 2"/>
    <w:basedOn w:val="E3Heading1"/>
    <w:next w:val="E3BodyText"/>
    <w:qFormat/>
    <w:rsid w:val="005636C7"/>
    <w:pPr>
      <w:keepNext w:val="0"/>
      <w:keepLines/>
      <w:widowControl w:val="0"/>
      <w:autoSpaceDE w:val="0"/>
      <w:autoSpaceDN w:val="0"/>
      <w:adjustRightInd w:val="0"/>
      <w:spacing w:line="240" w:lineRule="auto"/>
      <w:contextualSpacing/>
    </w:pPr>
    <w:rPr>
      <w:rFonts w:eastAsia="Calibri" w:cs="Arial"/>
      <w:color w:val="000000" w:themeColor="text1"/>
      <w:sz w:val="32"/>
      <w:szCs w:val="26"/>
      <w:lang w:val="en-US"/>
    </w:rPr>
  </w:style>
  <w:style w:type="paragraph" w:customStyle="1" w:styleId="E3Heading1">
    <w:name w:val="E3 Heading 1"/>
    <w:basedOn w:val="Normal"/>
    <w:next w:val="E3BodyText"/>
    <w:qFormat/>
    <w:rsid w:val="005636C7"/>
    <w:pPr>
      <w:keepNext/>
      <w:suppressLineNumbers/>
      <w:suppressAutoHyphens/>
      <w:spacing w:after="160" w:line="278" w:lineRule="auto"/>
    </w:pPr>
    <w:rPr>
      <w:rFonts w:ascii="Helvetica" w:eastAsia="Cambria" w:hAnsi="Helvetica" w:cs="Helvetica"/>
      <w:b/>
      <w:sz w:val="40"/>
      <w:szCs w:val="40"/>
      <w:lang w:eastAsia="en-US"/>
    </w:rPr>
  </w:style>
  <w:style w:type="paragraph" w:customStyle="1" w:styleId="E3BodyText">
    <w:name w:val="E3 Body Text"/>
    <w:qFormat/>
    <w:rsid w:val="005636C7"/>
    <w:pPr>
      <w:autoSpaceDE w:val="0"/>
      <w:autoSpaceDN w:val="0"/>
      <w:adjustRightInd w:val="0"/>
      <w:spacing w:after="113" w:line="300" w:lineRule="auto"/>
    </w:pPr>
    <w:rPr>
      <w:rFonts w:ascii="Georgia" w:eastAsia="Calibri" w:hAnsi="Georgia" w:cs="Georgia"/>
      <w:color w:val="000000"/>
      <w:sz w:val="24"/>
      <w:szCs w:val="19"/>
      <w:lang w:val="en-US" w:eastAsia="en-US"/>
    </w:rPr>
  </w:style>
  <w:style w:type="paragraph" w:customStyle="1" w:styleId="E3Bullets">
    <w:name w:val="E3 Bullets"/>
    <w:basedOn w:val="E3BodyText"/>
    <w:link w:val="E3BulletsChar"/>
    <w:qFormat/>
    <w:rsid w:val="005636C7"/>
    <w:pPr>
      <w:spacing w:after="120"/>
      <w:contextualSpacing/>
    </w:pPr>
  </w:style>
  <w:style w:type="character" w:customStyle="1" w:styleId="E3BulletsChar">
    <w:name w:val="E3 Bullets Char"/>
    <w:link w:val="E3Bullets"/>
    <w:rsid w:val="005636C7"/>
    <w:rPr>
      <w:rFonts w:ascii="Georgia" w:eastAsia="Calibri" w:hAnsi="Georgia" w:cs="Georgia"/>
      <w:color w:val="000000"/>
      <w:sz w:val="24"/>
      <w:szCs w:val="19"/>
      <w:lang w:val="en-US" w:eastAsia="en-US"/>
    </w:rPr>
  </w:style>
  <w:style w:type="paragraph" w:customStyle="1" w:styleId="E3BodyIntroductionText">
    <w:name w:val="E3 Body Introduction Text"/>
    <w:basedOn w:val="E3BodyText"/>
    <w:qFormat/>
    <w:rsid w:val="005636C7"/>
    <w:pPr>
      <w:widowControl w:val="0"/>
      <w:spacing w:line="240" w:lineRule="auto"/>
    </w:pPr>
    <w:rPr>
      <w:i/>
      <w:iCs/>
    </w:rPr>
  </w:style>
  <w:style w:type="paragraph" w:customStyle="1" w:styleId="E3ChapterTitle">
    <w:name w:val="E3 Chapter Title"/>
    <w:basedOn w:val="Heading1"/>
    <w:next w:val="E3BodyText"/>
    <w:qFormat/>
    <w:rsid w:val="005636C7"/>
    <w:pPr>
      <w:keepLines/>
      <w:spacing w:before="120" w:after="1440" w:line="278" w:lineRule="auto"/>
      <w:ind w:left="567"/>
    </w:pPr>
    <w:rPr>
      <w:rFonts w:ascii="Helvetica" w:hAnsi="Helvetica" w:cs="Times New Roman"/>
      <w:color w:val="FFFFFF" w:themeColor="background1"/>
      <w:kern w:val="0"/>
      <w:sz w:val="40"/>
      <w:lang w:eastAsia="en-US"/>
    </w:rPr>
  </w:style>
  <w:style w:type="paragraph" w:customStyle="1" w:styleId="E3CoverFooter">
    <w:name w:val="E3 Cover Footer"/>
    <w:basedOn w:val="Normal"/>
    <w:qFormat/>
    <w:rsid w:val="005636C7"/>
    <w:pPr>
      <w:spacing w:after="113" w:line="278" w:lineRule="auto"/>
    </w:pPr>
    <w:rPr>
      <w:rFonts w:ascii="Helvetica" w:eastAsia="Cambria" w:hAnsi="Helvetica"/>
      <w:b/>
      <w:color w:val="808080"/>
      <w:lang w:eastAsia="en-US"/>
    </w:rPr>
  </w:style>
  <w:style w:type="paragraph" w:styleId="FootnoteText">
    <w:name w:val="footnote text"/>
    <w:aliases w:val="(NECG) Footnote Text,Footnote Text1 Char,Footnote Text Char Ch,ALTS FOOTNOTE,AR Footnote Text,Footnote, Char,Char"/>
    <w:basedOn w:val="E3BodyText"/>
    <w:link w:val="FootnoteTextChar"/>
    <w:uiPriority w:val="99"/>
    <w:qFormat/>
    <w:rsid w:val="005636C7"/>
    <w:pPr>
      <w:spacing w:after="0"/>
    </w:pPr>
    <w:rPr>
      <w:color w:val="000000" w:themeColor="text1"/>
      <w:sz w:val="19"/>
    </w:rPr>
  </w:style>
  <w:style w:type="character" w:customStyle="1" w:styleId="FootnoteTextChar">
    <w:name w:val="Footnote Text Char"/>
    <w:aliases w:val="(NECG) Footnote Text Char,Footnote Text1 Char Char,Footnote Text Char Ch Char,ALTS FOOTNOTE Char,AR Footnote Text Char,Footnote Char, Char Char,Char Char"/>
    <w:basedOn w:val="DefaultParagraphFont"/>
    <w:link w:val="FootnoteText"/>
    <w:uiPriority w:val="99"/>
    <w:rsid w:val="005636C7"/>
    <w:rPr>
      <w:rFonts w:ascii="Georgia" w:eastAsia="Calibri" w:hAnsi="Georgia" w:cs="Georgia"/>
      <w:color w:val="000000" w:themeColor="text1"/>
      <w:sz w:val="19"/>
      <w:szCs w:val="19"/>
      <w:lang w:val="en-US" w:eastAsia="en-US"/>
    </w:rPr>
  </w:style>
  <w:style w:type="paragraph" w:customStyle="1" w:styleId="E3FootnoteText">
    <w:name w:val="E3 Footnote Text"/>
    <w:basedOn w:val="FootnoteText"/>
    <w:qFormat/>
    <w:rsid w:val="005636C7"/>
    <w:rPr>
      <w:sz w:val="20"/>
    </w:rPr>
  </w:style>
  <w:style w:type="paragraph" w:customStyle="1" w:styleId="E3Heading3">
    <w:name w:val="E3 Heading 3"/>
    <w:basedOn w:val="Heading2"/>
    <w:next w:val="Normal"/>
    <w:qFormat/>
    <w:rsid w:val="005636C7"/>
    <w:pPr>
      <w:keepNext w:val="0"/>
      <w:widowControl w:val="0"/>
      <w:suppressLineNumbers/>
      <w:tabs>
        <w:tab w:val="left" w:pos="425"/>
      </w:tabs>
      <w:suppressAutoHyphens/>
      <w:autoSpaceDE w:val="0"/>
      <w:autoSpaceDN w:val="0"/>
      <w:adjustRightInd w:val="0"/>
      <w:spacing w:before="0" w:after="160"/>
      <w:contextualSpacing/>
    </w:pPr>
    <w:rPr>
      <w:rFonts w:ascii="Georgia" w:eastAsia="Times New Roman" w:hAnsi="Georgia" w:cs="Georgia"/>
      <w:b/>
      <w:color w:val="C0504D" w:themeColor="accent2"/>
      <w:sz w:val="28"/>
      <w:szCs w:val="22"/>
      <w:lang w:val="en-US" w:eastAsia="en-US"/>
    </w:rPr>
  </w:style>
  <w:style w:type="paragraph" w:customStyle="1" w:styleId="E3SubBullets">
    <w:name w:val="E3 Sub Bullets"/>
    <w:basedOn w:val="E3Bullets"/>
    <w:qFormat/>
    <w:rsid w:val="005636C7"/>
    <w:pPr>
      <w:tabs>
        <w:tab w:val="num" w:pos="1080"/>
      </w:tabs>
      <w:ind w:left="488" w:hanging="244"/>
    </w:pPr>
  </w:style>
  <w:style w:type="paragraph" w:styleId="Subtitle">
    <w:name w:val="Subtitle"/>
    <w:basedOn w:val="Normal"/>
    <w:next w:val="Normal"/>
    <w:link w:val="SubtitleChar"/>
    <w:qFormat/>
    <w:rsid w:val="005636C7"/>
    <w:pPr>
      <w:spacing w:after="113" w:line="278" w:lineRule="auto"/>
    </w:pPr>
    <w:rPr>
      <w:rFonts w:ascii="Helvetica" w:eastAsia="Cambria" w:hAnsi="Helvetica"/>
      <w:b/>
      <w:lang w:eastAsia="en-US"/>
    </w:rPr>
  </w:style>
  <w:style w:type="character" w:customStyle="1" w:styleId="SubtitleChar">
    <w:name w:val="Subtitle Char"/>
    <w:basedOn w:val="DefaultParagraphFont"/>
    <w:link w:val="Subtitle"/>
    <w:rsid w:val="005636C7"/>
    <w:rPr>
      <w:rFonts w:ascii="Helvetica" w:eastAsia="Cambria" w:hAnsi="Helvetica"/>
      <w:b/>
      <w:sz w:val="24"/>
      <w:szCs w:val="24"/>
      <w:lang w:val="en-AU" w:eastAsia="en-US"/>
    </w:rPr>
  </w:style>
  <w:style w:type="paragraph" w:customStyle="1" w:styleId="E3Subtitle">
    <w:name w:val="E3 Sub title"/>
    <w:qFormat/>
    <w:rsid w:val="005636C7"/>
    <w:pPr>
      <w:spacing w:after="200" w:line="276" w:lineRule="auto"/>
    </w:pPr>
    <w:rPr>
      <w:rFonts w:ascii="Helvetica" w:eastAsia="Cambria" w:hAnsi="Helvetica"/>
      <w:b/>
      <w:sz w:val="24"/>
      <w:szCs w:val="24"/>
      <w:lang w:val="en-AU" w:eastAsia="en-US"/>
    </w:rPr>
  </w:style>
  <w:style w:type="paragraph" w:customStyle="1" w:styleId="E3Title">
    <w:name w:val="E3 Title"/>
    <w:basedOn w:val="Normal"/>
    <w:qFormat/>
    <w:rsid w:val="005636C7"/>
    <w:pPr>
      <w:spacing w:line="278" w:lineRule="auto"/>
    </w:pPr>
    <w:rPr>
      <w:rFonts w:ascii="Helvetica" w:eastAsia="Cambria" w:hAnsi="Helvetica"/>
      <w:b/>
      <w:color w:val="F2F2F2"/>
      <w:sz w:val="60"/>
      <w:lang w:eastAsia="en-US"/>
    </w:rPr>
  </w:style>
  <w:style w:type="paragraph" w:styleId="Title">
    <w:name w:val="Title"/>
    <w:basedOn w:val="Heading1"/>
    <w:next w:val="Normal"/>
    <w:link w:val="TitleChar"/>
    <w:qFormat/>
    <w:rsid w:val="005636C7"/>
    <w:pPr>
      <w:keepLines/>
      <w:spacing w:before="0" w:after="0" w:line="278" w:lineRule="auto"/>
    </w:pPr>
    <w:rPr>
      <w:rFonts w:ascii="Helvetica" w:hAnsi="Helvetica" w:cs="Times New Roman"/>
      <w:color w:val="F2F2F2"/>
      <w:kern w:val="0"/>
      <w:sz w:val="40"/>
      <w:lang w:eastAsia="en-US"/>
    </w:rPr>
  </w:style>
  <w:style w:type="character" w:customStyle="1" w:styleId="TitleChar">
    <w:name w:val="Title Char"/>
    <w:basedOn w:val="DefaultParagraphFont"/>
    <w:link w:val="Title"/>
    <w:rsid w:val="005636C7"/>
    <w:rPr>
      <w:rFonts w:ascii="Helvetica" w:hAnsi="Helvetica"/>
      <w:b/>
      <w:bCs/>
      <w:color w:val="F2F2F2"/>
      <w:sz w:val="40"/>
      <w:szCs w:val="32"/>
      <w:lang w:val="en-AU" w:eastAsia="en-US"/>
    </w:rPr>
  </w:style>
  <w:style w:type="paragraph" w:customStyle="1" w:styleId="E3TOCTitle">
    <w:name w:val="E3 TOC Title"/>
    <w:basedOn w:val="Title"/>
    <w:rsid w:val="005636C7"/>
  </w:style>
  <w:style w:type="paragraph" w:customStyle="1" w:styleId="E3Underline">
    <w:name w:val="E3 Underline"/>
    <w:basedOn w:val="E3BodyText"/>
    <w:qFormat/>
    <w:rsid w:val="005636C7"/>
    <w:pPr>
      <w:tabs>
        <w:tab w:val="left" w:pos="480"/>
      </w:tabs>
    </w:pPr>
    <w:rPr>
      <w:b/>
      <w:i/>
      <w:u w:val="single"/>
    </w:rPr>
  </w:style>
  <w:style w:type="character" w:styleId="FootnoteReference">
    <w:name w:val="footnote reference"/>
    <w:aliases w:val="(NECG) Footnote Reference,EN Footnote Reference,SUPERS,number"/>
    <w:uiPriority w:val="99"/>
    <w:rsid w:val="005636C7"/>
    <w:rPr>
      <w:vertAlign w:val="superscript"/>
    </w:rPr>
  </w:style>
  <w:style w:type="paragraph" w:customStyle="1" w:styleId="E3TableHeading">
    <w:name w:val="E3 Table Heading"/>
    <w:basedOn w:val="E3BodyText"/>
    <w:qFormat/>
    <w:locked/>
    <w:rsid w:val="005636C7"/>
    <w:pPr>
      <w:spacing w:before="60" w:after="60" w:line="240" w:lineRule="auto"/>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5636C7"/>
    <w:pPr>
      <w:spacing w:line="278" w:lineRule="auto"/>
      <w:ind w:left="190" w:hanging="190"/>
    </w:pPr>
    <w:rPr>
      <w:rFonts w:ascii="Georgia" w:eastAsia="Cambria" w:hAnsi="Georgia"/>
      <w:sz w:val="19"/>
      <w:lang w:eastAsia="en-US"/>
    </w:rPr>
  </w:style>
  <w:style w:type="paragraph" w:styleId="TableofFigures">
    <w:name w:val="table of figures"/>
    <w:basedOn w:val="E3BodyText"/>
    <w:next w:val="Normal"/>
    <w:uiPriority w:val="99"/>
    <w:rsid w:val="005636C7"/>
    <w:pPr>
      <w:spacing w:after="0"/>
    </w:pPr>
  </w:style>
  <w:style w:type="paragraph" w:customStyle="1" w:styleId="E3TableSubHeading">
    <w:name w:val="E3 Table Sub Heading"/>
    <w:basedOn w:val="E3TableHeading"/>
    <w:qFormat/>
    <w:locked/>
    <w:rsid w:val="005636C7"/>
    <w:rPr>
      <w:rFonts w:ascii="Georgia" w:hAnsi="Georgia"/>
      <w:b w:val="0"/>
      <w:color w:val="000000" w:themeColor="text1"/>
    </w:rPr>
  </w:style>
  <w:style w:type="paragraph" w:customStyle="1" w:styleId="E3Tabletext">
    <w:name w:val="E3 Table text"/>
    <w:basedOn w:val="E3BodyText"/>
    <w:autoRedefine/>
    <w:qFormat/>
    <w:locked/>
    <w:rsid w:val="005636C7"/>
    <w:pPr>
      <w:tabs>
        <w:tab w:val="left" w:pos="3293"/>
      </w:tabs>
      <w:spacing w:before="60" w:after="60"/>
      <w:ind w:left="35"/>
      <w:jc w:val="center"/>
    </w:pPr>
    <w:rPr>
      <w:rFonts w:eastAsia="Times New Roman"/>
      <w:sz w:val="20"/>
      <w:szCs w:val="14"/>
    </w:rPr>
  </w:style>
  <w:style w:type="paragraph" w:styleId="TOC1">
    <w:name w:val="toc 1"/>
    <w:basedOn w:val="E3BodyText"/>
    <w:next w:val="TOC2"/>
    <w:autoRedefine/>
    <w:uiPriority w:val="39"/>
    <w:rsid w:val="005636C7"/>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rsid w:val="005636C7"/>
    <w:pPr>
      <w:widowControl w:val="0"/>
      <w:spacing w:after="0" w:line="276" w:lineRule="auto"/>
      <w:ind w:left="200"/>
    </w:pPr>
    <w:rPr>
      <w:szCs w:val="22"/>
    </w:rPr>
  </w:style>
  <w:style w:type="paragraph" w:styleId="TOC3">
    <w:name w:val="toc 3"/>
    <w:basedOn w:val="TOC2"/>
    <w:next w:val="E3BodyText"/>
    <w:autoRedefine/>
    <w:uiPriority w:val="39"/>
    <w:rsid w:val="005636C7"/>
    <w:pPr>
      <w:ind w:left="380"/>
    </w:pPr>
  </w:style>
  <w:style w:type="paragraph" w:styleId="TOC4">
    <w:name w:val="toc 4"/>
    <w:basedOn w:val="TOC3"/>
    <w:next w:val="Normal"/>
    <w:autoRedefine/>
    <w:uiPriority w:val="39"/>
    <w:unhideWhenUsed/>
    <w:rsid w:val="005636C7"/>
    <w:pPr>
      <w:ind w:left="567"/>
    </w:pPr>
    <w:rPr>
      <w:rFonts w:eastAsia="MS Mincho"/>
      <w:lang w:eastAsia="en-AU"/>
    </w:rPr>
  </w:style>
  <w:style w:type="paragraph" w:styleId="DocumentMap">
    <w:name w:val="Document Map"/>
    <w:basedOn w:val="Normal"/>
    <w:link w:val="DocumentMapChar"/>
    <w:uiPriority w:val="99"/>
    <w:unhideWhenUsed/>
    <w:rsid w:val="005636C7"/>
    <w:rPr>
      <w:rFonts w:ascii="Tahoma" w:eastAsia="Cambria" w:hAnsi="Tahoma" w:cs="Tahoma"/>
      <w:sz w:val="16"/>
      <w:szCs w:val="16"/>
      <w:lang w:eastAsia="en-US"/>
    </w:rPr>
  </w:style>
  <w:style w:type="character" w:customStyle="1" w:styleId="DocumentMapChar">
    <w:name w:val="Document Map Char"/>
    <w:basedOn w:val="DefaultParagraphFont"/>
    <w:link w:val="DocumentMap"/>
    <w:uiPriority w:val="99"/>
    <w:rsid w:val="005636C7"/>
    <w:rPr>
      <w:rFonts w:ascii="Tahoma" w:eastAsia="Cambria" w:hAnsi="Tahoma" w:cs="Tahoma"/>
      <w:sz w:val="16"/>
      <w:szCs w:val="16"/>
      <w:lang w:val="en-AU" w:eastAsia="en-US"/>
    </w:rPr>
  </w:style>
  <w:style w:type="paragraph" w:customStyle="1" w:styleId="E3TableTitles">
    <w:name w:val="E3 Table Titles"/>
    <w:basedOn w:val="E3BodyText"/>
    <w:qFormat/>
    <w:rsid w:val="005636C7"/>
    <w:pPr>
      <w:spacing w:before="360" w:line="276" w:lineRule="auto"/>
    </w:pPr>
    <w:rPr>
      <w:rFonts w:eastAsia="Cambria"/>
      <w:b/>
      <w:bCs/>
      <w:sz w:val="21"/>
    </w:rPr>
  </w:style>
  <w:style w:type="paragraph" w:styleId="TOCHeading">
    <w:name w:val="TOC Heading"/>
    <w:basedOn w:val="E3TOCTitle"/>
    <w:next w:val="Normal"/>
    <w:uiPriority w:val="39"/>
    <w:unhideWhenUsed/>
    <w:qFormat/>
    <w:rsid w:val="005636C7"/>
    <w:pPr>
      <w:spacing w:before="480" w:line="276" w:lineRule="auto"/>
      <w:outlineLvl w:val="9"/>
    </w:pPr>
    <w:rPr>
      <w:rFonts w:eastAsia="MS Gothic" w:cs="Helvetica"/>
      <w:color w:val="auto"/>
      <w:sz w:val="26"/>
      <w:szCs w:val="26"/>
    </w:rPr>
  </w:style>
  <w:style w:type="paragraph" w:customStyle="1" w:styleId="E3Figuretitles">
    <w:name w:val="E3 Figure titles"/>
    <w:uiPriority w:val="99"/>
    <w:qFormat/>
    <w:rsid w:val="005636C7"/>
    <w:pPr>
      <w:spacing w:after="200" w:line="276" w:lineRule="auto"/>
    </w:pPr>
    <w:rPr>
      <w:rFonts w:ascii="Georgia" w:eastAsia="Cambria" w:hAnsi="Georgia"/>
      <w:b/>
      <w:bCs/>
      <w:lang w:val="en-US" w:eastAsia="en-US"/>
    </w:rPr>
  </w:style>
  <w:style w:type="paragraph" w:customStyle="1" w:styleId="E3SubSubBullets">
    <w:name w:val="E3 Sub Sub Bullets"/>
    <w:basedOn w:val="E3SubBullets"/>
    <w:qFormat/>
    <w:rsid w:val="005636C7"/>
    <w:pPr>
      <w:numPr>
        <w:numId w:val="10"/>
      </w:numPr>
      <w:tabs>
        <w:tab w:val="num" w:pos="720"/>
      </w:tabs>
      <w:ind w:left="720"/>
    </w:pPr>
  </w:style>
  <w:style w:type="paragraph" w:customStyle="1" w:styleId="E3Caption">
    <w:name w:val="E3 Caption"/>
    <w:basedOn w:val="Normal"/>
    <w:qFormat/>
    <w:rsid w:val="005636C7"/>
    <w:pPr>
      <w:spacing w:before="120" w:after="240"/>
    </w:pPr>
    <w:rPr>
      <w:rFonts w:ascii="Georgia" w:eastAsia="Cambria" w:hAnsi="Georgia"/>
      <w:bCs/>
      <w:i/>
      <w:sz w:val="20"/>
      <w:szCs w:val="16"/>
      <w:lang w:eastAsia="en-US"/>
    </w:rPr>
  </w:style>
  <w:style w:type="character" w:styleId="FollowedHyperlink">
    <w:name w:val="FollowedHyperlink"/>
    <w:uiPriority w:val="99"/>
    <w:unhideWhenUsed/>
    <w:rsid w:val="005636C7"/>
    <w:rPr>
      <w:color w:val="800080"/>
      <w:u w:val="single"/>
    </w:rPr>
  </w:style>
  <w:style w:type="paragraph" w:customStyle="1" w:styleId="E3BackCoverTitle">
    <w:name w:val="E3 Back Cover Title"/>
    <w:basedOn w:val="E3ChapterTitle"/>
    <w:rsid w:val="005636C7"/>
    <w:pPr>
      <w:spacing w:after="240"/>
      <w:jc w:val="center"/>
    </w:pPr>
    <w:rPr>
      <w:color w:val="EEECE1" w:themeColor="background2"/>
      <w:sz w:val="32"/>
    </w:rPr>
  </w:style>
  <w:style w:type="paragraph" w:styleId="TOC5">
    <w:name w:val="toc 5"/>
    <w:basedOn w:val="TOC4"/>
    <w:next w:val="E3BodyText"/>
    <w:autoRedefine/>
    <w:uiPriority w:val="39"/>
    <w:unhideWhenUsed/>
    <w:rsid w:val="005636C7"/>
    <w:pPr>
      <w:ind w:left="760"/>
    </w:pPr>
  </w:style>
  <w:style w:type="paragraph" w:styleId="TOC6">
    <w:name w:val="toc 6"/>
    <w:basedOn w:val="Normal"/>
    <w:next w:val="Normal"/>
    <w:autoRedefine/>
    <w:uiPriority w:val="39"/>
    <w:unhideWhenUsed/>
    <w:rsid w:val="005636C7"/>
    <w:pPr>
      <w:spacing w:after="113" w:line="278" w:lineRule="auto"/>
      <w:ind w:left="950"/>
    </w:pPr>
    <w:rPr>
      <w:rFonts w:ascii="Georgia" w:eastAsia="Cambria" w:hAnsi="Georgia"/>
      <w:sz w:val="19"/>
      <w:lang w:eastAsia="en-US"/>
    </w:rPr>
  </w:style>
  <w:style w:type="paragraph" w:styleId="TOC7">
    <w:name w:val="toc 7"/>
    <w:basedOn w:val="Normal"/>
    <w:next w:val="Normal"/>
    <w:autoRedefine/>
    <w:uiPriority w:val="39"/>
    <w:unhideWhenUsed/>
    <w:rsid w:val="005636C7"/>
    <w:pPr>
      <w:spacing w:after="113" w:line="278" w:lineRule="auto"/>
      <w:ind w:left="1140"/>
    </w:pPr>
    <w:rPr>
      <w:rFonts w:ascii="Georgia" w:eastAsia="Cambria" w:hAnsi="Georgia"/>
      <w:sz w:val="19"/>
      <w:lang w:eastAsia="en-US"/>
    </w:rPr>
  </w:style>
  <w:style w:type="paragraph" w:styleId="TOC8">
    <w:name w:val="toc 8"/>
    <w:basedOn w:val="Normal"/>
    <w:next w:val="Normal"/>
    <w:autoRedefine/>
    <w:uiPriority w:val="39"/>
    <w:unhideWhenUsed/>
    <w:rsid w:val="005636C7"/>
    <w:pPr>
      <w:spacing w:after="113" w:line="278" w:lineRule="auto"/>
      <w:ind w:left="1330"/>
    </w:pPr>
    <w:rPr>
      <w:rFonts w:ascii="Georgia" w:eastAsia="Cambria" w:hAnsi="Georgia"/>
      <w:sz w:val="19"/>
      <w:lang w:eastAsia="en-US"/>
    </w:rPr>
  </w:style>
  <w:style w:type="paragraph" w:styleId="TOC9">
    <w:name w:val="toc 9"/>
    <w:basedOn w:val="Normal"/>
    <w:next w:val="Normal"/>
    <w:autoRedefine/>
    <w:uiPriority w:val="39"/>
    <w:unhideWhenUsed/>
    <w:rsid w:val="005636C7"/>
    <w:pPr>
      <w:spacing w:after="113" w:line="278" w:lineRule="auto"/>
      <w:ind w:left="1520"/>
    </w:pPr>
    <w:rPr>
      <w:rFonts w:ascii="Georgia" w:eastAsia="Cambria" w:hAnsi="Georgia"/>
      <w:sz w:val="19"/>
      <w:lang w:eastAsia="en-US"/>
    </w:rPr>
  </w:style>
  <w:style w:type="paragraph" w:customStyle="1" w:styleId="E3MainIntro">
    <w:name w:val="E3 Main Intro"/>
    <w:basedOn w:val="Normal"/>
    <w:qFormat/>
    <w:rsid w:val="005636C7"/>
    <w:pPr>
      <w:widowControl w:val="0"/>
      <w:autoSpaceDE w:val="0"/>
      <w:autoSpaceDN w:val="0"/>
      <w:adjustRightInd w:val="0"/>
      <w:spacing w:after="113"/>
    </w:pPr>
    <w:rPr>
      <w:rFonts w:ascii="Helvetica" w:eastAsia="Calibri" w:hAnsi="Helvetica" w:cs="Arial"/>
      <w:b/>
      <w:color w:val="000000"/>
      <w:szCs w:val="19"/>
      <w:lang w:val="en-US" w:eastAsia="en-US"/>
    </w:rPr>
  </w:style>
  <w:style w:type="paragraph" w:customStyle="1" w:styleId="E3InternalCoverPage">
    <w:name w:val="E3 Internal Cover Page"/>
    <w:basedOn w:val="Normal"/>
    <w:qFormat/>
    <w:rsid w:val="005636C7"/>
    <w:pPr>
      <w:tabs>
        <w:tab w:val="left" w:pos="5812"/>
      </w:tabs>
      <w:spacing w:after="113" w:line="278" w:lineRule="auto"/>
      <w:ind w:left="142" w:right="4110"/>
    </w:pPr>
    <w:rPr>
      <w:rFonts w:ascii="Georgia" w:eastAsia="Cambria" w:hAnsi="Georgia"/>
      <w:sz w:val="22"/>
      <w:lang w:eastAsia="en-US"/>
    </w:rPr>
  </w:style>
  <w:style w:type="paragraph" w:customStyle="1" w:styleId="E3Note">
    <w:name w:val="E3 Note"/>
    <w:basedOn w:val="Normal"/>
    <w:next w:val="E3BodyText"/>
    <w:qFormat/>
    <w:rsid w:val="005636C7"/>
    <w:pPr>
      <w:pBdr>
        <w:top w:val="single" w:sz="4" w:space="10" w:color="FF0000"/>
        <w:bottom w:val="single" w:sz="4" w:space="10" w:color="FF0000"/>
      </w:pBdr>
      <w:spacing w:after="113" w:line="278" w:lineRule="auto"/>
      <w:ind w:left="851" w:hanging="851"/>
      <w:jc w:val="both"/>
    </w:pPr>
    <w:rPr>
      <w:rFonts w:ascii="Georgia" w:eastAsia="Cambria" w:hAnsi="Georgia"/>
      <w:sz w:val="22"/>
      <w:lang w:eastAsia="en-US"/>
    </w:rPr>
  </w:style>
  <w:style w:type="paragraph" w:styleId="Caption">
    <w:name w:val="caption"/>
    <w:basedOn w:val="Normal"/>
    <w:next w:val="Normal"/>
    <w:unhideWhenUsed/>
    <w:qFormat/>
    <w:rsid w:val="005636C7"/>
    <w:pPr>
      <w:spacing w:after="200"/>
    </w:pPr>
    <w:rPr>
      <w:rFonts w:ascii="Georgia" w:eastAsia="Cambria" w:hAnsi="Georgia"/>
      <w:b/>
      <w:bCs/>
      <w:color w:val="4F81BD" w:themeColor="accent1"/>
      <w:sz w:val="18"/>
      <w:szCs w:val="18"/>
      <w:lang w:eastAsia="en-US"/>
    </w:rPr>
  </w:style>
  <w:style w:type="paragraph" w:customStyle="1" w:styleId="E3tabletext1">
    <w:name w:val="E3 tabletext1"/>
    <w:basedOn w:val="Normal"/>
    <w:link w:val="E3tabletext1Char"/>
    <w:qFormat/>
    <w:rsid w:val="005636C7"/>
    <w:pPr>
      <w:tabs>
        <w:tab w:val="left" w:pos="3293"/>
      </w:tabs>
      <w:spacing w:before="60" w:after="60"/>
      <w:ind w:left="35"/>
      <w:jc w:val="center"/>
    </w:pPr>
    <w:rPr>
      <w:rFonts w:ascii="Georgia" w:hAnsi="Georgia"/>
      <w:sz w:val="14"/>
      <w:szCs w:val="14"/>
    </w:rPr>
  </w:style>
  <w:style w:type="character" w:customStyle="1" w:styleId="E3tabletext1Char">
    <w:name w:val="E3 tabletext1 Char"/>
    <w:basedOn w:val="DefaultParagraphFont"/>
    <w:link w:val="E3tabletext1"/>
    <w:rsid w:val="005636C7"/>
    <w:rPr>
      <w:rFonts w:ascii="Georgia" w:hAnsi="Georgia"/>
      <w:sz w:val="14"/>
      <w:szCs w:val="14"/>
      <w:lang w:val="en-AU" w:eastAsia="en-AU"/>
    </w:rPr>
  </w:style>
  <w:style w:type="paragraph" w:customStyle="1" w:styleId="bullet0">
    <w:name w:val="bullet"/>
    <w:basedOn w:val="Normal"/>
    <w:rsid w:val="005636C7"/>
    <w:pPr>
      <w:numPr>
        <w:numId w:val="11"/>
      </w:numPr>
    </w:pPr>
    <w:rPr>
      <w:lang w:val="en-US" w:eastAsia="en-US"/>
    </w:rPr>
  </w:style>
  <w:style w:type="paragraph" w:customStyle="1" w:styleId="Bullets-Major">
    <w:name w:val="Bullets - Major"/>
    <w:basedOn w:val="Normal"/>
    <w:rsid w:val="005636C7"/>
    <w:pPr>
      <w:numPr>
        <w:numId w:val="12"/>
      </w:numPr>
      <w:overflowPunct w:val="0"/>
      <w:autoSpaceDE w:val="0"/>
      <w:autoSpaceDN w:val="0"/>
      <w:adjustRightInd w:val="0"/>
      <w:spacing w:before="240" w:line="252" w:lineRule="auto"/>
      <w:ind w:left="567" w:hanging="567"/>
      <w:jc w:val="both"/>
      <w:textAlignment w:val="baseline"/>
    </w:pPr>
    <w:rPr>
      <w:rFonts w:ascii="Garamond" w:eastAsia="Times" w:hAnsi="Garamond"/>
      <w:sz w:val="26"/>
      <w:szCs w:val="20"/>
      <w:lang w:eastAsia="en-US"/>
    </w:rPr>
  </w:style>
  <w:style w:type="character" w:customStyle="1" w:styleId="Bold">
    <w:name w:val="Bold"/>
    <w:basedOn w:val="DefaultParagraphFont"/>
    <w:rsid w:val="005636C7"/>
    <w:rPr>
      <w:rFonts w:ascii="Georgia" w:hAnsi="Georgia"/>
      <w:b/>
    </w:rPr>
  </w:style>
  <w:style w:type="paragraph" w:customStyle="1" w:styleId="TextBox">
    <w:name w:val="Text Box"/>
    <w:basedOn w:val="Normal"/>
    <w:rsid w:val="005636C7"/>
    <w:pPr>
      <w:spacing w:before="40" w:after="113" w:line="278" w:lineRule="auto"/>
    </w:pPr>
    <w:rPr>
      <w:rFonts w:ascii="Georgia" w:hAnsi="Georgia"/>
      <w:sz w:val="19"/>
      <w:szCs w:val="20"/>
      <w:lang w:eastAsia="en-US"/>
    </w:rPr>
  </w:style>
  <w:style w:type="paragraph" w:styleId="IntenseQuote">
    <w:name w:val="Intense Quote"/>
    <w:basedOn w:val="Normal"/>
    <w:next w:val="Normal"/>
    <w:link w:val="IntenseQuoteChar"/>
    <w:uiPriority w:val="30"/>
    <w:qFormat/>
    <w:rsid w:val="005636C7"/>
    <w:pPr>
      <w:pBdr>
        <w:bottom w:val="single" w:sz="4" w:space="4" w:color="4F81BD" w:themeColor="accent1"/>
      </w:pBdr>
      <w:spacing w:before="200" w:after="280" w:line="278" w:lineRule="auto"/>
      <w:ind w:left="936" w:right="936"/>
    </w:pPr>
    <w:rPr>
      <w:rFonts w:ascii="Georgia" w:eastAsia="Cambria" w:hAnsi="Georgia"/>
      <w:b/>
      <w:bCs/>
      <w:i/>
      <w:iCs/>
      <w:sz w:val="19"/>
      <w:lang w:eastAsia="en-US"/>
    </w:rPr>
  </w:style>
  <w:style w:type="character" w:customStyle="1" w:styleId="IntenseQuoteChar">
    <w:name w:val="Intense Quote Char"/>
    <w:basedOn w:val="DefaultParagraphFont"/>
    <w:link w:val="IntenseQuote"/>
    <w:uiPriority w:val="30"/>
    <w:rsid w:val="005636C7"/>
    <w:rPr>
      <w:rFonts w:ascii="Georgia" w:eastAsia="Cambria" w:hAnsi="Georgia"/>
      <w:b/>
      <w:bCs/>
      <w:i/>
      <w:iCs/>
      <w:sz w:val="19"/>
      <w:szCs w:val="24"/>
      <w:lang w:val="en-AU" w:eastAsia="en-US"/>
    </w:rPr>
  </w:style>
  <w:style w:type="character" w:styleId="IntenseEmphasis">
    <w:name w:val="Intense Emphasis"/>
    <w:basedOn w:val="DefaultParagraphFont"/>
    <w:uiPriority w:val="21"/>
    <w:qFormat/>
    <w:rsid w:val="005636C7"/>
    <w:rPr>
      <w:b/>
      <w:bCs/>
      <w:i/>
      <w:iCs/>
      <w:color w:val="auto"/>
    </w:rPr>
  </w:style>
  <w:style w:type="character" w:customStyle="1" w:styleId="t">
    <w:name w:val="t"/>
    <w:basedOn w:val="DefaultParagraphFont"/>
    <w:rsid w:val="005636C7"/>
  </w:style>
  <w:style w:type="paragraph" w:customStyle="1" w:styleId="Bullet">
    <w:name w:val="Bullet"/>
    <w:basedOn w:val="Normal"/>
    <w:link w:val="BulletChar"/>
    <w:rsid w:val="005636C7"/>
    <w:pPr>
      <w:numPr>
        <w:numId w:val="13"/>
      </w:numPr>
      <w:spacing w:before="60" w:after="60" w:line="320" w:lineRule="atLeast"/>
      <w:jc w:val="both"/>
    </w:pPr>
    <w:rPr>
      <w:rFonts w:ascii="Book Antiqua" w:hAnsi="Book Antiqua"/>
      <w:sz w:val="22"/>
      <w:szCs w:val="20"/>
      <w:lang w:eastAsia="zh-CN"/>
    </w:rPr>
  </w:style>
  <w:style w:type="character" w:customStyle="1" w:styleId="BulletChar">
    <w:name w:val="Bullet Char"/>
    <w:basedOn w:val="DefaultParagraphFont"/>
    <w:link w:val="Bullet"/>
    <w:rsid w:val="005636C7"/>
    <w:rPr>
      <w:rFonts w:ascii="Book Antiqua" w:hAnsi="Book Antiqua"/>
      <w:sz w:val="22"/>
      <w:lang w:val="en-AU" w:eastAsia="zh-CN"/>
    </w:rPr>
  </w:style>
  <w:style w:type="paragraph" w:styleId="NoSpacing">
    <w:name w:val="No Spacing"/>
    <w:link w:val="NoSpacingChar"/>
    <w:qFormat/>
    <w:rsid w:val="005636C7"/>
    <w:rPr>
      <w:rFonts w:ascii="PMingLiU" w:eastAsiaTheme="minorEastAsia" w:hAnsi="PMingLiU" w:cstheme="minorBidi"/>
      <w:sz w:val="22"/>
      <w:szCs w:val="22"/>
      <w:lang w:val="en-US" w:eastAsia="en-US"/>
    </w:rPr>
  </w:style>
  <w:style w:type="character" w:customStyle="1" w:styleId="NoSpacingChar">
    <w:name w:val="No Spacing Char"/>
    <w:basedOn w:val="DefaultParagraphFont"/>
    <w:link w:val="NoSpacing"/>
    <w:rsid w:val="005636C7"/>
    <w:rPr>
      <w:rFonts w:ascii="PMingLiU" w:eastAsiaTheme="minorEastAsia" w:hAnsi="PMingLiU" w:cstheme="minorBidi"/>
      <w:sz w:val="22"/>
      <w:szCs w:val="22"/>
      <w:lang w:val="en-US" w:eastAsia="en-US"/>
    </w:rPr>
  </w:style>
  <w:style w:type="paragraph" w:styleId="Date">
    <w:name w:val="Date"/>
    <w:basedOn w:val="Normal"/>
    <w:next w:val="Normal"/>
    <w:link w:val="DateChar"/>
    <w:uiPriority w:val="1"/>
    <w:rsid w:val="005636C7"/>
    <w:pPr>
      <w:spacing w:line="276" w:lineRule="auto"/>
      <w:jc w:val="right"/>
    </w:pPr>
    <w:rPr>
      <w:rFonts w:asciiTheme="minorHAnsi" w:eastAsiaTheme="minorEastAsia" w:hAnsiTheme="minorHAnsi" w:cstheme="minorBidi"/>
      <w:color w:val="4F81BD" w:themeColor="accent1"/>
      <w:lang w:val="en-US" w:eastAsia="en-US"/>
    </w:rPr>
  </w:style>
  <w:style w:type="character" w:customStyle="1" w:styleId="DateChar">
    <w:name w:val="Date Char"/>
    <w:basedOn w:val="DefaultParagraphFont"/>
    <w:link w:val="Date"/>
    <w:uiPriority w:val="1"/>
    <w:rsid w:val="005636C7"/>
    <w:rPr>
      <w:rFonts w:asciiTheme="minorHAnsi" w:eastAsiaTheme="minorEastAsia" w:hAnsiTheme="minorHAnsi" w:cstheme="minorBidi"/>
      <w:color w:val="4F81BD" w:themeColor="accent1"/>
      <w:sz w:val="24"/>
      <w:szCs w:val="24"/>
      <w:lang w:val="en-US" w:eastAsia="en-US"/>
    </w:rPr>
  </w:style>
  <w:style w:type="paragraph" w:customStyle="1" w:styleId="CDA-1">
    <w:name w:val="CDA - 1"/>
    <w:aliases w:val="2,3"/>
    <w:rsid w:val="005636C7"/>
    <w:pPr>
      <w:widowControl w:val="0"/>
      <w:spacing w:after="283" w:line="328" w:lineRule="atLeast"/>
      <w:ind w:left="567"/>
      <w:jc w:val="both"/>
    </w:pPr>
    <w:rPr>
      <w:rFonts w:ascii="TimesNewRomanPS" w:hAnsi="TimesNewRomanPS"/>
      <w:snapToGrid w:val="0"/>
      <w:color w:val="000000"/>
      <w:sz w:val="24"/>
      <w:lang w:val="en-US" w:eastAsia="en-US"/>
    </w:rPr>
  </w:style>
  <w:style w:type="paragraph" w:customStyle="1" w:styleId="MediumList1-Accent61">
    <w:name w:val="Medium List 1 - Accent 61"/>
    <w:basedOn w:val="Normal"/>
    <w:uiPriority w:val="34"/>
    <w:rsid w:val="005636C7"/>
    <w:pPr>
      <w:ind w:left="720"/>
      <w:contextualSpacing/>
    </w:pPr>
    <w:rPr>
      <w:rFonts w:ascii="Cambria" w:eastAsia="Cambria" w:hAnsi="Cambria"/>
      <w:lang w:val="en-US" w:eastAsia="en-US"/>
    </w:rPr>
  </w:style>
  <w:style w:type="paragraph" w:customStyle="1" w:styleId="DarkList-Accent51">
    <w:name w:val="Dark List - Accent 51"/>
    <w:basedOn w:val="Normal"/>
    <w:rsid w:val="005636C7"/>
    <w:pPr>
      <w:ind w:left="720"/>
      <w:contextualSpacing/>
    </w:pPr>
    <w:rPr>
      <w:rFonts w:ascii="Cambria" w:eastAsia="Cambria" w:hAnsi="Cambria"/>
      <w:lang w:val="en-US" w:eastAsia="en-US"/>
    </w:rPr>
  </w:style>
  <w:style w:type="paragraph" w:styleId="Index1">
    <w:name w:val="index 1"/>
    <w:basedOn w:val="Normal"/>
    <w:next w:val="Normal"/>
    <w:autoRedefine/>
    <w:rsid w:val="005636C7"/>
    <w:pPr>
      <w:ind w:left="240" w:hanging="240"/>
    </w:pPr>
    <w:rPr>
      <w:lang w:val="en-US" w:eastAsia="en-US"/>
    </w:rPr>
  </w:style>
  <w:style w:type="paragraph" w:styleId="Index2">
    <w:name w:val="index 2"/>
    <w:basedOn w:val="Normal"/>
    <w:next w:val="Normal"/>
    <w:autoRedefine/>
    <w:rsid w:val="005636C7"/>
    <w:pPr>
      <w:ind w:left="480" w:hanging="240"/>
    </w:pPr>
    <w:rPr>
      <w:lang w:val="en-US" w:eastAsia="en-US"/>
    </w:rPr>
  </w:style>
  <w:style w:type="paragraph" w:styleId="Index3">
    <w:name w:val="index 3"/>
    <w:basedOn w:val="Normal"/>
    <w:next w:val="Normal"/>
    <w:autoRedefine/>
    <w:rsid w:val="005636C7"/>
    <w:pPr>
      <w:ind w:left="720" w:hanging="240"/>
    </w:pPr>
    <w:rPr>
      <w:lang w:val="en-US" w:eastAsia="en-US"/>
    </w:rPr>
  </w:style>
  <w:style w:type="paragraph" w:styleId="Index4">
    <w:name w:val="index 4"/>
    <w:basedOn w:val="Normal"/>
    <w:next w:val="Normal"/>
    <w:autoRedefine/>
    <w:rsid w:val="005636C7"/>
    <w:pPr>
      <w:ind w:left="960" w:hanging="240"/>
    </w:pPr>
    <w:rPr>
      <w:lang w:val="en-US" w:eastAsia="en-US"/>
    </w:rPr>
  </w:style>
  <w:style w:type="paragraph" w:styleId="Index5">
    <w:name w:val="index 5"/>
    <w:basedOn w:val="Normal"/>
    <w:next w:val="Normal"/>
    <w:autoRedefine/>
    <w:rsid w:val="005636C7"/>
    <w:pPr>
      <w:ind w:left="1200" w:hanging="240"/>
    </w:pPr>
    <w:rPr>
      <w:lang w:val="en-US" w:eastAsia="en-US"/>
    </w:rPr>
  </w:style>
  <w:style w:type="paragraph" w:styleId="Index6">
    <w:name w:val="index 6"/>
    <w:basedOn w:val="Normal"/>
    <w:next w:val="Normal"/>
    <w:autoRedefine/>
    <w:rsid w:val="005636C7"/>
    <w:pPr>
      <w:ind w:left="1440" w:hanging="240"/>
    </w:pPr>
    <w:rPr>
      <w:lang w:val="en-US" w:eastAsia="en-US"/>
    </w:rPr>
  </w:style>
  <w:style w:type="paragraph" w:styleId="Index7">
    <w:name w:val="index 7"/>
    <w:basedOn w:val="Normal"/>
    <w:next w:val="Normal"/>
    <w:autoRedefine/>
    <w:rsid w:val="005636C7"/>
    <w:pPr>
      <w:ind w:left="1680" w:hanging="240"/>
    </w:pPr>
    <w:rPr>
      <w:lang w:val="en-US" w:eastAsia="en-US"/>
    </w:rPr>
  </w:style>
  <w:style w:type="paragraph" w:styleId="Index8">
    <w:name w:val="index 8"/>
    <w:basedOn w:val="Normal"/>
    <w:next w:val="Normal"/>
    <w:autoRedefine/>
    <w:rsid w:val="005636C7"/>
    <w:pPr>
      <w:ind w:left="1920" w:hanging="240"/>
    </w:pPr>
    <w:rPr>
      <w:lang w:val="en-US" w:eastAsia="en-US"/>
    </w:rPr>
  </w:style>
  <w:style w:type="paragraph" w:styleId="Index9">
    <w:name w:val="index 9"/>
    <w:basedOn w:val="Normal"/>
    <w:next w:val="Normal"/>
    <w:autoRedefine/>
    <w:rsid w:val="005636C7"/>
    <w:pPr>
      <w:ind w:left="2160" w:hanging="240"/>
    </w:pPr>
    <w:rPr>
      <w:lang w:val="en-US" w:eastAsia="en-US"/>
    </w:rPr>
  </w:style>
  <w:style w:type="paragraph" w:styleId="IndexHeading">
    <w:name w:val="index heading"/>
    <w:basedOn w:val="Normal"/>
    <w:next w:val="Index1"/>
    <w:rsid w:val="005636C7"/>
    <w:rPr>
      <w:lang w:val="en-US" w:eastAsia="en-US"/>
    </w:rPr>
  </w:style>
  <w:style w:type="paragraph" w:customStyle="1" w:styleId="ColorfulShading-Accent31">
    <w:name w:val="Colorful Shading - Accent 31"/>
    <w:basedOn w:val="Normal"/>
    <w:rsid w:val="005636C7"/>
    <w:pPr>
      <w:ind w:left="720"/>
      <w:contextualSpacing/>
    </w:pPr>
    <w:rPr>
      <w:rFonts w:ascii="Cambria" w:eastAsia="Cambria" w:hAnsi="Cambria"/>
      <w:lang w:val="en-US" w:eastAsia="en-US"/>
    </w:rPr>
  </w:style>
  <w:style w:type="character" w:customStyle="1" w:styleId="BalloonTextChar1">
    <w:name w:val="Balloon Text Char1"/>
    <w:uiPriority w:val="99"/>
    <w:rsid w:val="005636C7"/>
    <w:rPr>
      <w:rFonts w:ascii="Tahoma" w:hAnsi="Tahoma" w:cs="Tahoma"/>
      <w:sz w:val="16"/>
      <w:szCs w:val="16"/>
      <w:lang w:val="en-US"/>
    </w:rPr>
  </w:style>
  <w:style w:type="paragraph" w:styleId="BodyText">
    <w:name w:val="Body Text"/>
    <w:basedOn w:val="Normal"/>
    <w:link w:val="BodyTextChar"/>
    <w:rsid w:val="005636C7"/>
    <w:pPr>
      <w:spacing w:after="120"/>
      <w:jc w:val="both"/>
    </w:pPr>
    <w:rPr>
      <w:rFonts w:ascii="Cambria" w:hAnsi="Cambria"/>
      <w:sz w:val="22"/>
      <w:lang w:val="en-US" w:eastAsia="en-US"/>
    </w:rPr>
  </w:style>
  <w:style w:type="character" w:customStyle="1" w:styleId="BodyTextChar">
    <w:name w:val="Body Text Char"/>
    <w:basedOn w:val="DefaultParagraphFont"/>
    <w:link w:val="BodyText"/>
    <w:rsid w:val="005636C7"/>
    <w:rPr>
      <w:rFonts w:ascii="Cambria" w:hAnsi="Cambria"/>
      <w:sz w:val="22"/>
      <w:szCs w:val="24"/>
      <w:lang w:val="en-US" w:eastAsia="en-US"/>
    </w:rPr>
  </w:style>
  <w:style w:type="paragraph" w:styleId="EndnoteText">
    <w:name w:val="endnote text"/>
    <w:basedOn w:val="Normal"/>
    <w:link w:val="EndnoteTextChar"/>
    <w:uiPriority w:val="99"/>
    <w:rsid w:val="005636C7"/>
    <w:rPr>
      <w:sz w:val="20"/>
      <w:szCs w:val="20"/>
      <w:lang w:val="en-US" w:eastAsia="en-US"/>
    </w:rPr>
  </w:style>
  <w:style w:type="character" w:customStyle="1" w:styleId="EndnoteTextChar">
    <w:name w:val="Endnote Text Char"/>
    <w:basedOn w:val="DefaultParagraphFont"/>
    <w:link w:val="EndnoteText"/>
    <w:uiPriority w:val="99"/>
    <w:rsid w:val="005636C7"/>
    <w:rPr>
      <w:lang w:val="en-US" w:eastAsia="en-US"/>
    </w:rPr>
  </w:style>
  <w:style w:type="character" w:styleId="EndnoteReference">
    <w:name w:val="endnote reference"/>
    <w:uiPriority w:val="99"/>
    <w:rsid w:val="005636C7"/>
    <w:rPr>
      <w:vertAlign w:val="superscript"/>
    </w:rPr>
  </w:style>
  <w:style w:type="character" w:customStyle="1" w:styleId="text">
    <w:name w:val="text"/>
    <w:rsid w:val="005636C7"/>
  </w:style>
  <w:style w:type="character" w:customStyle="1" w:styleId="comment-body">
    <w:name w:val="comment-body"/>
    <w:rsid w:val="005636C7"/>
  </w:style>
  <w:style w:type="paragraph" w:customStyle="1" w:styleId="summary">
    <w:name w:val="summary"/>
    <w:basedOn w:val="Normal"/>
    <w:rsid w:val="005636C7"/>
    <w:pPr>
      <w:spacing w:before="100" w:beforeAutospacing="1" w:after="100" w:afterAutospacing="1"/>
    </w:pPr>
  </w:style>
  <w:style w:type="paragraph" w:customStyle="1" w:styleId="LSL2">
    <w:name w:val="LSL 2"/>
    <w:basedOn w:val="Normal"/>
    <w:rsid w:val="005636C7"/>
    <w:pPr>
      <w:keepNext/>
      <w:keepLines/>
      <w:numPr>
        <w:ilvl w:val="1"/>
        <w:numId w:val="14"/>
      </w:numPr>
      <w:spacing w:after="220" w:line="264" w:lineRule="auto"/>
    </w:pPr>
    <w:rPr>
      <w:rFonts w:ascii="Arial" w:hAnsi="Arial"/>
      <w:b/>
      <w:sz w:val="22"/>
      <w:szCs w:val="20"/>
      <w:lang w:eastAsia="en-US"/>
    </w:rPr>
  </w:style>
  <w:style w:type="paragraph" w:customStyle="1" w:styleId="LSL1">
    <w:name w:val="LSL 1"/>
    <w:basedOn w:val="Normal"/>
    <w:rsid w:val="005636C7"/>
    <w:pPr>
      <w:keepNext/>
      <w:keepLines/>
      <w:tabs>
        <w:tab w:val="num" w:pos="0"/>
      </w:tabs>
      <w:spacing w:after="220" w:line="264" w:lineRule="auto"/>
      <w:ind w:left="720" w:hanging="720"/>
    </w:pPr>
    <w:rPr>
      <w:rFonts w:ascii="Arial" w:hAnsi="Arial"/>
      <w:b/>
      <w:sz w:val="26"/>
      <w:szCs w:val="20"/>
      <w:lang w:eastAsia="en-US"/>
    </w:rPr>
  </w:style>
  <w:style w:type="paragraph" w:customStyle="1" w:styleId="LSL3">
    <w:name w:val="LSL 3"/>
    <w:basedOn w:val="Normal"/>
    <w:rsid w:val="005636C7"/>
    <w:pPr>
      <w:tabs>
        <w:tab w:val="num" w:pos="0"/>
      </w:tabs>
      <w:spacing w:after="220" w:line="264" w:lineRule="auto"/>
      <w:ind w:left="1440" w:hanging="720"/>
    </w:pPr>
    <w:rPr>
      <w:sz w:val="22"/>
      <w:szCs w:val="20"/>
      <w:lang w:eastAsia="en-US"/>
    </w:rPr>
  </w:style>
  <w:style w:type="paragraph" w:customStyle="1" w:styleId="LSL4">
    <w:name w:val="LSL 4"/>
    <w:basedOn w:val="Normal"/>
    <w:rsid w:val="005636C7"/>
    <w:pPr>
      <w:tabs>
        <w:tab w:val="num" w:pos="0"/>
      </w:tabs>
      <w:spacing w:after="220" w:line="264" w:lineRule="auto"/>
      <w:ind w:left="2160" w:hanging="720"/>
    </w:pPr>
    <w:rPr>
      <w:sz w:val="22"/>
      <w:szCs w:val="20"/>
      <w:lang w:eastAsia="en-US"/>
    </w:rPr>
  </w:style>
  <w:style w:type="paragraph" w:customStyle="1" w:styleId="LSL6">
    <w:name w:val="LSL 6"/>
    <w:basedOn w:val="Normal"/>
    <w:rsid w:val="005636C7"/>
    <w:pPr>
      <w:tabs>
        <w:tab w:val="num" w:pos="0"/>
      </w:tabs>
      <w:spacing w:after="220" w:line="264" w:lineRule="auto"/>
      <w:ind w:left="3312" w:hanging="432"/>
    </w:pPr>
    <w:rPr>
      <w:sz w:val="22"/>
      <w:szCs w:val="20"/>
      <w:lang w:eastAsia="en-US"/>
    </w:rPr>
  </w:style>
  <w:style w:type="paragraph" w:customStyle="1" w:styleId="LSL5">
    <w:name w:val="LSL 5"/>
    <w:basedOn w:val="Normal"/>
    <w:rsid w:val="005636C7"/>
    <w:pPr>
      <w:tabs>
        <w:tab w:val="num" w:pos="0"/>
      </w:tabs>
      <w:spacing w:after="220" w:line="264" w:lineRule="auto"/>
      <w:ind w:left="2880" w:hanging="720"/>
    </w:pPr>
    <w:rPr>
      <w:sz w:val="22"/>
      <w:szCs w:val="20"/>
      <w:lang w:eastAsia="en-US"/>
    </w:rPr>
  </w:style>
  <w:style w:type="paragraph" w:customStyle="1" w:styleId="ContactInformation">
    <w:name w:val="Contact Information"/>
    <w:basedOn w:val="Normal"/>
    <w:rsid w:val="005636C7"/>
    <w:pPr>
      <w:spacing w:before="40" w:line="220" w:lineRule="atLeast"/>
      <w:jc w:val="right"/>
    </w:pPr>
    <w:rPr>
      <w:rFonts w:ascii="Trebuchet MS" w:eastAsia="MS Gothic" w:hAnsi="Trebuchet MS"/>
      <w:color w:val="38ABED"/>
      <w:sz w:val="16"/>
      <w:szCs w:val="22"/>
      <w:lang w:val="en-US" w:eastAsia="en-US"/>
    </w:rPr>
  </w:style>
  <w:style w:type="character" w:customStyle="1" w:styleId="subtitle1">
    <w:name w:val="subtitle1"/>
    <w:basedOn w:val="DefaultParagraphFont"/>
    <w:rsid w:val="005636C7"/>
    <w:rPr>
      <w:b/>
      <w:bCs/>
      <w:color w:val="D12B2C"/>
      <w:sz w:val="23"/>
      <w:szCs w:val="23"/>
    </w:rPr>
  </w:style>
  <w:style w:type="paragraph" w:styleId="ListBullet2">
    <w:name w:val="List Bullet 2"/>
    <w:basedOn w:val="BodyText"/>
    <w:rsid w:val="005636C7"/>
    <w:pPr>
      <w:tabs>
        <w:tab w:val="num" w:pos="1418"/>
      </w:tabs>
      <w:spacing w:before="160" w:after="160" w:line="288" w:lineRule="auto"/>
      <w:ind w:left="1418" w:hanging="567"/>
    </w:pPr>
    <w:rPr>
      <w:rFonts w:ascii="Arial" w:eastAsia="SC STKaiti" w:hAnsi="Arial" w:cs="Arial"/>
      <w:sz w:val="20"/>
      <w:lang w:val="en-AU" w:eastAsia="zh-CN"/>
    </w:rPr>
  </w:style>
  <w:style w:type="paragraph" w:styleId="ListBullet3">
    <w:name w:val="List Bullet 3"/>
    <w:basedOn w:val="BodyText"/>
    <w:rsid w:val="005636C7"/>
    <w:pPr>
      <w:tabs>
        <w:tab w:val="num" w:pos="1985"/>
      </w:tabs>
      <w:spacing w:before="160" w:after="160" w:line="288" w:lineRule="auto"/>
      <w:ind w:left="1985" w:hanging="567"/>
    </w:pPr>
    <w:rPr>
      <w:rFonts w:ascii="Arial" w:eastAsia="SC STKaiti" w:hAnsi="Arial" w:cs="Arial"/>
      <w:sz w:val="20"/>
      <w:lang w:val="en-AU" w:eastAsia="zh-CN"/>
    </w:rPr>
  </w:style>
  <w:style w:type="paragraph" w:styleId="ListBullet4">
    <w:name w:val="List Bullet 4"/>
    <w:basedOn w:val="BodyText"/>
    <w:autoRedefine/>
    <w:rsid w:val="005636C7"/>
    <w:pPr>
      <w:tabs>
        <w:tab w:val="num" w:pos="2552"/>
      </w:tabs>
      <w:spacing w:before="160" w:after="160" w:line="288" w:lineRule="auto"/>
      <w:ind w:left="2552" w:hanging="567"/>
    </w:pPr>
    <w:rPr>
      <w:rFonts w:ascii="Arial" w:eastAsia="SimSun" w:hAnsi="Arial" w:cs="Arial"/>
      <w:sz w:val="20"/>
      <w:szCs w:val="20"/>
      <w:lang w:val="en-AU" w:eastAsia="zh-CN"/>
    </w:rPr>
  </w:style>
  <w:style w:type="paragraph" w:styleId="ListBullet5">
    <w:name w:val="List Bullet 5"/>
    <w:basedOn w:val="BodyText"/>
    <w:autoRedefine/>
    <w:rsid w:val="005636C7"/>
    <w:pPr>
      <w:tabs>
        <w:tab w:val="num" w:pos="3119"/>
      </w:tabs>
      <w:spacing w:before="160" w:after="160" w:line="288" w:lineRule="auto"/>
      <w:ind w:left="3119" w:hanging="567"/>
    </w:pPr>
    <w:rPr>
      <w:rFonts w:ascii="Arial" w:eastAsia="SimSun" w:hAnsi="Arial" w:cs="Arial"/>
      <w:sz w:val="20"/>
      <w:szCs w:val="20"/>
      <w:lang w:val="en-AU" w:eastAsia="zh-CN"/>
    </w:rPr>
  </w:style>
  <w:style w:type="paragraph" w:customStyle="1" w:styleId="Bullets-Minor">
    <w:name w:val="Bullets - Minor"/>
    <w:basedOn w:val="Bullets-Major"/>
    <w:link w:val="Bullets-MinorChar"/>
    <w:rsid w:val="005636C7"/>
    <w:pPr>
      <w:numPr>
        <w:numId w:val="0"/>
      </w:numPr>
      <w:spacing w:before="120"/>
      <w:ind w:left="567" w:hanging="567"/>
      <w:jc w:val="left"/>
    </w:pPr>
    <w:rPr>
      <w:rFonts w:ascii="Times New Roman" w:hAnsi="Times New Roman"/>
      <w:sz w:val="22"/>
      <w:szCs w:val="22"/>
    </w:rPr>
  </w:style>
  <w:style w:type="character" w:customStyle="1" w:styleId="Bullets-MinorChar">
    <w:name w:val="Bullets - Minor Char"/>
    <w:basedOn w:val="DefaultParagraphFont"/>
    <w:link w:val="Bullets-Minor"/>
    <w:locked/>
    <w:rsid w:val="005636C7"/>
    <w:rPr>
      <w:rFonts w:eastAsia="Times"/>
      <w:sz w:val="22"/>
      <w:szCs w:val="22"/>
      <w:lang w:val="en-AU" w:eastAsia="en-US"/>
    </w:rPr>
  </w:style>
  <w:style w:type="character" w:styleId="Emphasis">
    <w:name w:val="Emphasis"/>
    <w:basedOn w:val="DefaultParagraphFont"/>
    <w:uiPriority w:val="20"/>
    <w:qFormat/>
    <w:rsid w:val="005636C7"/>
    <w:rPr>
      <w:i/>
      <w:iCs/>
    </w:rPr>
  </w:style>
  <w:style w:type="paragraph" w:customStyle="1" w:styleId="tbl-txt2">
    <w:name w:val="tbl-txt2"/>
    <w:basedOn w:val="Normal"/>
    <w:rsid w:val="005636C7"/>
    <w:pPr>
      <w:spacing w:before="60" w:after="60" w:line="312" w:lineRule="atLeast"/>
    </w:pPr>
    <w:rPr>
      <w:sz w:val="22"/>
      <w:szCs w:val="22"/>
      <w:lang w:val="en-NZ" w:eastAsia="en-NZ"/>
    </w:rPr>
  </w:style>
  <w:style w:type="character" w:customStyle="1" w:styleId="TableChar">
    <w:name w:val="Table Char"/>
    <w:link w:val="Table"/>
    <w:locked/>
    <w:rsid w:val="005636C7"/>
    <w:rPr>
      <w:rFonts w:ascii="Arial" w:hAnsi="Arial" w:cs="Arial"/>
      <w:sz w:val="18"/>
    </w:rPr>
  </w:style>
  <w:style w:type="paragraph" w:customStyle="1" w:styleId="Table">
    <w:name w:val="Table"/>
    <w:basedOn w:val="Normal"/>
    <w:link w:val="TableChar"/>
    <w:qFormat/>
    <w:rsid w:val="005636C7"/>
    <w:pPr>
      <w:keepLines/>
      <w:spacing w:before="40" w:after="20"/>
      <w:jc w:val="both"/>
    </w:pPr>
    <w:rPr>
      <w:rFonts w:ascii="Arial" w:hAnsi="Arial" w:cs="Arial"/>
      <w:sz w:val="18"/>
      <w:szCs w:val="20"/>
      <w:lang w:val="en-NZ" w:eastAsia="en-NZ"/>
    </w:rPr>
  </w:style>
  <w:style w:type="paragraph" w:customStyle="1" w:styleId="e3bodytext0">
    <w:name w:val="e3bodytext"/>
    <w:basedOn w:val="Normal"/>
    <w:rsid w:val="005636C7"/>
    <w:pPr>
      <w:spacing w:before="100" w:beforeAutospacing="1" w:after="100" w:afterAutospacing="1"/>
    </w:pPr>
    <w:rPr>
      <w:rFonts w:eastAsiaTheme="minorHAnsi"/>
      <w:lang w:val="en-NZ" w:eastAsia="en-NZ"/>
    </w:rPr>
  </w:style>
  <w:style w:type="paragraph" w:customStyle="1" w:styleId="msonormal0">
    <w:name w:val="msonormal"/>
    <w:basedOn w:val="Normal"/>
    <w:uiPriority w:val="99"/>
    <w:rsid w:val="005636C7"/>
    <w:pPr>
      <w:spacing w:before="100" w:beforeAutospacing="1" w:after="100" w:afterAutospacing="1"/>
    </w:pPr>
    <w:rPr>
      <w:lang w:val="en-US" w:eastAsia="en-US"/>
    </w:rPr>
  </w:style>
  <w:style w:type="table" w:customStyle="1" w:styleId="TableGrid2">
    <w:name w:val="Table Grid2"/>
    <w:basedOn w:val="TableNormal"/>
    <w:next w:val="TableGrid"/>
    <w:rsid w:val="005636C7"/>
    <w:pPr>
      <w:spacing w:before="40" w:after="40"/>
    </w:pPr>
    <w:rPr>
      <w:rFonts w:ascii="Helvetica Neue Light" w:hAnsi="Helvetica Neue Light"/>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636C7"/>
    <w:pPr>
      <w:spacing w:before="40" w:after="40"/>
    </w:pPr>
    <w:rPr>
      <w:rFonts w:ascii="Helvetica Neue Light" w:hAnsi="Helvetica Neue Light"/>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893517">
      <w:bodyDiv w:val="1"/>
      <w:marLeft w:val="0"/>
      <w:marRight w:val="0"/>
      <w:marTop w:val="0"/>
      <w:marBottom w:val="0"/>
      <w:divBdr>
        <w:top w:val="none" w:sz="0" w:space="0" w:color="auto"/>
        <w:left w:val="none" w:sz="0" w:space="0" w:color="auto"/>
        <w:bottom w:val="none" w:sz="0" w:space="0" w:color="auto"/>
        <w:right w:val="none" w:sz="0" w:space="0" w:color="auto"/>
      </w:divBdr>
    </w:div>
    <w:div w:id="438569749">
      <w:bodyDiv w:val="1"/>
      <w:marLeft w:val="0"/>
      <w:marRight w:val="0"/>
      <w:marTop w:val="0"/>
      <w:marBottom w:val="0"/>
      <w:divBdr>
        <w:top w:val="none" w:sz="0" w:space="0" w:color="auto"/>
        <w:left w:val="none" w:sz="0" w:space="0" w:color="auto"/>
        <w:bottom w:val="none" w:sz="0" w:space="0" w:color="auto"/>
        <w:right w:val="none" w:sz="0" w:space="0" w:color="auto"/>
      </w:divBdr>
    </w:div>
    <w:div w:id="901646953">
      <w:bodyDiv w:val="1"/>
      <w:marLeft w:val="0"/>
      <w:marRight w:val="0"/>
      <w:marTop w:val="0"/>
      <w:marBottom w:val="0"/>
      <w:divBdr>
        <w:top w:val="none" w:sz="0" w:space="0" w:color="auto"/>
        <w:left w:val="none" w:sz="0" w:space="0" w:color="auto"/>
        <w:bottom w:val="none" w:sz="0" w:space="0" w:color="auto"/>
        <w:right w:val="none" w:sz="0" w:space="0" w:color="auto"/>
      </w:divBdr>
    </w:div>
    <w:div w:id="172093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5.jpeg"/><Relationship Id="rId21" Type="http://schemas.openxmlformats.org/officeDocument/2006/relationships/header" Target="header10.xml"/><Relationship Id="rId34" Type="http://schemas.openxmlformats.org/officeDocument/2006/relationships/footer" Target="footer9.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emf"/><Relationship Id="rId55" Type="http://schemas.openxmlformats.org/officeDocument/2006/relationships/oleObject" Target="embeddings/Microsoft_Visio_2003-2010_Drawing1.vsd"/><Relationship Id="rId63" Type="http://schemas.openxmlformats.org/officeDocument/2006/relationships/image" Target="media/image28.png"/><Relationship Id="rId68" Type="http://schemas.openxmlformats.org/officeDocument/2006/relationships/image" Target="media/image31.png"/><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emf"/><Relationship Id="rId58" Type="http://schemas.openxmlformats.org/officeDocument/2006/relationships/image" Target="media/image24.png"/><Relationship Id="rId66"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hyperlink" Target="http://energyrating.gov.au/document/industry-update-refrigerated-display-and-storage-cabinets-technical-working-group" TargetMode="Externa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chart" Target="charts/chart2.xml"/><Relationship Id="rId73" Type="http://schemas.openxmlformats.org/officeDocument/2006/relationships/image" Target="media/image36.emf"/><Relationship Id="rId78" Type="http://schemas.openxmlformats.org/officeDocument/2006/relationships/hyperlink" Target="http://www.energyrating.gov.au" TargetMode="External"/><Relationship Id="rId81"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oter" Target="footer7.xml"/><Relationship Id="rId30" Type="http://schemas.openxmlformats.org/officeDocument/2006/relationships/hyperlink" Target="http://www.energyrating.gov.au" TargetMode="Externa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5.emf"/><Relationship Id="rId56" Type="http://schemas.openxmlformats.org/officeDocument/2006/relationships/image" Target="media/image22.png"/><Relationship Id="rId64" Type="http://schemas.openxmlformats.org/officeDocument/2006/relationships/hyperlink" Target="http://www.energyrating.gov.au" TargetMode="External"/><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18.emf"/><Relationship Id="rId72" Type="http://schemas.openxmlformats.org/officeDocument/2006/relationships/image" Target="media/image35.emf"/><Relationship Id="rId80"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header" Target="header15.xml"/><Relationship Id="rId38" Type="http://schemas.openxmlformats.org/officeDocument/2006/relationships/footer" Target="footer11.xml"/><Relationship Id="rId46" Type="http://schemas.openxmlformats.org/officeDocument/2006/relationships/image" Target="media/image13.png"/><Relationship Id="rId59" Type="http://schemas.openxmlformats.org/officeDocument/2006/relationships/image" Target="media/image25.png"/><Relationship Id="rId67" Type="http://schemas.openxmlformats.org/officeDocument/2006/relationships/image" Target="media/image30.emf"/><Relationship Id="rId20" Type="http://schemas.openxmlformats.org/officeDocument/2006/relationships/header" Target="header9.xml"/><Relationship Id="rId41" Type="http://schemas.openxmlformats.org/officeDocument/2006/relationships/image" Target="media/image8.png"/><Relationship Id="rId54" Type="http://schemas.openxmlformats.org/officeDocument/2006/relationships/image" Target="media/image21.emf"/><Relationship Id="rId62" Type="http://schemas.openxmlformats.org/officeDocument/2006/relationships/image" Target="media/image27.jpeg"/><Relationship Id="rId70" Type="http://schemas.openxmlformats.org/officeDocument/2006/relationships/image" Target="media/image33.png"/><Relationship Id="rId75" Type="http://schemas.openxmlformats.org/officeDocument/2006/relationships/image" Target="media/image3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2.xml"/><Relationship Id="rId28" Type="http://schemas.openxmlformats.org/officeDocument/2006/relationships/hyperlink" Target="http://creativecommons.org/licences/by/3.0/au" TargetMode="External"/><Relationship Id="rId36" Type="http://schemas.openxmlformats.org/officeDocument/2006/relationships/footer" Target="footer10.xml"/><Relationship Id="rId49" Type="http://schemas.openxmlformats.org/officeDocument/2006/relationships/image" Target="media/image16.emf"/><Relationship Id="rId57" Type="http://schemas.openxmlformats.org/officeDocument/2006/relationships/image" Target="media/image23.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nergyrating.gov.au/retailers/labellingresources" TargetMode="External"/><Relationship Id="rId2" Type="http://schemas.openxmlformats.org/officeDocument/2006/relationships/hyperlink" Target="https://www.gov.uk/guidance/energy-technology-list" TargetMode="External"/><Relationship Id="rId1" Type="http://schemas.openxmlformats.org/officeDocument/2006/relationships/hyperlink" Target="http://www.energyrating.gov.au/retailers/labellingresources"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brodribb:Dropbox:RDC%20RIS:RIS%20analysis:RIS%20Model%20Inputs%20V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itzgeb\AppData\Local\Microsoft\Windows\INetCache\Content.Outlook\TT3KEZNG\RDC%20DRIS%20Outputs%20V1.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2"/>
            <c:bubble3D val="0"/>
            <c:spPr>
              <a:solidFill>
                <a:srgbClr val="9999FF"/>
              </a:solidFill>
            </c:spPr>
            <c:extLst xmlns:c16r2="http://schemas.microsoft.com/office/drawing/2015/06/chart">
              <c:ext xmlns:c16="http://schemas.microsoft.com/office/drawing/2014/chart" uri="{C3380CC4-5D6E-409C-BE32-E72D297353CC}">
                <c16:uniqueId val="{00000001-044D-407A-ADF4-AD069286DAB4}"/>
              </c:ext>
            </c:extLst>
          </c:dPt>
          <c:dPt>
            <c:idx val="7"/>
            <c:bubble3D val="0"/>
            <c:spPr>
              <a:solidFill>
                <a:srgbClr val="CC66FF"/>
              </a:solidFill>
            </c:spPr>
            <c:extLst xmlns:c16r2="http://schemas.microsoft.com/office/drawing/2015/06/chart">
              <c:ext xmlns:c16="http://schemas.microsoft.com/office/drawing/2014/chart" uri="{C3380CC4-5D6E-409C-BE32-E72D297353CC}">
                <c16:uniqueId val="{00000003-044D-407A-ADF4-AD069286DAB4}"/>
              </c:ext>
            </c:extLst>
          </c:dPt>
          <c:dPt>
            <c:idx val="13"/>
            <c:bubble3D val="0"/>
            <c:spPr>
              <a:solidFill>
                <a:srgbClr val="996633"/>
              </a:solidFill>
            </c:spPr>
            <c:extLst xmlns:c16r2="http://schemas.microsoft.com/office/drawing/2015/06/chart">
              <c:ext xmlns:c16="http://schemas.microsoft.com/office/drawing/2014/chart" uri="{C3380CC4-5D6E-409C-BE32-E72D297353CC}">
                <c16:uniqueId val="{00000005-044D-407A-ADF4-AD069286DAB4}"/>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'Grouped Types'!$C$39:$C$53</c:f>
              <c:strCache>
                <c:ptCount val="15"/>
                <c:pt idx="0">
                  <c:v>IRH</c:v>
                </c:pt>
                <c:pt idx="1">
                  <c:v>IRV</c:v>
                </c:pt>
                <c:pt idx="2">
                  <c:v>IRV-4</c:v>
                </c:pt>
                <c:pt idx="3">
                  <c:v>IFH</c:v>
                </c:pt>
                <c:pt idx="4">
                  <c:v>IFH-5</c:v>
                </c:pt>
                <c:pt idx="5">
                  <c:v>IFV</c:v>
                </c:pt>
                <c:pt idx="6">
                  <c:v>RRH</c:v>
                </c:pt>
                <c:pt idx="7">
                  <c:v>RRV</c:v>
                </c:pt>
                <c:pt idx="8">
                  <c:v>RRV-2</c:v>
                </c:pt>
                <c:pt idx="9">
                  <c:v>RFH</c:v>
                </c:pt>
                <c:pt idx="10">
                  <c:v>RFV</c:v>
                </c:pt>
                <c:pt idx="11">
                  <c:v>SRH</c:v>
                </c:pt>
                <c:pt idx="12">
                  <c:v>SRV</c:v>
                </c:pt>
                <c:pt idx="13">
                  <c:v>SFH</c:v>
                </c:pt>
                <c:pt idx="14">
                  <c:v>SFV</c:v>
                </c:pt>
              </c:strCache>
            </c:strRef>
          </c:cat>
          <c:val>
            <c:numRef>
              <c:f>'Grouped Types'!$D$39:$D$53</c:f>
              <c:numCache>
                <c:formatCode>0.0%</c:formatCode>
                <c:ptCount val="15"/>
                <c:pt idx="0">
                  <c:v>1.4355773517610301E-2</c:v>
                </c:pt>
                <c:pt idx="1">
                  <c:v>6.1346411056620601E-2</c:v>
                </c:pt>
                <c:pt idx="2">
                  <c:v>0.48238519839500699</c:v>
                </c:pt>
                <c:pt idx="3">
                  <c:v>6.0633080695497096E-3</c:v>
                </c:pt>
                <c:pt idx="4">
                  <c:v>2.7730717788675901E-2</c:v>
                </c:pt>
                <c:pt idx="5">
                  <c:v>2.72848863129737E-2</c:v>
                </c:pt>
                <c:pt idx="6">
                  <c:v>1.20749778787962E-2</c:v>
                </c:pt>
                <c:pt idx="7">
                  <c:v>2.7932478948540701E-2</c:v>
                </c:pt>
                <c:pt idx="8">
                  <c:v>0.107365465958453</c:v>
                </c:pt>
                <c:pt idx="9">
                  <c:v>9.7472712997511805E-3</c:v>
                </c:pt>
                <c:pt idx="10">
                  <c:v>2.37135107740215E-2</c:v>
                </c:pt>
                <c:pt idx="11">
                  <c:v>2.8000000000000001E-2</c:v>
                </c:pt>
                <c:pt idx="12">
                  <c:v>0.11</c:v>
                </c:pt>
                <c:pt idx="13">
                  <c:v>0.01</c:v>
                </c:pt>
                <c:pt idx="14">
                  <c:v>5.1999999999999998E-2</c:v>
                </c:pt>
              </c:numCache>
            </c:numRef>
          </c:val>
          <c:extLst xmlns:c16r2="http://schemas.microsoft.com/office/drawing/2015/06/chart">
            <c:ext xmlns:c16="http://schemas.microsoft.com/office/drawing/2014/chart" uri="{C3380CC4-5D6E-409C-BE32-E72D297353CC}">
              <c16:uniqueId val="{00000006-044D-407A-ADF4-AD069286DAB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Energy Consumption (GWh pa)</a:t>
            </a:r>
          </a:p>
        </c:rich>
      </c:tx>
      <c:overlay val="0"/>
    </c:title>
    <c:autoTitleDeleted val="0"/>
    <c:plotArea>
      <c:layout/>
      <c:lineChart>
        <c:grouping val="standard"/>
        <c:varyColors val="0"/>
        <c:ser>
          <c:idx val="1"/>
          <c:order val="0"/>
          <c:tx>
            <c:v>BAU-AU</c:v>
          </c:tx>
          <c:marker>
            <c:symbol val="none"/>
          </c:marker>
          <c:cat>
            <c:numLit>
              <c:formatCode>General</c:formatCode>
              <c:ptCount val="3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numLit>
          </c:cat>
          <c:val>
            <c:numLit>
              <c:formatCode>#,##0</c:formatCode>
              <c:ptCount val="36"/>
              <c:pt idx="0">
                <c:v>3939.8646386574874</c:v>
              </c:pt>
              <c:pt idx="1">
                <c:v>4206.5828090839177</c:v>
              </c:pt>
              <c:pt idx="2">
                <c:v>4469.4188713246094</c:v>
              </c:pt>
              <c:pt idx="3">
                <c:v>4729.593681439952</c:v>
              </c:pt>
              <c:pt idx="4">
                <c:v>4987.9457714902946</c:v>
              </c:pt>
              <c:pt idx="5">
                <c:v>5137.4685753837175</c:v>
              </c:pt>
              <c:pt idx="6">
                <c:v>5283.9717571861456</c:v>
              </c:pt>
              <c:pt idx="7">
                <c:v>5406.090650521588</c:v>
              </c:pt>
              <c:pt idx="8">
                <c:v>5524.6547741715885</c:v>
              </c:pt>
              <c:pt idx="9">
                <c:v>5657.0357809381849</c:v>
              </c:pt>
              <c:pt idx="10">
                <c:v>5787.5639090926488</c:v>
              </c:pt>
              <c:pt idx="11">
                <c:v>5900.1808392523299</c:v>
              </c:pt>
              <c:pt idx="12">
                <c:v>6014.0444003152807</c:v>
              </c:pt>
              <c:pt idx="13">
                <c:v>6088.1123503288718</c:v>
              </c:pt>
              <c:pt idx="14">
                <c:v>6161.1677725530881</c:v>
              </c:pt>
              <c:pt idx="15">
                <c:v>6230.673018934126</c:v>
              </c:pt>
              <c:pt idx="16">
                <c:v>6307.6813532221649</c:v>
              </c:pt>
              <c:pt idx="17">
                <c:v>6389.9868138216934</c:v>
              </c:pt>
              <c:pt idx="18">
                <c:v>6478.7846994781876</c:v>
              </c:pt>
              <c:pt idx="19">
                <c:v>6568.2230532488693</c:v>
              </c:pt>
              <c:pt idx="20">
                <c:v>6656.166956696864</c:v>
              </c:pt>
              <c:pt idx="21">
                <c:v>6740.9043997847084</c:v>
              </c:pt>
              <c:pt idx="22">
                <c:v>6821.8689767638143</c:v>
              </c:pt>
              <c:pt idx="23">
                <c:v>6900.6657817518972</c:v>
              </c:pt>
              <c:pt idx="24">
                <c:v>6978.7730305466621</c:v>
              </c:pt>
              <c:pt idx="25">
                <c:v>7056.4862760330961</c:v>
              </c:pt>
              <c:pt idx="26">
                <c:v>7134.3816001366158</c:v>
              </c:pt>
              <c:pt idx="27">
                <c:v>7210.3074279728562</c:v>
              </c:pt>
              <c:pt idx="28">
                <c:v>7283.7007023970773</c:v>
              </c:pt>
              <c:pt idx="29">
                <c:v>7354.2183861247304</c:v>
              </c:pt>
              <c:pt idx="30">
                <c:v>7421.4380733782937</c:v>
              </c:pt>
              <c:pt idx="31">
                <c:v>7485.4288149141439</c:v>
              </c:pt>
              <c:pt idx="32">
                <c:v>7546.3016575015436</c:v>
              </c:pt>
              <c:pt idx="33">
                <c:v>7604.1886385138887</c:v>
              </c:pt>
              <c:pt idx="34">
                <c:v>7659.2241084294328</c:v>
              </c:pt>
              <c:pt idx="35">
                <c:v>7711.5627975810548</c:v>
              </c:pt>
            </c:numLit>
          </c:val>
          <c:smooth val="0"/>
          <c:extLst xmlns:c16r2="http://schemas.microsoft.com/office/drawing/2015/06/chart">
            <c:ext xmlns:c16="http://schemas.microsoft.com/office/drawing/2014/chart" uri="{C3380CC4-5D6E-409C-BE32-E72D297353CC}">
              <c16:uniqueId val="{00000000-8B89-4649-9A8E-7A348C99578D}"/>
            </c:ext>
          </c:extLst>
        </c:ser>
        <c:ser>
          <c:idx val="2"/>
          <c:order val="1"/>
          <c:tx>
            <c:v>Policy-AU</c:v>
          </c:tx>
          <c:spPr>
            <a:ln>
              <a:solidFill>
                <a:schemeClr val="accent2"/>
              </a:solidFill>
              <a:prstDash val="sysDash"/>
            </a:ln>
          </c:spPr>
          <c:marker>
            <c:symbol val="none"/>
          </c:marker>
          <c:cat>
            <c:numLit>
              <c:formatCode>General</c:formatCode>
              <c:ptCount val="3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numLit>
          </c:cat>
          <c:val>
            <c:numLit>
              <c:formatCode>#,##0</c:formatCode>
              <c:ptCount val="36"/>
              <c:pt idx="0">
                <c:v>3939.8646386574874</c:v>
              </c:pt>
              <c:pt idx="1">
                <c:v>4206.5828090839177</c:v>
              </c:pt>
              <c:pt idx="2">
                <c:v>4469.4188713246094</c:v>
              </c:pt>
              <c:pt idx="3">
                <c:v>4729.593681439952</c:v>
              </c:pt>
              <c:pt idx="4">
                <c:v>4987.9457714902946</c:v>
              </c:pt>
              <c:pt idx="5">
                <c:v>5137.4685753837175</c:v>
              </c:pt>
              <c:pt idx="6">
                <c:v>5283.9717571861456</c:v>
              </c:pt>
              <c:pt idx="7">
                <c:v>5406.090650521588</c:v>
              </c:pt>
              <c:pt idx="8">
                <c:v>5524.6547741715885</c:v>
              </c:pt>
              <c:pt idx="9">
                <c:v>5657.0357809381849</c:v>
              </c:pt>
              <c:pt idx="10">
                <c:v>5787.5639090926488</c:v>
              </c:pt>
              <c:pt idx="11">
                <c:v>5900.1808392523299</c:v>
              </c:pt>
              <c:pt idx="12">
                <c:v>6014.0444003152807</c:v>
              </c:pt>
              <c:pt idx="13">
                <c:v>6088.1123503288718</c:v>
              </c:pt>
              <c:pt idx="14">
                <c:v>6161.1677725530881</c:v>
              </c:pt>
              <c:pt idx="15">
                <c:v>6230.673018934126</c:v>
              </c:pt>
              <c:pt idx="16">
                <c:v>6307.6813532221649</c:v>
              </c:pt>
              <c:pt idx="17">
                <c:v>6389.9868138216934</c:v>
              </c:pt>
              <c:pt idx="18">
                <c:v>6478.7846994781876</c:v>
              </c:pt>
              <c:pt idx="19">
                <c:v>6568.2230532488693</c:v>
              </c:pt>
              <c:pt idx="20">
                <c:v>6646.2520511197163</c:v>
              </c:pt>
              <c:pt idx="21">
                <c:v>6719.3206594421345</c:v>
              </c:pt>
              <c:pt idx="22">
                <c:v>6786.8384963142616</c:v>
              </c:pt>
              <c:pt idx="23">
                <c:v>6850.3904730050162</c:v>
              </c:pt>
              <c:pt idx="24">
                <c:v>6911.4421638145595</c:v>
              </c:pt>
              <c:pt idx="25">
                <c:v>6970.8597265976787</c:v>
              </c:pt>
              <c:pt idx="26">
                <c:v>7029.2755395508302</c:v>
              </c:pt>
              <c:pt idx="27">
                <c:v>7084.6461908687552</c:v>
              </c:pt>
              <c:pt idx="28">
                <c:v>7136.5993318428846</c:v>
              </c:pt>
              <c:pt idx="29">
                <c:v>7185.0978622141001</c:v>
              </c:pt>
              <c:pt idx="30">
                <c:v>7230.148702451299</c:v>
              </c:pt>
              <c:pt idx="31">
                <c:v>7272.2950235852113</c:v>
              </c:pt>
              <c:pt idx="32">
                <c:v>7311.9673082724066</c:v>
              </c:pt>
              <c:pt idx="33">
                <c:v>7349.587103875735</c:v>
              </c:pt>
              <c:pt idx="34">
                <c:v>7384.9986384134299</c:v>
              </c:pt>
              <c:pt idx="35">
                <c:v>7418.311648556908</c:v>
              </c:pt>
            </c:numLit>
          </c:val>
          <c:smooth val="0"/>
          <c:extLst xmlns:c16r2="http://schemas.microsoft.com/office/drawing/2015/06/chart">
            <c:ext xmlns:c16="http://schemas.microsoft.com/office/drawing/2014/chart" uri="{C3380CC4-5D6E-409C-BE32-E72D297353CC}">
              <c16:uniqueId val="{00000001-8B89-4649-9A8E-7A348C99578D}"/>
            </c:ext>
          </c:extLst>
        </c:ser>
        <c:ser>
          <c:idx val="0"/>
          <c:order val="2"/>
          <c:tx>
            <c:v>BAU-NZ</c:v>
          </c:tx>
          <c:marker>
            <c:symbol val="none"/>
          </c:marker>
          <c:val>
            <c:numLit>
              <c:formatCode>#,##0</c:formatCode>
              <c:ptCount val="36"/>
              <c:pt idx="0">
                <c:v>757.68696101159208</c:v>
              </c:pt>
              <c:pt idx="1">
                <c:v>808.95850294629054</c:v>
              </c:pt>
              <c:pt idx="2">
                <c:v>859.48508103919789</c:v>
              </c:pt>
              <c:pt idx="3">
                <c:v>909.50135675007107</c:v>
              </c:pt>
              <c:pt idx="4">
                <c:v>959.16812317691654</c:v>
              </c:pt>
              <c:pt idx="5">
                <c:v>987.91877621326842</c:v>
              </c:pt>
              <c:pt idx="6">
                <c:v>1016.0888966798893</c:v>
              </c:pt>
              <c:pt idx="7">
                <c:v>1039.5504941351548</c:v>
              </c:pt>
              <c:pt idx="8">
                <c:v>1062.3273310420327</c:v>
              </c:pt>
              <c:pt idx="9">
                <c:v>1087.744258903356</c:v>
              </c:pt>
              <c:pt idx="10">
                <c:v>1112.8037022581548</c:v>
              </c:pt>
              <c:pt idx="11">
                <c:v>1134.4218533930564</c:v>
              </c:pt>
              <c:pt idx="12">
                <c:v>1156.2811145127175</c:v>
              </c:pt>
              <c:pt idx="13">
                <c:v>1170.4976572609901</c:v>
              </c:pt>
              <c:pt idx="14">
                <c:v>1183.5511005053206</c:v>
              </c:pt>
              <c:pt idx="15">
                <c:v>1194.9277507323832</c:v>
              </c:pt>
              <c:pt idx="16">
                <c:v>1206.8268553212486</c:v>
              </c:pt>
              <c:pt idx="17">
                <c:v>1218.922241144513</c:v>
              </c:pt>
              <c:pt idx="18">
                <c:v>1231.532278803257</c:v>
              </c:pt>
              <c:pt idx="19">
                <c:v>1243.6328384310254</c:v>
              </c:pt>
              <c:pt idx="20">
                <c:v>1254.9186000183886</c:v>
              </c:pt>
              <c:pt idx="21">
                <c:v>1265.0733378824198</c:v>
              </c:pt>
              <c:pt idx="22">
                <c:v>1274.0166183117253</c:v>
              </c:pt>
              <c:pt idx="23">
                <c:v>1282.1068392875209</c:v>
              </c:pt>
              <c:pt idx="24">
                <c:v>1289.7086504380295</c:v>
              </c:pt>
              <c:pt idx="25">
                <c:v>1296.9850043618392</c:v>
              </c:pt>
              <c:pt idx="26">
                <c:v>1304.260145265559</c:v>
              </c:pt>
              <c:pt idx="27">
                <c:v>1311.3331167688611</c:v>
              </c:pt>
              <c:pt idx="28">
                <c:v>1318.2558854843351</c:v>
              </c:pt>
              <c:pt idx="29">
                <c:v>1325.0966680131455</c:v>
              </c:pt>
              <c:pt idx="30">
                <c:v>1331.8909708083233</c:v>
              </c:pt>
              <c:pt idx="31">
                <c:v>1338.6438285806685</c:v>
              </c:pt>
              <c:pt idx="32">
                <c:v>1345.3632335954378</c:v>
              </c:pt>
              <c:pt idx="33">
                <c:v>1352.059470520984</c:v>
              </c:pt>
              <c:pt idx="34">
                <c:v>1358.7434210723713</c:v>
              </c:pt>
              <c:pt idx="35">
                <c:v>1365.4251922471649</c:v>
              </c:pt>
            </c:numLit>
          </c:val>
          <c:smooth val="0"/>
          <c:extLst xmlns:c16r2="http://schemas.microsoft.com/office/drawing/2015/06/chart">
            <c:ext xmlns:c16="http://schemas.microsoft.com/office/drawing/2014/chart" uri="{C3380CC4-5D6E-409C-BE32-E72D297353CC}">
              <c16:uniqueId val="{00000002-8B89-4649-9A8E-7A348C99578D}"/>
            </c:ext>
          </c:extLst>
        </c:ser>
        <c:ser>
          <c:idx val="3"/>
          <c:order val="3"/>
          <c:tx>
            <c:v>Policy-NZ</c:v>
          </c:tx>
          <c:spPr>
            <a:ln>
              <a:solidFill>
                <a:schemeClr val="accent1"/>
              </a:solidFill>
              <a:prstDash val="sysDash"/>
            </a:ln>
          </c:spPr>
          <c:marker>
            <c:symbol val="none"/>
          </c:marker>
          <c:val>
            <c:numLit>
              <c:formatCode>#,##0</c:formatCode>
              <c:ptCount val="36"/>
              <c:pt idx="0">
                <c:v>757.68696101159208</c:v>
              </c:pt>
              <c:pt idx="1">
                <c:v>808.95850294629054</c:v>
              </c:pt>
              <c:pt idx="2">
                <c:v>859.48508103919789</c:v>
              </c:pt>
              <c:pt idx="3">
                <c:v>909.50135675007107</c:v>
              </c:pt>
              <c:pt idx="4">
                <c:v>959.16812317691654</c:v>
              </c:pt>
              <c:pt idx="5">
                <c:v>987.91877621326842</c:v>
              </c:pt>
              <c:pt idx="6">
                <c:v>1016.0888966798893</c:v>
              </c:pt>
              <c:pt idx="7">
                <c:v>1039.5504941351548</c:v>
              </c:pt>
              <c:pt idx="8">
                <c:v>1062.3273310420327</c:v>
              </c:pt>
              <c:pt idx="9">
                <c:v>1087.744258903356</c:v>
              </c:pt>
              <c:pt idx="10">
                <c:v>1112.8037022581548</c:v>
              </c:pt>
              <c:pt idx="11">
                <c:v>1134.4218533930564</c:v>
              </c:pt>
              <c:pt idx="12">
                <c:v>1156.2811145127175</c:v>
              </c:pt>
              <c:pt idx="13">
                <c:v>1170.4976572609901</c:v>
              </c:pt>
              <c:pt idx="14">
                <c:v>1183.5511005053206</c:v>
              </c:pt>
              <c:pt idx="15">
                <c:v>1194.9277507323832</c:v>
              </c:pt>
              <c:pt idx="16">
                <c:v>1206.8268553212486</c:v>
              </c:pt>
              <c:pt idx="17">
                <c:v>1218.922241144513</c:v>
              </c:pt>
              <c:pt idx="18">
                <c:v>1231.532278803257</c:v>
              </c:pt>
              <c:pt idx="19">
                <c:v>1243.6328384310254</c:v>
              </c:pt>
              <c:pt idx="20">
                <c:v>1253.1154536732531</c:v>
              </c:pt>
              <c:pt idx="21">
                <c:v>1261.1578658991632</c:v>
              </c:pt>
              <c:pt idx="22">
                <c:v>1267.6784023280854</c:v>
              </c:pt>
              <c:pt idx="23">
                <c:v>1273.034963084438</c:v>
              </c:pt>
              <c:pt idx="24">
                <c:v>1277.5931212722467</c:v>
              </c:pt>
              <c:pt idx="25">
                <c:v>1281.6205656992743</c:v>
              </c:pt>
              <c:pt idx="26">
                <c:v>1285.4505323424737</c:v>
              </c:pt>
              <c:pt idx="27">
                <c:v>1288.8997822941635</c:v>
              </c:pt>
              <c:pt idx="28">
                <c:v>1292.0522553407304</c:v>
              </c:pt>
              <c:pt idx="29">
                <c:v>1295.0282473935931</c:v>
              </c:pt>
              <c:pt idx="30">
                <c:v>1297.9367625734812</c:v>
              </c:pt>
              <c:pt idx="31">
                <c:v>1300.8679104900934</c:v>
              </c:pt>
              <c:pt idx="32">
                <c:v>1303.8857432797033</c:v>
              </c:pt>
              <c:pt idx="33">
                <c:v>1307.0508194381212</c:v>
              </c:pt>
              <c:pt idx="34">
                <c:v>1310.3190632877395</c:v>
              </c:pt>
              <c:pt idx="35">
                <c:v>1313.6903217810843</c:v>
              </c:pt>
            </c:numLit>
          </c:val>
          <c:smooth val="0"/>
          <c:extLst xmlns:c16r2="http://schemas.microsoft.com/office/drawing/2015/06/chart">
            <c:ext xmlns:c16="http://schemas.microsoft.com/office/drawing/2014/chart" uri="{C3380CC4-5D6E-409C-BE32-E72D297353CC}">
              <c16:uniqueId val="{00000003-8B89-4649-9A8E-7A348C99578D}"/>
            </c:ext>
          </c:extLst>
        </c:ser>
        <c:dLbls>
          <c:showLegendKey val="0"/>
          <c:showVal val="0"/>
          <c:showCatName val="0"/>
          <c:showSerName val="0"/>
          <c:showPercent val="0"/>
          <c:showBubbleSize val="0"/>
        </c:dLbls>
        <c:smooth val="0"/>
        <c:axId val="761666784"/>
        <c:axId val="761667176"/>
      </c:lineChart>
      <c:catAx>
        <c:axId val="761666784"/>
        <c:scaling>
          <c:orientation val="minMax"/>
        </c:scaling>
        <c:delete val="0"/>
        <c:axPos val="b"/>
        <c:numFmt formatCode="General" sourceLinked="1"/>
        <c:majorTickMark val="out"/>
        <c:minorTickMark val="none"/>
        <c:tickLblPos val="nextTo"/>
        <c:txPr>
          <a:bodyPr/>
          <a:lstStyle/>
          <a:p>
            <a:pPr>
              <a:defRPr b="1"/>
            </a:pPr>
            <a:endParaRPr lang="en-US"/>
          </a:p>
        </c:txPr>
        <c:crossAx val="761667176"/>
        <c:crosses val="autoZero"/>
        <c:auto val="1"/>
        <c:lblAlgn val="ctr"/>
        <c:lblOffset val="100"/>
        <c:noMultiLvlLbl val="0"/>
      </c:catAx>
      <c:valAx>
        <c:axId val="761667176"/>
        <c:scaling>
          <c:orientation val="minMax"/>
        </c:scaling>
        <c:delete val="0"/>
        <c:axPos val="l"/>
        <c:majorGridlines/>
        <c:numFmt formatCode="#,##0" sourceLinked="1"/>
        <c:majorTickMark val="out"/>
        <c:minorTickMark val="none"/>
        <c:tickLblPos val="nextTo"/>
        <c:txPr>
          <a:bodyPr/>
          <a:lstStyle/>
          <a:p>
            <a:pPr>
              <a:defRPr b="1"/>
            </a:pPr>
            <a:endParaRPr lang="en-US"/>
          </a:p>
        </c:txPr>
        <c:crossAx val="761666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DED45-5DC6-4853-B905-CDB65909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48282</Words>
  <Characters>275213</Characters>
  <Application>Microsoft Office Word</Application>
  <DocSecurity>4</DocSecurity>
  <Lines>2293</Lines>
  <Paragraphs>645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2020-08-10T04:42:00Z</dcterms:created>
  <dcterms:modified xsi:type="dcterms:W3CDTF">2020-08-10T04:42:00Z</dcterms:modified>
</cp:coreProperties>
</file>