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B61CF" w14:textId="77777777" w:rsidR="00A419EA" w:rsidRDefault="00ED081D" w:rsidP="009A530B">
      <w:pPr>
        <w:spacing w:before="100" w:beforeAutospacing="1" w:after="100" w:afterAutospacing="1"/>
        <w:jc w:val="center"/>
        <w:rPr>
          <w:rFonts w:ascii="Times New Roman" w:eastAsia="Times New Roman" w:hAnsi="Times New Roman" w:cs="Times New Roman"/>
          <w:b/>
          <w:bCs/>
          <w:sz w:val="24"/>
          <w:szCs w:val="24"/>
          <w:u w:val="single"/>
          <w:lang w:eastAsia="en-AU"/>
        </w:rPr>
      </w:pPr>
      <w:bookmarkStart w:id="0" w:name="_GoBack"/>
      <w:bookmarkEnd w:id="0"/>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14:paraId="7A143476" w14:textId="77777777" w:rsidR="00B60F0C" w:rsidRPr="00625284" w:rsidRDefault="00B60F0C" w:rsidP="00B60F0C">
      <w:pPr>
        <w:jc w:val="center"/>
        <w:rPr>
          <w:rFonts w:ascii="Times New Roman" w:hAnsi="Times New Roman"/>
          <w:bCs/>
          <w:i/>
          <w:iCs/>
          <w:szCs w:val="24"/>
        </w:rPr>
      </w:pPr>
      <w:r w:rsidRPr="00625284">
        <w:rPr>
          <w:rFonts w:ascii="Times New Roman" w:hAnsi="Times New Roman"/>
          <w:bCs/>
          <w:i/>
          <w:iCs/>
          <w:szCs w:val="24"/>
        </w:rPr>
        <w:t>Therapeutic Goods Act 1989</w:t>
      </w:r>
    </w:p>
    <w:p w14:paraId="742D9337" w14:textId="0C36BC4C" w:rsidR="00EF1F18" w:rsidRPr="008727AB" w:rsidRDefault="00EF1F18" w:rsidP="009A530B">
      <w:pPr>
        <w:spacing w:before="100" w:beforeAutospacing="1" w:after="100" w:afterAutospacing="1"/>
        <w:jc w:val="center"/>
        <w:rPr>
          <w:rFonts w:ascii="Times New Roman" w:eastAsia="Times New Roman" w:hAnsi="Times New Roman" w:cs="Times New Roman"/>
          <w:bCs/>
          <w:i/>
          <w:sz w:val="24"/>
          <w:szCs w:val="24"/>
          <w:lang w:eastAsia="en-AU"/>
        </w:rPr>
      </w:pPr>
      <w:r w:rsidRPr="008727AB">
        <w:rPr>
          <w:rFonts w:ascii="Times New Roman" w:eastAsia="Times New Roman" w:hAnsi="Times New Roman" w:cs="Times New Roman"/>
          <w:bCs/>
          <w:i/>
          <w:sz w:val="24"/>
          <w:szCs w:val="24"/>
          <w:lang w:eastAsia="en-AU"/>
        </w:rPr>
        <w:t>Therapeutic Goods</w:t>
      </w:r>
      <w:r w:rsidR="008727AB" w:rsidRPr="008727AB">
        <w:rPr>
          <w:rFonts w:ascii="Times New Roman" w:eastAsia="Times New Roman" w:hAnsi="Times New Roman" w:cs="Times New Roman"/>
          <w:bCs/>
          <w:i/>
          <w:sz w:val="24"/>
          <w:szCs w:val="24"/>
          <w:lang w:eastAsia="en-AU"/>
        </w:rPr>
        <w:t xml:space="preserve"> </w:t>
      </w:r>
      <w:r w:rsidRPr="008727AB">
        <w:rPr>
          <w:rFonts w:ascii="Times New Roman" w:eastAsia="Times New Roman" w:hAnsi="Times New Roman" w:cs="Times New Roman"/>
          <w:bCs/>
          <w:i/>
          <w:sz w:val="24"/>
          <w:szCs w:val="24"/>
          <w:lang w:eastAsia="en-AU"/>
        </w:rPr>
        <w:t>(Permissible Ingredients) Determination </w:t>
      </w:r>
      <w:r w:rsidR="00045C71">
        <w:rPr>
          <w:rFonts w:ascii="Times New Roman" w:eastAsia="Times New Roman" w:hAnsi="Times New Roman" w:cs="Times New Roman"/>
          <w:bCs/>
          <w:i/>
          <w:sz w:val="24"/>
          <w:szCs w:val="24"/>
          <w:lang w:eastAsia="en-AU"/>
        </w:rPr>
        <w:t>(No.</w:t>
      </w:r>
      <w:r w:rsidR="00B60F0C">
        <w:rPr>
          <w:rFonts w:ascii="Times New Roman" w:eastAsia="Times New Roman" w:hAnsi="Times New Roman" w:cs="Times New Roman"/>
          <w:bCs/>
          <w:i/>
          <w:sz w:val="24"/>
          <w:szCs w:val="24"/>
          <w:lang w:eastAsia="en-AU"/>
        </w:rPr>
        <w:t xml:space="preserve"> </w:t>
      </w:r>
      <w:r w:rsidR="00E33DD5">
        <w:rPr>
          <w:rFonts w:ascii="Times New Roman" w:eastAsia="Times New Roman" w:hAnsi="Times New Roman" w:cs="Times New Roman"/>
          <w:bCs/>
          <w:i/>
          <w:sz w:val="24"/>
          <w:szCs w:val="24"/>
          <w:lang w:eastAsia="en-AU"/>
        </w:rPr>
        <w:t>3</w:t>
      </w:r>
      <w:r w:rsidR="00045C71">
        <w:rPr>
          <w:rFonts w:ascii="Times New Roman" w:eastAsia="Times New Roman" w:hAnsi="Times New Roman" w:cs="Times New Roman"/>
          <w:bCs/>
          <w:i/>
          <w:sz w:val="24"/>
          <w:szCs w:val="24"/>
          <w:lang w:eastAsia="en-AU"/>
        </w:rPr>
        <w:t xml:space="preserve">) </w:t>
      </w:r>
      <w:r w:rsidR="00685980" w:rsidRPr="008727AB">
        <w:rPr>
          <w:rFonts w:ascii="Times New Roman" w:eastAsia="Times New Roman" w:hAnsi="Times New Roman" w:cs="Times New Roman"/>
          <w:bCs/>
          <w:i/>
          <w:sz w:val="24"/>
          <w:szCs w:val="24"/>
          <w:lang w:eastAsia="en-AU"/>
        </w:rPr>
        <w:t>20</w:t>
      </w:r>
      <w:r w:rsidR="009A1C10">
        <w:rPr>
          <w:rFonts w:ascii="Times New Roman" w:eastAsia="Times New Roman" w:hAnsi="Times New Roman" w:cs="Times New Roman"/>
          <w:bCs/>
          <w:i/>
          <w:sz w:val="24"/>
          <w:szCs w:val="24"/>
          <w:lang w:eastAsia="en-AU"/>
        </w:rPr>
        <w:t>20</w:t>
      </w:r>
    </w:p>
    <w:p w14:paraId="1375AB08" w14:textId="35DCC3C6"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 and timely availability of therapeutic goods that are used in, or exported from, Australia.  The Act is administered by the Therapeutic Goods Administration (“the </w:t>
      </w:r>
      <w:r w:rsidR="00B60F0C">
        <w:rPr>
          <w:rFonts w:ascii="Times New Roman" w:eastAsia="Times New Roman" w:hAnsi="Times New Roman" w:cs="Times New Roman"/>
          <w:sz w:val="24"/>
          <w:szCs w:val="24"/>
          <w:lang w:eastAsia="en-AU"/>
        </w:rPr>
        <w:t>TGA</w:t>
      </w:r>
      <w:r>
        <w:rPr>
          <w:rFonts w:ascii="Times New Roman" w:eastAsia="Times New Roman" w:hAnsi="Times New Roman" w:cs="Times New Roman"/>
          <w:sz w:val="24"/>
          <w:szCs w:val="24"/>
          <w:lang w:eastAsia="en-AU"/>
        </w:rPr>
        <w:t>”) within the Australian Government Department of Health.</w:t>
      </w:r>
    </w:p>
    <w:p w14:paraId="242F03BC"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p>
    <w:p w14:paraId="3AAF151F"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26BB of the Act relevantly provides that the Minister of Health may, by legislative instrument, make a determination </w:t>
      </w:r>
      <w:r w:rsidR="004E05C9">
        <w:rPr>
          <w:rFonts w:ascii="Times New Roman" w:eastAsia="Times New Roman" w:hAnsi="Times New Roman" w:cs="Times New Roman"/>
          <w:sz w:val="24"/>
          <w:szCs w:val="24"/>
          <w:lang w:eastAsia="en-AU"/>
        </w:rPr>
        <w:t>specifying ingredients and, for some or all of those ingredients, requirements in relation to those ingredients being contained in a medicine.  Under subsections 26BB(2), (2A) and (3) of the Act, such requirements may relate to particular ingredients not being con</w:t>
      </w:r>
      <w:r w:rsidR="00226F3C">
        <w:rPr>
          <w:rFonts w:ascii="Times New Roman" w:eastAsia="Times New Roman" w:hAnsi="Times New Roman" w:cs="Times New Roman"/>
          <w:sz w:val="24"/>
          <w:szCs w:val="24"/>
          <w:lang w:eastAsia="en-AU"/>
        </w:rPr>
        <w:t xml:space="preserve">tained in particular medicines or </w:t>
      </w:r>
      <w:r w:rsidR="004E05C9">
        <w:rPr>
          <w:rFonts w:ascii="Times New Roman" w:eastAsia="Times New Roman" w:hAnsi="Times New Roman" w:cs="Times New Roman"/>
          <w:sz w:val="24"/>
          <w:szCs w:val="24"/>
          <w:lang w:eastAsia="en-AU"/>
        </w:rPr>
        <w:t>being contained in p</w:t>
      </w:r>
      <w:r w:rsidR="00226F3C">
        <w:rPr>
          <w:rFonts w:ascii="Times New Roman" w:eastAsia="Times New Roman" w:hAnsi="Times New Roman" w:cs="Times New Roman"/>
          <w:sz w:val="24"/>
          <w:szCs w:val="24"/>
          <w:lang w:eastAsia="en-AU"/>
        </w:rPr>
        <w:t xml:space="preserve">articular medicines only in specified </w:t>
      </w:r>
      <w:r w:rsidR="004E05C9">
        <w:rPr>
          <w:rFonts w:ascii="Times New Roman" w:eastAsia="Times New Roman" w:hAnsi="Times New Roman" w:cs="Times New Roman"/>
          <w:sz w:val="24"/>
          <w:szCs w:val="24"/>
          <w:lang w:eastAsia="en-AU"/>
        </w:rPr>
        <w:t>circumstances, or to permitted concentrations or total amounts of an ingredient in a medicine.</w:t>
      </w:r>
    </w:p>
    <w:p w14:paraId="69CA0739"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0684020F" w14:textId="77777777" w:rsidR="004E05C9" w:rsidRDefault="00226F3C"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w:t>
      </w:r>
      <w:r w:rsidR="004E05C9">
        <w:rPr>
          <w:rFonts w:ascii="Times New Roman" w:eastAsia="Times New Roman" w:hAnsi="Times New Roman" w:cs="Times New Roman"/>
          <w:sz w:val="24"/>
          <w:szCs w:val="24"/>
          <w:lang w:eastAsia="en-AU"/>
        </w:rPr>
        <w:t xml:space="preserve">egislative instruments made </w:t>
      </w:r>
      <w:r>
        <w:rPr>
          <w:rFonts w:ascii="Times New Roman" w:eastAsia="Times New Roman" w:hAnsi="Times New Roman" w:cs="Times New Roman"/>
          <w:sz w:val="24"/>
          <w:szCs w:val="24"/>
          <w:lang w:eastAsia="en-AU"/>
        </w:rPr>
        <w:t>under section 26BB of the Act are designed</w:t>
      </w:r>
      <w:r w:rsidR="004E05C9">
        <w:rPr>
          <w:rFonts w:ascii="Times New Roman" w:eastAsia="Times New Roman" w:hAnsi="Times New Roman" w:cs="Times New Roman"/>
          <w:sz w:val="24"/>
          <w:szCs w:val="24"/>
          <w:lang w:eastAsia="en-AU"/>
        </w:rPr>
        <w:t xml:space="preserve"> to specify those ingredients that may be contained in a medicine that is listed in the Australian Register of Therapeutic Goods (“the Register”) under section 26A or 26AE of the Act, and </w:t>
      </w:r>
      <w:r>
        <w:rPr>
          <w:rFonts w:ascii="Times New Roman" w:eastAsia="Times New Roman" w:hAnsi="Times New Roman" w:cs="Times New Roman"/>
          <w:sz w:val="24"/>
          <w:szCs w:val="24"/>
          <w:lang w:eastAsia="en-AU"/>
        </w:rPr>
        <w:t xml:space="preserve">to specify </w:t>
      </w:r>
      <w:r w:rsidR="004E05C9">
        <w:rPr>
          <w:rFonts w:ascii="Times New Roman" w:eastAsia="Times New Roman" w:hAnsi="Times New Roman" w:cs="Times New Roman"/>
          <w:sz w:val="24"/>
          <w:szCs w:val="24"/>
          <w:lang w:eastAsia="en-AU"/>
        </w:rPr>
        <w:t>requirements in relation to the inclusion of those ingredients in such medicines.</w:t>
      </w:r>
    </w:p>
    <w:p w14:paraId="114F9F97"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441C0023" w14:textId="7A2CAEFB"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The </w:t>
      </w:r>
      <w:r w:rsidR="00E60C26" w:rsidRPr="008727AB">
        <w:rPr>
          <w:rFonts w:ascii="Times New Roman" w:eastAsia="Times New Roman" w:hAnsi="Times New Roman" w:cs="Times New Roman"/>
          <w:bCs/>
          <w:i/>
          <w:sz w:val="24"/>
          <w:szCs w:val="24"/>
          <w:lang w:eastAsia="en-AU"/>
        </w:rPr>
        <w:t>Therapeutic Goods (Permiss</w:t>
      </w:r>
      <w:r w:rsidR="00E60C26">
        <w:rPr>
          <w:rFonts w:ascii="Times New Roman" w:eastAsia="Times New Roman" w:hAnsi="Times New Roman" w:cs="Times New Roman"/>
          <w:bCs/>
          <w:i/>
          <w:sz w:val="24"/>
          <w:szCs w:val="24"/>
          <w:lang w:eastAsia="en-AU"/>
        </w:rPr>
        <w:t xml:space="preserve">ible Ingredients) Determination (No. 3) </w:t>
      </w:r>
      <w:r w:rsidR="00E60C26" w:rsidRPr="008727AB">
        <w:rPr>
          <w:rFonts w:ascii="Times New Roman" w:eastAsia="Times New Roman" w:hAnsi="Times New Roman" w:cs="Times New Roman"/>
          <w:bCs/>
          <w:i/>
          <w:sz w:val="24"/>
          <w:szCs w:val="24"/>
          <w:lang w:eastAsia="en-AU"/>
        </w:rPr>
        <w:t>20</w:t>
      </w:r>
      <w:r w:rsidR="00E60C26">
        <w:rPr>
          <w:rFonts w:ascii="Times New Roman" w:eastAsia="Times New Roman" w:hAnsi="Times New Roman" w:cs="Times New Roman"/>
          <w:bCs/>
          <w:i/>
          <w:sz w:val="24"/>
          <w:szCs w:val="24"/>
          <w:lang w:eastAsia="en-AU"/>
        </w:rPr>
        <w:t xml:space="preserve">20 </w:t>
      </w:r>
      <w:r w:rsidR="00E60C26" w:rsidRPr="00E60C26">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sz w:val="24"/>
          <w:szCs w:val="24"/>
          <w:lang w:eastAsia="en-AU"/>
        </w:rPr>
        <w:t>Determination</w:t>
      </w:r>
      <w:r w:rsidR="00E60C2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E67371">
        <w:rPr>
          <w:rFonts w:ascii="Times New Roman" w:eastAsia="Times New Roman" w:hAnsi="Times New Roman" w:cs="Times New Roman"/>
          <w:sz w:val="24"/>
          <w:szCs w:val="24"/>
          <w:lang w:eastAsia="en-AU"/>
        </w:rPr>
        <w:t>repeal</w:t>
      </w:r>
      <w:r w:rsidR="007C503B">
        <w:rPr>
          <w:rFonts w:ascii="Times New Roman" w:eastAsia="Times New Roman" w:hAnsi="Times New Roman" w:cs="Times New Roman"/>
          <w:sz w:val="24"/>
          <w:szCs w:val="24"/>
          <w:lang w:eastAsia="en-AU"/>
        </w:rPr>
        <w:t xml:space="preserve">s </w:t>
      </w:r>
      <w:r w:rsidR="00E67371">
        <w:rPr>
          <w:rFonts w:ascii="Times New Roman" w:eastAsia="Times New Roman" w:hAnsi="Times New Roman" w:cs="Times New Roman"/>
          <w:sz w:val="24"/>
          <w:szCs w:val="24"/>
          <w:lang w:eastAsia="en-AU"/>
        </w:rPr>
        <w:t>and replace</w:t>
      </w:r>
      <w:r w:rsidR="007C503B">
        <w:rPr>
          <w:rFonts w:ascii="Times New Roman" w:eastAsia="Times New Roman" w:hAnsi="Times New Roman" w:cs="Times New Roman"/>
          <w:sz w:val="24"/>
          <w:szCs w:val="24"/>
          <w:lang w:eastAsia="en-AU"/>
        </w:rPr>
        <w:t>s</w:t>
      </w:r>
      <w:r w:rsidR="00E6737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w:t>
      </w:r>
      <w:r w:rsidRPr="004E05C9">
        <w:rPr>
          <w:rFonts w:ascii="Times New Roman" w:eastAsia="Times New Roman" w:hAnsi="Times New Roman" w:cs="Times New Roman"/>
          <w:i/>
          <w:sz w:val="24"/>
          <w:szCs w:val="24"/>
          <w:lang w:eastAsia="en-AU"/>
        </w:rPr>
        <w:t>Therapeutic Goods</w:t>
      </w:r>
      <w:r w:rsidR="001C38AF">
        <w:rPr>
          <w:rFonts w:ascii="Times New Roman" w:eastAsia="Times New Roman" w:hAnsi="Times New Roman" w:cs="Times New Roman"/>
          <w:i/>
          <w:sz w:val="24"/>
          <w:szCs w:val="24"/>
          <w:lang w:eastAsia="en-AU"/>
        </w:rPr>
        <w:t xml:space="preserve"> </w:t>
      </w:r>
      <w:r w:rsidRPr="004E05C9">
        <w:rPr>
          <w:rFonts w:ascii="Times New Roman" w:eastAsia="Times New Roman" w:hAnsi="Times New Roman" w:cs="Times New Roman"/>
          <w:i/>
          <w:sz w:val="24"/>
          <w:szCs w:val="24"/>
          <w:lang w:eastAsia="en-AU"/>
        </w:rPr>
        <w:t>(Permissible Ingredients) Determination (No.</w:t>
      </w:r>
      <w:r w:rsidR="00B60F0C">
        <w:rPr>
          <w:rFonts w:ascii="Times New Roman" w:eastAsia="Times New Roman" w:hAnsi="Times New Roman" w:cs="Times New Roman"/>
          <w:i/>
          <w:sz w:val="24"/>
          <w:szCs w:val="24"/>
          <w:lang w:eastAsia="en-AU"/>
        </w:rPr>
        <w:t xml:space="preserve"> </w:t>
      </w:r>
      <w:r w:rsidR="00E33DD5">
        <w:rPr>
          <w:rFonts w:ascii="Times New Roman" w:eastAsia="Times New Roman" w:hAnsi="Times New Roman" w:cs="Times New Roman"/>
          <w:i/>
          <w:sz w:val="24"/>
          <w:szCs w:val="24"/>
          <w:lang w:eastAsia="en-AU"/>
        </w:rPr>
        <w:t>2</w:t>
      </w:r>
      <w:r w:rsidRPr="004E05C9">
        <w:rPr>
          <w:rFonts w:ascii="Times New Roman" w:eastAsia="Times New Roman" w:hAnsi="Times New Roman" w:cs="Times New Roman"/>
          <w:i/>
          <w:sz w:val="24"/>
          <w:szCs w:val="24"/>
          <w:lang w:eastAsia="en-AU"/>
        </w:rPr>
        <w:t>) 20</w:t>
      </w:r>
      <w:r w:rsidR="00E96741">
        <w:rPr>
          <w:rFonts w:ascii="Times New Roman" w:eastAsia="Times New Roman" w:hAnsi="Times New Roman" w:cs="Times New Roman"/>
          <w:i/>
          <w:sz w:val="24"/>
          <w:szCs w:val="24"/>
          <w:lang w:eastAsia="en-AU"/>
        </w:rPr>
        <w:t>20</w:t>
      </w:r>
      <w:r w:rsidR="00B60F0C">
        <w:rPr>
          <w:rFonts w:ascii="Times New Roman" w:eastAsia="Times New Roman" w:hAnsi="Times New Roman" w:cs="Times New Roman"/>
          <w:i/>
          <w:sz w:val="24"/>
          <w:szCs w:val="24"/>
          <w:lang w:eastAsia="en-AU"/>
        </w:rPr>
        <w:t xml:space="preserve"> </w:t>
      </w:r>
      <w:r w:rsidR="00B60F0C">
        <w:rPr>
          <w:rFonts w:ascii="Times New Roman" w:eastAsia="Times New Roman" w:hAnsi="Times New Roman" w:cs="Times New Roman"/>
          <w:sz w:val="24"/>
          <w:szCs w:val="24"/>
          <w:lang w:eastAsia="en-AU"/>
        </w:rPr>
        <w:t xml:space="preserve">(“the </w:t>
      </w:r>
      <w:r w:rsidR="00E67371">
        <w:rPr>
          <w:rFonts w:ascii="Times New Roman" w:eastAsia="Times New Roman" w:hAnsi="Times New Roman" w:cs="Times New Roman"/>
          <w:sz w:val="24"/>
          <w:szCs w:val="24"/>
          <w:lang w:eastAsia="en-AU"/>
        </w:rPr>
        <w:t xml:space="preserve">former </w:t>
      </w:r>
      <w:r w:rsidR="00B60F0C">
        <w:rPr>
          <w:rFonts w:ascii="Times New Roman" w:eastAsia="Times New Roman" w:hAnsi="Times New Roman" w:cs="Times New Roman"/>
          <w:sz w:val="24"/>
          <w:szCs w:val="24"/>
          <w:lang w:eastAsia="en-AU"/>
        </w:rPr>
        <w:t>Determination”)</w:t>
      </w:r>
      <w:r w:rsidR="007C503B">
        <w:rPr>
          <w:rFonts w:ascii="Times New Roman" w:eastAsia="Times New Roman" w:hAnsi="Times New Roman" w:cs="Times New Roman"/>
          <w:sz w:val="24"/>
          <w:szCs w:val="24"/>
          <w:lang w:eastAsia="en-AU"/>
        </w:rPr>
        <w:t>, and specifies those ingredients that may be contained in a medicine that is listed in the Register, and requirements in relation to the inclusion of those ingredients in such medicines</w:t>
      </w:r>
      <w:r w:rsidR="001C38AF">
        <w:rPr>
          <w:rFonts w:ascii="Times New Roman" w:eastAsia="Times New Roman" w:hAnsi="Times New Roman" w:cs="Times New Roman"/>
          <w:sz w:val="24"/>
          <w:szCs w:val="24"/>
          <w:lang w:eastAsia="en-AU"/>
        </w:rPr>
        <w:t>.</w:t>
      </w:r>
    </w:p>
    <w:p w14:paraId="013E1782" w14:textId="77777777" w:rsidR="00EF1F18" w:rsidRPr="00B028DC" w:rsidRDefault="00EF1F18" w:rsidP="009A530B">
      <w:pPr>
        <w:spacing w:before="100" w:beforeAutospacing="1" w:after="100" w:afterAutospacing="1"/>
        <w:rPr>
          <w:rFonts w:ascii="Times New Roman" w:eastAsia="Times New Roman" w:hAnsi="Times New Roman" w:cs="Times New Roman"/>
          <w:sz w:val="24"/>
          <w:szCs w:val="24"/>
          <w:lang w:val="en-US" w:eastAsia="en-AU"/>
        </w:rPr>
      </w:pPr>
      <w:r w:rsidRPr="00B028DC">
        <w:rPr>
          <w:rFonts w:ascii="Times New Roman" w:eastAsia="Times New Roman" w:hAnsi="Times New Roman" w:cs="Times New Roman"/>
          <w:b/>
          <w:bCs/>
          <w:sz w:val="24"/>
          <w:szCs w:val="24"/>
          <w:lang w:eastAsia="en-AU"/>
        </w:rPr>
        <w:t>B</w:t>
      </w:r>
      <w:r w:rsidR="00E01934" w:rsidRPr="00B028DC">
        <w:rPr>
          <w:rFonts w:ascii="Times New Roman" w:eastAsia="Times New Roman" w:hAnsi="Times New Roman" w:cs="Times New Roman"/>
          <w:b/>
          <w:bCs/>
          <w:sz w:val="24"/>
          <w:szCs w:val="24"/>
          <w:lang w:eastAsia="en-AU"/>
        </w:rPr>
        <w:t>ackground</w:t>
      </w:r>
    </w:p>
    <w:p w14:paraId="46189311" w14:textId="04E87599" w:rsidR="00D4773E" w:rsidRPr="00D4773E" w:rsidRDefault="00D4773E" w:rsidP="00D4773E">
      <w:pPr>
        <w:spacing w:before="100" w:beforeAutospacing="1" w:after="100" w:afterAutospacing="1"/>
        <w:rPr>
          <w:rFonts w:ascii="Times New Roman" w:eastAsia="Times New Roman" w:hAnsi="Times New Roman" w:cs="Times New Roman"/>
          <w:sz w:val="24"/>
          <w:szCs w:val="24"/>
          <w:lang w:val="en-US" w:eastAsia="en-AU"/>
        </w:rPr>
      </w:pPr>
      <w:r w:rsidRPr="00D4773E">
        <w:rPr>
          <w:rFonts w:ascii="Times New Roman" w:eastAsia="Times New Roman" w:hAnsi="Times New Roman" w:cs="Times New Roman"/>
          <w:sz w:val="24"/>
          <w:szCs w:val="24"/>
          <w:lang w:eastAsia="en-AU"/>
        </w:rPr>
        <w:t xml:space="preserve">Medicines that are listed in the Register under section 26A of the Act are considered to be low risk and are not individually evaluated before those medicines are listed.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w:t>
      </w:r>
      <w:r w:rsidR="00B60F0C">
        <w:rPr>
          <w:rFonts w:ascii="Times New Roman" w:eastAsia="Times New Roman" w:hAnsi="Times New Roman" w:cs="Times New Roman"/>
          <w:sz w:val="24"/>
          <w:szCs w:val="24"/>
          <w:lang w:eastAsia="en-AU"/>
        </w:rPr>
        <w:t xml:space="preserve">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When listed under section 26AE, these listed medicines are commonly referred to as ‘assessed listed medicines’.</w:t>
      </w:r>
    </w:p>
    <w:p w14:paraId="37CEDFE6" w14:textId="399A9C96" w:rsidR="00D4773E" w:rsidRPr="00D4773E" w:rsidRDefault="00D4773E" w:rsidP="00D4773E">
      <w:pPr>
        <w:spacing w:before="100" w:beforeAutospacing="1" w:after="100" w:afterAutospacing="1"/>
        <w:rPr>
          <w:rFonts w:ascii="Times New Roman" w:eastAsia="Times New Roman" w:hAnsi="Times New Roman" w:cs="Times New Roman"/>
          <w:sz w:val="24"/>
          <w:szCs w:val="24"/>
          <w:lang w:val="en-US" w:eastAsia="en-AU"/>
        </w:rPr>
      </w:pPr>
      <w:r w:rsidRPr="00D4773E">
        <w:rPr>
          <w:rFonts w:ascii="Times New Roman" w:eastAsia="Times New Roman" w:hAnsi="Times New Roman" w:cs="Times New Roman"/>
          <w:sz w:val="24"/>
          <w:szCs w:val="24"/>
          <w:lang w:eastAsia="en-AU"/>
        </w:rPr>
        <w:t>As the safety and quality of medicines listed under section</w:t>
      </w:r>
      <w:r w:rsidR="00B60F0C">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are not evaluated by the TGA before being given marketing approval, the Act contains mechanisms to help ensure that those medicines are of appropriate quality and able to be used safely by consumers.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In particular, medicines listed under section 26A and 26AE may only contain ingredients from an approved list of ingredients that have been evaluated in relation to their quality and safety and suitability for use in such medicines.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Sponsors of such medicines may </w:t>
      </w:r>
      <w:r w:rsidR="008E082F">
        <w:rPr>
          <w:rFonts w:ascii="Times New Roman" w:eastAsia="Times New Roman" w:hAnsi="Times New Roman" w:cs="Times New Roman"/>
          <w:sz w:val="24"/>
          <w:szCs w:val="24"/>
          <w:lang w:eastAsia="en-AU"/>
        </w:rPr>
        <w:t xml:space="preserve">also </w:t>
      </w:r>
      <w:r w:rsidRPr="00D4773E">
        <w:rPr>
          <w:rFonts w:ascii="Times New Roman" w:eastAsia="Times New Roman" w:hAnsi="Times New Roman" w:cs="Times New Roman"/>
          <w:sz w:val="24"/>
          <w:szCs w:val="24"/>
          <w:lang w:eastAsia="en-AU"/>
        </w:rPr>
        <w:t xml:space="preserve">only use indications (statements of therapeutic </w:t>
      </w:r>
      <w:r w:rsidRPr="00D4773E">
        <w:rPr>
          <w:rFonts w:ascii="Times New Roman" w:eastAsia="Times New Roman" w:hAnsi="Times New Roman" w:cs="Times New Roman"/>
          <w:sz w:val="24"/>
          <w:szCs w:val="24"/>
          <w:lang w:eastAsia="en-AU"/>
        </w:rPr>
        <w:lastRenderedPageBreak/>
        <w:t>use) from a list of pre-approved low level indications to ensure that these products do not overstate their therapeutic benefits.</w:t>
      </w:r>
    </w:p>
    <w:p w14:paraId="16704F00" w14:textId="451D18F7" w:rsidR="00D4773E" w:rsidRPr="00D4773E" w:rsidRDefault="00D4773E" w:rsidP="00D4773E">
      <w:pPr>
        <w:spacing w:before="100" w:beforeAutospacing="1" w:after="100" w:afterAutospacing="1"/>
        <w:rPr>
          <w:rFonts w:ascii="Times New Roman" w:eastAsia="Times New Roman" w:hAnsi="Times New Roman" w:cs="Times New Roman"/>
          <w:sz w:val="24"/>
          <w:szCs w:val="24"/>
          <w:lang w:val="en-US" w:eastAsia="en-AU"/>
        </w:rPr>
      </w:pPr>
      <w:r w:rsidRPr="00D4773E">
        <w:rPr>
          <w:rFonts w:ascii="Times New Roman" w:eastAsia="Times New Roman" w:hAnsi="Times New Roman" w:cs="Times New Roman"/>
          <w:sz w:val="24"/>
          <w:szCs w:val="24"/>
          <w:lang w:eastAsia="en-AU"/>
        </w:rPr>
        <w:t xml:space="preserve">Under paragraphs 26A(2)(ca) and (cb)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Paragraphs 26AB(2)(d) and (e) contain equivalent certification requirements for applicants seeking marketing approval in relation to assessed listed medicines. </w:t>
      </w:r>
      <w:r w:rsidR="00AC4380">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A listed (or assessed listed) medicine may be cancelled from the Register if it appears to the Secretary that such a certification is incorrect.</w:t>
      </w:r>
    </w:p>
    <w:p w14:paraId="6D9381AC" w14:textId="77777777" w:rsidR="00D4773E" w:rsidRPr="00D4773E" w:rsidRDefault="00D4773E" w:rsidP="00D4773E">
      <w:pPr>
        <w:spacing w:before="100" w:beforeAutospacing="1" w:after="100" w:afterAutospacing="1"/>
        <w:rPr>
          <w:rFonts w:ascii="Times New Roman" w:eastAsia="Times New Roman" w:hAnsi="Times New Roman" w:cs="Times New Roman"/>
          <w:sz w:val="24"/>
          <w:szCs w:val="24"/>
          <w:lang w:val="en-US" w:eastAsia="en-AU"/>
        </w:rPr>
      </w:pPr>
      <w:r w:rsidRPr="00D4773E">
        <w:rPr>
          <w:rFonts w:ascii="Times New Roman" w:eastAsia="Times New Roman" w:hAnsi="Times New Roman" w:cs="Times New Roman"/>
          <w:sz w:val="24"/>
          <w:szCs w:val="24"/>
          <w:lang w:eastAsia="en-AU"/>
        </w:rPr>
        <w:t xml:space="preserve">Separately, items 3, 4A, 5, 7 and 8 of Schedule 4 to the </w:t>
      </w:r>
      <w:r w:rsidRPr="00D4773E">
        <w:rPr>
          <w:rFonts w:ascii="Times New Roman" w:eastAsia="Times New Roman" w:hAnsi="Times New Roman" w:cs="Times New Roman"/>
          <w:i/>
          <w:iCs/>
          <w:sz w:val="24"/>
          <w:szCs w:val="24"/>
          <w:lang w:eastAsia="en-AU"/>
        </w:rPr>
        <w:t>Therapeutic Goods Regulations 1990</w:t>
      </w:r>
      <w:r w:rsidRPr="00D4773E">
        <w:rPr>
          <w:rFonts w:ascii="Times New Roman" w:eastAsia="Times New Roman" w:hAnsi="Times New Roman" w:cs="Times New Roman"/>
          <w:sz w:val="24"/>
          <w:szCs w:val="24"/>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 and must not contravene a requirement in such a determination.</w:t>
      </w:r>
    </w:p>
    <w:p w14:paraId="4EE2990C" w14:textId="5BA6F8D4" w:rsidR="00D4773E" w:rsidRDefault="00226F3C" w:rsidP="00D4773E">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such, determinations </w:t>
      </w:r>
      <w:r w:rsidR="0062190F">
        <w:rPr>
          <w:rFonts w:ascii="Times New Roman" w:eastAsia="Times New Roman" w:hAnsi="Times New Roman" w:cs="Times New Roman"/>
          <w:sz w:val="24"/>
          <w:szCs w:val="24"/>
          <w:lang w:eastAsia="en-AU"/>
        </w:rPr>
        <w:t xml:space="preserve">under </w:t>
      </w:r>
      <w:r>
        <w:rPr>
          <w:rFonts w:ascii="Times New Roman" w:eastAsia="Times New Roman" w:hAnsi="Times New Roman" w:cs="Times New Roman"/>
          <w:sz w:val="24"/>
          <w:szCs w:val="24"/>
          <w:lang w:eastAsia="en-AU"/>
        </w:rPr>
        <w:t>section 26BB are</w:t>
      </w:r>
      <w:r w:rsidR="00D4773E" w:rsidRPr="00D4773E">
        <w:rPr>
          <w:rFonts w:ascii="Times New Roman" w:eastAsia="Times New Roman" w:hAnsi="Times New Roman" w:cs="Times New Roman"/>
          <w:sz w:val="24"/>
          <w:szCs w:val="24"/>
          <w:lang w:eastAsia="en-AU"/>
        </w:rPr>
        <w:t xml:space="preserve"> designed to provide a comprehensive list of ingredients which have been assessed or otherwise considered to be safe for use in listed medicines (including assessed listed medicines), and associated requirements to be followed when using particular ingredients in such products.</w:t>
      </w:r>
      <w:r w:rsidR="00D4773E">
        <w:rPr>
          <w:rFonts w:ascii="Times New Roman" w:eastAsia="Times New Roman" w:hAnsi="Times New Roman" w:cs="Times New Roman"/>
          <w:sz w:val="24"/>
          <w:szCs w:val="24"/>
          <w:lang w:eastAsia="en-AU"/>
        </w:rPr>
        <w:t xml:space="preserve">  These requirements may relate to a range </w:t>
      </w:r>
      <w:r w:rsidR="00D4773E">
        <w:rPr>
          <w:rFonts w:ascii="Times New Roman" w:eastAsia="Times New Roman" w:hAnsi="Times New Roman" w:cs="Times New Roman"/>
          <w:sz w:val="24"/>
          <w:szCs w:val="24"/>
          <w:lang w:eastAsia="en-AU"/>
        </w:rPr>
        <w:lastRenderedPageBreak/>
        <w:t xml:space="preserve">of matters including, for example, </w:t>
      </w:r>
      <w:r>
        <w:rPr>
          <w:rFonts w:ascii="Times New Roman" w:eastAsia="Times New Roman" w:hAnsi="Times New Roman" w:cs="Times New Roman"/>
          <w:sz w:val="24"/>
          <w:szCs w:val="24"/>
          <w:lang w:eastAsia="en-AU"/>
        </w:rPr>
        <w:t xml:space="preserve">how an ingredient may be used in a medicine or </w:t>
      </w:r>
      <w:r w:rsidR="00D4773E">
        <w:rPr>
          <w:rFonts w:ascii="Times New Roman" w:eastAsia="Times New Roman" w:hAnsi="Times New Roman" w:cs="Times New Roman"/>
          <w:sz w:val="24"/>
          <w:szCs w:val="24"/>
          <w:lang w:eastAsia="en-AU"/>
        </w:rPr>
        <w:t>the inclusion of relevant safety information on product labels</w:t>
      </w:r>
      <w:r>
        <w:rPr>
          <w:rFonts w:ascii="Times New Roman" w:eastAsia="Times New Roman" w:hAnsi="Times New Roman" w:cs="Times New Roman"/>
          <w:sz w:val="24"/>
          <w:szCs w:val="24"/>
          <w:lang w:eastAsia="en-AU"/>
        </w:rPr>
        <w:t>.</w:t>
      </w:r>
    </w:p>
    <w:p w14:paraId="2B026CDA" w14:textId="57CB284D" w:rsidR="00A4560C" w:rsidRPr="00A4560C" w:rsidRDefault="00A4560C" w:rsidP="00B95A3B">
      <w:pPr>
        <w:spacing w:before="100" w:beforeAutospacing="1" w:after="120"/>
        <w:rPr>
          <w:rFonts w:ascii="Arial" w:eastAsia="Times New Roman" w:hAnsi="Arial" w:cs="Arial"/>
          <w:sz w:val="19"/>
          <w:szCs w:val="19"/>
          <w:lang w:val="en-US" w:eastAsia="en-AU"/>
        </w:rPr>
      </w:pPr>
      <w:r w:rsidRPr="00A4560C">
        <w:rPr>
          <w:rFonts w:ascii="Times New Roman" w:eastAsia="Times New Roman" w:hAnsi="Times New Roman" w:cs="Times New Roman"/>
          <w:sz w:val="24"/>
          <w:szCs w:val="24"/>
          <w:lang w:eastAsia="en-AU"/>
        </w:rPr>
        <w:t xml:space="preserve">The requirements imposed under the Determination </w:t>
      </w:r>
      <w:r w:rsidR="007C503B">
        <w:rPr>
          <w:rFonts w:ascii="Times New Roman" w:eastAsia="Times New Roman" w:hAnsi="Times New Roman" w:cs="Times New Roman"/>
          <w:sz w:val="24"/>
          <w:szCs w:val="24"/>
          <w:lang w:eastAsia="en-AU"/>
        </w:rPr>
        <w:t xml:space="preserve">are </w:t>
      </w:r>
      <w:r w:rsidRPr="00A4560C">
        <w:rPr>
          <w:rFonts w:ascii="Times New Roman" w:eastAsia="Times New Roman" w:hAnsi="Times New Roman" w:cs="Times New Roman"/>
          <w:sz w:val="24"/>
          <w:szCs w:val="24"/>
          <w:lang w:eastAsia="en-AU"/>
        </w:rPr>
        <w:t xml:space="preserve">principally </w:t>
      </w:r>
      <w:r w:rsidR="007C503B">
        <w:rPr>
          <w:rFonts w:ascii="Times New Roman" w:eastAsia="Times New Roman" w:hAnsi="Times New Roman" w:cs="Times New Roman"/>
          <w:sz w:val="24"/>
          <w:szCs w:val="24"/>
          <w:lang w:eastAsia="en-AU"/>
        </w:rPr>
        <w:t>designed to</w:t>
      </w:r>
      <w:r w:rsidRPr="00A4560C">
        <w:rPr>
          <w:rFonts w:ascii="Times New Roman" w:eastAsia="Times New Roman" w:hAnsi="Times New Roman" w:cs="Times New Roman"/>
          <w:sz w:val="24"/>
          <w:szCs w:val="24"/>
          <w:lang w:eastAsia="en-AU"/>
        </w:rPr>
        <w:t xml:space="preserve"> ensur</w:t>
      </w:r>
      <w:r w:rsidR="007C503B">
        <w:rPr>
          <w:rFonts w:ascii="Times New Roman" w:eastAsia="Times New Roman" w:hAnsi="Times New Roman" w:cs="Times New Roman"/>
          <w:sz w:val="24"/>
          <w:szCs w:val="24"/>
          <w:lang w:eastAsia="en-AU"/>
        </w:rPr>
        <w:t>e</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 xml:space="preserve">or support </w:t>
      </w:r>
      <w:r w:rsidRPr="00A4560C">
        <w:rPr>
          <w:rFonts w:ascii="Times New Roman" w:eastAsia="Times New Roman" w:hAnsi="Times New Roman" w:cs="Times New Roman"/>
          <w:sz w:val="24"/>
          <w:szCs w:val="24"/>
          <w:lang w:eastAsia="en-AU"/>
        </w:rPr>
        <w:t xml:space="preserve">the quality and safety of </w:t>
      </w:r>
      <w:r w:rsidR="007C503B">
        <w:rPr>
          <w:rFonts w:ascii="Times New Roman" w:eastAsia="Times New Roman" w:hAnsi="Times New Roman" w:cs="Times New Roman"/>
          <w:sz w:val="24"/>
          <w:szCs w:val="24"/>
          <w:lang w:eastAsia="en-AU"/>
        </w:rPr>
        <w:t xml:space="preserve">listed medicines that contain permitted </w:t>
      </w:r>
      <w:r w:rsidRPr="00A4560C">
        <w:rPr>
          <w:rFonts w:ascii="Times New Roman" w:eastAsia="Times New Roman" w:hAnsi="Times New Roman" w:cs="Times New Roman"/>
          <w:sz w:val="24"/>
          <w:szCs w:val="24"/>
          <w:lang w:eastAsia="en-AU"/>
        </w:rPr>
        <w:t>ingredient</w:t>
      </w:r>
      <w:r w:rsidR="007C503B">
        <w:rPr>
          <w:rFonts w:ascii="Times New Roman" w:eastAsia="Times New Roman" w:hAnsi="Times New Roman" w:cs="Times New Roman"/>
          <w:sz w:val="24"/>
          <w:szCs w:val="24"/>
          <w:lang w:eastAsia="en-AU"/>
        </w:rPr>
        <w:t>s</w:t>
      </w:r>
      <w:r w:rsidRPr="00A4560C">
        <w:rPr>
          <w:rFonts w:ascii="Times New Roman" w:eastAsia="Times New Roman" w:hAnsi="Times New Roman" w:cs="Times New Roman"/>
          <w:sz w:val="24"/>
          <w:szCs w:val="24"/>
          <w:lang w:eastAsia="en-AU"/>
        </w:rPr>
        <w:t>.</w:t>
      </w:r>
      <w:r w:rsidR="00E60C26">
        <w:rPr>
          <w:rFonts w:ascii="Times New Roman" w:eastAsia="Times New Roman" w:hAnsi="Times New Roman" w:cs="Times New Roman"/>
          <w:sz w:val="24"/>
          <w:szCs w:val="24"/>
          <w:lang w:eastAsia="en-AU"/>
        </w:rPr>
        <w:t xml:space="preserve"> </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The r</w:t>
      </w:r>
      <w:r w:rsidRPr="00A4560C">
        <w:rPr>
          <w:rFonts w:ascii="Times New Roman" w:eastAsia="Times New Roman" w:hAnsi="Times New Roman" w:cs="Times New Roman"/>
          <w:sz w:val="24"/>
          <w:szCs w:val="24"/>
          <w:lang w:eastAsia="en-AU"/>
        </w:rPr>
        <w:t>equirements may relate</w:t>
      </w:r>
      <w:r w:rsidR="007C503B">
        <w:rPr>
          <w:rFonts w:ascii="Times New Roman" w:eastAsia="Times New Roman" w:hAnsi="Times New Roman" w:cs="Times New Roman"/>
          <w:sz w:val="24"/>
          <w:szCs w:val="24"/>
          <w:lang w:eastAsia="en-AU"/>
        </w:rPr>
        <w:t xml:space="preserve"> to</w:t>
      </w:r>
      <w:r w:rsidRPr="00A4560C">
        <w:rPr>
          <w:rFonts w:ascii="Times New Roman" w:eastAsia="Times New Roman" w:hAnsi="Times New Roman" w:cs="Times New Roman"/>
          <w:sz w:val="24"/>
          <w:szCs w:val="24"/>
          <w:lang w:eastAsia="en-AU"/>
        </w:rPr>
        <w:t>, for example:</w:t>
      </w:r>
    </w:p>
    <w:p w14:paraId="1716BFC3" w14:textId="62D153A4" w:rsidR="00A4560C" w:rsidRPr="00AF44AF" w:rsidRDefault="00A4560C" w:rsidP="00B95A3B">
      <w:pPr>
        <w:pStyle w:val="ListParagraph"/>
        <w:numPr>
          <w:ilvl w:val="0"/>
          <w:numId w:val="11"/>
        </w:numPr>
        <w:spacing w:before="0" w:beforeAutospacing="0" w:after="120" w:afterAutospacing="0" w:line="276" w:lineRule="auto"/>
        <w:ind w:left="714" w:hanging="357"/>
      </w:pPr>
      <w:r w:rsidRPr="00AF44AF">
        <w:t xml:space="preserve">how </w:t>
      </w:r>
      <w:r w:rsidR="007C503B">
        <w:t>a permitted</w:t>
      </w:r>
      <w:r w:rsidRPr="00AF44AF">
        <w:t xml:space="preserve"> ingredient is to be used in the medicine, that is, as an active, homoeopathic or excipient ingredient;</w:t>
      </w:r>
    </w:p>
    <w:p w14:paraId="5EC76A23" w14:textId="0AA1EE28"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intended method of ingestion or application of the medicine, for example, oral or topical use;</w:t>
      </w:r>
    </w:p>
    <w:p w14:paraId="233FB9CD" w14:textId="2FEF7CF5"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source of the ingredient, or procedures to be followed in its manufacture;</w:t>
      </w:r>
    </w:p>
    <w:p w14:paraId="5EC7B554" w14:textId="4DFA7DF1"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appropriate limits on the volume or concentration of an ingredient; and</w:t>
      </w:r>
    </w:p>
    <w:p w14:paraId="2FA4BD86" w14:textId="746ABECD"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inclusion of relevant safety information on product labels, for example, allergen advice or advice about the use of medicine containing the ingredient for susceptible members of the population such as children and pregnant women.</w:t>
      </w:r>
    </w:p>
    <w:p w14:paraId="1C9706BC" w14:textId="4B83B151" w:rsidR="006D4AB8" w:rsidRDefault="006D4AB8" w:rsidP="004761AE">
      <w:pPr>
        <w:keepNext/>
        <w:spacing w:before="100" w:beforeAutospacing="1" w:after="100" w:afterAutospacing="1"/>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Determination incorporates a number of changes in comparison to the former Determination, including in particular:</w:t>
      </w:r>
    </w:p>
    <w:p w14:paraId="3009B19B" w14:textId="4DB6AF71" w:rsidR="009C086A" w:rsidRDefault="00C56E2C" w:rsidP="00B16682">
      <w:pPr>
        <w:pStyle w:val="ListParagraph"/>
        <w:numPr>
          <w:ilvl w:val="0"/>
          <w:numId w:val="11"/>
        </w:numPr>
        <w:spacing w:before="120" w:beforeAutospacing="0" w:after="120" w:afterAutospacing="0"/>
        <w:ind w:left="714" w:hanging="357"/>
      </w:pPr>
      <w:r>
        <w:t>the introduction</w:t>
      </w:r>
      <w:r w:rsidR="009C086A">
        <w:t xml:space="preserve"> of </w:t>
      </w:r>
      <w:r w:rsidR="004341E5">
        <w:t>one</w:t>
      </w:r>
      <w:r w:rsidR="009C086A">
        <w:t xml:space="preserve"> new ingredient</w:t>
      </w:r>
      <w:r>
        <w:t>, ethyl phenylglycidate,</w:t>
      </w:r>
      <w:r w:rsidR="009C086A">
        <w:t xml:space="preserve"> for use in listed and assessed </w:t>
      </w:r>
      <w:r w:rsidR="00B95A3B">
        <w:t xml:space="preserve">listed </w:t>
      </w:r>
      <w:r w:rsidR="009C086A">
        <w:t>medicines;</w:t>
      </w:r>
    </w:p>
    <w:p w14:paraId="7EEF44D2" w14:textId="76C01807" w:rsidR="009C086A" w:rsidRDefault="00C56E2C" w:rsidP="009C086A">
      <w:pPr>
        <w:pStyle w:val="ListParagraph"/>
        <w:keepNext/>
        <w:numPr>
          <w:ilvl w:val="0"/>
          <w:numId w:val="11"/>
        </w:numPr>
        <w:spacing w:before="120" w:beforeAutospacing="0" w:after="120" w:afterAutospacing="0"/>
      </w:pPr>
      <w:r>
        <w:lastRenderedPageBreak/>
        <w:t xml:space="preserve">minor amendments in relation to </w:t>
      </w:r>
      <w:r w:rsidR="004341E5">
        <w:t>three</w:t>
      </w:r>
      <w:r>
        <w:t xml:space="preserve"> ingredients to ensure greater consistency </w:t>
      </w:r>
      <w:r w:rsidR="009C086A">
        <w:t>with the Poisons Standard:</w:t>
      </w:r>
    </w:p>
    <w:p w14:paraId="3C30315D" w14:textId="77777777" w:rsidR="009C086A" w:rsidRDefault="009C086A" w:rsidP="009C086A">
      <w:pPr>
        <w:pStyle w:val="ListParagraph"/>
        <w:keepNext/>
        <w:numPr>
          <w:ilvl w:val="1"/>
          <w:numId w:val="11"/>
        </w:numPr>
        <w:spacing w:before="120" w:beforeAutospacing="0" w:after="120" w:afterAutospacing="0"/>
      </w:pPr>
      <w:r w:rsidRPr="008D7120">
        <w:rPr>
          <w:i/>
        </w:rPr>
        <w:t>Euphorbia lathyris</w:t>
      </w:r>
      <w:r>
        <w:t>;</w:t>
      </w:r>
    </w:p>
    <w:p w14:paraId="1FE2870B" w14:textId="77777777" w:rsidR="009C086A" w:rsidRDefault="009C086A" w:rsidP="009C086A">
      <w:pPr>
        <w:pStyle w:val="ListParagraph"/>
        <w:keepNext/>
        <w:numPr>
          <w:ilvl w:val="1"/>
          <w:numId w:val="11"/>
        </w:numPr>
        <w:spacing w:before="120" w:beforeAutospacing="0" w:after="120" w:afterAutospacing="0"/>
      </w:pPr>
      <w:r w:rsidRPr="008D7120">
        <w:rPr>
          <w:i/>
        </w:rPr>
        <w:t>Mucuna pruriens</w:t>
      </w:r>
      <w:r>
        <w:t>; and</w:t>
      </w:r>
    </w:p>
    <w:p w14:paraId="506364B2" w14:textId="77777777" w:rsidR="009C086A" w:rsidRDefault="009C086A" w:rsidP="00B16682">
      <w:pPr>
        <w:pStyle w:val="ListParagraph"/>
        <w:numPr>
          <w:ilvl w:val="1"/>
          <w:numId w:val="11"/>
        </w:numPr>
        <w:spacing w:before="120" w:beforeAutospacing="0" w:after="120" w:afterAutospacing="0"/>
        <w:ind w:left="1434" w:hanging="357"/>
      </w:pPr>
      <w:r w:rsidRPr="008D7120">
        <w:rPr>
          <w:i/>
        </w:rPr>
        <w:t>Vicia faba</w:t>
      </w:r>
      <w:r>
        <w:t>;</w:t>
      </w:r>
    </w:p>
    <w:p w14:paraId="101AE73F" w14:textId="793DC2E8" w:rsidR="009C086A" w:rsidRDefault="00C56E2C" w:rsidP="00B16682">
      <w:pPr>
        <w:pStyle w:val="ListParagraph"/>
        <w:numPr>
          <w:ilvl w:val="0"/>
          <w:numId w:val="11"/>
        </w:numPr>
        <w:spacing w:before="120" w:beforeAutospacing="0" w:after="120" w:afterAutospacing="0"/>
        <w:ind w:left="714" w:hanging="357"/>
      </w:pPr>
      <w:r>
        <w:t>reflecting the advice of the Complementary Medicines Evaluation Committee in relation to the c</w:t>
      </w:r>
      <w:r w:rsidR="009C086A">
        <w:t xml:space="preserve">orrection of an </w:t>
      </w:r>
      <w:r>
        <w:t xml:space="preserve">inadvertent </w:t>
      </w:r>
      <w:r w:rsidR="009C086A">
        <w:t xml:space="preserve">error </w:t>
      </w:r>
      <w:r>
        <w:t>in</w:t>
      </w:r>
      <w:r w:rsidR="009C086A">
        <w:t xml:space="preserve"> the </w:t>
      </w:r>
      <w:r>
        <w:t xml:space="preserve">applicable </w:t>
      </w:r>
      <w:r w:rsidR="009C086A">
        <w:t>requirements for</w:t>
      </w:r>
      <w:r>
        <w:t xml:space="preserve"> the ingredient</w:t>
      </w:r>
      <w:r w:rsidR="009C086A">
        <w:t xml:space="preserve"> </w:t>
      </w:r>
      <w:r w:rsidR="009C086A" w:rsidRPr="008D7120">
        <w:rPr>
          <w:i/>
        </w:rPr>
        <w:t>Citrullus colocynthis</w:t>
      </w:r>
      <w:r w:rsidR="009C086A">
        <w:t>;</w:t>
      </w:r>
    </w:p>
    <w:p w14:paraId="10FFF8CB" w14:textId="70F09E62" w:rsidR="00774E0F" w:rsidRDefault="00C56E2C" w:rsidP="009C086A">
      <w:pPr>
        <w:pStyle w:val="ListParagraph"/>
        <w:keepNext/>
        <w:numPr>
          <w:ilvl w:val="0"/>
          <w:numId w:val="11"/>
        </w:numPr>
        <w:spacing w:before="120" w:beforeAutospacing="0" w:after="120" w:afterAutospacing="0"/>
      </w:pPr>
      <w:r>
        <w:t>the r</w:t>
      </w:r>
      <w:r w:rsidR="009C086A">
        <w:t xml:space="preserve">emoval of requirements for </w:t>
      </w:r>
    </w:p>
    <w:p w14:paraId="72201413" w14:textId="24A1F246" w:rsidR="00774E0F" w:rsidRDefault="009C086A" w:rsidP="00B16682">
      <w:pPr>
        <w:pStyle w:val="ListParagraph"/>
        <w:keepNext/>
        <w:numPr>
          <w:ilvl w:val="1"/>
          <w:numId w:val="11"/>
        </w:numPr>
        <w:spacing w:before="120" w:beforeAutospacing="0" w:after="120" w:afterAutospacing="0"/>
      </w:pPr>
      <w:r w:rsidRPr="008D7120">
        <w:rPr>
          <w:i/>
        </w:rPr>
        <w:t>Carapichea ipecacuanha</w:t>
      </w:r>
      <w:r>
        <w:t xml:space="preserve">, </w:t>
      </w:r>
      <w:r w:rsidR="00A46E76">
        <w:t>to avoid duplication for this ingredient with applicable requirements for medicines containing this ingredient that apply under the</w:t>
      </w:r>
      <w:r>
        <w:t xml:space="preserve"> </w:t>
      </w:r>
      <w:r w:rsidRPr="00530C81">
        <w:rPr>
          <w:i/>
        </w:rPr>
        <w:t>Therapeutic Goods Order No. 95 - Child-resistant packaging requirements for medicines 2017</w:t>
      </w:r>
      <w:r w:rsidRPr="00F92C47">
        <w:t xml:space="preserve"> (TGO 95)</w:t>
      </w:r>
      <w:r w:rsidR="00774E0F">
        <w:t>;</w:t>
      </w:r>
      <w:r w:rsidR="00530C81">
        <w:t xml:space="preserve"> and</w:t>
      </w:r>
    </w:p>
    <w:p w14:paraId="7326028C" w14:textId="491C1372" w:rsidR="009C086A" w:rsidRDefault="00530C81" w:rsidP="00B16682">
      <w:pPr>
        <w:pStyle w:val="ListParagraph"/>
        <w:numPr>
          <w:ilvl w:val="1"/>
          <w:numId w:val="11"/>
        </w:numPr>
        <w:spacing w:before="120" w:beforeAutospacing="0" w:after="120" w:afterAutospacing="0"/>
        <w:ind w:left="1434" w:hanging="357"/>
      </w:pPr>
      <w:r w:rsidRPr="00530C81">
        <w:rPr>
          <w:i/>
        </w:rPr>
        <w:t>Fraxinus excelsior</w:t>
      </w:r>
      <w:r>
        <w:t xml:space="preserve"> and </w:t>
      </w:r>
      <w:r w:rsidRPr="00530C81">
        <w:rPr>
          <w:i/>
        </w:rPr>
        <w:t>Perilla frutescens</w:t>
      </w:r>
      <w:r>
        <w:t xml:space="preserve"> to reflect that the TGA no longer evaluate</w:t>
      </w:r>
      <w:r w:rsidR="004341E5">
        <w:t>s</w:t>
      </w:r>
      <w:r>
        <w:t xml:space="preserve"> or allocate</w:t>
      </w:r>
      <w:r w:rsidR="004341E5">
        <w:t>s</w:t>
      </w:r>
      <w:r>
        <w:t xml:space="preserve"> names for chemical constituents that can be used as therapeutic or quality markers in herbal ingredients</w:t>
      </w:r>
      <w:r w:rsidR="009C086A">
        <w:t>;</w:t>
      </w:r>
    </w:p>
    <w:p w14:paraId="143CAA93" w14:textId="540D59CD" w:rsidR="009C086A" w:rsidRPr="00686926" w:rsidRDefault="00530C81" w:rsidP="009C086A">
      <w:pPr>
        <w:pStyle w:val="ListParagraph"/>
        <w:numPr>
          <w:ilvl w:val="0"/>
          <w:numId w:val="11"/>
        </w:numPr>
        <w:spacing w:before="120" w:beforeAutospacing="0" w:after="120" w:afterAutospacing="0" w:line="276" w:lineRule="auto"/>
        <w:rPr>
          <w:i/>
        </w:rPr>
      </w:pPr>
      <w:r>
        <w:t xml:space="preserve">updating the name of </w:t>
      </w:r>
      <w:r w:rsidR="009C086A">
        <w:t xml:space="preserve">the ingredient </w:t>
      </w:r>
      <w:r w:rsidR="009C086A">
        <w:rPr>
          <w:i/>
        </w:rPr>
        <w:t xml:space="preserve">Juniperus mexicana </w:t>
      </w:r>
      <w:r w:rsidR="009C086A">
        <w:t xml:space="preserve">to the amended Australian Approved Name </w:t>
      </w:r>
      <w:r w:rsidR="009C086A">
        <w:rPr>
          <w:i/>
        </w:rPr>
        <w:t xml:space="preserve">Juniperus </w:t>
      </w:r>
      <w:r w:rsidR="009C086A" w:rsidRPr="00E43F36">
        <w:rPr>
          <w:i/>
        </w:rPr>
        <w:t>depp</w:t>
      </w:r>
      <w:r w:rsidR="009C086A">
        <w:rPr>
          <w:i/>
        </w:rPr>
        <w:t>e</w:t>
      </w:r>
      <w:r w:rsidR="009C086A" w:rsidRPr="00E43F36">
        <w:rPr>
          <w:i/>
        </w:rPr>
        <w:t>ana</w:t>
      </w:r>
      <w:r>
        <w:t>; and</w:t>
      </w:r>
    </w:p>
    <w:p w14:paraId="64327CF3" w14:textId="29AED46C" w:rsidR="001C1EC4" w:rsidRPr="007D5353" w:rsidRDefault="00530C81" w:rsidP="00C56E2C">
      <w:pPr>
        <w:pStyle w:val="ListParagraph"/>
        <w:numPr>
          <w:ilvl w:val="0"/>
          <w:numId w:val="11"/>
        </w:numPr>
        <w:spacing w:before="120" w:beforeAutospacing="0" w:after="120" w:afterAutospacing="0" w:line="276" w:lineRule="auto"/>
      </w:pPr>
      <w:r>
        <w:t>the r</w:t>
      </w:r>
      <w:r w:rsidR="001C1EC4" w:rsidRPr="001C1EC4">
        <w:t>emoval of the ingredient ‘guaiacwood acetate’, as</w:t>
      </w:r>
      <w:r w:rsidR="00A679F3">
        <w:t xml:space="preserve"> </w:t>
      </w:r>
      <w:r>
        <w:t xml:space="preserve">it </w:t>
      </w:r>
      <w:r w:rsidR="00A679F3">
        <w:t>is</w:t>
      </w:r>
      <w:r w:rsidR="001C1EC4" w:rsidRPr="001C1EC4">
        <w:t xml:space="preserve"> a synonym of the existing ingredient ‘guaiyl acetate’.</w:t>
      </w:r>
    </w:p>
    <w:p w14:paraId="43BACDC7" w14:textId="5E12CF4E" w:rsidR="00EF1F18" w:rsidRDefault="00EF1F18" w:rsidP="0015421F">
      <w:pPr>
        <w:spacing w:before="100" w:beforeAutospacing="1" w:after="100" w:afterAutospacing="1"/>
        <w:rPr>
          <w:rFonts w:ascii="Times New Roman" w:eastAsia="Times New Roman" w:hAnsi="Times New Roman" w:cs="Times New Roman"/>
          <w:sz w:val="24"/>
          <w:szCs w:val="24"/>
          <w:lang w:eastAsia="en-AU"/>
        </w:rPr>
      </w:pPr>
      <w:r w:rsidRPr="00B028DC">
        <w:rPr>
          <w:rFonts w:ascii="Times New Roman" w:eastAsia="Times New Roman" w:hAnsi="Times New Roman" w:cs="Times New Roman"/>
          <w:b/>
          <w:bCs/>
          <w:sz w:val="24"/>
          <w:szCs w:val="24"/>
          <w:lang w:eastAsia="en-AU"/>
        </w:rPr>
        <w:t>C</w:t>
      </w:r>
      <w:r w:rsidR="00E1152E" w:rsidRPr="00B028DC">
        <w:rPr>
          <w:rFonts w:ascii="Times New Roman" w:eastAsia="Times New Roman" w:hAnsi="Times New Roman" w:cs="Times New Roman"/>
          <w:b/>
          <w:bCs/>
          <w:sz w:val="24"/>
          <w:szCs w:val="24"/>
          <w:lang w:eastAsia="en-AU"/>
        </w:rPr>
        <w:t>onsultation</w:t>
      </w:r>
      <w:r w:rsidRPr="00B028DC">
        <w:rPr>
          <w:rFonts w:ascii="Times New Roman" w:eastAsia="Times New Roman" w:hAnsi="Times New Roman" w:cs="Times New Roman"/>
          <w:sz w:val="24"/>
          <w:szCs w:val="24"/>
          <w:lang w:eastAsia="en-AU"/>
        </w:rPr>
        <w:t> </w:t>
      </w:r>
    </w:p>
    <w:p w14:paraId="5CDCF156" w14:textId="269DFBBB" w:rsidR="006161DC" w:rsidRDefault="004E03D6" w:rsidP="00032FAE">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w:t>
      </w:r>
      <w:r w:rsidRPr="007F3304">
        <w:rPr>
          <w:rFonts w:ascii="Times New Roman" w:eastAsia="Times New Roman" w:hAnsi="Times New Roman" w:cs="Times New Roman"/>
          <w:sz w:val="24"/>
          <w:szCs w:val="24"/>
          <w:lang w:eastAsia="en-AU"/>
        </w:rPr>
        <w:t xml:space="preserve"> ingredient </w:t>
      </w:r>
      <w:r w:rsidR="001C5E65">
        <w:rPr>
          <w:rFonts w:ascii="Times New Roman" w:eastAsia="Times New Roman" w:hAnsi="Times New Roman" w:cs="Times New Roman"/>
          <w:sz w:val="24"/>
          <w:szCs w:val="24"/>
          <w:lang w:eastAsia="en-AU"/>
        </w:rPr>
        <w:t xml:space="preserve">‘ethyl phenylglycidate’ </w:t>
      </w:r>
      <w:r>
        <w:rPr>
          <w:rFonts w:ascii="Times New Roman" w:eastAsia="Times New Roman" w:hAnsi="Times New Roman" w:cs="Times New Roman"/>
          <w:sz w:val="24"/>
          <w:szCs w:val="24"/>
          <w:lang w:eastAsia="en-AU"/>
        </w:rPr>
        <w:t>w</w:t>
      </w:r>
      <w:r w:rsidR="001C5E65">
        <w:rPr>
          <w:rFonts w:ascii="Times New Roman" w:eastAsia="Times New Roman" w:hAnsi="Times New Roman" w:cs="Times New Roman"/>
          <w:sz w:val="24"/>
          <w:szCs w:val="24"/>
          <w:lang w:eastAsia="en-AU"/>
        </w:rPr>
        <w:t>as</w:t>
      </w:r>
      <w:r>
        <w:rPr>
          <w:rFonts w:ascii="Times New Roman" w:eastAsia="Times New Roman" w:hAnsi="Times New Roman" w:cs="Times New Roman"/>
          <w:sz w:val="24"/>
          <w:szCs w:val="24"/>
          <w:lang w:eastAsia="en-AU"/>
        </w:rPr>
        <w:t xml:space="preserve"> </w:t>
      </w:r>
      <w:r w:rsidRPr="007F3304">
        <w:rPr>
          <w:rFonts w:ascii="Times New Roman" w:eastAsia="Times New Roman" w:hAnsi="Times New Roman" w:cs="Times New Roman"/>
          <w:sz w:val="24"/>
          <w:szCs w:val="24"/>
          <w:lang w:eastAsia="en-AU"/>
        </w:rPr>
        <w:t>the subject of</w:t>
      </w:r>
      <w:r w:rsidR="00D3180C">
        <w:rPr>
          <w:rFonts w:ascii="Times New Roman" w:eastAsia="Times New Roman" w:hAnsi="Times New Roman" w:cs="Times New Roman"/>
          <w:sz w:val="24"/>
          <w:szCs w:val="24"/>
          <w:lang w:eastAsia="en-AU"/>
        </w:rPr>
        <w:t xml:space="preserve"> </w:t>
      </w:r>
      <w:r w:rsidR="00EF01F6">
        <w:rPr>
          <w:rFonts w:ascii="Times New Roman" w:eastAsia="Times New Roman" w:hAnsi="Times New Roman" w:cs="Times New Roman"/>
          <w:sz w:val="24"/>
          <w:szCs w:val="24"/>
          <w:lang w:eastAsia="en-AU"/>
        </w:rPr>
        <w:t xml:space="preserve">an </w:t>
      </w:r>
      <w:r w:rsidR="00D3180C">
        <w:rPr>
          <w:rFonts w:ascii="Times New Roman" w:eastAsia="Times New Roman" w:hAnsi="Times New Roman" w:cs="Times New Roman"/>
          <w:sz w:val="24"/>
          <w:szCs w:val="24"/>
          <w:lang w:eastAsia="en-AU"/>
        </w:rPr>
        <w:t>application</w:t>
      </w:r>
      <w:r w:rsidRPr="007F3304">
        <w:rPr>
          <w:rFonts w:ascii="Times New Roman" w:eastAsia="Times New Roman" w:hAnsi="Times New Roman" w:cs="Times New Roman"/>
          <w:sz w:val="24"/>
          <w:szCs w:val="24"/>
          <w:lang w:eastAsia="en-AU"/>
        </w:rPr>
        <w:t xml:space="preserve"> to the Secretary </w:t>
      </w:r>
      <w:r w:rsidR="00092EDD">
        <w:rPr>
          <w:rFonts w:ascii="Times New Roman" w:eastAsia="Times New Roman" w:hAnsi="Times New Roman" w:cs="Times New Roman"/>
          <w:sz w:val="24"/>
          <w:szCs w:val="24"/>
          <w:lang w:eastAsia="en-AU"/>
        </w:rPr>
        <w:t>to authorise the use of th</w:t>
      </w:r>
      <w:r w:rsidR="001C5E65">
        <w:rPr>
          <w:rFonts w:ascii="Times New Roman" w:eastAsia="Times New Roman" w:hAnsi="Times New Roman" w:cs="Times New Roman"/>
          <w:sz w:val="24"/>
          <w:szCs w:val="24"/>
          <w:lang w:eastAsia="en-AU"/>
        </w:rPr>
        <w:t>at</w:t>
      </w:r>
      <w:r w:rsidR="00092EDD">
        <w:rPr>
          <w:rFonts w:ascii="Times New Roman" w:eastAsia="Times New Roman" w:hAnsi="Times New Roman" w:cs="Times New Roman"/>
          <w:sz w:val="24"/>
          <w:szCs w:val="24"/>
          <w:lang w:eastAsia="en-AU"/>
        </w:rPr>
        <w:t xml:space="preserve"> ingredient. </w:t>
      </w:r>
      <w:r w:rsidR="004341E5">
        <w:rPr>
          <w:rFonts w:ascii="Times New Roman" w:eastAsia="Times New Roman" w:hAnsi="Times New Roman" w:cs="Times New Roman"/>
          <w:sz w:val="24"/>
          <w:szCs w:val="24"/>
          <w:lang w:eastAsia="en-AU"/>
        </w:rPr>
        <w:t xml:space="preserve"> </w:t>
      </w:r>
      <w:r w:rsidR="00092EDD">
        <w:rPr>
          <w:rFonts w:ascii="Times New Roman" w:eastAsia="Times New Roman" w:hAnsi="Times New Roman" w:cs="Times New Roman"/>
          <w:sz w:val="24"/>
          <w:szCs w:val="24"/>
          <w:lang w:eastAsia="en-AU"/>
        </w:rPr>
        <w:t xml:space="preserve">The TGA engaged </w:t>
      </w:r>
      <w:r w:rsidR="00092EDD">
        <w:rPr>
          <w:rFonts w:ascii="Times New Roman" w:eastAsia="Times New Roman" w:hAnsi="Times New Roman" w:cs="Times New Roman"/>
          <w:sz w:val="24"/>
          <w:szCs w:val="24"/>
          <w:lang w:eastAsia="en-AU"/>
        </w:rPr>
        <w:lastRenderedPageBreak/>
        <w:t>with the applicant in relation to</w:t>
      </w:r>
      <w:r w:rsidR="00EF01F6">
        <w:rPr>
          <w:rFonts w:ascii="Times New Roman" w:eastAsia="Times New Roman" w:hAnsi="Times New Roman" w:cs="Times New Roman"/>
          <w:sz w:val="24"/>
          <w:szCs w:val="24"/>
          <w:lang w:eastAsia="en-AU"/>
        </w:rPr>
        <w:t xml:space="preserve"> the proposed inclusion of that ingredient in the Determination</w:t>
      </w:r>
      <w:r w:rsidR="00092EDD">
        <w:rPr>
          <w:rFonts w:ascii="Times New Roman" w:eastAsia="Times New Roman" w:hAnsi="Times New Roman" w:cs="Times New Roman"/>
          <w:sz w:val="24"/>
          <w:szCs w:val="24"/>
          <w:lang w:eastAsia="en-AU"/>
        </w:rPr>
        <w:t>, in connection with th</w:t>
      </w:r>
      <w:r w:rsidR="001C5E65">
        <w:rPr>
          <w:rFonts w:ascii="Times New Roman" w:eastAsia="Times New Roman" w:hAnsi="Times New Roman" w:cs="Times New Roman"/>
          <w:sz w:val="24"/>
          <w:szCs w:val="24"/>
          <w:lang w:eastAsia="en-AU"/>
        </w:rPr>
        <w:t>at</w:t>
      </w:r>
      <w:r w:rsidR="00092EDD">
        <w:rPr>
          <w:rFonts w:ascii="Times New Roman" w:eastAsia="Times New Roman" w:hAnsi="Times New Roman" w:cs="Times New Roman"/>
          <w:sz w:val="24"/>
          <w:szCs w:val="24"/>
          <w:lang w:eastAsia="en-AU"/>
        </w:rPr>
        <w:t xml:space="preserve"> application</w:t>
      </w:r>
      <w:r w:rsidRPr="007F3304">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p>
    <w:p w14:paraId="6F944EEC" w14:textId="34B9E5CC" w:rsidR="00EF01F6" w:rsidRDefault="00E040B3" w:rsidP="00032FAE">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w:t>
      </w:r>
      <w:r w:rsidR="00EF01F6">
        <w:rPr>
          <w:rFonts w:ascii="Times New Roman" w:eastAsia="Times New Roman" w:hAnsi="Times New Roman" w:cs="Times New Roman"/>
          <w:sz w:val="24"/>
          <w:szCs w:val="24"/>
          <w:lang w:eastAsia="en-AU"/>
        </w:rPr>
        <w:t xml:space="preserve"> changes made in the Determination in comparison with the former Determination in relation to</w:t>
      </w:r>
      <w:r>
        <w:rPr>
          <w:rFonts w:ascii="Times New Roman" w:eastAsia="Times New Roman" w:hAnsi="Times New Roman" w:cs="Times New Roman"/>
          <w:sz w:val="24"/>
          <w:szCs w:val="24"/>
          <w:lang w:eastAsia="en-AU"/>
        </w:rPr>
        <w:t xml:space="preserve"> </w:t>
      </w:r>
      <w:r w:rsidRPr="008D19CC">
        <w:rPr>
          <w:rFonts w:ascii="Times New Roman" w:eastAsia="Times New Roman" w:hAnsi="Times New Roman" w:cs="Times New Roman"/>
          <w:i/>
          <w:sz w:val="24"/>
          <w:szCs w:val="24"/>
          <w:lang w:eastAsia="en-AU"/>
        </w:rPr>
        <w:t>Carapichea ipecacuanha</w:t>
      </w:r>
      <w:r>
        <w:rPr>
          <w:rFonts w:ascii="Times New Roman" w:eastAsia="Times New Roman" w:hAnsi="Times New Roman" w:cs="Times New Roman"/>
          <w:sz w:val="24"/>
          <w:szCs w:val="24"/>
          <w:lang w:eastAsia="en-AU"/>
        </w:rPr>
        <w:t xml:space="preserve">, </w:t>
      </w:r>
      <w:r w:rsidRPr="008D19CC">
        <w:rPr>
          <w:rFonts w:ascii="Times New Roman" w:eastAsia="Times New Roman" w:hAnsi="Times New Roman" w:cs="Times New Roman"/>
          <w:i/>
          <w:sz w:val="24"/>
          <w:szCs w:val="24"/>
          <w:lang w:eastAsia="en-AU"/>
        </w:rPr>
        <w:t>Citrullus colocynthis</w:t>
      </w:r>
      <w:r>
        <w:rPr>
          <w:rFonts w:ascii="Times New Roman" w:eastAsia="Times New Roman" w:hAnsi="Times New Roman" w:cs="Times New Roman"/>
          <w:sz w:val="24"/>
          <w:szCs w:val="24"/>
          <w:lang w:eastAsia="en-AU"/>
        </w:rPr>
        <w:t xml:space="preserve">, </w:t>
      </w:r>
      <w:r w:rsidR="008D19CC">
        <w:rPr>
          <w:rFonts w:ascii="Times New Roman" w:eastAsia="Times New Roman" w:hAnsi="Times New Roman" w:cs="Times New Roman"/>
          <w:sz w:val="24"/>
          <w:szCs w:val="24"/>
          <w:lang w:eastAsia="en-AU"/>
        </w:rPr>
        <w:t>and</w:t>
      </w:r>
      <w:r>
        <w:rPr>
          <w:rFonts w:ascii="Times New Roman" w:eastAsia="Times New Roman" w:hAnsi="Times New Roman" w:cs="Times New Roman"/>
          <w:i/>
          <w:sz w:val="24"/>
          <w:szCs w:val="24"/>
          <w:lang w:eastAsia="en-AU"/>
        </w:rPr>
        <w:t xml:space="preserve"> Mucuna pruriens</w:t>
      </w:r>
      <w:r w:rsidR="00EF01F6">
        <w:rPr>
          <w:rFonts w:ascii="Times New Roman" w:eastAsia="Times New Roman" w:hAnsi="Times New Roman" w:cs="Times New Roman"/>
          <w:sz w:val="24"/>
          <w:szCs w:val="24"/>
          <w:lang w:eastAsia="en-AU"/>
        </w:rPr>
        <w:t xml:space="preserve"> were the subject of enquir</w:t>
      </w:r>
      <w:r w:rsidR="004341E5">
        <w:rPr>
          <w:rFonts w:ascii="Times New Roman" w:eastAsia="Times New Roman" w:hAnsi="Times New Roman" w:cs="Times New Roman"/>
          <w:sz w:val="24"/>
          <w:szCs w:val="24"/>
          <w:lang w:eastAsia="en-AU"/>
        </w:rPr>
        <w:t>i</w:t>
      </w:r>
      <w:r w:rsidR="00EF01F6">
        <w:rPr>
          <w:rFonts w:ascii="Times New Roman" w:eastAsia="Times New Roman" w:hAnsi="Times New Roman" w:cs="Times New Roman"/>
          <w:sz w:val="24"/>
          <w:szCs w:val="24"/>
          <w:lang w:eastAsia="en-AU"/>
        </w:rPr>
        <w:t xml:space="preserve">es with the TGA from </w:t>
      </w:r>
      <w:r>
        <w:rPr>
          <w:rFonts w:ascii="Times New Roman" w:eastAsia="Times New Roman" w:hAnsi="Times New Roman" w:cs="Times New Roman"/>
          <w:sz w:val="24"/>
          <w:szCs w:val="24"/>
          <w:lang w:eastAsia="en-AU"/>
        </w:rPr>
        <w:t>listed medicine sponsors (or their agents)</w:t>
      </w:r>
      <w:r w:rsidR="00EF01F6">
        <w:rPr>
          <w:rFonts w:ascii="Times New Roman" w:eastAsia="Times New Roman" w:hAnsi="Times New Roman" w:cs="Times New Roman"/>
          <w:sz w:val="24"/>
          <w:szCs w:val="24"/>
          <w:lang w:eastAsia="en-AU"/>
        </w:rPr>
        <w:t>, and the changes in the Determination reflect that feedback.</w:t>
      </w:r>
    </w:p>
    <w:p w14:paraId="5ECAE8F9" w14:textId="7F361CD2" w:rsidR="00EF01F6" w:rsidRDefault="00EF01F6">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other changes in the Determination in comparison with the former Determination were minor and machinery in nature, e.g. to correct errors or remove duplicatory requirements, and were not the subject of consultation.</w:t>
      </w:r>
    </w:p>
    <w:p w14:paraId="71C5634A" w14:textId="30410ECF" w:rsidR="003E5AEA" w:rsidRPr="000011FE" w:rsidRDefault="003E5AEA">
      <w:pPr>
        <w:spacing w:before="100" w:beforeAutospacing="1" w:after="100" w:afterAutospacing="1"/>
        <w:rPr>
          <w:rFonts w:ascii="Times New Roman" w:eastAsia="Times New Roman" w:hAnsi="Times New Roman" w:cs="Times New Roman"/>
          <w:sz w:val="24"/>
          <w:szCs w:val="24"/>
          <w:lang w:eastAsia="en-AU"/>
        </w:rPr>
      </w:pPr>
      <w:r w:rsidRPr="00807896">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OBPR </w:t>
      </w:r>
      <w:r w:rsidRPr="00807896">
        <w:rPr>
          <w:rFonts w:ascii="Times New Roman" w:eastAsia="Times New Roman" w:hAnsi="Times New Roman" w:cs="Times New Roman"/>
          <w:sz w:val="24"/>
          <w:szCs w:val="24"/>
          <w:lang w:eastAsia="en-AU"/>
        </w:rPr>
        <w:t xml:space="preserve">has </w:t>
      </w:r>
      <w:r w:rsidR="00066CCA">
        <w:rPr>
          <w:rFonts w:ascii="Times New Roman" w:eastAsia="Times New Roman" w:hAnsi="Times New Roman" w:cs="Times New Roman"/>
          <w:sz w:val="24"/>
          <w:szCs w:val="24"/>
          <w:lang w:eastAsia="en-AU"/>
        </w:rPr>
        <w:t xml:space="preserve">also </w:t>
      </w:r>
      <w:r w:rsidRPr="00807896">
        <w:rPr>
          <w:rFonts w:ascii="Times New Roman" w:eastAsia="Times New Roman" w:hAnsi="Times New Roman" w:cs="Times New Roman"/>
          <w:sz w:val="24"/>
          <w:szCs w:val="24"/>
          <w:lang w:eastAsia="en-AU"/>
        </w:rPr>
        <w:t>previously advised that a regulatory impact statement is not required for updates to determinations made under section 26BB of the Act that are minor or machinery in nature</w:t>
      </w:r>
      <w:r>
        <w:rPr>
          <w:rFonts w:ascii="Times New Roman" w:eastAsia="Times New Roman" w:hAnsi="Times New Roman" w:cs="Times New Roman"/>
          <w:sz w:val="24"/>
          <w:szCs w:val="24"/>
          <w:lang w:eastAsia="en-AU"/>
        </w:rPr>
        <w:t>, including</w:t>
      </w:r>
      <w:r w:rsidRPr="00807896">
        <w:rPr>
          <w:rFonts w:ascii="Times New Roman" w:eastAsia="Times New Roman" w:hAnsi="Times New Roman" w:cs="Times New Roman"/>
          <w:sz w:val="24"/>
          <w:szCs w:val="24"/>
          <w:lang w:eastAsia="en-AU"/>
        </w:rPr>
        <w:t xml:space="preserve"> the introduction of new permitted ingredients, corrections of errors, clarifications of requirements and ingredient names, changes to reflect scheduling decisions in the Poisons Standard or the outcomes of TGA safety evaluations where the regulatory impacts are minor or machinery in nature (OBPR references 14416, 20999 and 21645</w:t>
      </w:r>
      <w:r>
        <w:rPr>
          <w:rFonts w:ascii="Times New Roman" w:eastAsia="Times New Roman" w:hAnsi="Times New Roman" w:cs="Times New Roman"/>
          <w:sz w:val="24"/>
          <w:szCs w:val="24"/>
          <w:lang w:eastAsia="en-AU"/>
        </w:rPr>
        <w:t>).</w:t>
      </w:r>
    </w:p>
    <w:p w14:paraId="7A00BF75" w14:textId="77777777" w:rsidR="0050197A" w:rsidRPr="00B94E86" w:rsidRDefault="0050197A" w:rsidP="001F063F">
      <w:pPr>
        <w:keepNext/>
        <w:rPr>
          <w:rFonts w:ascii="Times New Roman" w:hAnsi="Times New Roman" w:cs="Times New Roman"/>
          <w:b/>
          <w:sz w:val="24"/>
          <w:szCs w:val="24"/>
          <w:lang w:eastAsia="en-AU"/>
        </w:rPr>
      </w:pPr>
      <w:r w:rsidRPr="00B94E86">
        <w:rPr>
          <w:rFonts w:ascii="Times New Roman" w:hAnsi="Times New Roman" w:cs="Times New Roman"/>
          <w:b/>
          <w:sz w:val="24"/>
          <w:szCs w:val="24"/>
          <w:lang w:eastAsia="en-AU"/>
        </w:rPr>
        <w:t>Incorporation</w:t>
      </w:r>
      <w:r>
        <w:rPr>
          <w:rFonts w:ascii="Times New Roman" w:hAnsi="Times New Roman" w:cs="Times New Roman"/>
          <w:b/>
          <w:sz w:val="24"/>
          <w:szCs w:val="24"/>
          <w:lang w:eastAsia="en-AU"/>
        </w:rPr>
        <w:t xml:space="preserve"> by reference</w:t>
      </w:r>
    </w:p>
    <w:p w14:paraId="09BDDD8C" w14:textId="77777777" w:rsidR="0050197A"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w:t>
      </w:r>
      <w:r w:rsidRPr="0034672A">
        <w:rPr>
          <w:rFonts w:ascii="Times New Roman" w:eastAsia="Times New Roman" w:hAnsi="Times New Roman" w:cs="Times New Roman"/>
          <w:sz w:val="24"/>
          <w:szCs w:val="24"/>
          <w:lang w:eastAsia="en-AU"/>
        </w:rPr>
        <w:t>Determination</w:t>
      </w:r>
      <w:r>
        <w:rPr>
          <w:rFonts w:ascii="Times New Roman" w:hAnsi="Times New Roman" w:cs="Times New Roman"/>
          <w:sz w:val="24"/>
          <w:szCs w:val="24"/>
        </w:rPr>
        <w:t xml:space="preserve"> references each of the British Pharmacopoeia, European Pharmacopoeia and United States Pharmacopeia-National Formulary, and the note in section 4 of the Determination makes it clear that each of these pharmacopoeia are those as defined in subsection 3(1) of the Act.</w:t>
      </w:r>
    </w:p>
    <w:p w14:paraId="53E90904" w14:textId="608D0C74" w:rsidR="0050197A"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 xml:space="preserve">The definitions of the pharmacopoeia in subsection 3(1) of the Act refer to the publications of each as in effect immediately before the commencement of the relevant definition in the Act, and to any subsequent amendments or editions. </w:t>
      </w:r>
      <w:r w:rsidR="00E60C26">
        <w:rPr>
          <w:rFonts w:ascii="Times New Roman" w:hAnsi="Times New Roman" w:cs="Times New Roman"/>
          <w:sz w:val="24"/>
          <w:szCs w:val="24"/>
        </w:rPr>
        <w:t xml:space="preserve"> </w:t>
      </w:r>
      <w:r>
        <w:rPr>
          <w:rFonts w:ascii="Times New Roman" w:hAnsi="Times New Roman" w:cs="Times New Roman"/>
          <w:sz w:val="24"/>
          <w:szCs w:val="24"/>
        </w:rPr>
        <w:t xml:space="preserve">The intention in this Determination is therefore to adopt the defined meaning of the pharmacopoeia as set out in subsection 3(1) of the Act (an approach permitted by subsection </w:t>
      </w:r>
      <w:r w:rsidR="004E2CE6">
        <w:rPr>
          <w:rFonts w:ascii="Times New Roman" w:hAnsi="Times New Roman" w:cs="Times New Roman"/>
          <w:sz w:val="24"/>
          <w:szCs w:val="24"/>
        </w:rPr>
        <w:t>26BB</w:t>
      </w:r>
      <w:r>
        <w:rPr>
          <w:rFonts w:ascii="Times New Roman" w:hAnsi="Times New Roman" w:cs="Times New Roman"/>
          <w:sz w:val="24"/>
          <w:szCs w:val="24"/>
        </w:rPr>
        <w:t>(</w:t>
      </w:r>
      <w:r w:rsidR="004E2CE6">
        <w:rPr>
          <w:rFonts w:ascii="Times New Roman" w:hAnsi="Times New Roman" w:cs="Times New Roman"/>
          <w:sz w:val="24"/>
          <w:szCs w:val="24"/>
        </w:rPr>
        <w:t>8</w:t>
      </w:r>
      <w:r>
        <w:rPr>
          <w:rFonts w:ascii="Times New Roman" w:hAnsi="Times New Roman" w:cs="Times New Roman"/>
          <w:sz w:val="24"/>
          <w:szCs w:val="24"/>
        </w:rPr>
        <w:t xml:space="preserve">) of the Act). </w:t>
      </w:r>
      <w:r w:rsidR="00E60C26">
        <w:rPr>
          <w:rFonts w:ascii="Times New Roman" w:hAnsi="Times New Roman" w:cs="Times New Roman"/>
          <w:sz w:val="24"/>
          <w:szCs w:val="24"/>
        </w:rPr>
        <w:t xml:space="preserve"> </w:t>
      </w:r>
      <w:r>
        <w:rPr>
          <w:rFonts w:ascii="Times New Roman" w:hAnsi="Times New Roman" w:cs="Times New Roman"/>
          <w:sz w:val="24"/>
          <w:szCs w:val="24"/>
        </w:rPr>
        <w:t xml:space="preserve">That pharmacopoeia may be accessed from </w:t>
      </w:r>
      <w:hyperlink r:id="rId8" w:history="1">
        <w:r w:rsidRPr="00BB66B5">
          <w:rPr>
            <w:rStyle w:val="Hyperlink"/>
            <w:rFonts w:ascii="Times New Roman" w:hAnsi="Times New Roman" w:cs="Times New Roman"/>
            <w:sz w:val="24"/>
            <w:szCs w:val="24"/>
          </w:rPr>
          <w:t>www.pharmacopoeia.com/</w:t>
        </w:r>
      </w:hyperlink>
      <w:r>
        <w:rPr>
          <w:rFonts w:ascii="Times New Roman" w:hAnsi="Times New Roman" w:cs="Times New Roman"/>
          <w:sz w:val="24"/>
          <w:szCs w:val="24"/>
        </w:rPr>
        <w:t xml:space="preserve">, </w:t>
      </w:r>
      <w:hyperlink r:id="rId9" w:history="1">
        <w:r w:rsidRPr="00BB66B5">
          <w:rPr>
            <w:rStyle w:val="Hyperlink"/>
            <w:rFonts w:ascii="Times New Roman" w:hAnsi="Times New Roman" w:cs="Times New Roman"/>
            <w:sz w:val="24"/>
            <w:szCs w:val="24"/>
          </w:rPr>
          <w:t>www.edqm.eu/en/european-pharmacopoeia-ph-eur-9th-edition</w:t>
        </w:r>
      </w:hyperlink>
      <w:r>
        <w:rPr>
          <w:rFonts w:ascii="Times New Roman" w:hAnsi="Times New Roman" w:cs="Times New Roman"/>
          <w:sz w:val="24"/>
          <w:szCs w:val="24"/>
        </w:rPr>
        <w:t xml:space="preserve"> and </w:t>
      </w:r>
      <w:hyperlink r:id="rId10" w:history="1">
        <w:r w:rsidRPr="00BB66B5">
          <w:rPr>
            <w:rStyle w:val="Hyperlink"/>
            <w:rFonts w:ascii="Times New Roman" w:hAnsi="Times New Roman" w:cs="Times New Roman"/>
            <w:sz w:val="24"/>
            <w:szCs w:val="24"/>
          </w:rPr>
          <w:t>www.uspnf.com/</w:t>
        </w:r>
      </w:hyperlink>
      <w:r>
        <w:rPr>
          <w:rFonts w:ascii="Times New Roman" w:hAnsi="Times New Roman" w:cs="Times New Roman"/>
          <w:sz w:val="24"/>
          <w:szCs w:val="24"/>
        </w:rPr>
        <w:t xml:space="preserve">. </w:t>
      </w:r>
    </w:p>
    <w:p w14:paraId="2E0BD165" w14:textId="0DBEBAE4" w:rsidR="0050197A" w:rsidRPr="00D35938"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Determination also adopts the </w:t>
      </w:r>
      <w:r w:rsidRPr="006B644D">
        <w:rPr>
          <w:rFonts w:ascii="Times New Roman" w:hAnsi="Times New Roman" w:cs="Times New Roman"/>
          <w:sz w:val="24"/>
          <w:szCs w:val="24"/>
        </w:rPr>
        <w:t>Food Chemicals Codex (</w:t>
      </w:r>
      <w:r>
        <w:rPr>
          <w:rFonts w:ascii="Times New Roman" w:hAnsi="Times New Roman" w:cs="Times New Roman"/>
          <w:sz w:val="24"/>
          <w:szCs w:val="24"/>
        </w:rPr>
        <w:t xml:space="preserve">“the </w:t>
      </w:r>
      <w:r w:rsidRPr="006B644D">
        <w:rPr>
          <w:rFonts w:ascii="Times New Roman" w:hAnsi="Times New Roman" w:cs="Times New Roman"/>
          <w:sz w:val="24"/>
          <w:szCs w:val="24"/>
        </w:rPr>
        <w:t>FCC</w:t>
      </w:r>
      <w:r>
        <w:rPr>
          <w:rFonts w:ascii="Times New Roman" w:hAnsi="Times New Roman" w:cs="Times New Roman"/>
          <w:sz w:val="24"/>
          <w:szCs w:val="24"/>
        </w:rPr>
        <w:t>”</w:t>
      </w:r>
      <w:r w:rsidRPr="006B644D">
        <w:rPr>
          <w:rFonts w:ascii="Times New Roman" w:hAnsi="Times New Roman" w:cs="Times New Roman"/>
          <w:sz w:val="24"/>
          <w:szCs w:val="24"/>
        </w:rPr>
        <w:t>) published by the United States Pharmacopeial Convention</w:t>
      </w:r>
      <w:r>
        <w:rPr>
          <w:rFonts w:ascii="Times New Roman" w:hAnsi="Times New Roman" w:cs="Times New Roman"/>
          <w:sz w:val="24"/>
          <w:szCs w:val="24"/>
        </w:rPr>
        <w:t xml:space="preserve"> (available at </w:t>
      </w:r>
      <w:hyperlink r:id="rId11" w:history="1">
        <w:r w:rsidRPr="00BB66B5">
          <w:rPr>
            <w:rStyle w:val="Hyperlink"/>
            <w:rFonts w:ascii="Times New Roman" w:hAnsi="Times New Roman" w:cs="Times New Roman"/>
            <w:sz w:val="24"/>
            <w:szCs w:val="24"/>
          </w:rPr>
          <w:t>www.online.foodchemicalscodex.org</w:t>
        </w:r>
      </w:hyperlink>
      <w:r>
        <w:rPr>
          <w:rFonts w:ascii="Times New Roman" w:hAnsi="Times New Roman" w:cs="Times New Roman"/>
          <w:sz w:val="24"/>
          <w:szCs w:val="24"/>
        </w:rPr>
        <w:t xml:space="preserve">). </w:t>
      </w:r>
      <w:r w:rsidR="004E2CE6">
        <w:rPr>
          <w:rFonts w:ascii="Times New Roman" w:hAnsi="Times New Roman" w:cs="Times New Roman"/>
          <w:sz w:val="24"/>
          <w:szCs w:val="24"/>
        </w:rPr>
        <w:t xml:space="preserve"> </w:t>
      </w:r>
      <w:r>
        <w:rPr>
          <w:rFonts w:ascii="Times New Roman" w:hAnsi="Times New Roman" w:cs="Times New Roman"/>
          <w:sz w:val="24"/>
          <w:szCs w:val="24"/>
        </w:rPr>
        <w:t>The intended manner of adoption of the FCC is also as it is in force or existing from time to time</w:t>
      </w:r>
      <w:r w:rsidR="004E2CE6">
        <w:rPr>
          <w:rFonts w:ascii="Times New Roman" w:hAnsi="Times New Roman" w:cs="Times New Roman"/>
          <w:sz w:val="24"/>
          <w:szCs w:val="24"/>
        </w:rPr>
        <w:t>, as permitted by subsection 26BB(8) of the Act</w:t>
      </w:r>
      <w:r>
        <w:rPr>
          <w:rFonts w:ascii="Times New Roman" w:hAnsi="Times New Roman" w:cs="Times New Roman"/>
          <w:sz w:val="24"/>
          <w:szCs w:val="24"/>
        </w:rPr>
        <w:t xml:space="preserve">. </w:t>
      </w:r>
      <w:r w:rsidR="00E60C26">
        <w:rPr>
          <w:rFonts w:ascii="Times New Roman" w:hAnsi="Times New Roman" w:cs="Times New Roman"/>
          <w:sz w:val="24"/>
          <w:szCs w:val="24"/>
        </w:rPr>
        <w:t xml:space="preserve"> </w:t>
      </w:r>
      <w:r w:rsidRPr="00A2081A">
        <w:rPr>
          <w:rFonts w:ascii="Times New Roman" w:hAnsi="Times New Roman" w:cs="Times New Roman"/>
          <w:sz w:val="24"/>
          <w:szCs w:val="24"/>
          <w:lang w:eastAsia="en-AU"/>
        </w:rPr>
        <w:t xml:space="preserve">The Determination </w:t>
      </w:r>
      <w:r>
        <w:rPr>
          <w:rFonts w:ascii="Times New Roman" w:hAnsi="Times New Roman" w:cs="Times New Roman"/>
          <w:sz w:val="24"/>
          <w:szCs w:val="24"/>
          <w:lang w:eastAsia="en-AU"/>
        </w:rPr>
        <w:t xml:space="preserve">adopts each of the </w:t>
      </w:r>
      <w:r w:rsidRPr="00CF10D9">
        <w:rPr>
          <w:rStyle w:val="Hyperlink"/>
          <w:rFonts w:ascii="Times New Roman" w:hAnsi="Times New Roman" w:cs="Times New Roman"/>
          <w:i/>
          <w:sz w:val="24"/>
          <w:szCs w:val="24"/>
        </w:rPr>
        <w:t>Animal Products Act 1999</w:t>
      </w:r>
      <w:r>
        <w:rPr>
          <w:rStyle w:val="Hyperlink"/>
        </w:rPr>
        <w:t xml:space="preserve"> </w:t>
      </w:r>
      <w:r w:rsidRPr="00CF10D9">
        <w:rPr>
          <w:rStyle w:val="Hyperlink"/>
          <w:rFonts w:ascii="Times New Roman" w:hAnsi="Times New Roman" w:cs="Times New Roman"/>
          <w:sz w:val="24"/>
          <w:szCs w:val="24"/>
        </w:rPr>
        <w:t xml:space="preserve">and the </w:t>
      </w:r>
      <w:r w:rsidRPr="00CF10D9">
        <w:rPr>
          <w:rStyle w:val="Hyperlink"/>
          <w:rFonts w:ascii="Times New Roman" w:hAnsi="Times New Roman" w:cs="Times New Roman"/>
          <w:i/>
          <w:sz w:val="24"/>
          <w:szCs w:val="24"/>
        </w:rPr>
        <w:t>Animal Welfare Act 1999</w:t>
      </w:r>
      <w:r>
        <w:rPr>
          <w:rStyle w:val="Hyperlink"/>
          <w:rFonts w:ascii="Times New Roman" w:hAnsi="Times New Roman" w:cs="Times New Roman"/>
          <w:sz w:val="24"/>
          <w:szCs w:val="24"/>
        </w:rPr>
        <w:t xml:space="preserve"> </w:t>
      </w:r>
      <w:r>
        <w:rPr>
          <w:rFonts w:ascii="Times New Roman" w:hAnsi="Times New Roman" w:cs="Times New Roman"/>
          <w:sz w:val="24"/>
          <w:szCs w:val="24"/>
          <w:lang w:eastAsia="en-AU"/>
        </w:rPr>
        <w:t xml:space="preserve">of New Zealand on the same basis. </w:t>
      </w:r>
      <w:r w:rsidR="004E2CE6">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These Acts are available for free from </w:t>
      </w:r>
      <w:hyperlink r:id="rId12" w:history="1">
        <w:r w:rsidRPr="00BB66B5">
          <w:rPr>
            <w:rStyle w:val="Hyperlink"/>
            <w:rFonts w:ascii="Times New Roman" w:hAnsi="Times New Roman" w:cs="Times New Roman"/>
            <w:sz w:val="24"/>
            <w:szCs w:val="24"/>
          </w:rPr>
          <w:t>www.legislation.govt.nz/</w:t>
        </w:r>
      </w:hyperlink>
      <w:r>
        <w:rPr>
          <w:rStyle w:val="Hyperlink"/>
        </w:rPr>
        <w:t>.</w:t>
      </w:r>
    </w:p>
    <w:p w14:paraId="166CDB99" w14:textId="056CBE9C" w:rsidR="0050197A" w:rsidRPr="00950D68" w:rsidRDefault="0050197A" w:rsidP="0034672A">
      <w:pPr>
        <w:spacing w:before="100" w:beforeAutospacing="1" w:after="100" w:afterAutospacing="1"/>
        <w:rPr>
          <w:szCs w:val="24"/>
        </w:rPr>
      </w:pPr>
      <w:r>
        <w:rPr>
          <w:rFonts w:ascii="Times New Roman" w:hAnsi="Times New Roman" w:cs="Times New Roman"/>
          <w:sz w:val="24"/>
          <w:szCs w:val="24"/>
          <w:lang w:eastAsia="en-AU"/>
        </w:rPr>
        <w:t>The Determination also includes a reference to a World Health Organization publication ‘</w:t>
      </w:r>
      <w:r w:rsidRPr="00B94E86">
        <w:rPr>
          <w:rFonts w:ascii="Times New Roman" w:hAnsi="Times New Roman" w:cs="Times New Roman"/>
          <w:i/>
          <w:sz w:val="24"/>
          <w:szCs w:val="24"/>
          <w:lang w:eastAsia="en-AU"/>
        </w:rPr>
        <w:t>Expert consultation on oral rehydration salts formulation</w:t>
      </w:r>
      <w:r>
        <w:rPr>
          <w:rFonts w:ascii="Times New Roman" w:hAnsi="Times New Roman" w:cs="Times New Roman"/>
          <w:sz w:val="24"/>
          <w:szCs w:val="24"/>
          <w:lang w:eastAsia="en-AU"/>
        </w:rPr>
        <w:t>’, dated 18 July 2001.</w:t>
      </w:r>
      <w:r w:rsidR="00E60C26">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 This document is available for free from</w:t>
      </w:r>
      <w:r w:rsidRPr="00CC73D8">
        <w:rPr>
          <w:rFonts w:ascii="Times New Roman" w:hAnsi="Times New Roman" w:cs="Times New Roman"/>
          <w:sz w:val="24"/>
          <w:szCs w:val="24"/>
          <w:lang w:eastAsia="en-AU"/>
        </w:rPr>
        <w:t xml:space="preserve"> </w:t>
      </w:r>
      <w:hyperlink r:id="rId13" w:history="1">
        <w:r w:rsidRPr="00BB66B5">
          <w:rPr>
            <w:rStyle w:val="Hyperlink"/>
            <w:rFonts w:ascii="Times New Roman" w:hAnsi="Times New Roman" w:cs="Times New Roman"/>
            <w:sz w:val="24"/>
            <w:szCs w:val="24"/>
          </w:rPr>
          <w:t>www.rehydrate.org/ors/expert-consultation.html</w:t>
        </w:r>
      </w:hyperlink>
      <w:r w:rsidRPr="00CC73D8">
        <w:rPr>
          <w:rFonts w:ascii="Times New Roman" w:hAnsi="Times New Roman" w:cs="Times New Roman"/>
          <w:sz w:val="24"/>
          <w:szCs w:val="24"/>
        </w:rPr>
        <w:t>.</w:t>
      </w:r>
    </w:p>
    <w:p w14:paraId="69313021" w14:textId="6FA65ECC" w:rsidR="0050197A"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lang w:eastAsia="en-AU"/>
        </w:rPr>
        <w:t>While unfortunately the pharmacopoeia and the FCC are not available for free,</w:t>
      </w:r>
      <w:r w:rsidRPr="00A2081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i</w:t>
      </w:r>
      <w:r w:rsidRPr="00A2081A">
        <w:rPr>
          <w:rFonts w:ascii="Times New Roman" w:hAnsi="Times New Roman" w:cs="Times New Roman"/>
          <w:sz w:val="24"/>
          <w:szCs w:val="24"/>
          <w:lang w:eastAsia="en-AU"/>
        </w:rPr>
        <w:t xml:space="preserve">t is anticipated that </w:t>
      </w:r>
      <w:r>
        <w:rPr>
          <w:rFonts w:ascii="Times New Roman" w:hAnsi="Times New Roman" w:cs="Times New Roman"/>
          <w:sz w:val="24"/>
          <w:szCs w:val="24"/>
          <w:lang w:eastAsia="en-AU"/>
        </w:rPr>
        <w:t>the persons most affected by their adoption in this Determination (</w:t>
      </w:r>
      <w:r w:rsidRPr="00A2081A">
        <w:rPr>
          <w:rFonts w:ascii="Times New Roman" w:hAnsi="Times New Roman" w:cs="Times New Roman"/>
          <w:sz w:val="24"/>
          <w:szCs w:val="24"/>
          <w:lang w:eastAsia="en-AU"/>
        </w:rPr>
        <w:t>sponsor</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of</w:t>
      </w:r>
      <w:r>
        <w:rPr>
          <w:rFonts w:ascii="Times New Roman" w:hAnsi="Times New Roman" w:cs="Times New Roman"/>
          <w:sz w:val="24"/>
          <w:szCs w:val="24"/>
          <w:lang w:eastAsia="en-AU"/>
        </w:rPr>
        <w:t> </w:t>
      </w:r>
      <w:r w:rsidRPr="00A2081A">
        <w:rPr>
          <w:rFonts w:ascii="Times New Roman" w:hAnsi="Times New Roman" w:cs="Times New Roman"/>
          <w:sz w:val="24"/>
          <w:szCs w:val="24"/>
          <w:lang w:eastAsia="en-AU"/>
        </w:rPr>
        <w:t>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included in the </w:t>
      </w:r>
      <w:r>
        <w:rPr>
          <w:rFonts w:ascii="Times New Roman" w:hAnsi="Times New Roman" w:cs="Times New Roman"/>
          <w:sz w:val="24"/>
          <w:szCs w:val="24"/>
          <w:lang w:eastAsia="en-AU"/>
        </w:rPr>
        <w:t>Register</w:t>
      </w:r>
      <w:r w:rsidRPr="00A2081A">
        <w:rPr>
          <w:rFonts w:ascii="Times New Roman" w:hAnsi="Times New Roman" w:cs="Times New Roman"/>
          <w:sz w:val="24"/>
          <w:szCs w:val="24"/>
          <w:lang w:eastAsia="en-AU"/>
        </w:rPr>
        <w:t xml:space="preserve"> and other interested persons in the medicine</w:t>
      </w:r>
      <w:r>
        <w:rPr>
          <w:rFonts w:ascii="Times New Roman" w:hAnsi="Times New Roman" w:cs="Times New Roman"/>
          <w:sz w:val="24"/>
          <w:szCs w:val="24"/>
          <w:lang w:eastAsia="en-AU"/>
        </w:rPr>
        <w:t xml:space="preserve">s industry using the Determination), </w:t>
      </w:r>
      <w:r w:rsidRPr="00A2081A">
        <w:rPr>
          <w:rFonts w:ascii="Times New Roman" w:hAnsi="Times New Roman" w:cs="Times New Roman"/>
          <w:sz w:val="24"/>
          <w:szCs w:val="24"/>
          <w:lang w:eastAsia="en-AU"/>
        </w:rPr>
        <w:lastRenderedPageBreak/>
        <w:t xml:space="preserve">would be in possession of these </w:t>
      </w:r>
      <w:r>
        <w:rPr>
          <w:rFonts w:ascii="Times New Roman" w:hAnsi="Times New Roman" w:cs="Times New Roman"/>
          <w:sz w:val="24"/>
          <w:szCs w:val="24"/>
          <w:lang w:eastAsia="en-AU"/>
        </w:rPr>
        <w:t>documents</w:t>
      </w:r>
      <w:r w:rsidRPr="00A2081A">
        <w:rPr>
          <w:rFonts w:ascii="Times New Roman" w:hAnsi="Times New Roman" w:cs="Times New Roman"/>
          <w:sz w:val="24"/>
          <w:szCs w:val="24"/>
          <w:lang w:eastAsia="en-AU"/>
        </w:rPr>
        <w:t xml:space="preserve"> in order to manufacture 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or ingredients</w:t>
      </w:r>
      <w:r>
        <w:rPr>
          <w:rFonts w:ascii="Times New Roman" w:hAnsi="Times New Roman" w:cs="Times New Roman"/>
          <w:sz w:val="24"/>
          <w:szCs w:val="24"/>
          <w:lang w:eastAsia="en-AU"/>
        </w:rPr>
        <w:t>.</w:t>
      </w:r>
      <w:r w:rsidR="00E60C26">
        <w:rPr>
          <w:rFonts w:ascii="Times New Roman" w:hAnsi="Times New Roman" w:cs="Times New Roman"/>
          <w:sz w:val="24"/>
          <w:szCs w:val="24"/>
        </w:rPr>
        <w:t xml:space="preserve">  </w:t>
      </w:r>
      <w:r w:rsidRPr="00B13B06">
        <w:rPr>
          <w:rFonts w:ascii="Times New Roman" w:hAnsi="Times New Roman" w:cs="Times New Roman"/>
          <w:sz w:val="24"/>
          <w:szCs w:val="24"/>
        </w:rPr>
        <w:t xml:space="preserve">As important international benchmarks for the safety and quality of therapeutic goods, it would be </w:t>
      </w:r>
      <w:r>
        <w:rPr>
          <w:rFonts w:ascii="Times New Roman" w:hAnsi="Times New Roman" w:cs="Times New Roman"/>
          <w:sz w:val="24"/>
          <w:szCs w:val="24"/>
        </w:rPr>
        <w:t>in</w:t>
      </w:r>
      <w:r w:rsidRPr="00B13B06">
        <w:rPr>
          <w:rFonts w:ascii="Times New Roman" w:hAnsi="Times New Roman" w:cs="Times New Roman"/>
          <w:sz w:val="24"/>
          <w:szCs w:val="24"/>
        </w:rPr>
        <w:t xml:space="preserve">feasible from a regulatory perspective </w:t>
      </w:r>
      <w:r>
        <w:rPr>
          <w:rFonts w:ascii="Times New Roman" w:hAnsi="Times New Roman" w:cs="Times New Roman"/>
          <w:sz w:val="24"/>
          <w:szCs w:val="24"/>
        </w:rPr>
        <w:t xml:space="preserve">(particularly in relation to the safety of listed medicines that are not, for the most part, evaluated before being given marketing approval) </w:t>
      </w:r>
      <w:r w:rsidRPr="00B13B06">
        <w:rPr>
          <w:rFonts w:ascii="Times New Roman" w:hAnsi="Times New Roman" w:cs="Times New Roman"/>
          <w:sz w:val="24"/>
          <w:szCs w:val="24"/>
        </w:rPr>
        <w:t xml:space="preserve">to not adopt such benchmarks </w:t>
      </w:r>
      <w:r>
        <w:rPr>
          <w:rFonts w:ascii="Times New Roman" w:hAnsi="Times New Roman" w:cs="Times New Roman"/>
          <w:sz w:val="24"/>
          <w:szCs w:val="24"/>
        </w:rPr>
        <w:t>on the basis that</w:t>
      </w:r>
      <w:r w:rsidRPr="00B13B06">
        <w:rPr>
          <w:rFonts w:ascii="Times New Roman" w:hAnsi="Times New Roman" w:cs="Times New Roman"/>
          <w:sz w:val="24"/>
          <w:szCs w:val="24"/>
        </w:rPr>
        <w:t xml:space="preserve"> the</w:t>
      </w:r>
      <w:r>
        <w:rPr>
          <w:rFonts w:ascii="Times New Roman" w:hAnsi="Times New Roman" w:cs="Times New Roman"/>
          <w:sz w:val="24"/>
          <w:szCs w:val="24"/>
        </w:rPr>
        <w:t xml:space="preserve"> publications</w:t>
      </w:r>
      <w:r w:rsidRPr="00B13B06">
        <w:rPr>
          <w:rFonts w:ascii="Times New Roman" w:hAnsi="Times New Roman" w:cs="Times New Roman"/>
          <w:sz w:val="24"/>
          <w:szCs w:val="24"/>
        </w:rPr>
        <w:t xml:space="preserve"> are not available for free.</w:t>
      </w:r>
    </w:p>
    <w:p w14:paraId="350BBCA7" w14:textId="69F28153" w:rsidR="00E715AB" w:rsidRPr="00B13B06" w:rsidRDefault="00E715AB" w:rsidP="00B16682">
      <w:pPr>
        <w:spacing w:before="100" w:beforeAutospacing="1" w:after="100" w:afterAutospacing="1"/>
        <w:rPr>
          <w:rFonts w:ascii="Times New Roman" w:hAnsi="Times New Roman" w:cs="Times New Roman"/>
          <w:sz w:val="24"/>
          <w:szCs w:val="24"/>
        </w:rPr>
      </w:pPr>
      <w:r w:rsidRPr="00CA165D">
        <w:rPr>
          <w:rFonts w:ascii="Times New Roman" w:hAnsi="Times New Roman" w:cs="Times New Roman"/>
          <w:sz w:val="24"/>
          <w:szCs w:val="24"/>
        </w:rPr>
        <w:t>However, by prior written arrangement</w:t>
      </w:r>
      <w:r>
        <w:rPr>
          <w:rFonts w:ascii="Times New Roman" w:hAnsi="Times New Roman" w:cs="Times New Roman"/>
          <w:sz w:val="24"/>
          <w:szCs w:val="24"/>
        </w:rPr>
        <w:t xml:space="preserve"> with the TGA</w:t>
      </w:r>
      <w:r w:rsidRPr="00CA165D">
        <w:rPr>
          <w:rFonts w:ascii="Times New Roman" w:hAnsi="Times New Roman" w:cs="Times New Roman"/>
          <w:sz w:val="24"/>
          <w:szCs w:val="24"/>
        </w:rPr>
        <w:t xml:space="preserve">, </w:t>
      </w:r>
      <w:r>
        <w:rPr>
          <w:rFonts w:ascii="Times New Roman" w:hAnsi="Times New Roman" w:cs="Times New Roman"/>
          <w:sz w:val="24"/>
          <w:szCs w:val="24"/>
        </w:rPr>
        <w:t>members of the public may request to view the</w:t>
      </w:r>
      <w:r w:rsidRPr="00CA165D">
        <w:rPr>
          <w:rFonts w:ascii="Times New Roman" w:hAnsi="Times New Roman" w:cs="Times New Roman"/>
          <w:sz w:val="24"/>
          <w:szCs w:val="24"/>
        </w:rPr>
        <w:t xml:space="preserve"> pharmacopoeia </w:t>
      </w:r>
      <w:r>
        <w:rPr>
          <w:rFonts w:ascii="Times New Roman" w:hAnsi="Times New Roman" w:cs="Times New Roman"/>
          <w:sz w:val="24"/>
          <w:szCs w:val="24"/>
        </w:rPr>
        <w:t xml:space="preserve">and the FCC without charge </w:t>
      </w:r>
      <w:r w:rsidRPr="00CA165D">
        <w:rPr>
          <w:rFonts w:ascii="Times New Roman" w:hAnsi="Times New Roman" w:cs="Times New Roman"/>
          <w:sz w:val="24"/>
          <w:szCs w:val="24"/>
        </w:rPr>
        <w:t>at the TGA office in Symonston, ACT.</w:t>
      </w:r>
    </w:p>
    <w:p w14:paraId="1F1060FE" w14:textId="07D8B491" w:rsidR="0050197A" w:rsidRDefault="0050197A" w:rsidP="0034672A">
      <w:pPr>
        <w:spacing w:before="100" w:beforeAutospacing="1" w:after="100" w:afterAutospacing="1"/>
        <w:rPr>
          <w:rFonts w:ascii="Times New Roman" w:hAnsi="Times New Roman" w:cs="Times New Roman"/>
          <w:sz w:val="24"/>
          <w:szCs w:val="24"/>
        </w:rPr>
      </w:pPr>
      <w:r w:rsidRPr="00B13B06">
        <w:rPr>
          <w:rFonts w:ascii="Times New Roman" w:hAnsi="Times New Roman" w:cs="Times New Roman"/>
          <w:sz w:val="24"/>
          <w:szCs w:val="24"/>
        </w:rPr>
        <w:t xml:space="preserve">It should </w:t>
      </w:r>
      <w:r>
        <w:rPr>
          <w:rFonts w:ascii="Times New Roman" w:hAnsi="Times New Roman" w:cs="Times New Roman"/>
          <w:sz w:val="24"/>
          <w:szCs w:val="24"/>
        </w:rPr>
        <w:t xml:space="preserve">also </w:t>
      </w:r>
      <w:r w:rsidRPr="00B13B06">
        <w:rPr>
          <w:rFonts w:ascii="Times New Roman" w:hAnsi="Times New Roman" w:cs="Times New Roman"/>
          <w:sz w:val="24"/>
          <w:szCs w:val="24"/>
        </w:rPr>
        <w:t>be noted</w:t>
      </w:r>
      <w:r w:rsidR="00DC56A0">
        <w:rPr>
          <w:rFonts w:ascii="Times New Roman" w:hAnsi="Times New Roman" w:cs="Times New Roman"/>
          <w:sz w:val="24"/>
          <w:szCs w:val="24"/>
        </w:rPr>
        <w:t>, in relation to the pharmacopoeia,</w:t>
      </w:r>
      <w:r w:rsidRPr="00B13B06">
        <w:rPr>
          <w:rFonts w:ascii="Times New Roman" w:hAnsi="Times New Roman" w:cs="Times New Roman"/>
          <w:sz w:val="24"/>
          <w:szCs w:val="24"/>
        </w:rPr>
        <w:t xml:space="preserve"> that the National Library’s Trove online system (</w:t>
      </w:r>
      <w:hyperlink r:id="rId14" w:history="1">
        <w:r w:rsidRPr="00BB66B5">
          <w:rPr>
            <w:rStyle w:val="Hyperlink"/>
            <w:rFonts w:ascii="Times New Roman" w:hAnsi="Times New Roman" w:cs="Times New Roman"/>
            <w:sz w:val="24"/>
            <w:szCs w:val="24"/>
          </w:rPr>
          <w:t>www.trove.nla.gov.au/</w:t>
        </w:r>
      </w:hyperlink>
      <w:r w:rsidRPr="00B13B06">
        <w:rPr>
          <w:rFonts w:ascii="Times New Roman" w:hAnsi="Times New Roman" w:cs="Times New Roman"/>
          <w:sz w:val="24"/>
          <w:szCs w:val="24"/>
        </w:rPr>
        <w:t>) allows users to identify libraries in Australia that are open to the public where editions</w:t>
      </w:r>
      <w:r>
        <w:rPr>
          <w:rFonts w:ascii="Times New Roman" w:hAnsi="Times New Roman" w:cs="Times New Roman"/>
          <w:sz w:val="24"/>
          <w:szCs w:val="24"/>
        </w:rPr>
        <w:t xml:space="preserve"> </w:t>
      </w:r>
      <w:r w:rsidRPr="00B13B06">
        <w:rPr>
          <w:rFonts w:ascii="Times New Roman" w:hAnsi="Times New Roman" w:cs="Times New Roman"/>
          <w:sz w:val="24"/>
          <w:szCs w:val="24"/>
        </w:rPr>
        <w:t>(in most cases, earlier</w:t>
      </w:r>
      <w:r>
        <w:rPr>
          <w:rFonts w:ascii="Times New Roman" w:hAnsi="Times New Roman" w:cs="Times New Roman"/>
          <w:sz w:val="24"/>
          <w:szCs w:val="24"/>
        </w:rPr>
        <w:t xml:space="preserve"> editions</w:t>
      </w:r>
      <w:r w:rsidRPr="00B13B06">
        <w:rPr>
          <w:rFonts w:ascii="Times New Roman" w:hAnsi="Times New Roman" w:cs="Times New Roman"/>
          <w:sz w:val="24"/>
          <w:szCs w:val="24"/>
        </w:rPr>
        <w:t>)</w:t>
      </w:r>
      <w:r>
        <w:rPr>
          <w:rFonts w:ascii="Times New Roman" w:hAnsi="Times New Roman" w:cs="Times New Roman"/>
          <w:sz w:val="24"/>
          <w:szCs w:val="24"/>
        </w:rPr>
        <w:t xml:space="preserve"> </w:t>
      </w:r>
      <w:r w:rsidRPr="00B13B06">
        <w:rPr>
          <w:rFonts w:ascii="Times New Roman" w:hAnsi="Times New Roman" w:cs="Times New Roman"/>
          <w:sz w:val="24"/>
          <w:szCs w:val="24"/>
        </w:rPr>
        <w:t xml:space="preserve">of the pharmacopoeia may be viewed (for example, the University of Tasmania or the University of Western Australia in relation to the </w:t>
      </w:r>
      <w:r>
        <w:rPr>
          <w:rFonts w:ascii="Times New Roman" w:hAnsi="Times New Roman" w:cs="Times New Roman"/>
          <w:sz w:val="24"/>
          <w:szCs w:val="24"/>
        </w:rPr>
        <w:t>British Pharmacopoeia</w:t>
      </w:r>
      <w:r w:rsidRPr="00B13B06">
        <w:rPr>
          <w:rFonts w:ascii="Times New Roman" w:hAnsi="Times New Roman" w:cs="Times New Roman"/>
          <w:sz w:val="24"/>
          <w:szCs w:val="24"/>
        </w:rPr>
        <w:t xml:space="preserve">). </w:t>
      </w:r>
      <w:r w:rsidR="00E60C26">
        <w:rPr>
          <w:rFonts w:ascii="Times New Roman" w:hAnsi="Times New Roman" w:cs="Times New Roman"/>
          <w:sz w:val="24"/>
          <w:szCs w:val="24"/>
        </w:rPr>
        <w:t xml:space="preserve"> </w:t>
      </w:r>
      <w:r w:rsidRPr="00B13B06">
        <w:rPr>
          <w:rFonts w:ascii="Times New Roman" w:hAnsi="Times New Roman" w:cs="Times New Roman"/>
          <w:sz w:val="24"/>
          <w:szCs w:val="24"/>
        </w:rPr>
        <w:t xml:space="preserve">Members of the public may also approach any library that participates in inter-library loans </w:t>
      </w:r>
      <w:r>
        <w:rPr>
          <w:rFonts w:ascii="Times New Roman" w:hAnsi="Times New Roman" w:cs="Times New Roman"/>
          <w:sz w:val="24"/>
          <w:szCs w:val="24"/>
        </w:rPr>
        <w:t xml:space="preserve">with those university libraries </w:t>
      </w:r>
      <w:r w:rsidRPr="00B13B06">
        <w:rPr>
          <w:rFonts w:ascii="Times New Roman" w:hAnsi="Times New Roman" w:cs="Times New Roman"/>
          <w:sz w:val="24"/>
          <w:szCs w:val="24"/>
        </w:rPr>
        <w:t xml:space="preserve">to request an inter-library loan, </w:t>
      </w:r>
      <w:r>
        <w:rPr>
          <w:rFonts w:ascii="Times New Roman" w:hAnsi="Times New Roman" w:cs="Times New Roman"/>
          <w:sz w:val="24"/>
          <w:szCs w:val="24"/>
        </w:rPr>
        <w:t xml:space="preserve">or </w:t>
      </w:r>
      <w:r w:rsidRPr="00B13B06">
        <w:rPr>
          <w:rFonts w:ascii="Times New Roman" w:hAnsi="Times New Roman" w:cs="Times New Roman"/>
          <w:sz w:val="24"/>
          <w:szCs w:val="24"/>
        </w:rPr>
        <w:t>to obtain a photocopy of a particular part or monograph for personal study or research (but not for commercial purposes), at a usual cost of $16.50 per request (enquiries should be made with local libraries, State libraries and the National Library).</w:t>
      </w:r>
    </w:p>
    <w:p w14:paraId="5265C58B" w14:textId="77777777" w:rsidR="0050197A"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F</w:t>
      </w:r>
      <w:r w:rsidRPr="00331C88">
        <w:rPr>
          <w:rFonts w:ascii="Times New Roman" w:hAnsi="Times New Roman" w:cs="Times New Roman"/>
          <w:sz w:val="24"/>
          <w:szCs w:val="24"/>
        </w:rPr>
        <w:t xml:space="preserve">or example, Trove indicates that free access to the </w:t>
      </w:r>
      <w:r>
        <w:rPr>
          <w:rFonts w:ascii="Times New Roman" w:hAnsi="Times New Roman" w:cs="Times New Roman"/>
          <w:sz w:val="24"/>
          <w:szCs w:val="24"/>
        </w:rPr>
        <w:t xml:space="preserve">2004 version of the European Pharmacopoeia </w:t>
      </w:r>
      <w:r w:rsidRPr="00331C88">
        <w:rPr>
          <w:rFonts w:ascii="Times New Roman" w:hAnsi="Times New Roman" w:cs="Times New Roman"/>
          <w:sz w:val="24"/>
          <w:szCs w:val="24"/>
        </w:rPr>
        <w:t>is av</w:t>
      </w:r>
      <w:r>
        <w:rPr>
          <w:rFonts w:ascii="Times New Roman" w:hAnsi="Times New Roman" w:cs="Times New Roman"/>
          <w:sz w:val="24"/>
          <w:szCs w:val="24"/>
        </w:rPr>
        <w:t xml:space="preserve">ailable through Open University </w:t>
      </w:r>
      <w:r w:rsidRPr="00331C88">
        <w:rPr>
          <w:rFonts w:ascii="Times New Roman" w:hAnsi="Times New Roman" w:cs="Times New Roman"/>
          <w:sz w:val="24"/>
          <w:szCs w:val="24"/>
        </w:rPr>
        <w:t>(</w:t>
      </w:r>
      <w:hyperlink r:id="rId15" w:history="1">
        <w:r w:rsidRPr="00BB66B5">
          <w:rPr>
            <w:rStyle w:val="Hyperlink"/>
            <w:rFonts w:ascii="Times New Roman" w:hAnsi="Times New Roman" w:cs="Times New Roman"/>
            <w:sz w:val="24"/>
            <w:szCs w:val="24"/>
          </w:rPr>
          <w:t>www.openli</w:t>
        </w:r>
        <w:r w:rsidRPr="00BB66B5">
          <w:rPr>
            <w:rStyle w:val="Hyperlink"/>
            <w:rFonts w:ascii="Times New Roman" w:hAnsi="Times New Roman" w:cs="Times New Roman"/>
            <w:sz w:val="24"/>
            <w:szCs w:val="24"/>
          </w:rPr>
          <w:lastRenderedPageBreak/>
          <w:t>brary.org/books/OL22071008M/European_pharmacopoeia</w:t>
        </w:r>
      </w:hyperlink>
      <w:r w:rsidRPr="00331C88">
        <w:rPr>
          <w:rFonts w:ascii="Times New Roman" w:hAnsi="Times New Roman" w:cs="Times New Roman"/>
          <w:sz w:val="24"/>
          <w:szCs w:val="24"/>
        </w:rPr>
        <w:t>),</w:t>
      </w:r>
      <w:r>
        <w:rPr>
          <w:rFonts w:ascii="Times New Roman" w:hAnsi="Times New Roman" w:cs="Times New Roman"/>
          <w:sz w:val="24"/>
          <w:szCs w:val="24"/>
        </w:rPr>
        <w:t xml:space="preserve"> </w:t>
      </w:r>
      <w:r w:rsidRPr="00331C88">
        <w:rPr>
          <w:rFonts w:ascii="Times New Roman" w:hAnsi="Times New Roman" w:cs="Times New Roman"/>
          <w:sz w:val="24"/>
          <w:szCs w:val="24"/>
        </w:rPr>
        <w:t>and that access to</w:t>
      </w:r>
      <w:r>
        <w:rPr>
          <w:rFonts w:ascii="Times New Roman" w:hAnsi="Times New Roman" w:cs="Times New Roman"/>
          <w:sz w:val="24"/>
          <w:szCs w:val="24"/>
        </w:rPr>
        <w:t> </w:t>
      </w:r>
      <w:r w:rsidRPr="00331C88">
        <w:rPr>
          <w:rFonts w:ascii="Times New Roman" w:hAnsi="Times New Roman" w:cs="Times New Roman"/>
          <w:sz w:val="24"/>
          <w:szCs w:val="24"/>
        </w:rPr>
        <w:t>the 1996 edi</w:t>
      </w:r>
      <w:r>
        <w:rPr>
          <w:rFonts w:ascii="Times New Roman" w:hAnsi="Times New Roman" w:cs="Times New Roman"/>
          <w:sz w:val="24"/>
          <w:szCs w:val="24"/>
        </w:rPr>
        <w:t>tion of the FCC</w:t>
      </w:r>
      <w:r w:rsidRPr="00331C88">
        <w:rPr>
          <w:rFonts w:ascii="Times New Roman" w:hAnsi="Times New Roman" w:cs="Times New Roman"/>
          <w:sz w:val="24"/>
          <w:szCs w:val="24"/>
        </w:rPr>
        <w:t xml:space="preserve"> is available at the University of Melbourne Library and the Hawksbury Campus Library of the Western Sydney University</w:t>
      </w:r>
      <w:r>
        <w:rPr>
          <w:rFonts w:ascii="Times New Roman" w:hAnsi="Times New Roman" w:cs="Times New Roman"/>
          <w:sz w:val="24"/>
          <w:szCs w:val="24"/>
        </w:rPr>
        <w:t>, which are</w:t>
      </w:r>
      <w:r w:rsidRPr="00331C88">
        <w:rPr>
          <w:rFonts w:ascii="Times New Roman" w:hAnsi="Times New Roman" w:cs="Times New Roman"/>
          <w:sz w:val="24"/>
          <w:szCs w:val="24"/>
        </w:rPr>
        <w:t xml:space="preserve"> both open to the public. </w:t>
      </w:r>
    </w:p>
    <w:p w14:paraId="25583419" w14:textId="77777777" w:rsidR="0050197A" w:rsidRPr="00953BDD" w:rsidRDefault="0050197A" w:rsidP="0034672A">
      <w:pPr>
        <w:spacing w:before="100" w:beforeAutospacing="1" w:after="100" w:afterAutospacing="1"/>
        <w:rPr>
          <w:rFonts w:ascii="Times New Roman" w:hAnsi="Times New Roman" w:cs="Times New Roman"/>
          <w:sz w:val="24"/>
          <w:szCs w:val="24"/>
        </w:rPr>
      </w:pPr>
      <w:r w:rsidRPr="00953BDD">
        <w:rPr>
          <w:rFonts w:ascii="Times New Roman" w:hAnsi="Times New Roman" w:cs="Times New Roman"/>
          <w:sz w:val="24"/>
          <w:szCs w:val="24"/>
        </w:rPr>
        <w:t xml:space="preserve">Details of the Determination are set out in </w:t>
      </w:r>
      <w:r w:rsidRPr="006B644D">
        <w:rPr>
          <w:rFonts w:ascii="Times New Roman" w:hAnsi="Times New Roman" w:cs="Times New Roman"/>
          <w:b/>
          <w:sz w:val="24"/>
          <w:szCs w:val="24"/>
        </w:rPr>
        <w:t>Attachment A</w:t>
      </w:r>
      <w:r w:rsidRPr="00953BDD">
        <w:rPr>
          <w:rFonts w:ascii="Times New Roman" w:hAnsi="Times New Roman" w:cs="Times New Roman"/>
          <w:sz w:val="24"/>
          <w:szCs w:val="24"/>
        </w:rPr>
        <w:t>.</w:t>
      </w:r>
    </w:p>
    <w:p w14:paraId="43D36B50" w14:textId="3DF32F4D" w:rsidR="0050197A" w:rsidRPr="00953BDD" w:rsidRDefault="0050197A" w:rsidP="0034672A">
      <w:pPr>
        <w:spacing w:before="100" w:beforeAutospacing="1" w:after="100" w:afterAutospacing="1"/>
        <w:rPr>
          <w:rFonts w:ascii="Times New Roman" w:hAnsi="Times New Roman" w:cs="Times New Roman"/>
          <w:sz w:val="24"/>
          <w:szCs w:val="24"/>
        </w:rPr>
      </w:pPr>
      <w:r w:rsidRPr="00953BDD">
        <w:rPr>
          <w:rFonts w:ascii="Times New Roman" w:hAnsi="Times New Roman" w:cs="Times New Roman"/>
          <w:sz w:val="24"/>
          <w:szCs w:val="24"/>
        </w:rPr>
        <w:t xml:space="preserve">The Determination is compatible with the human rights and freedoms recognised or declared under section 3 of the </w:t>
      </w:r>
      <w:r w:rsidRPr="00953BDD">
        <w:rPr>
          <w:rFonts w:ascii="Times New Roman" w:hAnsi="Times New Roman" w:cs="Times New Roman"/>
          <w:i/>
          <w:sz w:val="24"/>
          <w:szCs w:val="24"/>
        </w:rPr>
        <w:t>Human Rights (Parliamentary Scrutiny) Act 2011</w:t>
      </w:r>
      <w:r w:rsidRPr="00953BDD">
        <w:rPr>
          <w:rFonts w:ascii="Times New Roman" w:hAnsi="Times New Roman" w:cs="Times New Roman"/>
          <w:sz w:val="24"/>
          <w:szCs w:val="24"/>
        </w:rPr>
        <w:t>.</w:t>
      </w:r>
      <w:r w:rsidR="00E60C26">
        <w:rPr>
          <w:rFonts w:ascii="Times New Roman" w:hAnsi="Times New Roman" w:cs="Times New Roman"/>
          <w:sz w:val="24"/>
          <w:szCs w:val="24"/>
        </w:rPr>
        <w:t xml:space="preserve"> </w:t>
      </w:r>
      <w:r w:rsidRPr="00953BDD">
        <w:rPr>
          <w:rFonts w:ascii="Times New Roman" w:hAnsi="Times New Roman" w:cs="Times New Roman"/>
          <w:sz w:val="24"/>
          <w:szCs w:val="24"/>
        </w:rPr>
        <w:t xml:space="preserve"> A full statement of compatibility is set out in </w:t>
      </w:r>
      <w:r w:rsidRPr="006B644D">
        <w:rPr>
          <w:rFonts w:ascii="Times New Roman" w:hAnsi="Times New Roman" w:cs="Times New Roman"/>
          <w:b/>
          <w:sz w:val="24"/>
          <w:szCs w:val="24"/>
        </w:rPr>
        <w:t>Attachment B</w:t>
      </w:r>
      <w:r w:rsidRPr="00953BDD">
        <w:rPr>
          <w:rFonts w:ascii="Times New Roman" w:hAnsi="Times New Roman" w:cs="Times New Roman"/>
          <w:sz w:val="24"/>
          <w:szCs w:val="24"/>
        </w:rPr>
        <w:t>.</w:t>
      </w:r>
    </w:p>
    <w:p w14:paraId="4F8CA9DD" w14:textId="596691B4" w:rsidR="0029115B" w:rsidRDefault="0050197A" w:rsidP="00B16682">
      <w:pPr>
        <w:spacing w:before="100" w:beforeAutospacing="1" w:after="100" w:afterAutospacing="1" w:line="240" w:lineRule="auto"/>
        <w:rPr>
          <w:rFonts w:ascii="Times New Roman" w:eastAsia="Times New Roman" w:hAnsi="Times New Roman" w:cs="Times New Roman"/>
          <w:b/>
          <w:sz w:val="24"/>
          <w:szCs w:val="24"/>
          <w:lang w:eastAsia="en-AU"/>
        </w:rPr>
      </w:pPr>
      <w:r w:rsidRPr="00953BDD">
        <w:rPr>
          <w:rFonts w:ascii="Times New Roman" w:hAnsi="Times New Roman" w:cs="Times New Roman"/>
          <w:sz w:val="24"/>
          <w:szCs w:val="24"/>
        </w:rPr>
        <w:t xml:space="preserve">This Determination is a disallowable legislative </w:t>
      </w:r>
      <w:r w:rsidRPr="008929E8">
        <w:rPr>
          <w:rFonts w:ascii="Times New Roman" w:hAnsi="Times New Roman" w:cs="Times New Roman"/>
          <w:sz w:val="24"/>
          <w:szCs w:val="24"/>
        </w:rPr>
        <w:t xml:space="preserve">instrument </w:t>
      </w:r>
      <w:r w:rsidRPr="00D01BFB">
        <w:rPr>
          <w:rFonts w:ascii="Times New Roman" w:hAnsi="Times New Roman" w:cs="Times New Roman"/>
          <w:sz w:val="24"/>
          <w:szCs w:val="24"/>
        </w:rPr>
        <w:t xml:space="preserve">for the purposes of the </w:t>
      </w:r>
      <w:r w:rsidRPr="00D01BFB">
        <w:rPr>
          <w:rFonts w:ascii="Times New Roman" w:hAnsi="Times New Roman" w:cs="Times New Roman"/>
          <w:i/>
          <w:sz w:val="24"/>
          <w:szCs w:val="24"/>
        </w:rPr>
        <w:t>Legislation Act 2003</w:t>
      </w:r>
      <w:r w:rsidRPr="008929E8">
        <w:rPr>
          <w:rFonts w:ascii="Times New Roman" w:hAnsi="Times New Roman" w:cs="Times New Roman"/>
          <w:sz w:val="24"/>
          <w:szCs w:val="24"/>
        </w:rPr>
        <w:t>,</w:t>
      </w:r>
      <w:r>
        <w:rPr>
          <w:rFonts w:ascii="Times New Roman" w:hAnsi="Times New Roman" w:cs="Times New Roman"/>
          <w:sz w:val="24"/>
          <w:szCs w:val="24"/>
        </w:rPr>
        <w:t xml:space="preserve"> </w:t>
      </w:r>
      <w:r w:rsidRPr="009F78E6">
        <w:rPr>
          <w:rFonts w:ascii="Times New Roman" w:hAnsi="Times New Roman" w:cs="Times New Roman"/>
          <w:sz w:val="24"/>
          <w:szCs w:val="24"/>
        </w:rPr>
        <w:t xml:space="preserve">and </w:t>
      </w:r>
      <w:r w:rsidRPr="00B16682">
        <w:rPr>
          <w:rFonts w:ascii="Times New Roman" w:hAnsi="Times New Roman" w:cs="Times New Roman"/>
          <w:sz w:val="24"/>
          <w:szCs w:val="24"/>
        </w:rPr>
        <w:t xml:space="preserve">commences </w:t>
      </w:r>
      <w:r w:rsidR="009F78E6" w:rsidRPr="00B16682">
        <w:rPr>
          <w:rFonts w:ascii="Times New Roman" w:hAnsi="Times New Roman" w:cs="Times New Roman"/>
          <w:sz w:val="24"/>
          <w:szCs w:val="24"/>
        </w:rPr>
        <w:t>the day after registration</w:t>
      </w:r>
      <w:r w:rsidRPr="00B16682">
        <w:rPr>
          <w:rFonts w:ascii="Times New Roman" w:eastAsia="Times New Roman" w:hAnsi="Times New Roman" w:cs="Times New Roman"/>
          <w:sz w:val="24"/>
          <w:szCs w:val="24"/>
          <w:lang w:eastAsia="en-AU"/>
        </w:rPr>
        <w:t>.</w:t>
      </w:r>
      <w:r w:rsidRPr="00CF4F5B">
        <w:rPr>
          <w:rFonts w:ascii="Times New Roman" w:eastAsia="Times New Roman" w:hAnsi="Times New Roman" w:cs="Times New Roman"/>
          <w:sz w:val="24"/>
          <w:szCs w:val="24"/>
          <w:lang w:eastAsia="en-AU"/>
        </w:rPr>
        <w:br w:type="page"/>
      </w:r>
      <w:r w:rsidR="0040312B" w:rsidRPr="0040312B">
        <w:rPr>
          <w:rFonts w:ascii="Times New Roman" w:eastAsia="Times New Roman" w:hAnsi="Times New Roman" w:cs="Times New Roman"/>
          <w:b/>
          <w:sz w:val="24"/>
          <w:szCs w:val="24"/>
          <w:lang w:eastAsia="en-AU"/>
        </w:rPr>
        <w:lastRenderedPageBreak/>
        <w:t>Attachment A</w:t>
      </w:r>
    </w:p>
    <w:p w14:paraId="625D6C8F" w14:textId="4EF095A9"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Details of the </w:t>
      </w:r>
      <w:r w:rsidRPr="0040312B">
        <w:rPr>
          <w:rFonts w:ascii="Times New Roman" w:eastAsia="Times New Roman" w:hAnsi="Times New Roman" w:cs="Times New Roman"/>
          <w:b/>
          <w:i/>
          <w:sz w:val="24"/>
          <w:szCs w:val="24"/>
          <w:lang w:eastAsia="en-AU"/>
        </w:rPr>
        <w:t xml:space="preserve">Therapeutic Goods (Permissible Ingredients) Determination </w:t>
      </w:r>
      <w:r w:rsidR="00045C71">
        <w:rPr>
          <w:rFonts w:ascii="Times New Roman" w:eastAsia="Times New Roman" w:hAnsi="Times New Roman" w:cs="Times New Roman"/>
          <w:b/>
          <w:i/>
          <w:sz w:val="24"/>
          <w:szCs w:val="24"/>
          <w:lang w:eastAsia="en-AU"/>
        </w:rPr>
        <w:t>(No.</w:t>
      </w:r>
      <w:r w:rsidR="00C92827">
        <w:rPr>
          <w:rFonts w:ascii="Times New Roman" w:eastAsia="Times New Roman" w:hAnsi="Times New Roman" w:cs="Times New Roman"/>
          <w:b/>
          <w:i/>
          <w:sz w:val="24"/>
          <w:szCs w:val="24"/>
          <w:lang w:eastAsia="en-AU"/>
        </w:rPr>
        <w:t xml:space="preserve"> </w:t>
      </w:r>
      <w:r w:rsidR="00126D3F">
        <w:rPr>
          <w:rFonts w:ascii="Times New Roman" w:eastAsia="Times New Roman" w:hAnsi="Times New Roman" w:cs="Times New Roman"/>
          <w:b/>
          <w:i/>
          <w:sz w:val="24"/>
          <w:szCs w:val="24"/>
          <w:lang w:eastAsia="en-AU"/>
        </w:rPr>
        <w:t>3</w:t>
      </w:r>
      <w:r w:rsidR="00045C71">
        <w:rPr>
          <w:rFonts w:ascii="Times New Roman" w:eastAsia="Times New Roman" w:hAnsi="Times New Roman" w:cs="Times New Roman"/>
          <w:b/>
          <w:i/>
          <w:sz w:val="24"/>
          <w:szCs w:val="24"/>
          <w:lang w:eastAsia="en-AU"/>
        </w:rPr>
        <w:t xml:space="preserve">) </w:t>
      </w:r>
      <w:r w:rsidRPr="0040312B">
        <w:rPr>
          <w:rFonts w:ascii="Times New Roman" w:eastAsia="Times New Roman" w:hAnsi="Times New Roman" w:cs="Times New Roman"/>
          <w:b/>
          <w:i/>
          <w:sz w:val="24"/>
          <w:szCs w:val="24"/>
          <w:lang w:eastAsia="en-AU"/>
        </w:rPr>
        <w:t>20</w:t>
      </w:r>
      <w:r w:rsidR="009A1C10">
        <w:rPr>
          <w:rFonts w:ascii="Times New Roman" w:eastAsia="Times New Roman" w:hAnsi="Times New Roman" w:cs="Times New Roman"/>
          <w:b/>
          <w:i/>
          <w:sz w:val="24"/>
          <w:szCs w:val="24"/>
          <w:lang w:eastAsia="en-AU"/>
        </w:rPr>
        <w:t>20</w:t>
      </w:r>
    </w:p>
    <w:p w14:paraId="351A8BA8" w14:textId="04A1FEF8" w:rsidR="0040312B" w:rsidRDefault="0040312B" w:rsidP="0040312B">
      <w:pPr>
        <w:spacing w:before="100" w:beforeAutospacing="1" w:after="100" w:afterAutospacing="1"/>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1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Name</w:t>
      </w:r>
    </w:p>
    <w:p w14:paraId="566C8079" w14:textId="23E98351"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name of the </w:t>
      </w:r>
      <w:r w:rsidR="00C92827">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the </w:t>
      </w:r>
      <w:r w:rsidRPr="00AE2E87">
        <w:rPr>
          <w:rFonts w:ascii="Times New Roman" w:eastAsia="Times New Roman" w:hAnsi="Times New Roman" w:cs="Times New Roman"/>
          <w:i/>
          <w:sz w:val="24"/>
          <w:szCs w:val="24"/>
          <w:lang w:eastAsia="en-AU"/>
        </w:rPr>
        <w:t xml:space="preserve">Therapeutic Goods (Permissible Ingredients) Determination </w:t>
      </w:r>
      <w:r w:rsidR="00045C71">
        <w:rPr>
          <w:rFonts w:ascii="Times New Roman" w:eastAsia="Times New Roman" w:hAnsi="Times New Roman" w:cs="Times New Roman"/>
          <w:i/>
          <w:sz w:val="24"/>
          <w:szCs w:val="24"/>
          <w:lang w:eastAsia="en-AU"/>
        </w:rPr>
        <w:t>(No.</w:t>
      </w:r>
      <w:r w:rsidR="00C92827">
        <w:rPr>
          <w:rFonts w:ascii="Times New Roman" w:eastAsia="Times New Roman" w:hAnsi="Times New Roman" w:cs="Times New Roman"/>
          <w:i/>
          <w:sz w:val="24"/>
          <w:szCs w:val="24"/>
          <w:lang w:eastAsia="en-AU"/>
        </w:rPr>
        <w:t xml:space="preserve"> </w:t>
      </w:r>
      <w:r w:rsidR="00E33DD5">
        <w:rPr>
          <w:rFonts w:ascii="Times New Roman" w:eastAsia="Times New Roman" w:hAnsi="Times New Roman" w:cs="Times New Roman"/>
          <w:i/>
          <w:sz w:val="24"/>
          <w:szCs w:val="24"/>
          <w:lang w:eastAsia="en-AU"/>
        </w:rPr>
        <w:t>3</w:t>
      </w:r>
      <w:r w:rsidR="00045C71">
        <w:rPr>
          <w:rFonts w:ascii="Times New Roman" w:eastAsia="Times New Roman" w:hAnsi="Times New Roman" w:cs="Times New Roman"/>
          <w:i/>
          <w:sz w:val="24"/>
          <w:szCs w:val="24"/>
          <w:lang w:eastAsia="en-AU"/>
        </w:rPr>
        <w:t xml:space="preserve">) </w:t>
      </w:r>
      <w:r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20</w:t>
      </w:r>
      <w:r w:rsidR="00AE2E87">
        <w:rPr>
          <w:rFonts w:ascii="Times New Roman" w:eastAsia="Times New Roman" w:hAnsi="Times New Roman" w:cs="Times New Roman"/>
          <w:sz w:val="24"/>
          <w:szCs w:val="24"/>
          <w:lang w:eastAsia="en-AU"/>
        </w:rPr>
        <w:t xml:space="preserve"> (“the Determination”)</w:t>
      </w:r>
      <w:r>
        <w:rPr>
          <w:rFonts w:ascii="Times New Roman" w:eastAsia="Times New Roman" w:hAnsi="Times New Roman" w:cs="Times New Roman"/>
          <w:sz w:val="24"/>
          <w:szCs w:val="24"/>
          <w:lang w:eastAsia="en-AU"/>
        </w:rPr>
        <w:t>.</w:t>
      </w:r>
    </w:p>
    <w:p w14:paraId="1B8996FF" w14:textId="480ABECC" w:rsidR="0040312B" w:rsidRPr="0040312B" w:rsidRDefault="0040312B" w:rsidP="0040312B">
      <w:pPr>
        <w:spacing w:before="100" w:beforeAutospacing="1" w:after="100" w:afterAutospacing="1"/>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2</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 xml:space="preserve"> Commencement</w:t>
      </w:r>
    </w:p>
    <w:p w14:paraId="087283D7" w14:textId="7A7075FA" w:rsidR="0050197A" w:rsidRDefault="0050197A" w:rsidP="0050197A">
      <w:pPr>
        <w:spacing w:before="120" w:after="0" w:line="240" w:lineRule="auto"/>
        <w:rPr>
          <w:rFonts w:ascii="Times New Roman" w:eastAsia="Times New Roman" w:hAnsi="Times New Roman" w:cs="Times New Roman"/>
          <w:sz w:val="24"/>
          <w:szCs w:val="24"/>
          <w:lang w:eastAsia="en-AU"/>
        </w:rPr>
      </w:pPr>
      <w:r w:rsidRPr="00607014">
        <w:rPr>
          <w:rFonts w:ascii="Times New Roman" w:eastAsia="Times New Roman" w:hAnsi="Times New Roman" w:cs="Times New Roman"/>
          <w:sz w:val="24"/>
          <w:szCs w:val="24"/>
          <w:lang w:eastAsia="en-AU"/>
        </w:rPr>
        <w:t xml:space="preserve">This section provides that the Determination </w:t>
      </w:r>
      <w:r w:rsidR="00FB4355" w:rsidRPr="00607014">
        <w:rPr>
          <w:rFonts w:ascii="Times New Roman" w:eastAsia="Times New Roman" w:hAnsi="Times New Roman" w:cs="Times New Roman"/>
          <w:sz w:val="24"/>
          <w:szCs w:val="24"/>
          <w:lang w:eastAsia="en-AU"/>
        </w:rPr>
        <w:t xml:space="preserve">commences </w:t>
      </w:r>
      <w:r w:rsidR="009F78E6" w:rsidRPr="00607014">
        <w:rPr>
          <w:rFonts w:ascii="Times New Roman" w:eastAsia="Times New Roman" w:hAnsi="Times New Roman" w:cs="Times New Roman"/>
          <w:sz w:val="24"/>
          <w:szCs w:val="24"/>
          <w:lang w:eastAsia="en-AU"/>
        </w:rPr>
        <w:t>the day after registration</w:t>
      </w:r>
      <w:r w:rsidRPr="00607014">
        <w:rPr>
          <w:rFonts w:ascii="Times New Roman" w:eastAsia="Times New Roman" w:hAnsi="Times New Roman" w:cs="Times New Roman"/>
          <w:sz w:val="24"/>
          <w:szCs w:val="24"/>
          <w:lang w:eastAsia="en-AU"/>
        </w:rPr>
        <w:t>.</w:t>
      </w:r>
    </w:p>
    <w:p w14:paraId="0EEDC031" w14:textId="3C746C36" w:rsidR="0040312B" w:rsidRPr="0040312B" w:rsidRDefault="0040312B" w:rsidP="0040312B">
      <w:pPr>
        <w:spacing w:before="100" w:beforeAutospacing="1" w:after="100" w:afterAutospacing="1"/>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3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Authority</w:t>
      </w:r>
    </w:p>
    <w:p w14:paraId="51F2D730" w14:textId="7CF74916"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legislative authority for making the Determination is </w:t>
      </w:r>
      <w:r w:rsidR="00FB4355">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B(1)</w:t>
      </w:r>
      <w:r>
        <w:rPr>
          <w:rFonts w:ascii="Times New Roman" w:eastAsia="Times New Roman" w:hAnsi="Times New Roman" w:cs="Times New Roman"/>
          <w:sz w:val="24"/>
          <w:szCs w:val="24"/>
          <w:lang w:eastAsia="en-AU"/>
        </w:rPr>
        <w:t xml:space="preserve"> of the</w:t>
      </w:r>
      <w:r w:rsidR="00C92827">
        <w:rPr>
          <w:rFonts w:ascii="Times New Roman" w:eastAsia="Times New Roman" w:hAnsi="Times New Roman" w:cs="Times New Roman"/>
          <w:sz w:val="24"/>
          <w:szCs w:val="24"/>
          <w:lang w:eastAsia="en-AU"/>
        </w:rPr>
        <w:t xml:space="preserve"> </w:t>
      </w:r>
      <w:r w:rsidR="00C92827" w:rsidRPr="00AC41A5">
        <w:rPr>
          <w:rFonts w:ascii="Times New Roman" w:eastAsia="Times New Roman" w:hAnsi="Times New Roman" w:cs="Times New Roman"/>
          <w:i/>
          <w:sz w:val="24"/>
          <w:szCs w:val="24"/>
          <w:lang w:eastAsia="en-AU"/>
        </w:rPr>
        <w:t>Therapeutic Goods Act 1989</w:t>
      </w:r>
      <w:r w:rsidR="00C92827">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Act</w:t>
      </w:r>
      <w:r w:rsidR="00C9282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14:paraId="6C363FE6" w14:textId="63623A4A" w:rsidR="0040312B" w:rsidRPr="00AE2E87" w:rsidRDefault="0040312B" w:rsidP="0040312B">
      <w:pPr>
        <w:spacing w:before="100" w:beforeAutospacing="1" w:after="100" w:afterAutospacing="1"/>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Section 4</w:t>
      </w:r>
      <w:r w:rsidR="001B7ED3">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001B7ED3">
        <w:rPr>
          <w:rFonts w:ascii="Times New Roman" w:eastAsia="Times New Roman" w:hAnsi="Times New Roman" w:cs="Times New Roman"/>
          <w:b/>
          <w:sz w:val="24"/>
          <w:szCs w:val="24"/>
          <w:lang w:eastAsia="en-AU"/>
        </w:rPr>
        <w:t>Interpretation</w:t>
      </w:r>
    </w:p>
    <w:p w14:paraId="0D82FB5D" w14:textId="383CE956" w:rsidR="0091180B" w:rsidRPr="0091180B" w:rsidRDefault="0091180B" w:rsidP="0091180B">
      <w:pPr>
        <w:spacing w:before="100" w:beforeAutospacing="1" w:after="100" w:afterAutospacing="1"/>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4(1) provides definitions for a number of terms used in the Determination. These include ‘code tables’, ‘excipient’, ‘homoeopathic preparation ingredient’ and ‘TGA eBusiness Services’.</w:t>
      </w:r>
    </w:p>
    <w:p w14:paraId="7DCB529C" w14:textId="77777777" w:rsidR="0091180B" w:rsidRPr="0091180B" w:rsidRDefault="0091180B" w:rsidP="0091180B">
      <w:pPr>
        <w:spacing w:before="100" w:beforeAutospacing="1" w:after="100" w:afterAutospacing="1"/>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lastRenderedPageBreak/>
        <w:t>The note to this section also makes it clear that a number of expressions used in the Determination have the same meaning as in the Act, for example ‘British Pharmacopoeia’, ‘European Pharmacopoeia’ and ‘United States Pharmacopeia-National Formulary’.</w:t>
      </w:r>
    </w:p>
    <w:p w14:paraId="783E573B" w14:textId="650416ED" w:rsidR="00AE2E87" w:rsidRDefault="0091180B" w:rsidP="00126D3F">
      <w:pPr>
        <w:spacing w:before="100" w:beforeAutospacing="1" w:after="100" w:afterAutospacing="1"/>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4(2) provides that the terms set out in closed brackets in column 4 of the table in Schedule 1 to the Determination that are associated with warning statements in relation to particular ingredients, are terms from the code tables under the heading ‘Product Warning’, and are not required to be included on the label of the medicine.</w:t>
      </w:r>
    </w:p>
    <w:p w14:paraId="0AA57C3B" w14:textId="6A7ADBAA" w:rsidR="001B7ED3" w:rsidRPr="007B443E" w:rsidRDefault="001B7ED3" w:rsidP="00B16682">
      <w:pPr>
        <w:spacing w:before="12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5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 xml:space="preserve">Permissible ingredients </w:t>
      </w:r>
    </w:p>
    <w:p w14:paraId="099B9869" w14:textId="070BCD51" w:rsidR="001B7ED3" w:rsidRDefault="001B7ED3" w:rsidP="00607014">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the ingredients specified in column 2 of the table in Schedule 1 to the Determination are specified for the purposes of paragraph 26BB(1)(a) of the Act.</w:t>
      </w:r>
    </w:p>
    <w:p w14:paraId="3132B7BB" w14:textId="70965E0F" w:rsidR="001B7ED3" w:rsidRPr="006B644D" w:rsidRDefault="001B7ED3" w:rsidP="00607014">
      <w:pPr>
        <w:spacing w:before="100" w:beforeAutospacing="1" w:after="100" w:afterAutospacing="1"/>
        <w:rPr>
          <w:rFonts w:ascii="Times New Roman" w:eastAsia="Times New Roman" w:hAnsi="Times New Roman" w:cs="Times New Roman"/>
          <w:b/>
          <w:sz w:val="24"/>
          <w:szCs w:val="24"/>
          <w:lang w:eastAsia="en-AU"/>
        </w:rPr>
      </w:pPr>
      <w:r w:rsidRPr="006B644D">
        <w:rPr>
          <w:rFonts w:ascii="Times New Roman" w:eastAsia="Times New Roman" w:hAnsi="Times New Roman" w:cs="Times New Roman"/>
          <w:b/>
          <w:sz w:val="24"/>
          <w:szCs w:val="24"/>
          <w:lang w:eastAsia="en-AU"/>
        </w:rPr>
        <w:t>Section 6</w:t>
      </w:r>
      <w:r w:rsidR="008F4502">
        <w:rPr>
          <w:rFonts w:ascii="Times New Roman" w:eastAsia="Times New Roman" w:hAnsi="Times New Roman" w:cs="Times New Roman"/>
          <w:b/>
          <w:sz w:val="24"/>
          <w:szCs w:val="24"/>
          <w:lang w:eastAsia="en-AU"/>
        </w:rPr>
        <w:t xml:space="preserve"> </w:t>
      </w:r>
      <w:r w:rsidRPr="006B644D">
        <w:rPr>
          <w:rFonts w:ascii="Times New Roman" w:eastAsia="Times New Roman" w:hAnsi="Times New Roman" w:cs="Times New Roman"/>
          <w:b/>
          <w:sz w:val="24"/>
          <w:szCs w:val="24"/>
          <w:lang w:eastAsia="en-AU"/>
        </w:rPr>
        <w:t xml:space="preserve"> Requirements in relation to permissible ingredients being contained in medicine</w:t>
      </w:r>
    </w:p>
    <w:p w14:paraId="01BF54A2" w14:textId="73A6DEBD" w:rsidR="001B7ED3" w:rsidRDefault="001B7ED3" w:rsidP="00607014">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for an ingredient mentioned in column 2 of an item in the table in Schedule 1 to the Determination, the requirements in paragraphs 6(a) to (c) are specified for the purposes of paragraph 26BB(1)(b) of the Act. </w:t>
      </w:r>
      <w:r w:rsidR="00E60C2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These include, for example, that the ingredient must only be used in a medicine for a purpose specified in relation to the ingredient in column 3 of that item.</w:t>
      </w:r>
    </w:p>
    <w:p w14:paraId="241E7A35" w14:textId="279BA9EA" w:rsidR="001B7ED3" w:rsidRPr="007B443E" w:rsidRDefault="001B7ED3" w:rsidP="001B7ED3">
      <w:pPr>
        <w:keepNext/>
        <w:spacing w:before="24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lastRenderedPageBreak/>
        <w:t xml:space="preserve">Section </w:t>
      </w:r>
      <w:r>
        <w:rPr>
          <w:rFonts w:ascii="Times New Roman" w:eastAsia="Times New Roman" w:hAnsi="Times New Roman" w:cs="Times New Roman"/>
          <w:b/>
          <w:sz w:val="24"/>
          <w:szCs w:val="24"/>
          <w:lang w:eastAsia="en-AU"/>
        </w:rPr>
        <w:t>7</w:t>
      </w:r>
      <w:r w:rsidRPr="007B443E">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Repeals</w:t>
      </w:r>
    </w:p>
    <w:p w14:paraId="4043154E" w14:textId="77777777" w:rsidR="001B7ED3" w:rsidRDefault="001B7ED3" w:rsidP="00607014">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each instrument that is specified in Schedule 2 to the Determination is repealed as set out in the applicable items in that Schedule.</w:t>
      </w:r>
    </w:p>
    <w:p w14:paraId="3AC09063" w14:textId="13D0598B" w:rsidR="00AE2E87" w:rsidRDefault="00AE2E87">
      <w:pPr>
        <w:spacing w:before="100" w:beforeAutospacing="1" w:after="100" w:afterAutospacing="1"/>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Schedule 1 </w:t>
      </w:r>
      <w:r>
        <w:rPr>
          <w:rFonts w:ascii="Times New Roman" w:eastAsia="Times New Roman" w:hAnsi="Times New Roman" w:cs="Times New Roman"/>
          <w:b/>
          <w:sz w:val="24"/>
          <w:szCs w:val="24"/>
          <w:lang w:eastAsia="en-AU"/>
        </w:rPr>
        <w:t>–</w:t>
      </w:r>
      <w:r w:rsidRPr="00AE2E87">
        <w:rPr>
          <w:rFonts w:ascii="Times New Roman" w:eastAsia="Times New Roman" w:hAnsi="Times New Roman" w:cs="Times New Roman"/>
          <w:b/>
          <w:sz w:val="24"/>
          <w:szCs w:val="24"/>
          <w:lang w:eastAsia="en-AU"/>
        </w:rPr>
        <w:t xml:space="preserve"> </w:t>
      </w:r>
      <w:r w:rsidR="0091180B" w:rsidRPr="0091180B">
        <w:rPr>
          <w:rFonts w:ascii="Times New Roman" w:eastAsia="Times New Roman" w:hAnsi="Times New Roman" w:cs="Times New Roman"/>
          <w:b/>
          <w:sz w:val="24"/>
          <w:szCs w:val="24"/>
          <w:lang w:eastAsia="en-AU"/>
        </w:rPr>
        <w:t>Specified permissible ingredients and requirements applying to these ingredients when contained in a medicine</w:t>
      </w:r>
    </w:p>
    <w:p w14:paraId="086FF46B" w14:textId="3E6FC278" w:rsidR="00045C71" w:rsidRDefault="00CA2F70" w:rsidP="005F1175">
      <w:pPr>
        <w:spacing w:before="100" w:beforeAutospacing="1" w:after="100" w:afterAutospacing="1"/>
        <w:rPr>
          <w:rFonts w:ascii="Times New Roman" w:eastAsia="Times New Roman" w:hAnsi="Times New Roman" w:cs="Times New Roman"/>
          <w:sz w:val="24"/>
          <w:szCs w:val="24"/>
          <w:lang w:eastAsia="en-AU"/>
        </w:rPr>
      </w:pPr>
      <w:r w:rsidRPr="00CA2F70">
        <w:rPr>
          <w:rFonts w:ascii="Times New Roman" w:eastAsia="Times New Roman" w:hAnsi="Times New Roman" w:cs="Times New Roman"/>
          <w:sz w:val="24"/>
          <w:szCs w:val="24"/>
          <w:lang w:eastAsia="en-AU"/>
        </w:rPr>
        <w:t>This Schedule specifies ingredients and related requirements for the purposes of sections 5 and 6 of the Determination.</w:t>
      </w:r>
    </w:p>
    <w:p w14:paraId="023BE486" w14:textId="2EC5EE95" w:rsidR="00CA2F70" w:rsidRPr="00CA2F70" w:rsidRDefault="00CA2F70" w:rsidP="00CA2F70">
      <w:pPr>
        <w:spacing w:before="100" w:beforeAutospacing="1" w:after="100" w:afterAutospacing="1"/>
        <w:rPr>
          <w:rFonts w:ascii="Times New Roman" w:eastAsia="Times New Roman" w:hAnsi="Times New Roman" w:cs="Times New Roman"/>
          <w:sz w:val="24"/>
          <w:szCs w:val="24"/>
          <w:lang w:val="en-US" w:eastAsia="en-AU"/>
        </w:rPr>
      </w:pPr>
      <w:r w:rsidRPr="00CA2F70">
        <w:rPr>
          <w:rFonts w:ascii="Times New Roman" w:eastAsia="Times New Roman" w:hAnsi="Times New Roman" w:cs="Times New Roman"/>
          <w:b/>
          <w:bCs/>
          <w:sz w:val="24"/>
          <w:szCs w:val="24"/>
          <w:lang w:eastAsia="en-AU"/>
        </w:rPr>
        <w:t>Schedule 2 – Repeals</w:t>
      </w:r>
    </w:p>
    <w:p w14:paraId="09B08BCF" w14:textId="0BF0D52D" w:rsidR="00045C71" w:rsidRPr="00607014" w:rsidRDefault="00CA2F70" w:rsidP="00F111D7">
      <w:pPr>
        <w:spacing w:before="100" w:beforeAutospacing="1" w:after="100" w:afterAutospacing="1"/>
        <w:rPr>
          <w:rFonts w:ascii="Times New Roman" w:eastAsia="Times New Roman" w:hAnsi="Times New Roman" w:cs="Times New Roman"/>
          <w:sz w:val="24"/>
          <w:szCs w:val="24"/>
          <w:lang w:eastAsia="en-AU"/>
        </w:rPr>
      </w:pPr>
      <w:r w:rsidRPr="00CA2F70">
        <w:rPr>
          <w:rFonts w:ascii="Times New Roman" w:eastAsia="Times New Roman" w:hAnsi="Times New Roman" w:cs="Times New Roman"/>
          <w:sz w:val="24"/>
          <w:szCs w:val="24"/>
          <w:lang w:eastAsia="en-AU"/>
        </w:rPr>
        <w:t xml:space="preserve">This Schedule repeals the </w:t>
      </w:r>
      <w:r w:rsidRPr="00CA2F70">
        <w:rPr>
          <w:rFonts w:ascii="Times New Roman" w:eastAsia="Times New Roman" w:hAnsi="Times New Roman" w:cs="Times New Roman"/>
          <w:i/>
          <w:iCs/>
          <w:sz w:val="24"/>
          <w:szCs w:val="24"/>
          <w:lang w:eastAsia="en-AU"/>
        </w:rPr>
        <w:t>Therapeutic Goods (Permissible Ingredients) Determination (No. </w:t>
      </w:r>
      <w:r w:rsidR="00E33DD5">
        <w:rPr>
          <w:rFonts w:ascii="Times New Roman" w:eastAsia="Times New Roman" w:hAnsi="Times New Roman" w:cs="Times New Roman"/>
          <w:i/>
          <w:iCs/>
          <w:sz w:val="24"/>
          <w:szCs w:val="24"/>
          <w:lang w:eastAsia="en-AU"/>
        </w:rPr>
        <w:t>2</w:t>
      </w:r>
      <w:r w:rsidRPr="00CA2F70">
        <w:rPr>
          <w:rFonts w:ascii="Times New Roman" w:eastAsia="Times New Roman" w:hAnsi="Times New Roman" w:cs="Times New Roman"/>
          <w:i/>
          <w:iCs/>
          <w:sz w:val="24"/>
          <w:szCs w:val="24"/>
          <w:lang w:eastAsia="en-AU"/>
        </w:rPr>
        <w:t>) 20</w:t>
      </w:r>
      <w:r w:rsidR="00FA7084">
        <w:rPr>
          <w:rFonts w:ascii="Times New Roman" w:eastAsia="Times New Roman" w:hAnsi="Times New Roman" w:cs="Times New Roman"/>
          <w:i/>
          <w:iCs/>
          <w:sz w:val="24"/>
          <w:szCs w:val="24"/>
          <w:lang w:eastAsia="en-AU"/>
        </w:rPr>
        <w:t>20</w:t>
      </w:r>
      <w:r w:rsidRPr="00CA2F70">
        <w:rPr>
          <w:rFonts w:ascii="Times New Roman" w:eastAsia="Times New Roman" w:hAnsi="Times New Roman" w:cs="Times New Roman"/>
          <w:i/>
          <w:iCs/>
          <w:sz w:val="24"/>
          <w:szCs w:val="24"/>
          <w:lang w:eastAsia="en-AU"/>
        </w:rPr>
        <w:t>.</w:t>
      </w:r>
    </w:p>
    <w:p w14:paraId="54F027CA" w14:textId="77777777" w:rsidR="00EF1F18" w:rsidRDefault="00EF1F18">
      <w:pPr>
        <w:spacing w:before="100" w:beforeAutospacing="1" w:after="100" w:afterAutospacing="1"/>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br w:type="page"/>
      </w:r>
    </w:p>
    <w:p w14:paraId="1C3354F0" w14:textId="77777777" w:rsidR="005F2423" w:rsidRPr="00A419EA" w:rsidRDefault="005F2423" w:rsidP="00607014">
      <w:pPr>
        <w:spacing w:before="100" w:beforeAutospacing="1" w:after="100" w:afterAutospacing="1"/>
        <w:jc w:val="right"/>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lastRenderedPageBreak/>
        <w:t>Attachment B</w:t>
      </w:r>
    </w:p>
    <w:p w14:paraId="784E4BE2" w14:textId="77777777" w:rsidR="00EF1F18" w:rsidRDefault="00EF1F18" w:rsidP="00720518">
      <w:pPr>
        <w:spacing w:before="120" w:after="0"/>
        <w:jc w:val="center"/>
        <w:rPr>
          <w:rFonts w:ascii="Times New Roman" w:eastAsia="Times New Roman" w:hAnsi="Times New Roman" w:cs="Times New Roman"/>
          <w:b/>
          <w:bCs/>
          <w:sz w:val="24"/>
          <w:szCs w:val="24"/>
          <w:lang w:eastAsia="en-AU"/>
        </w:rPr>
      </w:pPr>
      <w:r w:rsidRPr="005F2423">
        <w:rPr>
          <w:rFonts w:ascii="Times New Roman" w:eastAsia="Times New Roman" w:hAnsi="Times New Roman" w:cs="Times New Roman"/>
          <w:b/>
          <w:bCs/>
          <w:sz w:val="24"/>
          <w:szCs w:val="24"/>
          <w:lang w:eastAsia="en-AU"/>
        </w:rPr>
        <w:t>Statement of Compatibility with Human Rights</w:t>
      </w:r>
    </w:p>
    <w:p w14:paraId="6EC20EFD" w14:textId="77777777" w:rsidR="00510EB5" w:rsidRPr="005F2423" w:rsidRDefault="00510EB5" w:rsidP="00720518">
      <w:pPr>
        <w:spacing w:after="0"/>
        <w:jc w:val="center"/>
        <w:rPr>
          <w:rFonts w:ascii="Times New Roman" w:eastAsia="Times New Roman" w:hAnsi="Times New Roman" w:cs="Times New Roman"/>
          <w:sz w:val="24"/>
          <w:szCs w:val="24"/>
          <w:lang w:val="en-US" w:eastAsia="en-AU"/>
        </w:rPr>
      </w:pPr>
    </w:p>
    <w:p w14:paraId="25C603B6" w14:textId="77777777" w:rsidR="00510EB5" w:rsidRDefault="00EF1F18" w:rsidP="00510EB5">
      <w:pPr>
        <w:spacing w:after="0"/>
        <w:jc w:val="center"/>
        <w:rPr>
          <w:rFonts w:ascii="Times New Roman" w:eastAsia="Times New Roman" w:hAnsi="Times New Roman" w:cs="Times New Roman"/>
          <w:sz w:val="24"/>
          <w:szCs w:val="24"/>
          <w:lang w:eastAsia="en-AU"/>
        </w:rPr>
      </w:pPr>
      <w:r w:rsidRPr="00A419EA">
        <w:rPr>
          <w:rFonts w:ascii="Times New Roman" w:eastAsia="Times New Roman" w:hAnsi="Times New Roman" w:cs="Times New Roman"/>
          <w:i/>
          <w:iCs/>
          <w:sz w:val="24"/>
          <w:szCs w:val="24"/>
          <w:lang w:eastAsia="en-AU"/>
        </w:rPr>
        <w:t>Prepared in acco</w:t>
      </w:r>
      <w:r>
        <w:rPr>
          <w:rFonts w:ascii="Times New Roman" w:eastAsia="Times New Roman" w:hAnsi="Times New Roman" w:cs="Times New Roman"/>
          <w:i/>
          <w:iCs/>
          <w:sz w:val="24"/>
          <w:szCs w:val="24"/>
          <w:lang w:eastAsia="en-AU"/>
        </w:rPr>
        <w:t>rdance with Part 3 of the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sidR="00207B8A">
        <w:rPr>
          <w:rFonts w:ascii="Times New Roman" w:eastAsia="Times New Roman" w:hAnsi="Times New Roman" w:cs="Times New Roman"/>
          <w:i/>
          <w:iCs/>
          <w:sz w:val="24"/>
          <w:szCs w:val="24"/>
          <w:lang w:eastAsia="en-AU"/>
        </w:rPr>
        <w:t>.</w:t>
      </w:r>
      <w:r w:rsidR="00510EB5" w:rsidRPr="00510EB5">
        <w:rPr>
          <w:rFonts w:ascii="Times New Roman" w:eastAsia="Times New Roman" w:hAnsi="Times New Roman" w:cs="Times New Roman"/>
          <w:sz w:val="24"/>
          <w:szCs w:val="24"/>
          <w:lang w:eastAsia="en-AU"/>
        </w:rPr>
        <w:t xml:space="preserve"> </w:t>
      </w:r>
    </w:p>
    <w:p w14:paraId="38892413" w14:textId="77777777" w:rsidR="00510EB5" w:rsidRPr="00A419EA" w:rsidRDefault="00510EB5" w:rsidP="00720518">
      <w:pPr>
        <w:spacing w:after="0"/>
        <w:jc w:val="center"/>
        <w:rPr>
          <w:rFonts w:ascii="Times New Roman" w:eastAsia="Times New Roman" w:hAnsi="Times New Roman" w:cs="Times New Roman"/>
          <w:sz w:val="24"/>
          <w:szCs w:val="24"/>
          <w:lang w:val="en-US" w:eastAsia="en-AU"/>
        </w:rPr>
      </w:pPr>
    </w:p>
    <w:p w14:paraId="0039C745" w14:textId="222789CF" w:rsidR="005F2423" w:rsidRDefault="005F2423" w:rsidP="00720518">
      <w:pPr>
        <w:spacing w:after="0"/>
        <w:jc w:val="center"/>
        <w:rPr>
          <w:rFonts w:ascii="Times New Roman" w:eastAsia="Times New Roman" w:hAnsi="Times New Roman" w:cs="Times New Roman"/>
          <w:sz w:val="24"/>
          <w:szCs w:val="24"/>
          <w:lang w:eastAsia="en-AU"/>
        </w:rPr>
      </w:pPr>
      <w:r w:rsidRPr="005F2423">
        <w:rPr>
          <w:rFonts w:ascii="Times New Roman" w:eastAsia="Times New Roman" w:hAnsi="Times New Roman" w:cs="Times New Roman"/>
          <w:b/>
          <w:i/>
          <w:sz w:val="24"/>
          <w:szCs w:val="24"/>
          <w:lang w:eastAsia="en-AU"/>
        </w:rPr>
        <w:t>Therapeutic Goods (Permissible Ingredients) Determination (No.</w:t>
      </w:r>
      <w:r w:rsidR="00C92827">
        <w:rPr>
          <w:rFonts w:ascii="Times New Roman" w:eastAsia="Times New Roman" w:hAnsi="Times New Roman" w:cs="Times New Roman"/>
          <w:b/>
          <w:i/>
          <w:sz w:val="24"/>
          <w:szCs w:val="24"/>
          <w:lang w:eastAsia="en-AU"/>
        </w:rPr>
        <w:t xml:space="preserve"> </w:t>
      </w:r>
      <w:r w:rsidR="00E33DD5">
        <w:rPr>
          <w:rFonts w:ascii="Times New Roman" w:eastAsia="Times New Roman" w:hAnsi="Times New Roman" w:cs="Times New Roman"/>
          <w:b/>
          <w:i/>
          <w:sz w:val="24"/>
          <w:szCs w:val="24"/>
          <w:lang w:eastAsia="en-AU"/>
        </w:rPr>
        <w:t>3</w:t>
      </w:r>
      <w:r w:rsidRPr="005F2423">
        <w:rPr>
          <w:rFonts w:ascii="Times New Roman" w:eastAsia="Times New Roman" w:hAnsi="Times New Roman" w:cs="Times New Roman"/>
          <w:b/>
          <w:i/>
          <w:sz w:val="24"/>
          <w:szCs w:val="24"/>
          <w:lang w:eastAsia="en-AU"/>
        </w:rPr>
        <w:t>) 20</w:t>
      </w:r>
      <w:r w:rsidR="009A1C10">
        <w:rPr>
          <w:rFonts w:ascii="Times New Roman" w:eastAsia="Times New Roman" w:hAnsi="Times New Roman" w:cs="Times New Roman"/>
          <w:b/>
          <w:i/>
          <w:sz w:val="24"/>
          <w:szCs w:val="24"/>
          <w:lang w:eastAsia="en-AU"/>
        </w:rPr>
        <w:t>20</w:t>
      </w:r>
    </w:p>
    <w:p w14:paraId="439E57CA" w14:textId="77777777" w:rsidR="004761AE" w:rsidRDefault="004761AE" w:rsidP="00720518">
      <w:pPr>
        <w:spacing w:after="0"/>
        <w:rPr>
          <w:rFonts w:ascii="Times New Roman" w:eastAsia="Times New Roman" w:hAnsi="Times New Roman" w:cs="Times New Roman"/>
          <w:sz w:val="24"/>
          <w:szCs w:val="24"/>
          <w:lang w:eastAsia="en-AU"/>
        </w:rPr>
      </w:pPr>
    </w:p>
    <w:p w14:paraId="2C9AC34B" w14:textId="18487A94" w:rsidR="00510EB5" w:rsidRDefault="00EF1F18" w:rsidP="00510EB5">
      <w:pPr>
        <w:spacing w:after="0"/>
        <w:contextualSpacing/>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This </w:t>
      </w:r>
      <w:r w:rsidR="005F2423">
        <w:rPr>
          <w:rFonts w:ascii="Times New Roman" w:eastAsia="Times New Roman" w:hAnsi="Times New Roman" w:cs="Times New Roman"/>
          <w:sz w:val="24"/>
          <w:szCs w:val="24"/>
          <w:lang w:eastAsia="en-AU"/>
        </w:rPr>
        <w:t xml:space="preserve">disallowable </w:t>
      </w:r>
      <w:r w:rsidRPr="00A419EA">
        <w:rPr>
          <w:rFonts w:ascii="Times New Roman" w:eastAsia="Times New Roman" w:hAnsi="Times New Roman" w:cs="Times New Roman"/>
          <w:sz w:val="24"/>
          <w:szCs w:val="24"/>
          <w:lang w:eastAsia="en-AU"/>
        </w:rPr>
        <w:t>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p>
    <w:p w14:paraId="4842CD1E" w14:textId="77777777" w:rsidR="00EF1F18" w:rsidRPr="00A419EA" w:rsidRDefault="00EF1F18" w:rsidP="00720518">
      <w:pPr>
        <w:spacing w:after="0"/>
        <w:rPr>
          <w:rFonts w:ascii="Times New Roman" w:eastAsia="Times New Roman" w:hAnsi="Times New Roman" w:cs="Times New Roman"/>
          <w:sz w:val="24"/>
          <w:szCs w:val="24"/>
          <w:lang w:val="en-US" w:eastAsia="en-AU"/>
        </w:rPr>
      </w:pPr>
    </w:p>
    <w:p w14:paraId="45C3CC91" w14:textId="77777777" w:rsidR="00EF1F18" w:rsidRDefault="00EF1F18" w:rsidP="00720518">
      <w:pPr>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Overview of the Legislative Instrument</w:t>
      </w:r>
    </w:p>
    <w:p w14:paraId="038BBA42" w14:textId="77777777" w:rsidR="00005653" w:rsidRPr="00A419EA" w:rsidRDefault="00005653" w:rsidP="00720518">
      <w:pPr>
        <w:spacing w:after="0"/>
        <w:rPr>
          <w:rFonts w:ascii="Times New Roman" w:eastAsia="Times New Roman" w:hAnsi="Times New Roman" w:cs="Times New Roman"/>
          <w:sz w:val="24"/>
          <w:szCs w:val="24"/>
          <w:lang w:val="en-US" w:eastAsia="en-AU"/>
        </w:rPr>
      </w:pPr>
    </w:p>
    <w:p w14:paraId="227538D1" w14:textId="620B568C" w:rsidR="00B82A8D" w:rsidRDefault="00EF1F18" w:rsidP="002D67DA">
      <w:pPr>
        <w:autoSpaceDE w:val="0"/>
        <w:autoSpaceDN w:val="0"/>
        <w:adjustRightInd w:val="0"/>
        <w:spacing w:after="0"/>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The </w:t>
      </w:r>
      <w:r w:rsidR="005F2423" w:rsidRPr="00AE2E87">
        <w:rPr>
          <w:rFonts w:ascii="Times New Roman" w:eastAsia="Times New Roman" w:hAnsi="Times New Roman" w:cs="Times New Roman"/>
          <w:i/>
          <w:sz w:val="24"/>
          <w:szCs w:val="24"/>
          <w:lang w:eastAsia="en-AU"/>
        </w:rPr>
        <w:t xml:space="preserve">Therapeutic Goods (Permissible Ingredients) Determination </w:t>
      </w:r>
      <w:r w:rsidR="005F2423">
        <w:rPr>
          <w:rFonts w:ascii="Times New Roman" w:eastAsia="Times New Roman" w:hAnsi="Times New Roman" w:cs="Times New Roman"/>
          <w:i/>
          <w:sz w:val="24"/>
          <w:szCs w:val="24"/>
          <w:lang w:eastAsia="en-AU"/>
        </w:rPr>
        <w:t>(No.</w:t>
      </w:r>
      <w:r w:rsidR="0046549C">
        <w:rPr>
          <w:rFonts w:ascii="Times New Roman" w:eastAsia="Times New Roman" w:hAnsi="Times New Roman" w:cs="Times New Roman"/>
          <w:i/>
          <w:sz w:val="24"/>
          <w:szCs w:val="24"/>
          <w:lang w:eastAsia="en-AU"/>
        </w:rPr>
        <w:t xml:space="preserve"> </w:t>
      </w:r>
      <w:r w:rsidR="00E33DD5">
        <w:rPr>
          <w:rFonts w:ascii="Times New Roman" w:eastAsia="Times New Roman" w:hAnsi="Times New Roman" w:cs="Times New Roman"/>
          <w:i/>
          <w:sz w:val="24"/>
          <w:szCs w:val="24"/>
          <w:lang w:eastAsia="en-AU"/>
        </w:rPr>
        <w:t>3</w:t>
      </w:r>
      <w:r w:rsidR="005F2423">
        <w:rPr>
          <w:rFonts w:ascii="Times New Roman" w:eastAsia="Times New Roman" w:hAnsi="Times New Roman" w:cs="Times New Roman"/>
          <w:i/>
          <w:sz w:val="24"/>
          <w:szCs w:val="24"/>
          <w:lang w:eastAsia="en-AU"/>
        </w:rPr>
        <w:t xml:space="preserve">) </w:t>
      </w:r>
      <w:r w:rsidR="005F2423"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20</w:t>
      </w:r>
      <w:r w:rsidR="005F2423">
        <w:rPr>
          <w:rFonts w:ascii="Times New Roman" w:eastAsia="Times New Roman" w:hAnsi="Times New Roman" w:cs="Times New Roman"/>
          <w:sz w:val="24"/>
          <w:szCs w:val="24"/>
          <w:lang w:eastAsia="en-AU"/>
        </w:rPr>
        <w:t xml:space="preserve"> (“the instrument”)</w:t>
      </w:r>
      <w:r w:rsidRPr="00A419EA">
        <w:rPr>
          <w:rFonts w:ascii="Times New Roman" w:eastAsia="Times New Roman" w:hAnsi="Times New Roman" w:cs="Times New Roman"/>
          <w:sz w:val="24"/>
          <w:szCs w:val="24"/>
          <w:lang w:eastAsia="en-AU"/>
        </w:rPr>
        <w:t xml:space="preserve"> is made by </w:t>
      </w:r>
      <w:r w:rsidR="008E75B9">
        <w:rPr>
          <w:rFonts w:ascii="Times New Roman" w:eastAsia="Times New Roman" w:hAnsi="Times New Roman" w:cs="Times New Roman"/>
          <w:sz w:val="24"/>
          <w:szCs w:val="24"/>
          <w:lang w:eastAsia="en-AU"/>
        </w:rPr>
        <w:t xml:space="preserve">a delegate of </w:t>
      </w:r>
      <w:r w:rsidRPr="00A419EA">
        <w:rPr>
          <w:rFonts w:ascii="Times New Roman" w:eastAsia="Times New Roman" w:hAnsi="Times New Roman" w:cs="Times New Roman"/>
          <w:sz w:val="24"/>
          <w:szCs w:val="24"/>
          <w:lang w:eastAsia="en-AU"/>
        </w:rPr>
        <w:t xml:space="preserve">the Minister under </w:t>
      </w:r>
      <w:r w:rsidR="008E75B9">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w:t>
      </w:r>
      <w:r w:rsidR="008E75B9">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w:t>
      </w:r>
      <w:r w:rsidRPr="00A419EA">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i/>
          <w:iCs/>
          <w:sz w:val="24"/>
          <w:szCs w:val="24"/>
          <w:lang w:eastAsia="en-AU"/>
        </w:rPr>
        <w:t>Therapeutic Goods Act </w:t>
      </w:r>
      <w:r w:rsidRPr="00A419EA">
        <w:rPr>
          <w:rFonts w:ascii="Times New Roman" w:eastAsia="Times New Roman" w:hAnsi="Times New Roman" w:cs="Times New Roman"/>
          <w:i/>
          <w:iCs/>
          <w:sz w:val="24"/>
          <w:szCs w:val="24"/>
          <w:lang w:eastAsia="en-AU"/>
        </w:rPr>
        <w:t>1989</w:t>
      </w:r>
      <w:r>
        <w:rPr>
          <w:rFonts w:ascii="Times New Roman" w:eastAsia="Times New Roman" w:hAnsi="Times New Roman" w:cs="Times New Roman"/>
          <w:i/>
          <w:iCs/>
          <w:sz w:val="24"/>
          <w:szCs w:val="24"/>
          <w:lang w:eastAsia="en-AU"/>
        </w:rPr>
        <w:t xml:space="preserve"> </w:t>
      </w:r>
      <w:r w:rsidRPr="00765674">
        <w:rPr>
          <w:rFonts w:ascii="Times New Roman" w:eastAsia="Times New Roman" w:hAnsi="Times New Roman" w:cs="Times New Roman"/>
          <w:iCs/>
          <w:sz w:val="24"/>
          <w:szCs w:val="24"/>
          <w:lang w:eastAsia="en-AU"/>
        </w:rPr>
        <w: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the Act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w:t>
      </w:r>
      <w:r w:rsidRPr="00A419EA">
        <w:rPr>
          <w:rFonts w:ascii="Times New Roman" w:eastAsia="Times New Roman" w:hAnsi="Times New Roman" w:cs="Times New Roman"/>
          <w:i/>
          <w:iCs/>
          <w:sz w:val="24"/>
          <w:szCs w:val="24"/>
          <w:lang w:eastAsia="en-AU"/>
        </w:rPr>
        <w:t>.</w:t>
      </w:r>
    </w:p>
    <w:p w14:paraId="7918988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99ABA85" w14:textId="2DEECC71"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purpose of the instrument is to specify those ingredients that may be contained in a medicine that is listed in the Australian Register of Therapeutic Goods (“the Register”) under section 26A or 26AE of the Act, and requirements in relation to the inclusion of those ingredients in such medicines.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The instrument repeals and replaces the existing </w:t>
      </w:r>
      <w:r w:rsidRPr="00D731D4">
        <w:rPr>
          <w:rFonts w:ascii="Times New Roman" w:eastAsia="Times New Roman" w:hAnsi="Times New Roman" w:cs="Times New Roman"/>
          <w:i/>
          <w:iCs/>
          <w:sz w:val="24"/>
          <w:szCs w:val="24"/>
          <w:lang w:eastAsia="en-AU"/>
        </w:rPr>
        <w:t>Therapeutic Goods (Permissible I</w:t>
      </w:r>
      <w:r>
        <w:rPr>
          <w:rFonts w:ascii="Times New Roman" w:eastAsia="Times New Roman" w:hAnsi="Times New Roman" w:cs="Times New Roman"/>
          <w:i/>
          <w:iCs/>
          <w:sz w:val="24"/>
          <w:szCs w:val="24"/>
          <w:lang w:eastAsia="en-AU"/>
        </w:rPr>
        <w:t xml:space="preserve">ngredients) Determination (No. </w:t>
      </w:r>
      <w:r w:rsidR="00E33DD5">
        <w:rPr>
          <w:rFonts w:ascii="Times New Roman" w:eastAsia="Times New Roman" w:hAnsi="Times New Roman" w:cs="Times New Roman"/>
          <w:i/>
          <w:iCs/>
          <w:sz w:val="24"/>
          <w:szCs w:val="24"/>
          <w:lang w:eastAsia="en-AU"/>
        </w:rPr>
        <w:t>2</w:t>
      </w:r>
      <w:r w:rsidRPr="00D731D4">
        <w:rPr>
          <w:rFonts w:ascii="Times New Roman" w:eastAsia="Times New Roman" w:hAnsi="Times New Roman" w:cs="Times New Roman"/>
          <w:i/>
          <w:iCs/>
          <w:sz w:val="24"/>
          <w:szCs w:val="24"/>
          <w:lang w:eastAsia="en-AU"/>
        </w:rPr>
        <w:t xml:space="preserve">) </w:t>
      </w:r>
      <w:r w:rsidR="00E96741" w:rsidRPr="00D731D4">
        <w:rPr>
          <w:rFonts w:ascii="Times New Roman" w:eastAsia="Times New Roman" w:hAnsi="Times New Roman" w:cs="Times New Roman"/>
          <w:sz w:val="24"/>
          <w:szCs w:val="24"/>
          <w:lang w:eastAsia="en-AU"/>
        </w:rPr>
        <w:t>20</w:t>
      </w:r>
      <w:r w:rsidR="00E96741">
        <w:rPr>
          <w:rFonts w:ascii="Times New Roman" w:eastAsia="Times New Roman" w:hAnsi="Times New Roman" w:cs="Times New Roman"/>
          <w:sz w:val="24"/>
          <w:szCs w:val="24"/>
          <w:lang w:eastAsia="en-AU"/>
        </w:rPr>
        <w:t>20</w:t>
      </w:r>
      <w:r w:rsidR="00E96741" w:rsidRPr="00D731D4">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(“the former instrument”).</w:t>
      </w:r>
    </w:p>
    <w:p w14:paraId="666DC18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3FF27308" w14:textId="1A338E7E"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lastRenderedPageBreak/>
        <w:t xml:space="preserve">Medicines that are listed in the Register under section 26A of the Act are considered to be low risk and are not individually evaluated before they are listed.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When listed under section 26AE, these listed medicines are commonly referred to as ‘assessed listed medicines’.</w:t>
      </w:r>
    </w:p>
    <w:p w14:paraId="2B17E1A6"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5333D757" w14:textId="22BA20B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As the safety and quality of medicines listed under section 26A and 26AE are not evaluated by the Therapeutic Goods Administration (“the TGA”) before being given marketing approval, the Act contains mechanisms to help ensure that listed medicines are of appropriate quality and able to be used safely by consumers. </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In particular, listed medicines may only contain ingredients from an approved list of ingredients that have been evaluated in relation to their quality and safety and suitability for use in such medicines.</w:t>
      </w:r>
    </w:p>
    <w:p w14:paraId="34F8E97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6D911DB" w14:textId="12BA5272"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Under paragraphs 26A(2)(ca) and (cb) of the Act, persons applying to list a medicine in the Register under section 26A of the Act must certify that their medicine does not contain an ingredient that is not specified in a determination under paragraph 26BB(1)(a) of the Act, and does not contravene a requirement in relation to such an ingredient that is specified in such a determination.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Paragraphs 26AB(2)(d) and (e) set out equivalent certification requirements for applicants seeking marketing approval for an as</w:t>
      </w:r>
      <w:r w:rsidRPr="00D731D4">
        <w:rPr>
          <w:rFonts w:ascii="Times New Roman" w:eastAsia="Times New Roman" w:hAnsi="Times New Roman" w:cs="Times New Roman"/>
          <w:sz w:val="24"/>
          <w:szCs w:val="24"/>
          <w:lang w:eastAsia="en-AU"/>
        </w:rPr>
        <w:lastRenderedPageBreak/>
        <w:t>sessed listed medicine.</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 A listed (or assessed listed) medicine may be cancelled from the Register if it appears to the Secretary that such a certification is incorrect.</w:t>
      </w:r>
    </w:p>
    <w:p w14:paraId="328560A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8BDDD60" w14:textId="73BE044B"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Compliance with the instrument is also an important part of the criteria for eligibility for listing of medicines in the Register set out in Schedule 4 to the </w:t>
      </w:r>
      <w:r w:rsidRPr="00D731D4">
        <w:rPr>
          <w:rFonts w:ascii="Times New Roman" w:eastAsia="Times New Roman" w:hAnsi="Times New Roman" w:cs="Times New Roman"/>
          <w:i/>
          <w:iCs/>
          <w:sz w:val="24"/>
          <w:szCs w:val="24"/>
          <w:lang w:eastAsia="en-AU"/>
        </w:rPr>
        <w:t>Therapeutic Goods Regulations 1990</w:t>
      </w:r>
      <w:r w:rsidRPr="00D731D4">
        <w:rPr>
          <w:rFonts w:ascii="Times New Roman" w:eastAsia="Times New Roman" w:hAnsi="Times New Roman" w:cs="Times New Roman"/>
          <w:sz w:val="24"/>
          <w:szCs w:val="24"/>
          <w:lang w:eastAsia="en-AU"/>
        </w:rPr>
        <w:t xml:space="preserve">.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Medicines that are not eligible for listing because those medicines do not comply with these criteria (including compliance with the instrument) would be required to be registered, rather than listed, in the Register (a considerably more lengthy and costly exercise).</w:t>
      </w:r>
    </w:p>
    <w:p w14:paraId="09E316C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6E2595A" w14:textId="5D831C5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The instrument is designed to provide a comprehensive list of ingredients which have been assessed or otherwise considered to be safe for use in listed (and assessed listed) medicines, and associated requirements to be followed when using particular ingredients in such products, to support the overall safety of these products for consumers.</w:t>
      </w:r>
    </w:p>
    <w:p w14:paraId="70D604C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648ADBB6" w14:textId="04A7890C"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requirements imposed under the instrument principally relate to ensuring the quality and safety of the ingredient when used. </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Requirements may relate, for example, to:</w:t>
      </w:r>
    </w:p>
    <w:p w14:paraId="3E1BC56F" w14:textId="6C8A965F"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how the ingredient is to be used in the medicine, that is, as an active, homoeopathic or excipient ingredient;</w:t>
      </w:r>
    </w:p>
    <w:p w14:paraId="4A7217E1" w14:textId="7254D24B"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intended method of ingestion or application of the medicine, for example, oral or topical use;</w:t>
      </w:r>
    </w:p>
    <w:p w14:paraId="160AE370" w14:textId="2FBDB112"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lastRenderedPageBreak/>
        <w:t>the source of the ingredient, or procedures to be followed in its manufacture;</w:t>
      </w:r>
    </w:p>
    <w:p w14:paraId="3AC40B37" w14:textId="547C978A"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appropriate limits on the volume or concentration of an ingredient; and</w:t>
      </w:r>
    </w:p>
    <w:p w14:paraId="0DEF1A6B" w14:textId="6C97C687"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inclusion of relevant safety information on product labels, for example, allergen advice or advice about the use of medicine containing the ingredient for susceptible members of the population such as children and pregnant women.</w:t>
      </w:r>
    </w:p>
    <w:p w14:paraId="3589B9EF" w14:textId="4993939A"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3E7C377C" w14:textId="77396F3C" w:rsidR="001D7A4F" w:rsidRDefault="00D731D4" w:rsidP="00D731D4">
      <w:pPr>
        <w:autoSpaceDE w:val="0"/>
        <w:autoSpaceDN w:val="0"/>
        <w:adjustRightInd w:val="0"/>
        <w:spacing w:after="0"/>
        <w:rPr>
          <w:rFonts w:ascii="Times New Roman" w:eastAsia="Times New Roman" w:hAnsi="Times New Roman" w:cs="Times New Roman"/>
          <w:sz w:val="24"/>
          <w:szCs w:val="24"/>
          <w:lang w:eastAsia="en-AU"/>
        </w:rPr>
      </w:pPr>
      <w:r w:rsidRPr="00D731D4">
        <w:rPr>
          <w:rFonts w:ascii="Times New Roman" w:eastAsia="Times New Roman" w:hAnsi="Times New Roman" w:cs="Times New Roman"/>
          <w:sz w:val="24"/>
          <w:szCs w:val="24"/>
          <w:lang w:eastAsia="en-AU"/>
        </w:rPr>
        <w:t>The instrument repeals and replaces the former instrument, and incorporates a number of changes in comparison to the former instrument, including in particular:</w:t>
      </w:r>
    </w:p>
    <w:p w14:paraId="583904CA" w14:textId="05BB820A" w:rsidR="006E6BF8" w:rsidRDefault="006E6BF8" w:rsidP="006E6BF8">
      <w:pPr>
        <w:pStyle w:val="ListParagraph"/>
        <w:keepNext/>
        <w:numPr>
          <w:ilvl w:val="0"/>
          <w:numId w:val="11"/>
        </w:numPr>
        <w:spacing w:before="120" w:beforeAutospacing="0" w:after="120" w:afterAutospacing="0"/>
      </w:pPr>
      <w:r>
        <w:t xml:space="preserve">the introduction of one new ingredient, ethyl phenylglycidate, for use in listed and assessed </w:t>
      </w:r>
      <w:r w:rsidR="00607014">
        <w:t xml:space="preserve">listed </w:t>
      </w:r>
      <w:r>
        <w:t>medicines;</w:t>
      </w:r>
    </w:p>
    <w:p w14:paraId="1E798F07" w14:textId="77777777" w:rsidR="006E6BF8" w:rsidRDefault="006E6BF8" w:rsidP="006E6BF8">
      <w:pPr>
        <w:pStyle w:val="ListParagraph"/>
        <w:keepNext/>
        <w:numPr>
          <w:ilvl w:val="0"/>
          <w:numId w:val="11"/>
        </w:numPr>
        <w:spacing w:before="120" w:beforeAutospacing="0" w:after="120" w:afterAutospacing="0"/>
      </w:pPr>
      <w:r>
        <w:t>minor amendments in relation to three ingredients to ensure greater consistency with the Poisons Standard:</w:t>
      </w:r>
    </w:p>
    <w:p w14:paraId="3870CA9F" w14:textId="77777777" w:rsidR="006E6BF8" w:rsidRDefault="006E6BF8" w:rsidP="006E6BF8">
      <w:pPr>
        <w:pStyle w:val="ListParagraph"/>
        <w:keepNext/>
        <w:numPr>
          <w:ilvl w:val="1"/>
          <w:numId w:val="11"/>
        </w:numPr>
        <w:spacing w:before="120" w:beforeAutospacing="0" w:after="120" w:afterAutospacing="0"/>
      </w:pPr>
      <w:r w:rsidRPr="008D7120">
        <w:rPr>
          <w:i/>
        </w:rPr>
        <w:t>Euphorbia lathyris</w:t>
      </w:r>
      <w:r>
        <w:t>;</w:t>
      </w:r>
    </w:p>
    <w:p w14:paraId="5A1A0FC0" w14:textId="77777777" w:rsidR="006E6BF8" w:rsidRDefault="006E6BF8" w:rsidP="006E6BF8">
      <w:pPr>
        <w:pStyle w:val="ListParagraph"/>
        <w:keepNext/>
        <w:numPr>
          <w:ilvl w:val="1"/>
          <w:numId w:val="11"/>
        </w:numPr>
        <w:spacing w:before="120" w:beforeAutospacing="0" w:after="120" w:afterAutospacing="0"/>
      </w:pPr>
      <w:r w:rsidRPr="008D7120">
        <w:rPr>
          <w:i/>
        </w:rPr>
        <w:t>Mucuna pruriens</w:t>
      </w:r>
      <w:r>
        <w:t>; and</w:t>
      </w:r>
    </w:p>
    <w:p w14:paraId="34DB185C" w14:textId="77777777" w:rsidR="006E6BF8" w:rsidRDefault="006E6BF8" w:rsidP="006E6BF8">
      <w:pPr>
        <w:pStyle w:val="ListParagraph"/>
        <w:keepNext/>
        <w:numPr>
          <w:ilvl w:val="1"/>
          <w:numId w:val="11"/>
        </w:numPr>
        <w:spacing w:before="120" w:beforeAutospacing="0" w:after="120" w:afterAutospacing="0"/>
      </w:pPr>
      <w:r w:rsidRPr="008D7120">
        <w:rPr>
          <w:i/>
        </w:rPr>
        <w:t>Vicia faba</w:t>
      </w:r>
      <w:r>
        <w:t>;</w:t>
      </w:r>
    </w:p>
    <w:p w14:paraId="54425291" w14:textId="77777777" w:rsidR="006E6BF8" w:rsidRDefault="006E6BF8" w:rsidP="006E6BF8">
      <w:pPr>
        <w:pStyle w:val="ListParagraph"/>
        <w:keepNext/>
        <w:numPr>
          <w:ilvl w:val="0"/>
          <w:numId w:val="11"/>
        </w:numPr>
        <w:spacing w:before="120" w:beforeAutospacing="0" w:after="120" w:afterAutospacing="0"/>
      </w:pPr>
      <w:r>
        <w:t xml:space="preserve">reflecting the advice of the Complementary Medicines Evaluation Committee in relation to the correction of an inadvertent error in the applicable requirements for the ingredient </w:t>
      </w:r>
      <w:r w:rsidRPr="008D7120">
        <w:rPr>
          <w:i/>
        </w:rPr>
        <w:t>Citrullus colocynthis</w:t>
      </w:r>
      <w:r>
        <w:t>;</w:t>
      </w:r>
    </w:p>
    <w:p w14:paraId="0F667A04" w14:textId="77777777" w:rsidR="006E6BF8" w:rsidRDefault="006E6BF8" w:rsidP="006E6BF8">
      <w:pPr>
        <w:pStyle w:val="ListParagraph"/>
        <w:keepNext/>
        <w:numPr>
          <w:ilvl w:val="0"/>
          <w:numId w:val="11"/>
        </w:numPr>
        <w:spacing w:before="120" w:beforeAutospacing="0" w:after="120" w:afterAutospacing="0"/>
      </w:pPr>
      <w:r>
        <w:t xml:space="preserve">the removal of requirements for </w:t>
      </w:r>
    </w:p>
    <w:p w14:paraId="6963B029" w14:textId="77777777" w:rsidR="006E6BF8" w:rsidRDefault="006E6BF8" w:rsidP="006E6BF8">
      <w:pPr>
        <w:pStyle w:val="ListParagraph"/>
        <w:keepNext/>
        <w:numPr>
          <w:ilvl w:val="1"/>
          <w:numId w:val="11"/>
        </w:numPr>
        <w:spacing w:before="120" w:beforeAutospacing="0" w:after="120" w:afterAutospacing="0"/>
      </w:pPr>
      <w:r w:rsidRPr="008D7120">
        <w:rPr>
          <w:i/>
        </w:rPr>
        <w:t>Carapichea ipecacuanha</w:t>
      </w:r>
      <w:r>
        <w:t xml:space="preserve">, to avoid duplication for this ingredient with applicable requirements for medicines containing this ingredient that apply under the </w:t>
      </w:r>
      <w:r w:rsidRPr="00530C81">
        <w:rPr>
          <w:i/>
        </w:rPr>
        <w:t xml:space="preserve">Therapeutic Goods Order No. 95 - </w:t>
      </w:r>
      <w:r w:rsidRPr="00530C81">
        <w:rPr>
          <w:i/>
        </w:rPr>
        <w:lastRenderedPageBreak/>
        <w:t>Child-resistant packaging requirements for medicines 2017</w:t>
      </w:r>
      <w:r w:rsidRPr="00F92C47">
        <w:t xml:space="preserve"> (TGO 95)</w:t>
      </w:r>
      <w:r>
        <w:t>; and</w:t>
      </w:r>
    </w:p>
    <w:p w14:paraId="306A0464" w14:textId="77777777" w:rsidR="006E6BF8" w:rsidRDefault="006E6BF8" w:rsidP="006E6BF8">
      <w:pPr>
        <w:pStyle w:val="ListParagraph"/>
        <w:keepNext/>
        <w:numPr>
          <w:ilvl w:val="1"/>
          <w:numId w:val="11"/>
        </w:numPr>
        <w:spacing w:before="120" w:beforeAutospacing="0" w:after="120" w:afterAutospacing="0"/>
      </w:pPr>
      <w:r w:rsidRPr="00530C81">
        <w:rPr>
          <w:i/>
        </w:rPr>
        <w:t>Fraxinus excelsior</w:t>
      </w:r>
      <w:r>
        <w:t xml:space="preserve"> and </w:t>
      </w:r>
      <w:r w:rsidRPr="00530C81">
        <w:rPr>
          <w:i/>
        </w:rPr>
        <w:t>Perilla frutescens</w:t>
      </w:r>
      <w:r>
        <w:t xml:space="preserve"> to reflect that the TGA no longer evaluates or allocates names for chemical constituents that can be used as therapeutic or quality markers in herbal ingredients;</w:t>
      </w:r>
    </w:p>
    <w:p w14:paraId="6E372E97" w14:textId="77777777" w:rsidR="006E6BF8" w:rsidRPr="00686926" w:rsidRDefault="006E6BF8" w:rsidP="006E6BF8">
      <w:pPr>
        <w:pStyle w:val="ListParagraph"/>
        <w:numPr>
          <w:ilvl w:val="0"/>
          <w:numId w:val="11"/>
        </w:numPr>
        <w:spacing w:before="120" w:beforeAutospacing="0" w:after="120" w:afterAutospacing="0" w:line="276" w:lineRule="auto"/>
        <w:rPr>
          <w:i/>
        </w:rPr>
      </w:pPr>
      <w:r>
        <w:t xml:space="preserve">updating the name of the ingredient </w:t>
      </w:r>
      <w:r>
        <w:rPr>
          <w:i/>
        </w:rPr>
        <w:t xml:space="preserve">Juniperus mexicana </w:t>
      </w:r>
      <w:r>
        <w:t xml:space="preserve">to the amended Australian Approved Name </w:t>
      </w:r>
      <w:r>
        <w:rPr>
          <w:i/>
        </w:rPr>
        <w:t xml:space="preserve">Juniperus </w:t>
      </w:r>
      <w:r w:rsidRPr="00E43F36">
        <w:rPr>
          <w:i/>
        </w:rPr>
        <w:t>depp</w:t>
      </w:r>
      <w:r>
        <w:rPr>
          <w:i/>
        </w:rPr>
        <w:t>e</w:t>
      </w:r>
      <w:r w:rsidRPr="00E43F36">
        <w:rPr>
          <w:i/>
        </w:rPr>
        <w:t>ana</w:t>
      </w:r>
      <w:r>
        <w:t>; and</w:t>
      </w:r>
    </w:p>
    <w:p w14:paraId="560354E2" w14:textId="77777777" w:rsidR="006E6BF8" w:rsidRPr="007D5353" w:rsidRDefault="006E6BF8" w:rsidP="006E6BF8">
      <w:pPr>
        <w:pStyle w:val="ListParagraph"/>
        <w:numPr>
          <w:ilvl w:val="0"/>
          <w:numId w:val="11"/>
        </w:numPr>
        <w:spacing w:before="120" w:beforeAutospacing="0" w:after="120" w:afterAutospacing="0" w:line="276" w:lineRule="auto"/>
      </w:pPr>
      <w:r>
        <w:t>the r</w:t>
      </w:r>
      <w:r w:rsidRPr="001C1EC4">
        <w:t>emoval of the ingredient ‘guaiacwood acetate’, as</w:t>
      </w:r>
      <w:r>
        <w:t xml:space="preserve"> it is</w:t>
      </w:r>
      <w:r w:rsidRPr="001C1EC4">
        <w:t xml:space="preserve"> a synonym of the existing ingredient ‘guaiyl acetate’.</w:t>
      </w:r>
    </w:p>
    <w:p w14:paraId="06C4501A" w14:textId="77777777" w:rsidR="00B8782A" w:rsidRDefault="00B8782A" w:rsidP="00D731D4">
      <w:pPr>
        <w:autoSpaceDE w:val="0"/>
        <w:autoSpaceDN w:val="0"/>
        <w:adjustRightInd w:val="0"/>
        <w:spacing w:after="0"/>
        <w:rPr>
          <w:rFonts w:ascii="Times New Roman" w:eastAsia="Times New Roman" w:hAnsi="Times New Roman" w:cs="Times New Roman"/>
          <w:sz w:val="24"/>
          <w:szCs w:val="24"/>
          <w:lang w:eastAsia="en-AU"/>
        </w:rPr>
      </w:pPr>
    </w:p>
    <w:p w14:paraId="685A0A7D" w14:textId="1647C11C" w:rsidR="00EF1F18" w:rsidRDefault="00EF1F18" w:rsidP="00F111D7">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Human rights implications</w:t>
      </w:r>
    </w:p>
    <w:p w14:paraId="61514795" w14:textId="77777777" w:rsidR="00510EB5" w:rsidRPr="00A419EA" w:rsidRDefault="00510EB5" w:rsidP="00F111D7">
      <w:pPr>
        <w:keepNext/>
        <w:spacing w:after="0"/>
        <w:rPr>
          <w:rFonts w:ascii="Times New Roman" w:eastAsia="Times New Roman" w:hAnsi="Times New Roman" w:cs="Times New Roman"/>
          <w:sz w:val="24"/>
          <w:szCs w:val="24"/>
          <w:lang w:val="en-US" w:eastAsia="en-AU"/>
        </w:rPr>
      </w:pPr>
    </w:p>
    <w:p w14:paraId="063407BC" w14:textId="03838DED" w:rsidR="00510EB5" w:rsidRDefault="008F596A" w:rsidP="00510EB5">
      <w:pPr>
        <w:spacing w:after="0"/>
        <w:contextualSpacing/>
        <w:rPr>
          <w:rFonts w:ascii="Times New Roman" w:eastAsia="Times New Roman" w:hAnsi="Times New Roman" w:cs="Times New Roman"/>
          <w:sz w:val="24"/>
          <w:szCs w:val="24"/>
          <w:lang w:eastAsia="en-AU"/>
        </w:rPr>
      </w:pPr>
      <w:r w:rsidRPr="00B94E86">
        <w:rPr>
          <w:rFonts w:ascii="Times New Roman" w:hAnsi="Times New Roman" w:cs="Times New Roman"/>
          <w:bCs/>
          <w:sz w:val="24"/>
          <w:szCs w:val="24"/>
        </w:rPr>
        <w:t xml:space="preserve">The </w:t>
      </w:r>
      <w:r>
        <w:rPr>
          <w:rFonts w:ascii="Times New Roman" w:hAnsi="Times New Roman" w:cs="Times New Roman"/>
          <w:bCs/>
          <w:sz w:val="24"/>
          <w:szCs w:val="24"/>
        </w:rPr>
        <w:t>instrument</w:t>
      </w:r>
      <w:r w:rsidRPr="00B94E86">
        <w:rPr>
          <w:rFonts w:ascii="Times New Roman" w:hAnsi="Times New Roman" w:cs="Times New Roman"/>
          <w:bCs/>
          <w:sz w:val="24"/>
          <w:szCs w:val="24"/>
        </w:rPr>
        <w:t xml:space="preserve"> </w:t>
      </w:r>
      <w:r>
        <w:rPr>
          <w:rFonts w:ascii="Times New Roman" w:hAnsi="Times New Roman" w:cs="Times New Roman"/>
          <w:bCs/>
          <w:sz w:val="24"/>
          <w:szCs w:val="24"/>
        </w:rPr>
        <w:t>engages</w:t>
      </w:r>
      <w:r w:rsidRPr="00B94E86">
        <w:rPr>
          <w:rFonts w:ascii="Times New Roman" w:hAnsi="Times New Roman" w:cs="Times New Roman"/>
          <w:bCs/>
          <w:sz w:val="24"/>
          <w:szCs w:val="24"/>
        </w:rPr>
        <w:t xml:space="preserve"> the right to health in </w:t>
      </w:r>
      <w:r>
        <w:rPr>
          <w:rFonts w:ascii="Times New Roman" w:hAnsi="Times New Roman" w:cs="Times New Roman"/>
          <w:bCs/>
          <w:sz w:val="24"/>
          <w:szCs w:val="24"/>
        </w:rPr>
        <w:t>A</w:t>
      </w:r>
      <w:r w:rsidRPr="00B94E86">
        <w:rPr>
          <w:rFonts w:ascii="Times New Roman" w:hAnsi="Times New Roman" w:cs="Times New Roman"/>
          <w:bCs/>
          <w:sz w:val="24"/>
          <w:szCs w:val="24"/>
        </w:rPr>
        <w:t>rticle 12 of the International Covenant on Economic, Social and Cultural Rights (</w:t>
      </w:r>
      <w:r>
        <w:rPr>
          <w:rFonts w:ascii="Times New Roman" w:hAnsi="Times New Roman" w:cs="Times New Roman"/>
          <w:bCs/>
          <w:sz w:val="24"/>
          <w:szCs w:val="24"/>
        </w:rPr>
        <w:t>“</w:t>
      </w:r>
      <w:r w:rsidRPr="00B94E86">
        <w:rPr>
          <w:rFonts w:ascii="Times New Roman" w:hAnsi="Times New Roman" w:cs="Times New Roman"/>
          <w:bCs/>
          <w:sz w:val="24"/>
          <w:szCs w:val="24"/>
        </w:rPr>
        <w:t>the ICESCR</w:t>
      </w:r>
      <w:r>
        <w:rPr>
          <w:rFonts w:ascii="Times New Roman" w:hAnsi="Times New Roman" w:cs="Times New Roman"/>
          <w:bCs/>
          <w:sz w:val="24"/>
          <w:szCs w:val="24"/>
        </w:rPr>
        <w:t>”</w:t>
      </w:r>
      <w:r w:rsidRPr="00B94E86">
        <w:rPr>
          <w:rFonts w:ascii="Times New Roman" w:hAnsi="Times New Roman" w:cs="Times New Roman"/>
          <w:bCs/>
          <w:sz w:val="24"/>
          <w:szCs w:val="24"/>
        </w:rPr>
        <w:t xml:space="preserve">). </w:t>
      </w:r>
      <w:r w:rsidR="00B8782A">
        <w:rPr>
          <w:rFonts w:ascii="Times New Roman" w:hAnsi="Times New Roman" w:cs="Times New Roman"/>
          <w:bCs/>
          <w:sz w:val="24"/>
          <w:szCs w:val="24"/>
        </w:rPr>
        <w:t xml:space="preserve"> </w:t>
      </w:r>
      <w:r>
        <w:rPr>
          <w:rFonts w:ascii="Times New Roman" w:hAnsi="Times New Roman" w:cs="Times New Roman"/>
          <w:bCs/>
          <w:sz w:val="24"/>
          <w:szCs w:val="24"/>
        </w:rPr>
        <w:t xml:space="preserve">Article 12 of the ICESCR promotes the right of all individuals to enjoy the highest attainable standard of physical and mental health, and includes an obligation to take reasonable measures within available resources to progressively secure broader enjoyment of the right. </w:t>
      </w:r>
      <w:r w:rsidR="00E60C26">
        <w:rPr>
          <w:rFonts w:ascii="Times New Roman" w:hAnsi="Times New Roman" w:cs="Times New Roman"/>
          <w:bCs/>
          <w:sz w:val="24"/>
          <w:szCs w:val="24"/>
        </w:rPr>
        <w:t xml:space="preserve"> </w:t>
      </w:r>
      <w:r w:rsidRPr="00B94E86">
        <w:rPr>
          <w:rFonts w:ascii="Times New Roman" w:hAnsi="Times New Roman" w:cs="Times New Roman"/>
          <w:sz w:val="24"/>
          <w:szCs w:val="24"/>
        </w:rPr>
        <w:t xml:space="preserve">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5195A4B" w14:textId="77777777" w:rsidR="00510EB5" w:rsidRDefault="00510EB5" w:rsidP="00510EB5">
      <w:pPr>
        <w:spacing w:after="0"/>
        <w:contextualSpacing/>
        <w:rPr>
          <w:rFonts w:ascii="Times New Roman" w:hAnsi="Times New Roman" w:cs="Times New Roman"/>
          <w:sz w:val="24"/>
          <w:szCs w:val="24"/>
        </w:rPr>
      </w:pPr>
    </w:p>
    <w:p w14:paraId="163E7727" w14:textId="0AC97341" w:rsidR="00DD5F7F" w:rsidRPr="00DD5F7F" w:rsidRDefault="00DD5F7F" w:rsidP="00DD5F7F">
      <w:pPr>
        <w:spacing w:after="0"/>
        <w:contextualSpacing/>
        <w:rPr>
          <w:rFonts w:ascii="Times New Roman" w:hAnsi="Times New Roman" w:cs="Times New Roman"/>
          <w:sz w:val="24"/>
          <w:szCs w:val="24"/>
        </w:rPr>
      </w:pPr>
      <w:r w:rsidRPr="00DD5F7F">
        <w:rPr>
          <w:rFonts w:ascii="Times New Roman" w:hAnsi="Times New Roman" w:cs="Times New Roman"/>
          <w:sz w:val="24"/>
          <w:szCs w:val="24"/>
        </w:rPr>
        <w:t xml:space="preserve">The instrument takes positive steps to promote the right to health by ensuring the safety and quality of therapeutic goods that are listed medicines. </w:t>
      </w:r>
      <w:r w:rsidR="00E60C26">
        <w:rPr>
          <w:rFonts w:ascii="Times New Roman" w:hAnsi="Times New Roman" w:cs="Times New Roman"/>
          <w:sz w:val="24"/>
          <w:szCs w:val="24"/>
        </w:rPr>
        <w:t xml:space="preserve"> </w:t>
      </w:r>
      <w:r w:rsidRPr="00DD5F7F">
        <w:rPr>
          <w:rFonts w:ascii="Times New Roman" w:hAnsi="Times New Roman" w:cs="Times New Roman"/>
          <w:sz w:val="24"/>
          <w:szCs w:val="24"/>
        </w:rPr>
        <w:t>By prescribing those ingredients that are considered to be safe for use in listed medicines, and by setting out important requirements relating to the use of those ingredients in such medicines (such requirements may relate, for example, to maximum concentrations of such ingredients in listed medicines, or to the inclusion of warning statements on medicine labels such as ‘Keep out of reach of children’ for relevant ingredients), the safety of Australian consumers will be better protected, and they will be better able to make informed decisions about such medicines.</w:t>
      </w:r>
    </w:p>
    <w:p w14:paraId="756DBF00" w14:textId="77777777" w:rsidR="00DD5F7F" w:rsidRPr="00DD5F7F" w:rsidRDefault="00DD5F7F" w:rsidP="00DD5F7F">
      <w:pPr>
        <w:spacing w:after="0"/>
        <w:contextualSpacing/>
        <w:rPr>
          <w:rFonts w:ascii="Times New Roman" w:hAnsi="Times New Roman" w:cs="Times New Roman"/>
          <w:sz w:val="24"/>
          <w:szCs w:val="24"/>
        </w:rPr>
      </w:pPr>
    </w:p>
    <w:p w14:paraId="30FFB6E5" w14:textId="3BFFAF81" w:rsidR="00510EB5" w:rsidRDefault="008F596A" w:rsidP="00510EB5">
      <w:pPr>
        <w:spacing w:after="0"/>
        <w:contextualSpacing/>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This is particularly important for listed medicines, given that those medicines are not evaluated for safety and quality by the TGA prior to listing in the </w:t>
      </w:r>
      <w:r w:rsidR="00A34A44">
        <w:rPr>
          <w:rFonts w:ascii="Times New Roman" w:hAnsi="Times New Roman" w:cs="Times New Roman"/>
          <w:sz w:val="24"/>
          <w:szCs w:val="24"/>
        </w:rPr>
        <w:t>Register</w:t>
      </w:r>
      <w:r>
        <w:rPr>
          <w:rFonts w:ascii="Times New Roman" w:hAnsi="Times New Roman" w:cs="Times New Roman"/>
          <w:sz w:val="24"/>
          <w:szCs w:val="24"/>
        </w:rPr>
        <w:t>, and as they are usually available for self-selection by consumers without a requirement to first obtain the advice or prescription of a registered medical doctor, or the advice of a pharmacist.</w:t>
      </w:r>
    </w:p>
    <w:p w14:paraId="5D183399" w14:textId="77777777" w:rsidR="00510EB5" w:rsidRDefault="00510EB5" w:rsidP="00510EB5">
      <w:pPr>
        <w:spacing w:after="0"/>
        <w:contextualSpacing/>
        <w:rPr>
          <w:rFonts w:ascii="Times New Roman" w:eastAsia="Times New Roman" w:hAnsi="Times New Roman" w:cs="Times New Roman"/>
          <w:sz w:val="24"/>
          <w:szCs w:val="24"/>
          <w:lang w:eastAsia="en-AU"/>
        </w:rPr>
      </w:pPr>
    </w:p>
    <w:p w14:paraId="04806E92" w14:textId="77777777" w:rsidR="00EF1F18" w:rsidRPr="00A419EA" w:rsidRDefault="00EF1F18" w:rsidP="00720518">
      <w:pPr>
        <w:keepNext/>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b/>
          <w:bCs/>
          <w:sz w:val="24"/>
          <w:szCs w:val="24"/>
          <w:lang w:eastAsia="en-AU"/>
        </w:rPr>
        <w:t>Conclusion</w:t>
      </w:r>
    </w:p>
    <w:p w14:paraId="4E1E7F6D" w14:textId="77777777" w:rsidR="00EF1F18" w:rsidRPr="0034672A" w:rsidRDefault="00EF1F18" w:rsidP="0034672A">
      <w:pPr>
        <w:spacing w:after="0"/>
        <w:contextualSpacing/>
        <w:rPr>
          <w:rFonts w:ascii="Times New Roman" w:hAnsi="Times New Roman" w:cs="Times New Roman"/>
          <w:sz w:val="24"/>
          <w:szCs w:val="24"/>
        </w:rPr>
      </w:pPr>
      <w:r w:rsidRPr="0034672A">
        <w:rPr>
          <w:rFonts w:ascii="Times New Roman" w:hAnsi="Times New Roman" w:cs="Times New Roman"/>
          <w:sz w:val="24"/>
          <w:szCs w:val="24"/>
        </w:rPr>
        <w:t>This legislative instrument is compatible with human rights</w:t>
      </w:r>
      <w:r w:rsidR="00A34A44" w:rsidRPr="0034672A">
        <w:rPr>
          <w:rFonts w:ascii="Times New Roman" w:hAnsi="Times New Roman" w:cs="Times New Roman"/>
          <w:sz w:val="24"/>
          <w:szCs w:val="24"/>
        </w:rPr>
        <w:t xml:space="preserve"> because it promotes the right to health in Article 12 of the ICESCR and </w:t>
      </w:r>
      <w:r w:rsidRPr="0034672A">
        <w:rPr>
          <w:rFonts w:ascii="Times New Roman" w:hAnsi="Times New Roman" w:cs="Times New Roman"/>
          <w:sz w:val="24"/>
          <w:szCs w:val="24"/>
        </w:rPr>
        <w:t xml:space="preserve">does not raise any </w:t>
      </w:r>
      <w:r w:rsidR="00A34A44" w:rsidRPr="0034672A">
        <w:rPr>
          <w:rFonts w:ascii="Times New Roman" w:hAnsi="Times New Roman" w:cs="Times New Roman"/>
          <w:sz w:val="24"/>
          <w:szCs w:val="24"/>
        </w:rPr>
        <w:t xml:space="preserve">other </w:t>
      </w:r>
      <w:r w:rsidRPr="0034672A">
        <w:rPr>
          <w:rFonts w:ascii="Times New Roman" w:hAnsi="Times New Roman" w:cs="Times New Roman"/>
          <w:sz w:val="24"/>
          <w:szCs w:val="24"/>
        </w:rPr>
        <w:t>human rights issues.</w:t>
      </w:r>
    </w:p>
    <w:p w14:paraId="63D98AB2" w14:textId="5C417AA2" w:rsidR="008C0845" w:rsidRDefault="008C0845">
      <w:pPr>
        <w:spacing w:before="120" w:after="120"/>
      </w:pPr>
    </w:p>
    <w:sectPr w:rsidR="008C0845" w:rsidSect="00680B29">
      <w:footerReference w:type="default" r:id="rId16"/>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FD9FC" w14:textId="77777777" w:rsidR="00740B2A" w:rsidRDefault="00740B2A" w:rsidP="008939B1">
      <w:pPr>
        <w:spacing w:after="0" w:line="240" w:lineRule="auto"/>
      </w:pPr>
      <w:r>
        <w:separator/>
      </w:r>
    </w:p>
  </w:endnote>
  <w:endnote w:type="continuationSeparator" w:id="0">
    <w:p w14:paraId="5911F7C5" w14:textId="77777777" w:rsidR="00740B2A" w:rsidRDefault="00740B2A" w:rsidP="0089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02084" w14:textId="6234D6B4" w:rsidR="00AC5813" w:rsidRPr="00AC5813" w:rsidRDefault="00AC5813"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sidR="007A47A4">
      <w:rPr>
        <w:rFonts w:ascii="Times New Roman" w:hAnsi="Times New Roman" w:cs="Times New Roman"/>
        <w:noProof/>
        <w:sz w:val="24"/>
        <w:szCs w:val="24"/>
      </w:rPr>
      <w:t>10</w:t>
    </w:r>
    <w:r w:rsidRPr="00AC5813">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53EDE" w14:textId="77777777" w:rsidR="00740B2A" w:rsidRDefault="00740B2A" w:rsidP="008939B1">
      <w:pPr>
        <w:spacing w:after="0" w:line="240" w:lineRule="auto"/>
      </w:pPr>
      <w:r>
        <w:separator/>
      </w:r>
    </w:p>
  </w:footnote>
  <w:footnote w:type="continuationSeparator" w:id="0">
    <w:p w14:paraId="15FEDFBC" w14:textId="77777777" w:rsidR="00740B2A" w:rsidRDefault="00740B2A" w:rsidP="00893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96B46"/>
    <w:multiLevelType w:val="hybridMultilevel"/>
    <w:tmpl w:val="1E563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57DC1554">
      <w:numFmt w:val="bullet"/>
      <w:lvlText w:val="-"/>
      <w:lvlJc w:val="left"/>
      <w:pPr>
        <w:ind w:left="3240" w:hanging="360"/>
      </w:pPr>
      <w:rPr>
        <w:rFonts w:ascii="Times New Roman" w:eastAsiaTheme="minorHAnsi"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AA55E2"/>
    <w:multiLevelType w:val="hybridMultilevel"/>
    <w:tmpl w:val="2A543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8167AC"/>
    <w:multiLevelType w:val="hybridMultilevel"/>
    <w:tmpl w:val="CC708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3762D3"/>
    <w:multiLevelType w:val="hybridMultilevel"/>
    <w:tmpl w:val="0C74F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376964"/>
    <w:multiLevelType w:val="hybridMultilevel"/>
    <w:tmpl w:val="15523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3"/>
  </w:num>
  <w:num w:numId="4">
    <w:abstractNumId w:val="0"/>
  </w:num>
  <w:num w:numId="5">
    <w:abstractNumId w:val="3"/>
  </w:num>
  <w:num w:numId="6">
    <w:abstractNumId w:val="6"/>
  </w:num>
  <w:num w:numId="7">
    <w:abstractNumId w:val="11"/>
  </w:num>
  <w:num w:numId="8">
    <w:abstractNumId w:val="10"/>
  </w:num>
  <w:num w:numId="9">
    <w:abstractNumId w:val="4"/>
  </w:num>
  <w:num w:numId="10">
    <w:abstractNumId w:val="7"/>
  </w:num>
  <w:num w:numId="11">
    <w:abstractNumId w:val="8"/>
  </w:num>
  <w:num w:numId="12">
    <w:abstractNumId w:val="14"/>
  </w:num>
  <w:num w:numId="13">
    <w:abstractNumId w:val="2"/>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45"/>
    <w:rsid w:val="00000508"/>
    <w:rsid w:val="000011FE"/>
    <w:rsid w:val="00005653"/>
    <w:rsid w:val="00007539"/>
    <w:rsid w:val="00014A86"/>
    <w:rsid w:val="00020744"/>
    <w:rsid w:val="000253EC"/>
    <w:rsid w:val="00027571"/>
    <w:rsid w:val="00032FAE"/>
    <w:rsid w:val="00042274"/>
    <w:rsid w:val="00045C71"/>
    <w:rsid w:val="00050B0F"/>
    <w:rsid w:val="00055505"/>
    <w:rsid w:val="00055DF5"/>
    <w:rsid w:val="0006051F"/>
    <w:rsid w:val="00066B2F"/>
    <w:rsid w:val="00066CCA"/>
    <w:rsid w:val="00072A36"/>
    <w:rsid w:val="00073166"/>
    <w:rsid w:val="00073AFE"/>
    <w:rsid w:val="000743AA"/>
    <w:rsid w:val="000805C8"/>
    <w:rsid w:val="00082CAB"/>
    <w:rsid w:val="00083EC1"/>
    <w:rsid w:val="00092EDD"/>
    <w:rsid w:val="0009412D"/>
    <w:rsid w:val="000A6A62"/>
    <w:rsid w:val="000A7327"/>
    <w:rsid w:val="000C363D"/>
    <w:rsid w:val="000D25BE"/>
    <w:rsid w:val="000D3185"/>
    <w:rsid w:val="000D444D"/>
    <w:rsid w:val="000D45A0"/>
    <w:rsid w:val="000D56EB"/>
    <w:rsid w:val="000E1C1C"/>
    <w:rsid w:val="000E3020"/>
    <w:rsid w:val="000F4D51"/>
    <w:rsid w:val="000F7DDF"/>
    <w:rsid w:val="00113AE2"/>
    <w:rsid w:val="00114578"/>
    <w:rsid w:val="001160DE"/>
    <w:rsid w:val="00123510"/>
    <w:rsid w:val="001260D9"/>
    <w:rsid w:val="00126D3F"/>
    <w:rsid w:val="0013266B"/>
    <w:rsid w:val="0013620C"/>
    <w:rsid w:val="00142FE8"/>
    <w:rsid w:val="00143BEC"/>
    <w:rsid w:val="00145ED6"/>
    <w:rsid w:val="001503DB"/>
    <w:rsid w:val="0015083D"/>
    <w:rsid w:val="00151C11"/>
    <w:rsid w:val="0015421F"/>
    <w:rsid w:val="00180117"/>
    <w:rsid w:val="00187288"/>
    <w:rsid w:val="00187B3D"/>
    <w:rsid w:val="00192658"/>
    <w:rsid w:val="0019281D"/>
    <w:rsid w:val="00197C3F"/>
    <w:rsid w:val="001A1891"/>
    <w:rsid w:val="001B2279"/>
    <w:rsid w:val="001B4017"/>
    <w:rsid w:val="001B7ED3"/>
    <w:rsid w:val="001C1EC4"/>
    <w:rsid w:val="001C3292"/>
    <w:rsid w:val="001C38AF"/>
    <w:rsid w:val="001C5A13"/>
    <w:rsid w:val="001C5E65"/>
    <w:rsid w:val="001D15A8"/>
    <w:rsid w:val="001D3782"/>
    <w:rsid w:val="001D5FD1"/>
    <w:rsid w:val="001D6B26"/>
    <w:rsid w:val="001D75F6"/>
    <w:rsid w:val="001D7A4F"/>
    <w:rsid w:val="001E00EE"/>
    <w:rsid w:val="001E0B7A"/>
    <w:rsid w:val="001F063F"/>
    <w:rsid w:val="001F1830"/>
    <w:rsid w:val="001F626E"/>
    <w:rsid w:val="0020180F"/>
    <w:rsid w:val="00201DC1"/>
    <w:rsid w:val="00202641"/>
    <w:rsid w:val="0020404A"/>
    <w:rsid w:val="00207B8A"/>
    <w:rsid w:val="00210E3C"/>
    <w:rsid w:val="00211A66"/>
    <w:rsid w:val="00216B37"/>
    <w:rsid w:val="00226F3C"/>
    <w:rsid w:val="002323CF"/>
    <w:rsid w:val="00232972"/>
    <w:rsid w:val="00233242"/>
    <w:rsid w:val="00236ECD"/>
    <w:rsid w:val="0023720D"/>
    <w:rsid w:val="002374AC"/>
    <w:rsid w:val="00247B5E"/>
    <w:rsid w:val="00254970"/>
    <w:rsid w:val="0025627C"/>
    <w:rsid w:val="0025799D"/>
    <w:rsid w:val="0026142F"/>
    <w:rsid w:val="00272FA2"/>
    <w:rsid w:val="002751D3"/>
    <w:rsid w:val="00275D92"/>
    <w:rsid w:val="00284FF6"/>
    <w:rsid w:val="002855E1"/>
    <w:rsid w:val="00285CFE"/>
    <w:rsid w:val="00287D9F"/>
    <w:rsid w:val="0029115B"/>
    <w:rsid w:val="00293C0C"/>
    <w:rsid w:val="002968E0"/>
    <w:rsid w:val="0029743B"/>
    <w:rsid w:val="00297C07"/>
    <w:rsid w:val="002B4F6A"/>
    <w:rsid w:val="002B741E"/>
    <w:rsid w:val="002B7A34"/>
    <w:rsid w:val="002C1322"/>
    <w:rsid w:val="002C4652"/>
    <w:rsid w:val="002D1160"/>
    <w:rsid w:val="002D3CD4"/>
    <w:rsid w:val="002D3CE9"/>
    <w:rsid w:val="002D67DA"/>
    <w:rsid w:val="002E6160"/>
    <w:rsid w:val="002F5583"/>
    <w:rsid w:val="002F6548"/>
    <w:rsid w:val="00316B98"/>
    <w:rsid w:val="00322EC3"/>
    <w:rsid w:val="0032369E"/>
    <w:rsid w:val="003260F5"/>
    <w:rsid w:val="003307B8"/>
    <w:rsid w:val="003327D3"/>
    <w:rsid w:val="00337FDB"/>
    <w:rsid w:val="00340F3C"/>
    <w:rsid w:val="00345822"/>
    <w:rsid w:val="0034672A"/>
    <w:rsid w:val="003650CC"/>
    <w:rsid w:val="003811C0"/>
    <w:rsid w:val="0038203D"/>
    <w:rsid w:val="003A0BFB"/>
    <w:rsid w:val="003A20C5"/>
    <w:rsid w:val="003A2811"/>
    <w:rsid w:val="003A3E75"/>
    <w:rsid w:val="003A4D8C"/>
    <w:rsid w:val="003A59EA"/>
    <w:rsid w:val="003A7110"/>
    <w:rsid w:val="003A73A0"/>
    <w:rsid w:val="003B4F23"/>
    <w:rsid w:val="003B7DAB"/>
    <w:rsid w:val="003C6D6E"/>
    <w:rsid w:val="003C7446"/>
    <w:rsid w:val="003D610C"/>
    <w:rsid w:val="003E5AEA"/>
    <w:rsid w:val="003F01C5"/>
    <w:rsid w:val="004028BD"/>
    <w:rsid w:val="00402AD7"/>
    <w:rsid w:val="0040312B"/>
    <w:rsid w:val="004031E5"/>
    <w:rsid w:val="00403263"/>
    <w:rsid w:val="0040482D"/>
    <w:rsid w:val="00406749"/>
    <w:rsid w:val="00410EC3"/>
    <w:rsid w:val="00414CD9"/>
    <w:rsid w:val="00424E87"/>
    <w:rsid w:val="0042665D"/>
    <w:rsid w:val="004325B5"/>
    <w:rsid w:val="00432CF7"/>
    <w:rsid w:val="004341E5"/>
    <w:rsid w:val="00437C00"/>
    <w:rsid w:val="00437C42"/>
    <w:rsid w:val="00444741"/>
    <w:rsid w:val="0044599A"/>
    <w:rsid w:val="00446EA8"/>
    <w:rsid w:val="00456FF8"/>
    <w:rsid w:val="00461ED8"/>
    <w:rsid w:val="0046549C"/>
    <w:rsid w:val="00473C48"/>
    <w:rsid w:val="004761AE"/>
    <w:rsid w:val="00477283"/>
    <w:rsid w:val="00490585"/>
    <w:rsid w:val="00495C5F"/>
    <w:rsid w:val="0049672B"/>
    <w:rsid w:val="004A68BB"/>
    <w:rsid w:val="004A7F16"/>
    <w:rsid w:val="004B4DF3"/>
    <w:rsid w:val="004C6EFE"/>
    <w:rsid w:val="004D7D5D"/>
    <w:rsid w:val="004E03D6"/>
    <w:rsid w:val="004E05C9"/>
    <w:rsid w:val="004E2CE6"/>
    <w:rsid w:val="004F11F8"/>
    <w:rsid w:val="004F2366"/>
    <w:rsid w:val="004F52D9"/>
    <w:rsid w:val="004F5754"/>
    <w:rsid w:val="004F601B"/>
    <w:rsid w:val="0050197A"/>
    <w:rsid w:val="00503A36"/>
    <w:rsid w:val="00504F4D"/>
    <w:rsid w:val="005058A2"/>
    <w:rsid w:val="00510EB5"/>
    <w:rsid w:val="005110EF"/>
    <w:rsid w:val="00511E85"/>
    <w:rsid w:val="00516446"/>
    <w:rsid w:val="00522A66"/>
    <w:rsid w:val="005300AF"/>
    <w:rsid w:val="00530B7D"/>
    <w:rsid w:val="00530C81"/>
    <w:rsid w:val="00537597"/>
    <w:rsid w:val="00543F77"/>
    <w:rsid w:val="00546044"/>
    <w:rsid w:val="00546C0E"/>
    <w:rsid w:val="0055006E"/>
    <w:rsid w:val="00553D8E"/>
    <w:rsid w:val="005647D9"/>
    <w:rsid w:val="00567C3B"/>
    <w:rsid w:val="00567F6F"/>
    <w:rsid w:val="00571AF3"/>
    <w:rsid w:val="00576EB4"/>
    <w:rsid w:val="0058050E"/>
    <w:rsid w:val="00587C76"/>
    <w:rsid w:val="005A5867"/>
    <w:rsid w:val="005A5B1A"/>
    <w:rsid w:val="005C1E01"/>
    <w:rsid w:val="005C30DC"/>
    <w:rsid w:val="005C3927"/>
    <w:rsid w:val="005C475C"/>
    <w:rsid w:val="005D2839"/>
    <w:rsid w:val="005D7A92"/>
    <w:rsid w:val="005E1A47"/>
    <w:rsid w:val="005E4E3D"/>
    <w:rsid w:val="005F1175"/>
    <w:rsid w:val="005F192D"/>
    <w:rsid w:val="005F2423"/>
    <w:rsid w:val="005F516E"/>
    <w:rsid w:val="005F524B"/>
    <w:rsid w:val="006003F5"/>
    <w:rsid w:val="0060127F"/>
    <w:rsid w:val="00601754"/>
    <w:rsid w:val="00603428"/>
    <w:rsid w:val="006068A0"/>
    <w:rsid w:val="00607014"/>
    <w:rsid w:val="006161DC"/>
    <w:rsid w:val="0062190F"/>
    <w:rsid w:val="00622033"/>
    <w:rsid w:val="006320B2"/>
    <w:rsid w:val="00632471"/>
    <w:rsid w:val="00632A23"/>
    <w:rsid w:val="00633529"/>
    <w:rsid w:val="00634921"/>
    <w:rsid w:val="0063789C"/>
    <w:rsid w:val="00644F7C"/>
    <w:rsid w:val="006469D8"/>
    <w:rsid w:val="00652960"/>
    <w:rsid w:val="00653B08"/>
    <w:rsid w:val="00663231"/>
    <w:rsid w:val="00664338"/>
    <w:rsid w:val="00664CE0"/>
    <w:rsid w:val="00665E71"/>
    <w:rsid w:val="00673DE0"/>
    <w:rsid w:val="00680B29"/>
    <w:rsid w:val="006850DB"/>
    <w:rsid w:val="00685980"/>
    <w:rsid w:val="00686884"/>
    <w:rsid w:val="0069146E"/>
    <w:rsid w:val="00696602"/>
    <w:rsid w:val="006A3A8C"/>
    <w:rsid w:val="006A6288"/>
    <w:rsid w:val="006A63BE"/>
    <w:rsid w:val="006B6D92"/>
    <w:rsid w:val="006C1D61"/>
    <w:rsid w:val="006C6DF0"/>
    <w:rsid w:val="006C704D"/>
    <w:rsid w:val="006D48D4"/>
    <w:rsid w:val="006D4AB8"/>
    <w:rsid w:val="006D5E19"/>
    <w:rsid w:val="006D768D"/>
    <w:rsid w:val="006E0828"/>
    <w:rsid w:val="006E3745"/>
    <w:rsid w:val="006E6BF8"/>
    <w:rsid w:val="006E787D"/>
    <w:rsid w:val="006F0BA2"/>
    <w:rsid w:val="006F49F6"/>
    <w:rsid w:val="006F4A40"/>
    <w:rsid w:val="006F6F98"/>
    <w:rsid w:val="007040CD"/>
    <w:rsid w:val="0070680E"/>
    <w:rsid w:val="00706B96"/>
    <w:rsid w:val="007075E6"/>
    <w:rsid w:val="00716D98"/>
    <w:rsid w:val="00720518"/>
    <w:rsid w:val="00726DAE"/>
    <w:rsid w:val="00727228"/>
    <w:rsid w:val="00730B3D"/>
    <w:rsid w:val="007313BA"/>
    <w:rsid w:val="0073245E"/>
    <w:rsid w:val="00737E1D"/>
    <w:rsid w:val="00740B2A"/>
    <w:rsid w:val="0074268C"/>
    <w:rsid w:val="007445FE"/>
    <w:rsid w:val="0074493B"/>
    <w:rsid w:val="0075281F"/>
    <w:rsid w:val="007537FC"/>
    <w:rsid w:val="00753C5B"/>
    <w:rsid w:val="007541DC"/>
    <w:rsid w:val="00763767"/>
    <w:rsid w:val="00766F34"/>
    <w:rsid w:val="0077454E"/>
    <w:rsid w:val="00774E0F"/>
    <w:rsid w:val="00781FEC"/>
    <w:rsid w:val="00784A51"/>
    <w:rsid w:val="00786056"/>
    <w:rsid w:val="007925F3"/>
    <w:rsid w:val="00794D3C"/>
    <w:rsid w:val="007A06F8"/>
    <w:rsid w:val="007A0C05"/>
    <w:rsid w:val="007A251F"/>
    <w:rsid w:val="007A47A4"/>
    <w:rsid w:val="007B019E"/>
    <w:rsid w:val="007B1478"/>
    <w:rsid w:val="007B76BB"/>
    <w:rsid w:val="007C503B"/>
    <w:rsid w:val="007C5ACA"/>
    <w:rsid w:val="007C6937"/>
    <w:rsid w:val="007C7B0A"/>
    <w:rsid w:val="007D161A"/>
    <w:rsid w:val="007E62AA"/>
    <w:rsid w:val="007E7331"/>
    <w:rsid w:val="007F3304"/>
    <w:rsid w:val="007F6345"/>
    <w:rsid w:val="00804BAA"/>
    <w:rsid w:val="00807896"/>
    <w:rsid w:val="00810BFB"/>
    <w:rsid w:val="00814F7B"/>
    <w:rsid w:val="00815399"/>
    <w:rsid w:val="00822DF8"/>
    <w:rsid w:val="008238B7"/>
    <w:rsid w:val="008403C0"/>
    <w:rsid w:val="008416DD"/>
    <w:rsid w:val="008452B5"/>
    <w:rsid w:val="00845A4E"/>
    <w:rsid w:val="00845A80"/>
    <w:rsid w:val="00850146"/>
    <w:rsid w:val="008501F3"/>
    <w:rsid w:val="008515B1"/>
    <w:rsid w:val="00856471"/>
    <w:rsid w:val="008666FC"/>
    <w:rsid w:val="008727AB"/>
    <w:rsid w:val="00873780"/>
    <w:rsid w:val="00873CEF"/>
    <w:rsid w:val="008833F0"/>
    <w:rsid w:val="00887720"/>
    <w:rsid w:val="00890B01"/>
    <w:rsid w:val="008939B1"/>
    <w:rsid w:val="00893D80"/>
    <w:rsid w:val="00894393"/>
    <w:rsid w:val="00895420"/>
    <w:rsid w:val="008957CE"/>
    <w:rsid w:val="008A5EAC"/>
    <w:rsid w:val="008B20FC"/>
    <w:rsid w:val="008B341F"/>
    <w:rsid w:val="008C0845"/>
    <w:rsid w:val="008C1892"/>
    <w:rsid w:val="008C64E0"/>
    <w:rsid w:val="008C7CA5"/>
    <w:rsid w:val="008D19CC"/>
    <w:rsid w:val="008D2E76"/>
    <w:rsid w:val="008D3A14"/>
    <w:rsid w:val="008D4189"/>
    <w:rsid w:val="008E082F"/>
    <w:rsid w:val="008E298E"/>
    <w:rsid w:val="008E5682"/>
    <w:rsid w:val="008E6A84"/>
    <w:rsid w:val="008E75B9"/>
    <w:rsid w:val="008F25EE"/>
    <w:rsid w:val="008F4502"/>
    <w:rsid w:val="008F596A"/>
    <w:rsid w:val="008F5C4E"/>
    <w:rsid w:val="00903A99"/>
    <w:rsid w:val="0090458F"/>
    <w:rsid w:val="00905BC7"/>
    <w:rsid w:val="00907B73"/>
    <w:rsid w:val="00910190"/>
    <w:rsid w:val="0091180B"/>
    <w:rsid w:val="009127C8"/>
    <w:rsid w:val="009139B4"/>
    <w:rsid w:val="00913CF7"/>
    <w:rsid w:val="00916D96"/>
    <w:rsid w:val="00917AD5"/>
    <w:rsid w:val="009357A3"/>
    <w:rsid w:val="0094113C"/>
    <w:rsid w:val="0094479A"/>
    <w:rsid w:val="00945858"/>
    <w:rsid w:val="00955B2F"/>
    <w:rsid w:val="00955E93"/>
    <w:rsid w:val="00960091"/>
    <w:rsid w:val="00960206"/>
    <w:rsid w:val="009629C3"/>
    <w:rsid w:val="00967425"/>
    <w:rsid w:val="009766DD"/>
    <w:rsid w:val="00977431"/>
    <w:rsid w:val="00977EF7"/>
    <w:rsid w:val="00987467"/>
    <w:rsid w:val="00990D02"/>
    <w:rsid w:val="009959B1"/>
    <w:rsid w:val="00996D14"/>
    <w:rsid w:val="009A1C10"/>
    <w:rsid w:val="009A32B6"/>
    <w:rsid w:val="009A530B"/>
    <w:rsid w:val="009A537D"/>
    <w:rsid w:val="009B1DA1"/>
    <w:rsid w:val="009B31D6"/>
    <w:rsid w:val="009C086A"/>
    <w:rsid w:val="009D3627"/>
    <w:rsid w:val="009D51D2"/>
    <w:rsid w:val="009E5A87"/>
    <w:rsid w:val="009F1E49"/>
    <w:rsid w:val="009F2BD2"/>
    <w:rsid w:val="009F3777"/>
    <w:rsid w:val="009F78E6"/>
    <w:rsid w:val="00A01E31"/>
    <w:rsid w:val="00A03B13"/>
    <w:rsid w:val="00A06715"/>
    <w:rsid w:val="00A0787D"/>
    <w:rsid w:val="00A10B2D"/>
    <w:rsid w:val="00A10F78"/>
    <w:rsid w:val="00A268EA"/>
    <w:rsid w:val="00A34A44"/>
    <w:rsid w:val="00A409E1"/>
    <w:rsid w:val="00A419EA"/>
    <w:rsid w:val="00A4560C"/>
    <w:rsid w:val="00A46E76"/>
    <w:rsid w:val="00A47C69"/>
    <w:rsid w:val="00A521FE"/>
    <w:rsid w:val="00A62B26"/>
    <w:rsid w:val="00A63D97"/>
    <w:rsid w:val="00A63F95"/>
    <w:rsid w:val="00A641CC"/>
    <w:rsid w:val="00A65FD1"/>
    <w:rsid w:val="00A679F3"/>
    <w:rsid w:val="00A70EDF"/>
    <w:rsid w:val="00A73FA2"/>
    <w:rsid w:val="00A84DEA"/>
    <w:rsid w:val="00A8608C"/>
    <w:rsid w:val="00A94F6E"/>
    <w:rsid w:val="00AB4D85"/>
    <w:rsid w:val="00AB7E03"/>
    <w:rsid w:val="00AC0E83"/>
    <w:rsid w:val="00AC3DBC"/>
    <w:rsid w:val="00AC41A5"/>
    <w:rsid w:val="00AC4380"/>
    <w:rsid w:val="00AC5813"/>
    <w:rsid w:val="00AD01A3"/>
    <w:rsid w:val="00AE2E87"/>
    <w:rsid w:val="00AF2374"/>
    <w:rsid w:val="00AF3859"/>
    <w:rsid w:val="00AF44AF"/>
    <w:rsid w:val="00AF70C1"/>
    <w:rsid w:val="00B028DC"/>
    <w:rsid w:val="00B03322"/>
    <w:rsid w:val="00B06A14"/>
    <w:rsid w:val="00B136FA"/>
    <w:rsid w:val="00B16543"/>
    <w:rsid w:val="00B16682"/>
    <w:rsid w:val="00B17AB3"/>
    <w:rsid w:val="00B229D8"/>
    <w:rsid w:val="00B43CEF"/>
    <w:rsid w:val="00B4506D"/>
    <w:rsid w:val="00B46639"/>
    <w:rsid w:val="00B5769D"/>
    <w:rsid w:val="00B60F0C"/>
    <w:rsid w:val="00B66E04"/>
    <w:rsid w:val="00B72803"/>
    <w:rsid w:val="00B7641E"/>
    <w:rsid w:val="00B80545"/>
    <w:rsid w:val="00B82A8D"/>
    <w:rsid w:val="00B830CE"/>
    <w:rsid w:val="00B877B0"/>
    <w:rsid w:val="00B8782A"/>
    <w:rsid w:val="00B95A3B"/>
    <w:rsid w:val="00BA016B"/>
    <w:rsid w:val="00BA150B"/>
    <w:rsid w:val="00BA3FDB"/>
    <w:rsid w:val="00BB0C79"/>
    <w:rsid w:val="00BB3518"/>
    <w:rsid w:val="00BC1EFA"/>
    <w:rsid w:val="00BC40E4"/>
    <w:rsid w:val="00BD02A2"/>
    <w:rsid w:val="00BD2902"/>
    <w:rsid w:val="00BE184C"/>
    <w:rsid w:val="00BE7EA1"/>
    <w:rsid w:val="00BF0F92"/>
    <w:rsid w:val="00BF7DD9"/>
    <w:rsid w:val="00C1038C"/>
    <w:rsid w:val="00C10BAC"/>
    <w:rsid w:val="00C15104"/>
    <w:rsid w:val="00C15D1A"/>
    <w:rsid w:val="00C30116"/>
    <w:rsid w:val="00C37F4E"/>
    <w:rsid w:val="00C55EE9"/>
    <w:rsid w:val="00C56E2C"/>
    <w:rsid w:val="00C666E3"/>
    <w:rsid w:val="00C72397"/>
    <w:rsid w:val="00C72689"/>
    <w:rsid w:val="00C74D38"/>
    <w:rsid w:val="00C77F38"/>
    <w:rsid w:val="00C85FBC"/>
    <w:rsid w:val="00C86005"/>
    <w:rsid w:val="00C87CCD"/>
    <w:rsid w:val="00C92827"/>
    <w:rsid w:val="00C93C1A"/>
    <w:rsid w:val="00CA2F70"/>
    <w:rsid w:val="00CA566F"/>
    <w:rsid w:val="00CA768A"/>
    <w:rsid w:val="00CC6EC4"/>
    <w:rsid w:val="00CC7D63"/>
    <w:rsid w:val="00CD268A"/>
    <w:rsid w:val="00CD3676"/>
    <w:rsid w:val="00CD6D87"/>
    <w:rsid w:val="00CE0B2D"/>
    <w:rsid w:val="00CE1E8C"/>
    <w:rsid w:val="00CE49AE"/>
    <w:rsid w:val="00CE5103"/>
    <w:rsid w:val="00D00D43"/>
    <w:rsid w:val="00D054A9"/>
    <w:rsid w:val="00D064A3"/>
    <w:rsid w:val="00D06C24"/>
    <w:rsid w:val="00D104BF"/>
    <w:rsid w:val="00D132B4"/>
    <w:rsid w:val="00D202AD"/>
    <w:rsid w:val="00D25169"/>
    <w:rsid w:val="00D25D18"/>
    <w:rsid w:val="00D2675E"/>
    <w:rsid w:val="00D31199"/>
    <w:rsid w:val="00D3180C"/>
    <w:rsid w:val="00D40842"/>
    <w:rsid w:val="00D450ED"/>
    <w:rsid w:val="00D460EB"/>
    <w:rsid w:val="00D4773E"/>
    <w:rsid w:val="00D506AB"/>
    <w:rsid w:val="00D71DFE"/>
    <w:rsid w:val="00D731D4"/>
    <w:rsid w:val="00D732D5"/>
    <w:rsid w:val="00D73363"/>
    <w:rsid w:val="00D73E6B"/>
    <w:rsid w:val="00D84DF2"/>
    <w:rsid w:val="00D9710A"/>
    <w:rsid w:val="00DA0372"/>
    <w:rsid w:val="00DA2CCD"/>
    <w:rsid w:val="00DA4B10"/>
    <w:rsid w:val="00DA5DA3"/>
    <w:rsid w:val="00DB09C5"/>
    <w:rsid w:val="00DB1E17"/>
    <w:rsid w:val="00DB706A"/>
    <w:rsid w:val="00DB7FF6"/>
    <w:rsid w:val="00DC4741"/>
    <w:rsid w:val="00DC4C8C"/>
    <w:rsid w:val="00DC56A0"/>
    <w:rsid w:val="00DD12DA"/>
    <w:rsid w:val="00DD5F7F"/>
    <w:rsid w:val="00DD7962"/>
    <w:rsid w:val="00DE0E9F"/>
    <w:rsid w:val="00DE4154"/>
    <w:rsid w:val="00DE6363"/>
    <w:rsid w:val="00DE79DF"/>
    <w:rsid w:val="00DF0880"/>
    <w:rsid w:val="00DF112F"/>
    <w:rsid w:val="00DF5293"/>
    <w:rsid w:val="00DF6C2A"/>
    <w:rsid w:val="00E01934"/>
    <w:rsid w:val="00E040B3"/>
    <w:rsid w:val="00E05ACE"/>
    <w:rsid w:val="00E06731"/>
    <w:rsid w:val="00E1152E"/>
    <w:rsid w:val="00E1463E"/>
    <w:rsid w:val="00E2024D"/>
    <w:rsid w:val="00E20723"/>
    <w:rsid w:val="00E21E29"/>
    <w:rsid w:val="00E32ED1"/>
    <w:rsid w:val="00E33DD5"/>
    <w:rsid w:val="00E35A16"/>
    <w:rsid w:val="00E36564"/>
    <w:rsid w:val="00E368A6"/>
    <w:rsid w:val="00E3727D"/>
    <w:rsid w:val="00E41C3E"/>
    <w:rsid w:val="00E436CF"/>
    <w:rsid w:val="00E501C6"/>
    <w:rsid w:val="00E50E9C"/>
    <w:rsid w:val="00E516A3"/>
    <w:rsid w:val="00E5765F"/>
    <w:rsid w:val="00E60C26"/>
    <w:rsid w:val="00E663A0"/>
    <w:rsid w:val="00E67371"/>
    <w:rsid w:val="00E715AB"/>
    <w:rsid w:val="00E757B0"/>
    <w:rsid w:val="00E77437"/>
    <w:rsid w:val="00E82B82"/>
    <w:rsid w:val="00E83143"/>
    <w:rsid w:val="00E87D5E"/>
    <w:rsid w:val="00E93B09"/>
    <w:rsid w:val="00E9519B"/>
    <w:rsid w:val="00E96741"/>
    <w:rsid w:val="00E97E68"/>
    <w:rsid w:val="00EA670C"/>
    <w:rsid w:val="00EB1BE3"/>
    <w:rsid w:val="00EB25AF"/>
    <w:rsid w:val="00EB67BE"/>
    <w:rsid w:val="00EC4FAB"/>
    <w:rsid w:val="00EC7FEA"/>
    <w:rsid w:val="00ED02ED"/>
    <w:rsid w:val="00ED081D"/>
    <w:rsid w:val="00ED0A40"/>
    <w:rsid w:val="00ED0E94"/>
    <w:rsid w:val="00ED137F"/>
    <w:rsid w:val="00ED2878"/>
    <w:rsid w:val="00EE4214"/>
    <w:rsid w:val="00EF01F6"/>
    <w:rsid w:val="00EF1F18"/>
    <w:rsid w:val="00EF2A8C"/>
    <w:rsid w:val="00EF617F"/>
    <w:rsid w:val="00EF6D39"/>
    <w:rsid w:val="00EF6E66"/>
    <w:rsid w:val="00F0557E"/>
    <w:rsid w:val="00F111D7"/>
    <w:rsid w:val="00F125E1"/>
    <w:rsid w:val="00F12793"/>
    <w:rsid w:val="00F211CC"/>
    <w:rsid w:val="00F340FC"/>
    <w:rsid w:val="00F37123"/>
    <w:rsid w:val="00F464DC"/>
    <w:rsid w:val="00F52A03"/>
    <w:rsid w:val="00F610A7"/>
    <w:rsid w:val="00F67EF7"/>
    <w:rsid w:val="00F70C6F"/>
    <w:rsid w:val="00F84B7B"/>
    <w:rsid w:val="00F86FEE"/>
    <w:rsid w:val="00F951C9"/>
    <w:rsid w:val="00F954D2"/>
    <w:rsid w:val="00F96347"/>
    <w:rsid w:val="00F96537"/>
    <w:rsid w:val="00F977F5"/>
    <w:rsid w:val="00FA19D6"/>
    <w:rsid w:val="00FA555C"/>
    <w:rsid w:val="00FA7084"/>
    <w:rsid w:val="00FB1FD6"/>
    <w:rsid w:val="00FB4355"/>
    <w:rsid w:val="00FB538B"/>
    <w:rsid w:val="00FB59B2"/>
    <w:rsid w:val="00FC1764"/>
    <w:rsid w:val="00FC26CD"/>
    <w:rsid w:val="00FC38CE"/>
    <w:rsid w:val="00FC394E"/>
    <w:rsid w:val="00FC54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2036D3F3"/>
  <w15:docId w15:val="{566A9380-3B28-4C45-9617-5CD506F7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8957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5854">
      <w:bodyDiv w:val="1"/>
      <w:marLeft w:val="0"/>
      <w:marRight w:val="0"/>
      <w:marTop w:val="0"/>
      <w:marBottom w:val="0"/>
      <w:divBdr>
        <w:top w:val="none" w:sz="0" w:space="0" w:color="auto"/>
        <w:left w:val="none" w:sz="0" w:space="0" w:color="auto"/>
        <w:bottom w:val="none" w:sz="0" w:space="0" w:color="auto"/>
        <w:right w:val="none" w:sz="0" w:space="0" w:color="auto"/>
      </w:divBdr>
      <w:divsChild>
        <w:div w:id="408774573">
          <w:marLeft w:val="0"/>
          <w:marRight w:val="0"/>
          <w:marTop w:val="0"/>
          <w:marBottom w:val="0"/>
          <w:divBdr>
            <w:top w:val="none" w:sz="0" w:space="0" w:color="auto"/>
            <w:left w:val="none" w:sz="0" w:space="0" w:color="auto"/>
            <w:bottom w:val="none" w:sz="0" w:space="0" w:color="auto"/>
            <w:right w:val="none" w:sz="0" w:space="0" w:color="auto"/>
          </w:divBdr>
          <w:divsChild>
            <w:div w:id="1633904388">
              <w:marLeft w:val="0"/>
              <w:marRight w:val="0"/>
              <w:marTop w:val="0"/>
              <w:marBottom w:val="0"/>
              <w:divBdr>
                <w:top w:val="none" w:sz="0" w:space="0" w:color="auto"/>
                <w:left w:val="none" w:sz="0" w:space="0" w:color="auto"/>
                <w:bottom w:val="none" w:sz="0" w:space="0" w:color="auto"/>
                <w:right w:val="none" w:sz="0" w:space="0" w:color="auto"/>
              </w:divBdr>
              <w:divsChild>
                <w:div w:id="640383788">
                  <w:marLeft w:val="0"/>
                  <w:marRight w:val="0"/>
                  <w:marTop w:val="0"/>
                  <w:marBottom w:val="0"/>
                  <w:divBdr>
                    <w:top w:val="none" w:sz="0" w:space="0" w:color="auto"/>
                    <w:left w:val="none" w:sz="0" w:space="0" w:color="auto"/>
                    <w:bottom w:val="none" w:sz="0" w:space="0" w:color="auto"/>
                    <w:right w:val="none" w:sz="0" w:space="0" w:color="auto"/>
                  </w:divBdr>
                  <w:divsChild>
                    <w:div w:id="1939364908">
                      <w:marLeft w:val="0"/>
                      <w:marRight w:val="0"/>
                      <w:marTop w:val="0"/>
                      <w:marBottom w:val="0"/>
                      <w:divBdr>
                        <w:top w:val="none" w:sz="0" w:space="0" w:color="auto"/>
                        <w:left w:val="none" w:sz="0" w:space="0" w:color="auto"/>
                        <w:bottom w:val="none" w:sz="0" w:space="0" w:color="auto"/>
                        <w:right w:val="none" w:sz="0" w:space="0" w:color="auto"/>
                      </w:divBdr>
                      <w:divsChild>
                        <w:div w:id="529879996">
                          <w:marLeft w:val="0"/>
                          <w:marRight w:val="0"/>
                          <w:marTop w:val="0"/>
                          <w:marBottom w:val="0"/>
                          <w:divBdr>
                            <w:top w:val="none" w:sz="0" w:space="0" w:color="auto"/>
                            <w:left w:val="none" w:sz="0" w:space="0" w:color="auto"/>
                            <w:bottom w:val="none" w:sz="0" w:space="0" w:color="auto"/>
                            <w:right w:val="none" w:sz="0" w:space="0" w:color="auto"/>
                          </w:divBdr>
                          <w:divsChild>
                            <w:div w:id="844243010">
                              <w:marLeft w:val="0"/>
                              <w:marRight w:val="0"/>
                              <w:marTop w:val="0"/>
                              <w:marBottom w:val="0"/>
                              <w:divBdr>
                                <w:top w:val="none" w:sz="0" w:space="0" w:color="auto"/>
                                <w:left w:val="none" w:sz="0" w:space="0" w:color="auto"/>
                                <w:bottom w:val="none" w:sz="0" w:space="0" w:color="auto"/>
                                <w:right w:val="none" w:sz="0" w:space="0" w:color="auto"/>
                              </w:divBdr>
                              <w:divsChild>
                                <w:div w:id="2075228430">
                                  <w:marLeft w:val="0"/>
                                  <w:marRight w:val="0"/>
                                  <w:marTop w:val="0"/>
                                  <w:marBottom w:val="0"/>
                                  <w:divBdr>
                                    <w:top w:val="none" w:sz="0" w:space="0" w:color="auto"/>
                                    <w:left w:val="none" w:sz="0" w:space="0" w:color="auto"/>
                                    <w:bottom w:val="none" w:sz="0" w:space="0" w:color="auto"/>
                                    <w:right w:val="none" w:sz="0" w:space="0" w:color="auto"/>
                                  </w:divBdr>
                                  <w:divsChild>
                                    <w:div w:id="2024623853">
                                      <w:marLeft w:val="0"/>
                                      <w:marRight w:val="0"/>
                                      <w:marTop w:val="0"/>
                                      <w:marBottom w:val="0"/>
                                      <w:divBdr>
                                        <w:top w:val="none" w:sz="0" w:space="0" w:color="auto"/>
                                        <w:left w:val="none" w:sz="0" w:space="0" w:color="auto"/>
                                        <w:bottom w:val="none" w:sz="0" w:space="0" w:color="auto"/>
                                        <w:right w:val="none" w:sz="0" w:space="0" w:color="auto"/>
                                      </w:divBdr>
                                      <w:divsChild>
                                        <w:div w:id="351348919">
                                          <w:marLeft w:val="0"/>
                                          <w:marRight w:val="0"/>
                                          <w:marTop w:val="0"/>
                                          <w:marBottom w:val="0"/>
                                          <w:divBdr>
                                            <w:top w:val="none" w:sz="0" w:space="0" w:color="auto"/>
                                            <w:left w:val="none" w:sz="0" w:space="0" w:color="auto"/>
                                            <w:bottom w:val="none" w:sz="0" w:space="0" w:color="auto"/>
                                            <w:right w:val="none" w:sz="0" w:space="0" w:color="auto"/>
                                          </w:divBdr>
                                          <w:divsChild>
                                            <w:div w:id="1651013067">
                                              <w:marLeft w:val="0"/>
                                              <w:marRight w:val="0"/>
                                              <w:marTop w:val="0"/>
                                              <w:marBottom w:val="0"/>
                                              <w:divBdr>
                                                <w:top w:val="none" w:sz="0" w:space="0" w:color="auto"/>
                                                <w:left w:val="none" w:sz="0" w:space="0" w:color="auto"/>
                                                <w:bottom w:val="none" w:sz="0" w:space="0" w:color="auto"/>
                                                <w:right w:val="none" w:sz="0" w:space="0" w:color="auto"/>
                                              </w:divBdr>
                                              <w:divsChild>
                                                <w:div w:id="1451779252">
                                                  <w:marLeft w:val="0"/>
                                                  <w:marRight w:val="0"/>
                                                  <w:marTop w:val="0"/>
                                                  <w:marBottom w:val="0"/>
                                                  <w:divBdr>
                                                    <w:top w:val="none" w:sz="0" w:space="0" w:color="auto"/>
                                                    <w:left w:val="none" w:sz="0" w:space="0" w:color="auto"/>
                                                    <w:bottom w:val="none" w:sz="0" w:space="0" w:color="auto"/>
                                                    <w:right w:val="none" w:sz="0" w:space="0" w:color="auto"/>
                                                  </w:divBdr>
                                                  <w:divsChild>
                                                    <w:div w:id="748234530">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7668">
      <w:bodyDiv w:val="1"/>
      <w:marLeft w:val="0"/>
      <w:marRight w:val="0"/>
      <w:marTop w:val="0"/>
      <w:marBottom w:val="0"/>
      <w:divBdr>
        <w:top w:val="none" w:sz="0" w:space="0" w:color="auto"/>
        <w:left w:val="none" w:sz="0" w:space="0" w:color="auto"/>
        <w:bottom w:val="none" w:sz="0" w:space="0" w:color="auto"/>
        <w:right w:val="none" w:sz="0" w:space="0" w:color="auto"/>
      </w:divBdr>
      <w:divsChild>
        <w:div w:id="567114701">
          <w:marLeft w:val="0"/>
          <w:marRight w:val="0"/>
          <w:marTop w:val="0"/>
          <w:marBottom w:val="0"/>
          <w:divBdr>
            <w:top w:val="none" w:sz="0" w:space="0" w:color="auto"/>
            <w:left w:val="none" w:sz="0" w:space="0" w:color="auto"/>
            <w:bottom w:val="none" w:sz="0" w:space="0" w:color="auto"/>
            <w:right w:val="none" w:sz="0" w:space="0" w:color="auto"/>
          </w:divBdr>
          <w:divsChild>
            <w:div w:id="1585605544">
              <w:marLeft w:val="0"/>
              <w:marRight w:val="0"/>
              <w:marTop w:val="0"/>
              <w:marBottom w:val="0"/>
              <w:divBdr>
                <w:top w:val="none" w:sz="0" w:space="0" w:color="auto"/>
                <w:left w:val="none" w:sz="0" w:space="0" w:color="auto"/>
                <w:bottom w:val="none" w:sz="0" w:space="0" w:color="auto"/>
                <w:right w:val="none" w:sz="0" w:space="0" w:color="auto"/>
              </w:divBdr>
              <w:divsChild>
                <w:div w:id="1787844246">
                  <w:marLeft w:val="0"/>
                  <w:marRight w:val="0"/>
                  <w:marTop w:val="0"/>
                  <w:marBottom w:val="0"/>
                  <w:divBdr>
                    <w:top w:val="none" w:sz="0" w:space="0" w:color="auto"/>
                    <w:left w:val="none" w:sz="0" w:space="0" w:color="auto"/>
                    <w:bottom w:val="none" w:sz="0" w:space="0" w:color="auto"/>
                    <w:right w:val="none" w:sz="0" w:space="0" w:color="auto"/>
                  </w:divBdr>
                  <w:divsChild>
                    <w:div w:id="207033768">
                      <w:marLeft w:val="0"/>
                      <w:marRight w:val="0"/>
                      <w:marTop w:val="0"/>
                      <w:marBottom w:val="0"/>
                      <w:divBdr>
                        <w:top w:val="none" w:sz="0" w:space="0" w:color="auto"/>
                        <w:left w:val="none" w:sz="0" w:space="0" w:color="auto"/>
                        <w:bottom w:val="none" w:sz="0" w:space="0" w:color="auto"/>
                        <w:right w:val="none" w:sz="0" w:space="0" w:color="auto"/>
                      </w:divBdr>
                      <w:divsChild>
                        <w:div w:id="1948540865">
                          <w:marLeft w:val="0"/>
                          <w:marRight w:val="0"/>
                          <w:marTop w:val="0"/>
                          <w:marBottom w:val="0"/>
                          <w:divBdr>
                            <w:top w:val="none" w:sz="0" w:space="0" w:color="auto"/>
                            <w:left w:val="none" w:sz="0" w:space="0" w:color="auto"/>
                            <w:bottom w:val="none" w:sz="0" w:space="0" w:color="auto"/>
                            <w:right w:val="none" w:sz="0" w:space="0" w:color="auto"/>
                          </w:divBdr>
                          <w:divsChild>
                            <w:div w:id="1814176079">
                              <w:marLeft w:val="0"/>
                              <w:marRight w:val="0"/>
                              <w:marTop w:val="0"/>
                              <w:marBottom w:val="0"/>
                              <w:divBdr>
                                <w:top w:val="none" w:sz="0" w:space="0" w:color="auto"/>
                                <w:left w:val="none" w:sz="0" w:space="0" w:color="auto"/>
                                <w:bottom w:val="none" w:sz="0" w:space="0" w:color="auto"/>
                                <w:right w:val="none" w:sz="0" w:space="0" w:color="auto"/>
                              </w:divBdr>
                              <w:divsChild>
                                <w:div w:id="1768648928">
                                  <w:marLeft w:val="0"/>
                                  <w:marRight w:val="0"/>
                                  <w:marTop w:val="0"/>
                                  <w:marBottom w:val="0"/>
                                  <w:divBdr>
                                    <w:top w:val="none" w:sz="0" w:space="0" w:color="auto"/>
                                    <w:left w:val="none" w:sz="0" w:space="0" w:color="auto"/>
                                    <w:bottom w:val="none" w:sz="0" w:space="0" w:color="auto"/>
                                    <w:right w:val="none" w:sz="0" w:space="0" w:color="auto"/>
                                  </w:divBdr>
                                  <w:divsChild>
                                    <w:div w:id="138422544">
                                      <w:marLeft w:val="0"/>
                                      <w:marRight w:val="0"/>
                                      <w:marTop w:val="0"/>
                                      <w:marBottom w:val="0"/>
                                      <w:divBdr>
                                        <w:top w:val="none" w:sz="0" w:space="0" w:color="auto"/>
                                        <w:left w:val="none" w:sz="0" w:space="0" w:color="auto"/>
                                        <w:bottom w:val="none" w:sz="0" w:space="0" w:color="auto"/>
                                        <w:right w:val="none" w:sz="0" w:space="0" w:color="auto"/>
                                      </w:divBdr>
                                      <w:divsChild>
                                        <w:div w:id="1573657962">
                                          <w:marLeft w:val="0"/>
                                          <w:marRight w:val="0"/>
                                          <w:marTop w:val="0"/>
                                          <w:marBottom w:val="0"/>
                                          <w:divBdr>
                                            <w:top w:val="none" w:sz="0" w:space="0" w:color="auto"/>
                                            <w:left w:val="none" w:sz="0" w:space="0" w:color="auto"/>
                                            <w:bottom w:val="none" w:sz="0" w:space="0" w:color="auto"/>
                                            <w:right w:val="none" w:sz="0" w:space="0" w:color="auto"/>
                                          </w:divBdr>
                                          <w:divsChild>
                                            <w:div w:id="777067264">
                                              <w:marLeft w:val="0"/>
                                              <w:marRight w:val="0"/>
                                              <w:marTop w:val="0"/>
                                              <w:marBottom w:val="0"/>
                                              <w:divBdr>
                                                <w:top w:val="none" w:sz="0" w:space="0" w:color="auto"/>
                                                <w:left w:val="none" w:sz="0" w:space="0" w:color="auto"/>
                                                <w:bottom w:val="none" w:sz="0" w:space="0" w:color="auto"/>
                                                <w:right w:val="none" w:sz="0" w:space="0" w:color="auto"/>
                                              </w:divBdr>
                                              <w:divsChild>
                                                <w:div w:id="1056004223">
                                                  <w:marLeft w:val="0"/>
                                                  <w:marRight w:val="0"/>
                                                  <w:marTop w:val="0"/>
                                                  <w:marBottom w:val="0"/>
                                                  <w:divBdr>
                                                    <w:top w:val="none" w:sz="0" w:space="0" w:color="auto"/>
                                                    <w:left w:val="none" w:sz="0" w:space="0" w:color="auto"/>
                                                    <w:bottom w:val="none" w:sz="0" w:space="0" w:color="auto"/>
                                                    <w:right w:val="none" w:sz="0" w:space="0" w:color="auto"/>
                                                  </w:divBdr>
                                                  <w:divsChild>
                                                    <w:div w:id="1776901135">
                                                      <w:marLeft w:val="0"/>
                                                      <w:marRight w:val="0"/>
                                                      <w:marTop w:val="0"/>
                                                      <w:marBottom w:val="0"/>
                                                      <w:divBdr>
                                                        <w:top w:val="none" w:sz="0" w:space="0" w:color="auto"/>
                                                        <w:left w:val="none" w:sz="0" w:space="0" w:color="auto"/>
                                                        <w:bottom w:val="none" w:sz="0" w:space="0" w:color="auto"/>
                                                        <w:right w:val="none" w:sz="0" w:space="0" w:color="auto"/>
                                                      </w:divBdr>
                                                      <w:divsChild>
                                                        <w:div w:id="126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763868">
      <w:bodyDiv w:val="1"/>
      <w:marLeft w:val="0"/>
      <w:marRight w:val="0"/>
      <w:marTop w:val="0"/>
      <w:marBottom w:val="0"/>
      <w:divBdr>
        <w:top w:val="none" w:sz="0" w:space="0" w:color="auto"/>
        <w:left w:val="none" w:sz="0" w:space="0" w:color="auto"/>
        <w:bottom w:val="none" w:sz="0" w:space="0" w:color="auto"/>
        <w:right w:val="none" w:sz="0" w:space="0" w:color="auto"/>
      </w:divBdr>
      <w:divsChild>
        <w:div w:id="1760832696">
          <w:marLeft w:val="0"/>
          <w:marRight w:val="0"/>
          <w:marTop w:val="0"/>
          <w:marBottom w:val="0"/>
          <w:divBdr>
            <w:top w:val="none" w:sz="0" w:space="0" w:color="auto"/>
            <w:left w:val="none" w:sz="0" w:space="0" w:color="auto"/>
            <w:bottom w:val="none" w:sz="0" w:space="0" w:color="auto"/>
            <w:right w:val="none" w:sz="0" w:space="0" w:color="auto"/>
          </w:divBdr>
          <w:divsChild>
            <w:div w:id="52241436">
              <w:marLeft w:val="0"/>
              <w:marRight w:val="0"/>
              <w:marTop w:val="0"/>
              <w:marBottom w:val="0"/>
              <w:divBdr>
                <w:top w:val="none" w:sz="0" w:space="0" w:color="auto"/>
                <w:left w:val="none" w:sz="0" w:space="0" w:color="auto"/>
                <w:bottom w:val="none" w:sz="0" w:space="0" w:color="auto"/>
                <w:right w:val="none" w:sz="0" w:space="0" w:color="auto"/>
              </w:divBdr>
              <w:divsChild>
                <w:div w:id="1533030293">
                  <w:marLeft w:val="0"/>
                  <w:marRight w:val="0"/>
                  <w:marTop w:val="0"/>
                  <w:marBottom w:val="0"/>
                  <w:divBdr>
                    <w:top w:val="none" w:sz="0" w:space="0" w:color="auto"/>
                    <w:left w:val="none" w:sz="0" w:space="0" w:color="auto"/>
                    <w:bottom w:val="none" w:sz="0" w:space="0" w:color="auto"/>
                    <w:right w:val="none" w:sz="0" w:space="0" w:color="auto"/>
                  </w:divBdr>
                  <w:divsChild>
                    <w:div w:id="1875926585">
                      <w:marLeft w:val="0"/>
                      <w:marRight w:val="0"/>
                      <w:marTop w:val="0"/>
                      <w:marBottom w:val="0"/>
                      <w:divBdr>
                        <w:top w:val="none" w:sz="0" w:space="0" w:color="auto"/>
                        <w:left w:val="none" w:sz="0" w:space="0" w:color="auto"/>
                        <w:bottom w:val="none" w:sz="0" w:space="0" w:color="auto"/>
                        <w:right w:val="none" w:sz="0" w:space="0" w:color="auto"/>
                      </w:divBdr>
                      <w:divsChild>
                        <w:div w:id="1845826888">
                          <w:marLeft w:val="0"/>
                          <w:marRight w:val="0"/>
                          <w:marTop w:val="0"/>
                          <w:marBottom w:val="0"/>
                          <w:divBdr>
                            <w:top w:val="none" w:sz="0" w:space="0" w:color="auto"/>
                            <w:left w:val="none" w:sz="0" w:space="0" w:color="auto"/>
                            <w:bottom w:val="none" w:sz="0" w:space="0" w:color="auto"/>
                            <w:right w:val="none" w:sz="0" w:space="0" w:color="auto"/>
                          </w:divBdr>
                          <w:divsChild>
                            <w:div w:id="1207643112">
                              <w:marLeft w:val="0"/>
                              <w:marRight w:val="0"/>
                              <w:marTop w:val="0"/>
                              <w:marBottom w:val="0"/>
                              <w:divBdr>
                                <w:top w:val="none" w:sz="0" w:space="0" w:color="auto"/>
                                <w:left w:val="none" w:sz="0" w:space="0" w:color="auto"/>
                                <w:bottom w:val="none" w:sz="0" w:space="0" w:color="auto"/>
                                <w:right w:val="none" w:sz="0" w:space="0" w:color="auto"/>
                              </w:divBdr>
                              <w:divsChild>
                                <w:div w:id="585267407">
                                  <w:marLeft w:val="0"/>
                                  <w:marRight w:val="0"/>
                                  <w:marTop w:val="0"/>
                                  <w:marBottom w:val="0"/>
                                  <w:divBdr>
                                    <w:top w:val="none" w:sz="0" w:space="0" w:color="auto"/>
                                    <w:left w:val="none" w:sz="0" w:space="0" w:color="auto"/>
                                    <w:bottom w:val="none" w:sz="0" w:space="0" w:color="auto"/>
                                    <w:right w:val="none" w:sz="0" w:space="0" w:color="auto"/>
                                  </w:divBdr>
                                  <w:divsChild>
                                    <w:div w:id="1190680823">
                                      <w:marLeft w:val="0"/>
                                      <w:marRight w:val="0"/>
                                      <w:marTop w:val="0"/>
                                      <w:marBottom w:val="0"/>
                                      <w:divBdr>
                                        <w:top w:val="none" w:sz="0" w:space="0" w:color="auto"/>
                                        <w:left w:val="none" w:sz="0" w:space="0" w:color="auto"/>
                                        <w:bottom w:val="none" w:sz="0" w:space="0" w:color="auto"/>
                                        <w:right w:val="none" w:sz="0" w:space="0" w:color="auto"/>
                                      </w:divBdr>
                                      <w:divsChild>
                                        <w:div w:id="1861119853">
                                          <w:marLeft w:val="0"/>
                                          <w:marRight w:val="0"/>
                                          <w:marTop w:val="0"/>
                                          <w:marBottom w:val="0"/>
                                          <w:divBdr>
                                            <w:top w:val="none" w:sz="0" w:space="0" w:color="auto"/>
                                            <w:left w:val="none" w:sz="0" w:space="0" w:color="auto"/>
                                            <w:bottom w:val="none" w:sz="0" w:space="0" w:color="auto"/>
                                            <w:right w:val="none" w:sz="0" w:space="0" w:color="auto"/>
                                          </w:divBdr>
                                          <w:divsChild>
                                            <w:div w:id="1277329316">
                                              <w:marLeft w:val="0"/>
                                              <w:marRight w:val="0"/>
                                              <w:marTop w:val="0"/>
                                              <w:marBottom w:val="0"/>
                                              <w:divBdr>
                                                <w:top w:val="none" w:sz="0" w:space="0" w:color="auto"/>
                                                <w:left w:val="none" w:sz="0" w:space="0" w:color="auto"/>
                                                <w:bottom w:val="none" w:sz="0" w:space="0" w:color="auto"/>
                                                <w:right w:val="none" w:sz="0" w:space="0" w:color="auto"/>
                                              </w:divBdr>
                                              <w:divsChild>
                                                <w:div w:id="1431463531">
                                                  <w:marLeft w:val="0"/>
                                                  <w:marRight w:val="0"/>
                                                  <w:marTop w:val="0"/>
                                                  <w:marBottom w:val="0"/>
                                                  <w:divBdr>
                                                    <w:top w:val="none" w:sz="0" w:space="0" w:color="auto"/>
                                                    <w:left w:val="none" w:sz="0" w:space="0" w:color="auto"/>
                                                    <w:bottom w:val="none" w:sz="0" w:space="0" w:color="auto"/>
                                                    <w:right w:val="none" w:sz="0" w:space="0" w:color="auto"/>
                                                  </w:divBdr>
                                                  <w:divsChild>
                                                    <w:div w:id="2147235429">
                                                      <w:marLeft w:val="0"/>
                                                      <w:marRight w:val="0"/>
                                                      <w:marTop w:val="0"/>
                                                      <w:marBottom w:val="0"/>
                                                      <w:divBdr>
                                                        <w:top w:val="none" w:sz="0" w:space="0" w:color="auto"/>
                                                        <w:left w:val="none" w:sz="0" w:space="0" w:color="auto"/>
                                                        <w:bottom w:val="none" w:sz="0" w:space="0" w:color="auto"/>
                                                        <w:right w:val="none" w:sz="0" w:space="0" w:color="auto"/>
                                                      </w:divBdr>
                                                      <w:divsChild>
                                                        <w:div w:id="2084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909549">
      <w:bodyDiv w:val="1"/>
      <w:marLeft w:val="0"/>
      <w:marRight w:val="0"/>
      <w:marTop w:val="0"/>
      <w:marBottom w:val="0"/>
      <w:divBdr>
        <w:top w:val="none" w:sz="0" w:space="0" w:color="auto"/>
        <w:left w:val="none" w:sz="0" w:space="0" w:color="auto"/>
        <w:bottom w:val="none" w:sz="0" w:space="0" w:color="auto"/>
        <w:right w:val="none" w:sz="0" w:space="0" w:color="auto"/>
      </w:divBdr>
    </w:div>
    <w:div w:id="608513464">
      <w:bodyDiv w:val="1"/>
      <w:marLeft w:val="0"/>
      <w:marRight w:val="0"/>
      <w:marTop w:val="0"/>
      <w:marBottom w:val="0"/>
      <w:divBdr>
        <w:top w:val="none" w:sz="0" w:space="0" w:color="auto"/>
        <w:left w:val="none" w:sz="0" w:space="0" w:color="auto"/>
        <w:bottom w:val="none" w:sz="0" w:space="0" w:color="auto"/>
        <w:right w:val="none" w:sz="0" w:space="0" w:color="auto"/>
      </w:divBdr>
      <w:divsChild>
        <w:div w:id="183515981">
          <w:marLeft w:val="0"/>
          <w:marRight w:val="0"/>
          <w:marTop w:val="0"/>
          <w:marBottom w:val="0"/>
          <w:divBdr>
            <w:top w:val="none" w:sz="0" w:space="0" w:color="auto"/>
            <w:left w:val="none" w:sz="0" w:space="0" w:color="auto"/>
            <w:bottom w:val="none" w:sz="0" w:space="0" w:color="auto"/>
            <w:right w:val="none" w:sz="0" w:space="0" w:color="auto"/>
          </w:divBdr>
          <w:divsChild>
            <w:div w:id="1753046460">
              <w:marLeft w:val="0"/>
              <w:marRight w:val="0"/>
              <w:marTop w:val="0"/>
              <w:marBottom w:val="0"/>
              <w:divBdr>
                <w:top w:val="none" w:sz="0" w:space="0" w:color="auto"/>
                <w:left w:val="none" w:sz="0" w:space="0" w:color="auto"/>
                <w:bottom w:val="none" w:sz="0" w:space="0" w:color="auto"/>
                <w:right w:val="none" w:sz="0" w:space="0" w:color="auto"/>
              </w:divBdr>
              <w:divsChild>
                <w:div w:id="1052577479">
                  <w:marLeft w:val="0"/>
                  <w:marRight w:val="0"/>
                  <w:marTop w:val="0"/>
                  <w:marBottom w:val="0"/>
                  <w:divBdr>
                    <w:top w:val="none" w:sz="0" w:space="0" w:color="auto"/>
                    <w:left w:val="none" w:sz="0" w:space="0" w:color="auto"/>
                    <w:bottom w:val="none" w:sz="0" w:space="0" w:color="auto"/>
                    <w:right w:val="none" w:sz="0" w:space="0" w:color="auto"/>
                  </w:divBdr>
                  <w:divsChild>
                    <w:div w:id="542325642">
                      <w:marLeft w:val="0"/>
                      <w:marRight w:val="0"/>
                      <w:marTop w:val="0"/>
                      <w:marBottom w:val="0"/>
                      <w:divBdr>
                        <w:top w:val="none" w:sz="0" w:space="0" w:color="auto"/>
                        <w:left w:val="none" w:sz="0" w:space="0" w:color="auto"/>
                        <w:bottom w:val="none" w:sz="0" w:space="0" w:color="auto"/>
                        <w:right w:val="none" w:sz="0" w:space="0" w:color="auto"/>
                      </w:divBdr>
                      <w:divsChild>
                        <w:div w:id="869995729">
                          <w:marLeft w:val="0"/>
                          <w:marRight w:val="0"/>
                          <w:marTop w:val="0"/>
                          <w:marBottom w:val="0"/>
                          <w:divBdr>
                            <w:top w:val="none" w:sz="0" w:space="0" w:color="auto"/>
                            <w:left w:val="none" w:sz="0" w:space="0" w:color="auto"/>
                            <w:bottom w:val="none" w:sz="0" w:space="0" w:color="auto"/>
                            <w:right w:val="none" w:sz="0" w:space="0" w:color="auto"/>
                          </w:divBdr>
                          <w:divsChild>
                            <w:div w:id="1343313891">
                              <w:marLeft w:val="0"/>
                              <w:marRight w:val="0"/>
                              <w:marTop w:val="0"/>
                              <w:marBottom w:val="0"/>
                              <w:divBdr>
                                <w:top w:val="none" w:sz="0" w:space="0" w:color="auto"/>
                                <w:left w:val="none" w:sz="0" w:space="0" w:color="auto"/>
                                <w:bottom w:val="none" w:sz="0" w:space="0" w:color="auto"/>
                                <w:right w:val="none" w:sz="0" w:space="0" w:color="auto"/>
                              </w:divBdr>
                              <w:divsChild>
                                <w:div w:id="1046101072">
                                  <w:marLeft w:val="0"/>
                                  <w:marRight w:val="0"/>
                                  <w:marTop w:val="0"/>
                                  <w:marBottom w:val="0"/>
                                  <w:divBdr>
                                    <w:top w:val="none" w:sz="0" w:space="0" w:color="auto"/>
                                    <w:left w:val="none" w:sz="0" w:space="0" w:color="auto"/>
                                    <w:bottom w:val="none" w:sz="0" w:space="0" w:color="auto"/>
                                    <w:right w:val="none" w:sz="0" w:space="0" w:color="auto"/>
                                  </w:divBdr>
                                  <w:divsChild>
                                    <w:div w:id="27217280">
                                      <w:marLeft w:val="0"/>
                                      <w:marRight w:val="0"/>
                                      <w:marTop w:val="0"/>
                                      <w:marBottom w:val="0"/>
                                      <w:divBdr>
                                        <w:top w:val="none" w:sz="0" w:space="0" w:color="auto"/>
                                        <w:left w:val="none" w:sz="0" w:space="0" w:color="auto"/>
                                        <w:bottom w:val="none" w:sz="0" w:space="0" w:color="auto"/>
                                        <w:right w:val="none" w:sz="0" w:space="0" w:color="auto"/>
                                      </w:divBdr>
                                      <w:divsChild>
                                        <w:div w:id="2060668456">
                                          <w:marLeft w:val="0"/>
                                          <w:marRight w:val="0"/>
                                          <w:marTop w:val="0"/>
                                          <w:marBottom w:val="0"/>
                                          <w:divBdr>
                                            <w:top w:val="none" w:sz="0" w:space="0" w:color="auto"/>
                                            <w:left w:val="none" w:sz="0" w:space="0" w:color="auto"/>
                                            <w:bottom w:val="none" w:sz="0" w:space="0" w:color="auto"/>
                                            <w:right w:val="none" w:sz="0" w:space="0" w:color="auto"/>
                                          </w:divBdr>
                                          <w:divsChild>
                                            <w:div w:id="487212837">
                                              <w:marLeft w:val="0"/>
                                              <w:marRight w:val="0"/>
                                              <w:marTop w:val="0"/>
                                              <w:marBottom w:val="0"/>
                                              <w:divBdr>
                                                <w:top w:val="none" w:sz="0" w:space="0" w:color="auto"/>
                                                <w:left w:val="none" w:sz="0" w:space="0" w:color="auto"/>
                                                <w:bottom w:val="none" w:sz="0" w:space="0" w:color="auto"/>
                                                <w:right w:val="none" w:sz="0" w:space="0" w:color="auto"/>
                                              </w:divBdr>
                                              <w:divsChild>
                                                <w:div w:id="1901397794">
                                                  <w:marLeft w:val="0"/>
                                                  <w:marRight w:val="0"/>
                                                  <w:marTop w:val="0"/>
                                                  <w:marBottom w:val="0"/>
                                                  <w:divBdr>
                                                    <w:top w:val="none" w:sz="0" w:space="0" w:color="auto"/>
                                                    <w:left w:val="none" w:sz="0" w:space="0" w:color="auto"/>
                                                    <w:bottom w:val="none" w:sz="0" w:space="0" w:color="auto"/>
                                                    <w:right w:val="none" w:sz="0" w:space="0" w:color="auto"/>
                                                  </w:divBdr>
                                                  <w:divsChild>
                                                    <w:div w:id="2074349372">
                                                      <w:marLeft w:val="0"/>
                                                      <w:marRight w:val="0"/>
                                                      <w:marTop w:val="0"/>
                                                      <w:marBottom w:val="0"/>
                                                      <w:divBdr>
                                                        <w:top w:val="none" w:sz="0" w:space="0" w:color="auto"/>
                                                        <w:left w:val="none" w:sz="0" w:space="0" w:color="auto"/>
                                                        <w:bottom w:val="none" w:sz="0" w:space="0" w:color="auto"/>
                                                        <w:right w:val="none" w:sz="0" w:space="0" w:color="auto"/>
                                                      </w:divBdr>
                                                      <w:divsChild>
                                                        <w:div w:id="188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194204">
      <w:bodyDiv w:val="1"/>
      <w:marLeft w:val="0"/>
      <w:marRight w:val="0"/>
      <w:marTop w:val="0"/>
      <w:marBottom w:val="0"/>
      <w:divBdr>
        <w:top w:val="none" w:sz="0" w:space="0" w:color="auto"/>
        <w:left w:val="none" w:sz="0" w:space="0" w:color="auto"/>
        <w:bottom w:val="none" w:sz="0" w:space="0" w:color="auto"/>
        <w:right w:val="none" w:sz="0" w:space="0" w:color="auto"/>
      </w:divBdr>
      <w:divsChild>
        <w:div w:id="1456556405">
          <w:marLeft w:val="0"/>
          <w:marRight w:val="0"/>
          <w:marTop w:val="0"/>
          <w:marBottom w:val="0"/>
          <w:divBdr>
            <w:top w:val="none" w:sz="0" w:space="0" w:color="auto"/>
            <w:left w:val="none" w:sz="0" w:space="0" w:color="auto"/>
            <w:bottom w:val="none" w:sz="0" w:space="0" w:color="auto"/>
            <w:right w:val="none" w:sz="0" w:space="0" w:color="auto"/>
          </w:divBdr>
          <w:divsChild>
            <w:div w:id="834536123">
              <w:marLeft w:val="0"/>
              <w:marRight w:val="0"/>
              <w:marTop w:val="0"/>
              <w:marBottom w:val="0"/>
              <w:divBdr>
                <w:top w:val="none" w:sz="0" w:space="0" w:color="auto"/>
                <w:left w:val="none" w:sz="0" w:space="0" w:color="auto"/>
                <w:bottom w:val="none" w:sz="0" w:space="0" w:color="auto"/>
                <w:right w:val="none" w:sz="0" w:space="0" w:color="auto"/>
              </w:divBdr>
              <w:divsChild>
                <w:div w:id="372048287">
                  <w:marLeft w:val="0"/>
                  <w:marRight w:val="0"/>
                  <w:marTop w:val="0"/>
                  <w:marBottom w:val="0"/>
                  <w:divBdr>
                    <w:top w:val="none" w:sz="0" w:space="0" w:color="auto"/>
                    <w:left w:val="none" w:sz="0" w:space="0" w:color="auto"/>
                    <w:bottom w:val="none" w:sz="0" w:space="0" w:color="auto"/>
                    <w:right w:val="none" w:sz="0" w:space="0" w:color="auto"/>
                  </w:divBdr>
                  <w:divsChild>
                    <w:div w:id="1675106867">
                      <w:marLeft w:val="0"/>
                      <w:marRight w:val="0"/>
                      <w:marTop w:val="0"/>
                      <w:marBottom w:val="0"/>
                      <w:divBdr>
                        <w:top w:val="none" w:sz="0" w:space="0" w:color="auto"/>
                        <w:left w:val="none" w:sz="0" w:space="0" w:color="auto"/>
                        <w:bottom w:val="none" w:sz="0" w:space="0" w:color="auto"/>
                        <w:right w:val="none" w:sz="0" w:space="0" w:color="auto"/>
                      </w:divBdr>
                      <w:divsChild>
                        <w:div w:id="1993873179">
                          <w:marLeft w:val="0"/>
                          <w:marRight w:val="0"/>
                          <w:marTop w:val="0"/>
                          <w:marBottom w:val="0"/>
                          <w:divBdr>
                            <w:top w:val="none" w:sz="0" w:space="0" w:color="auto"/>
                            <w:left w:val="none" w:sz="0" w:space="0" w:color="auto"/>
                            <w:bottom w:val="none" w:sz="0" w:space="0" w:color="auto"/>
                            <w:right w:val="none" w:sz="0" w:space="0" w:color="auto"/>
                          </w:divBdr>
                          <w:divsChild>
                            <w:div w:id="1657103090">
                              <w:marLeft w:val="0"/>
                              <w:marRight w:val="0"/>
                              <w:marTop w:val="0"/>
                              <w:marBottom w:val="0"/>
                              <w:divBdr>
                                <w:top w:val="none" w:sz="0" w:space="0" w:color="auto"/>
                                <w:left w:val="none" w:sz="0" w:space="0" w:color="auto"/>
                                <w:bottom w:val="none" w:sz="0" w:space="0" w:color="auto"/>
                                <w:right w:val="none" w:sz="0" w:space="0" w:color="auto"/>
                              </w:divBdr>
                              <w:divsChild>
                                <w:div w:id="1068184612">
                                  <w:marLeft w:val="0"/>
                                  <w:marRight w:val="0"/>
                                  <w:marTop w:val="0"/>
                                  <w:marBottom w:val="0"/>
                                  <w:divBdr>
                                    <w:top w:val="none" w:sz="0" w:space="0" w:color="auto"/>
                                    <w:left w:val="none" w:sz="0" w:space="0" w:color="auto"/>
                                    <w:bottom w:val="none" w:sz="0" w:space="0" w:color="auto"/>
                                    <w:right w:val="none" w:sz="0" w:space="0" w:color="auto"/>
                                  </w:divBdr>
                                  <w:divsChild>
                                    <w:div w:id="2141266905">
                                      <w:marLeft w:val="0"/>
                                      <w:marRight w:val="0"/>
                                      <w:marTop w:val="0"/>
                                      <w:marBottom w:val="0"/>
                                      <w:divBdr>
                                        <w:top w:val="none" w:sz="0" w:space="0" w:color="auto"/>
                                        <w:left w:val="none" w:sz="0" w:space="0" w:color="auto"/>
                                        <w:bottom w:val="none" w:sz="0" w:space="0" w:color="auto"/>
                                        <w:right w:val="none" w:sz="0" w:space="0" w:color="auto"/>
                                      </w:divBdr>
                                      <w:divsChild>
                                        <w:div w:id="273564937">
                                          <w:marLeft w:val="0"/>
                                          <w:marRight w:val="0"/>
                                          <w:marTop w:val="0"/>
                                          <w:marBottom w:val="0"/>
                                          <w:divBdr>
                                            <w:top w:val="none" w:sz="0" w:space="0" w:color="auto"/>
                                            <w:left w:val="none" w:sz="0" w:space="0" w:color="auto"/>
                                            <w:bottom w:val="none" w:sz="0" w:space="0" w:color="auto"/>
                                            <w:right w:val="none" w:sz="0" w:space="0" w:color="auto"/>
                                          </w:divBdr>
                                          <w:divsChild>
                                            <w:div w:id="1421833605">
                                              <w:marLeft w:val="0"/>
                                              <w:marRight w:val="0"/>
                                              <w:marTop w:val="0"/>
                                              <w:marBottom w:val="0"/>
                                              <w:divBdr>
                                                <w:top w:val="none" w:sz="0" w:space="0" w:color="auto"/>
                                                <w:left w:val="none" w:sz="0" w:space="0" w:color="auto"/>
                                                <w:bottom w:val="none" w:sz="0" w:space="0" w:color="auto"/>
                                                <w:right w:val="none" w:sz="0" w:space="0" w:color="auto"/>
                                              </w:divBdr>
                                              <w:divsChild>
                                                <w:div w:id="802385503">
                                                  <w:marLeft w:val="0"/>
                                                  <w:marRight w:val="0"/>
                                                  <w:marTop w:val="0"/>
                                                  <w:marBottom w:val="0"/>
                                                  <w:divBdr>
                                                    <w:top w:val="none" w:sz="0" w:space="0" w:color="auto"/>
                                                    <w:left w:val="none" w:sz="0" w:space="0" w:color="auto"/>
                                                    <w:bottom w:val="none" w:sz="0" w:space="0" w:color="auto"/>
                                                    <w:right w:val="none" w:sz="0" w:space="0" w:color="auto"/>
                                                  </w:divBdr>
                                                  <w:divsChild>
                                                    <w:div w:id="2122872184">
                                                      <w:marLeft w:val="0"/>
                                                      <w:marRight w:val="0"/>
                                                      <w:marTop w:val="0"/>
                                                      <w:marBottom w:val="0"/>
                                                      <w:divBdr>
                                                        <w:top w:val="none" w:sz="0" w:space="0" w:color="auto"/>
                                                        <w:left w:val="none" w:sz="0" w:space="0" w:color="auto"/>
                                                        <w:bottom w:val="none" w:sz="0" w:space="0" w:color="auto"/>
                                                        <w:right w:val="none" w:sz="0" w:space="0" w:color="auto"/>
                                                      </w:divBdr>
                                                      <w:divsChild>
                                                        <w:div w:id="323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933829">
      <w:bodyDiv w:val="1"/>
      <w:marLeft w:val="0"/>
      <w:marRight w:val="0"/>
      <w:marTop w:val="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sChild>
                            <w:div w:id="2022971626">
                              <w:marLeft w:val="0"/>
                              <w:marRight w:val="0"/>
                              <w:marTop w:val="0"/>
                              <w:marBottom w:val="0"/>
                              <w:divBdr>
                                <w:top w:val="none" w:sz="0" w:space="0" w:color="auto"/>
                                <w:left w:val="none" w:sz="0" w:space="0" w:color="auto"/>
                                <w:bottom w:val="none" w:sz="0" w:space="0" w:color="auto"/>
                                <w:right w:val="none" w:sz="0" w:space="0" w:color="auto"/>
                              </w:divBdr>
                              <w:divsChild>
                                <w:div w:id="1894267648">
                                  <w:marLeft w:val="0"/>
                                  <w:marRight w:val="0"/>
                                  <w:marTop w:val="0"/>
                                  <w:marBottom w:val="0"/>
                                  <w:divBdr>
                                    <w:top w:val="none" w:sz="0" w:space="0" w:color="auto"/>
                                    <w:left w:val="none" w:sz="0" w:space="0" w:color="auto"/>
                                    <w:bottom w:val="none" w:sz="0" w:space="0" w:color="auto"/>
                                    <w:right w:val="none" w:sz="0" w:space="0" w:color="auto"/>
                                  </w:divBdr>
                                  <w:divsChild>
                                    <w:div w:id="1077478230">
                                      <w:marLeft w:val="0"/>
                                      <w:marRight w:val="0"/>
                                      <w:marTop w:val="0"/>
                                      <w:marBottom w:val="0"/>
                                      <w:divBdr>
                                        <w:top w:val="none" w:sz="0" w:space="0" w:color="auto"/>
                                        <w:left w:val="none" w:sz="0" w:space="0" w:color="auto"/>
                                        <w:bottom w:val="none" w:sz="0" w:space="0" w:color="auto"/>
                                        <w:right w:val="none" w:sz="0" w:space="0" w:color="auto"/>
                                      </w:divBdr>
                                      <w:divsChild>
                                        <w:div w:id="1546478260">
                                          <w:marLeft w:val="0"/>
                                          <w:marRight w:val="0"/>
                                          <w:marTop w:val="0"/>
                                          <w:marBottom w:val="0"/>
                                          <w:divBdr>
                                            <w:top w:val="none" w:sz="0" w:space="0" w:color="auto"/>
                                            <w:left w:val="none" w:sz="0" w:space="0" w:color="auto"/>
                                            <w:bottom w:val="none" w:sz="0" w:space="0" w:color="auto"/>
                                            <w:right w:val="none" w:sz="0" w:space="0" w:color="auto"/>
                                          </w:divBdr>
                                          <w:divsChild>
                                            <w:div w:id="1506240772">
                                              <w:marLeft w:val="0"/>
                                              <w:marRight w:val="0"/>
                                              <w:marTop w:val="0"/>
                                              <w:marBottom w:val="0"/>
                                              <w:divBdr>
                                                <w:top w:val="none" w:sz="0" w:space="0" w:color="auto"/>
                                                <w:left w:val="none" w:sz="0" w:space="0" w:color="auto"/>
                                                <w:bottom w:val="none" w:sz="0" w:space="0" w:color="auto"/>
                                                <w:right w:val="none" w:sz="0" w:space="0" w:color="auto"/>
                                              </w:divBdr>
                                              <w:divsChild>
                                                <w:div w:id="249317046">
                                                  <w:marLeft w:val="0"/>
                                                  <w:marRight w:val="0"/>
                                                  <w:marTop w:val="0"/>
                                                  <w:marBottom w:val="0"/>
                                                  <w:divBdr>
                                                    <w:top w:val="none" w:sz="0" w:space="0" w:color="auto"/>
                                                    <w:left w:val="none" w:sz="0" w:space="0" w:color="auto"/>
                                                    <w:bottom w:val="none" w:sz="0" w:space="0" w:color="auto"/>
                                                    <w:right w:val="none" w:sz="0" w:space="0" w:color="auto"/>
                                                  </w:divBdr>
                                                  <w:divsChild>
                                                    <w:div w:id="1627196717">
                                                      <w:marLeft w:val="0"/>
                                                      <w:marRight w:val="0"/>
                                                      <w:marTop w:val="0"/>
                                                      <w:marBottom w:val="0"/>
                                                      <w:divBdr>
                                                        <w:top w:val="none" w:sz="0" w:space="0" w:color="auto"/>
                                                        <w:left w:val="none" w:sz="0" w:space="0" w:color="auto"/>
                                                        <w:bottom w:val="none" w:sz="0" w:space="0" w:color="auto"/>
                                                        <w:right w:val="none" w:sz="0" w:space="0" w:color="auto"/>
                                                      </w:divBdr>
                                                      <w:divsChild>
                                                        <w:div w:id="1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2391318">
      <w:bodyDiv w:val="1"/>
      <w:marLeft w:val="0"/>
      <w:marRight w:val="0"/>
      <w:marTop w:val="0"/>
      <w:marBottom w:val="0"/>
      <w:divBdr>
        <w:top w:val="none" w:sz="0" w:space="0" w:color="auto"/>
        <w:left w:val="none" w:sz="0" w:space="0" w:color="auto"/>
        <w:bottom w:val="none" w:sz="0" w:space="0" w:color="auto"/>
        <w:right w:val="none" w:sz="0" w:space="0" w:color="auto"/>
      </w:divBdr>
      <w:divsChild>
        <w:div w:id="143593826">
          <w:marLeft w:val="0"/>
          <w:marRight w:val="0"/>
          <w:marTop w:val="0"/>
          <w:marBottom w:val="0"/>
          <w:divBdr>
            <w:top w:val="none" w:sz="0" w:space="0" w:color="auto"/>
            <w:left w:val="none" w:sz="0" w:space="0" w:color="auto"/>
            <w:bottom w:val="none" w:sz="0" w:space="0" w:color="auto"/>
            <w:right w:val="none" w:sz="0" w:space="0" w:color="auto"/>
          </w:divBdr>
          <w:divsChild>
            <w:div w:id="1492065649">
              <w:marLeft w:val="0"/>
              <w:marRight w:val="0"/>
              <w:marTop w:val="0"/>
              <w:marBottom w:val="0"/>
              <w:divBdr>
                <w:top w:val="none" w:sz="0" w:space="0" w:color="auto"/>
                <w:left w:val="none" w:sz="0" w:space="0" w:color="auto"/>
                <w:bottom w:val="none" w:sz="0" w:space="0" w:color="auto"/>
                <w:right w:val="none" w:sz="0" w:space="0" w:color="auto"/>
              </w:divBdr>
              <w:divsChild>
                <w:div w:id="1718435199">
                  <w:marLeft w:val="0"/>
                  <w:marRight w:val="0"/>
                  <w:marTop w:val="0"/>
                  <w:marBottom w:val="0"/>
                  <w:divBdr>
                    <w:top w:val="none" w:sz="0" w:space="0" w:color="auto"/>
                    <w:left w:val="none" w:sz="0" w:space="0" w:color="auto"/>
                    <w:bottom w:val="none" w:sz="0" w:space="0" w:color="auto"/>
                    <w:right w:val="none" w:sz="0" w:space="0" w:color="auto"/>
                  </w:divBdr>
                  <w:divsChild>
                    <w:div w:id="77021605">
                      <w:marLeft w:val="0"/>
                      <w:marRight w:val="0"/>
                      <w:marTop w:val="0"/>
                      <w:marBottom w:val="0"/>
                      <w:divBdr>
                        <w:top w:val="none" w:sz="0" w:space="0" w:color="auto"/>
                        <w:left w:val="none" w:sz="0" w:space="0" w:color="auto"/>
                        <w:bottom w:val="none" w:sz="0" w:space="0" w:color="auto"/>
                        <w:right w:val="none" w:sz="0" w:space="0" w:color="auto"/>
                      </w:divBdr>
                      <w:divsChild>
                        <w:div w:id="967590396">
                          <w:marLeft w:val="0"/>
                          <w:marRight w:val="0"/>
                          <w:marTop w:val="0"/>
                          <w:marBottom w:val="0"/>
                          <w:divBdr>
                            <w:top w:val="none" w:sz="0" w:space="0" w:color="auto"/>
                            <w:left w:val="none" w:sz="0" w:space="0" w:color="auto"/>
                            <w:bottom w:val="none" w:sz="0" w:space="0" w:color="auto"/>
                            <w:right w:val="none" w:sz="0" w:space="0" w:color="auto"/>
                          </w:divBdr>
                          <w:divsChild>
                            <w:div w:id="227427321">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sChild>
                                    <w:div w:id="496657306">
                                      <w:marLeft w:val="0"/>
                                      <w:marRight w:val="0"/>
                                      <w:marTop w:val="0"/>
                                      <w:marBottom w:val="0"/>
                                      <w:divBdr>
                                        <w:top w:val="none" w:sz="0" w:space="0" w:color="auto"/>
                                        <w:left w:val="none" w:sz="0" w:space="0" w:color="auto"/>
                                        <w:bottom w:val="none" w:sz="0" w:space="0" w:color="auto"/>
                                        <w:right w:val="none" w:sz="0" w:space="0" w:color="auto"/>
                                      </w:divBdr>
                                      <w:divsChild>
                                        <w:div w:id="459880392">
                                          <w:marLeft w:val="0"/>
                                          <w:marRight w:val="0"/>
                                          <w:marTop w:val="0"/>
                                          <w:marBottom w:val="0"/>
                                          <w:divBdr>
                                            <w:top w:val="none" w:sz="0" w:space="0" w:color="auto"/>
                                            <w:left w:val="none" w:sz="0" w:space="0" w:color="auto"/>
                                            <w:bottom w:val="none" w:sz="0" w:space="0" w:color="auto"/>
                                            <w:right w:val="none" w:sz="0" w:space="0" w:color="auto"/>
                                          </w:divBdr>
                                          <w:divsChild>
                                            <w:div w:id="2014338495">
                                              <w:marLeft w:val="0"/>
                                              <w:marRight w:val="0"/>
                                              <w:marTop w:val="0"/>
                                              <w:marBottom w:val="0"/>
                                              <w:divBdr>
                                                <w:top w:val="none" w:sz="0" w:space="0" w:color="auto"/>
                                                <w:left w:val="none" w:sz="0" w:space="0" w:color="auto"/>
                                                <w:bottom w:val="none" w:sz="0" w:space="0" w:color="auto"/>
                                                <w:right w:val="none" w:sz="0" w:space="0" w:color="auto"/>
                                              </w:divBdr>
                                              <w:divsChild>
                                                <w:div w:id="1917085940">
                                                  <w:marLeft w:val="0"/>
                                                  <w:marRight w:val="0"/>
                                                  <w:marTop w:val="0"/>
                                                  <w:marBottom w:val="0"/>
                                                  <w:divBdr>
                                                    <w:top w:val="none" w:sz="0" w:space="0" w:color="auto"/>
                                                    <w:left w:val="none" w:sz="0" w:space="0" w:color="auto"/>
                                                    <w:bottom w:val="none" w:sz="0" w:space="0" w:color="auto"/>
                                                    <w:right w:val="none" w:sz="0" w:space="0" w:color="auto"/>
                                                  </w:divBdr>
                                                  <w:divsChild>
                                                    <w:div w:id="1608390437">
                                                      <w:marLeft w:val="0"/>
                                                      <w:marRight w:val="0"/>
                                                      <w:marTop w:val="0"/>
                                                      <w:marBottom w:val="0"/>
                                                      <w:divBdr>
                                                        <w:top w:val="none" w:sz="0" w:space="0" w:color="auto"/>
                                                        <w:left w:val="none" w:sz="0" w:space="0" w:color="auto"/>
                                                        <w:bottom w:val="none" w:sz="0" w:space="0" w:color="auto"/>
                                                        <w:right w:val="none" w:sz="0" w:space="0" w:color="auto"/>
                                                      </w:divBdr>
                                                      <w:divsChild>
                                                        <w:div w:id="712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armacopoeia.com/" TargetMode="External"/><Relationship Id="rId13" Type="http://schemas.openxmlformats.org/officeDocument/2006/relationships/hyperlink" Target="http://www.rehydrate.org/ors/expert-consultatio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t.n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line.foodchemicalscodex.org" TargetMode="External"/><Relationship Id="rId5" Type="http://schemas.openxmlformats.org/officeDocument/2006/relationships/webSettings" Target="webSettings.xml"/><Relationship Id="rId15" Type="http://schemas.openxmlformats.org/officeDocument/2006/relationships/hyperlink" Target="http://www.openlibrary.org/books/OL22071008M/European_pharmacopoeia" TargetMode="External"/><Relationship Id="rId10" Type="http://schemas.openxmlformats.org/officeDocument/2006/relationships/hyperlink" Target="http://www.uspnf.com/" TargetMode="External"/><Relationship Id="rId4" Type="http://schemas.openxmlformats.org/officeDocument/2006/relationships/settings" Target="settings.xml"/><Relationship Id="rId9" Type="http://schemas.openxmlformats.org/officeDocument/2006/relationships/hyperlink" Target="http://www.edqm.eu/en/european-pharmacopoeia-ph-eur-9th-edition" TargetMode="External"/><Relationship Id="rId14" Type="http://schemas.openxmlformats.org/officeDocument/2006/relationships/hyperlink" Target="http://www.trove.nl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F42F1-55D0-4A94-9AAD-B0CA97F90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3570</Words>
  <Characters>20351</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Srinivasan, Vimala</dc:creator>
  <cp:lastModifiedBy>Carter, Bless</cp:lastModifiedBy>
  <cp:revision>2</cp:revision>
  <cp:lastPrinted>2020-08-13T01:44:00Z</cp:lastPrinted>
  <dcterms:created xsi:type="dcterms:W3CDTF">2020-08-13T01:46:00Z</dcterms:created>
  <dcterms:modified xsi:type="dcterms:W3CDTF">2020-08-13T01:46:00Z</dcterms:modified>
</cp:coreProperties>
</file>