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556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4B894E" wp14:editId="52DF33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61759" w14:textId="77777777" w:rsidR="005E317F" w:rsidRDefault="005E317F" w:rsidP="005E317F">
      <w:pPr>
        <w:rPr>
          <w:sz w:val="19"/>
        </w:rPr>
      </w:pPr>
    </w:p>
    <w:p w14:paraId="483A7225" w14:textId="4A4F40BB" w:rsidR="005E317F" w:rsidRPr="00E500D4" w:rsidRDefault="0069130C" w:rsidP="005E317F">
      <w:pPr>
        <w:pStyle w:val="ShortT"/>
      </w:pPr>
      <w:r w:rsidRPr="0069130C">
        <w:rPr>
          <w:bCs/>
          <w:color w:val="000000"/>
          <w:szCs w:val="40"/>
        </w:rPr>
        <w:t xml:space="preserve">Agricultural and Veterinary Chemicals Code </w:t>
      </w:r>
      <w:r w:rsidR="005E317F" w:rsidRPr="0069130C">
        <w:t>(</w:t>
      </w:r>
      <w:r w:rsidRPr="0069130C">
        <w:t>Prescribed Variations</w:t>
      </w:r>
      <w:r w:rsidR="005E317F" w:rsidRPr="0069130C">
        <w:t xml:space="preserve">) </w:t>
      </w:r>
      <w:r w:rsidRPr="0069130C">
        <w:t xml:space="preserve">Amendment </w:t>
      </w:r>
      <w:r w:rsidR="007D74EA">
        <w:t xml:space="preserve">Instrument </w:t>
      </w:r>
      <w:r w:rsidRPr="0069130C">
        <w:t>2020</w:t>
      </w:r>
    </w:p>
    <w:p w14:paraId="0539DF5B" w14:textId="77777777" w:rsidR="0069130C" w:rsidRPr="00493BE6" w:rsidRDefault="0069130C" w:rsidP="0069130C">
      <w:pPr>
        <w:shd w:val="clear" w:color="auto" w:fill="FFFFFF"/>
        <w:spacing w:before="240"/>
        <w:jc w:val="both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I, Chris Parker, Chief Executive Officer of the Australian Pesticides and Veterinary Medicines Authority, make the following legislative instrument.</w:t>
      </w:r>
    </w:p>
    <w:p w14:paraId="2905B790" w14:textId="77777777" w:rsidR="00D1063C" w:rsidRDefault="0069130C" w:rsidP="0069130C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Dated </w:t>
      </w:r>
      <w:r w:rsidR="00D1063C">
        <w:rPr>
          <w:rFonts w:eastAsia="Times New Roman" w:cs="Times New Roman"/>
          <w:color w:val="000000"/>
          <w:lang w:eastAsia="en-AU"/>
        </w:rPr>
        <w:t>13/08/2020</w:t>
      </w:r>
    </w:p>
    <w:p w14:paraId="183A630E" w14:textId="26B17224" w:rsidR="0069130C" w:rsidRPr="00493BE6" w:rsidRDefault="00D1063C" w:rsidP="0069130C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lang w:eastAsia="en-AU"/>
        </w:rPr>
      </w:pPr>
      <w:r w:rsidRPr="00FF38FA">
        <w:rPr>
          <w:rFonts w:eastAsia="Calibri"/>
          <w:noProof/>
          <w:sz w:val="24"/>
          <w:lang w:eastAsia="en-AU"/>
        </w:rPr>
        <w:drawing>
          <wp:inline distT="0" distB="0" distL="0" distR="0" wp14:anchorId="0074A8EC" wp14:editId="1681110C">
            <wp:extent cx="1457325" cy="62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0C" w:rsidRPr="00493BE6">
        <w:rPr>
          <w:rFonts w:eastAsia="Times New Roman" w:cs="Times New Roman"/>
          <w:color w:val="000000"/>
          <w:lang w:eastAsia="en-AU"/>
        </w:rPr>
        <w:t>             </w:t>
      </w:r>
      <w:r w:rsidR="0069130C">
        <w:rPr>
          <w:rFonts w:eastAsia="Times New Roman" w:cs="Times New Roman"/>
          <w:color w:val="000000"/>
          <w:lang w:eastAsia="en-AU"/>
        </w:rPr>
        <w:t xml:space="preserve">             </w:t>
      </w:r>
    </w:p>
    <w:p w14:paraId="12F6BE05" w14:textId="7B8D4771" w:rsidR="0069130C" w:rsidRPr="00493BE6" w:rsidRDefault="0069130C" w:rsidP="0069130C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Chris Parker</w:t>
      </w:r>
      <w:r>
        <w:rPr>
          <w:rFonts w:eastAsia="Times New Roman" w:cs="Times New Roman"/>
          <w:color w:val="000000"/>
          <w:lang w:eastAsia="en-AU"/>
        </w:rPr>
        <w:t xml:space="preserve"> </w:t>
      </w:r>
      <w:r w:rsidRPr="0069130C">
        <w:rPr>
          <w:b/>
          <w:szCs w:val="22"/>
          <w:highlight w:val="lightGray"/>
        </w:rPr>
        <w:t xml:space="preserve"> </w:t>
      </w:r>
    </w:p>
    <w:p w14:paraId="1EE4868F" w14:textId="77777777" w:rsidR="0069130C" w:rsidRPr="00493BE6" w:rsidRDefault="0069130C" w:rsidP="0069130C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Chief Executive Officer</w:t>
      </w:r>
    </w:p>
    <w:p w14:paraId="400ACD07" w14:textId="77777777" w:rsidR="0069130C" w:rsidRPr="00493BE6" w:rsidRDefault="0069130C" w:rsidP="0069130C">
      <w:pPr>
        <w:shd w:val="clear" w:color="auto" w:fill="FFFFFF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 </w:t>
      </w:r>
    </w:p>
    <w:p w14:paraId="79685E68" w14:textId="77777777" w:rsidR="00B20990" w:rsidRDefault="00B20990" w:rsidP="00B20990"/>
    <w:p w14:paraId="33FAA5F5" w14:textId="77777777"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BD6A5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AA475C0" w14:textId="77777777" w:rsidR="0069130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9130C">
        <w:rPr>
          <w:noProof/>
        </w:rPr>
        <w:t>1  Name</w:t>
      </w:r>
      <w:r w:rsidR="0069130C">
        <w:rPr>
          <w:noProof/>
        </w:rPr>
        <w:tab/>
      </w:r>
      <w:r w:rsidR="0069130C">
        <w:rPr>
          <w:noProof/>
        </w:rPr>
        <w:fldChar w:fldCharType="begin"/>
      </w:r>
      <w:r w:rsidR="0069130C">
        <w:rPr>
          <w:noProof/>
        </w:rPr>
        <w:instrText xml:space="preserve"> PAGEREF _Toc41042767 \h </w:instrText>
      </w:r>
      <w:r w:rsidR="0069130C">
        <w:rPr>
          <w:noProof/>
        </w:rPr>
      </w:r>
      <w:r w:rsidR="0069130C">
        <w:rPr>
          <w:noProof/>
        </w:rPr>
        <w:fldChar w:fldCharType="separate"/>
      </w:r>
      <w:r w:rsidR="0069130C">
        <w:rPr>
          <w:noProof/>
        </w:rPr>
        <w:t>1</w:t>
      </w:r>
      <w:r w:rsidR="0069130C">
        <w:rPr>
          <w:noProof/>
        </w:rPr>
        <w:fldChar w:fldCharType="end"/>
      </w:r>
    </w:p>
    <w:p w14:paraId="224615CD" w14:textId="77777777" w:rsidR="0069130C" w:rsidRDefault="00691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BF2526" w14:textId="77777777" w:rsidR="0069130C" w:rsidRDefault="00691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010E2D" w14:textId="77777777" w:rsidR="0069130C" w:rsidRDefault="00691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89B96D" w14:textId="77777777" w:rsidR="0069130C" w:rsidRDefault="006913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B70BEB" w14:textId="629CB070" w:rsidR="0069130C" w:rsidRDefault="0069130C" w:rsidP="00DB146E">
      <w:pPr>
        <w:pStyle w:val="TOC1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60511CA6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2C4E3D3" w14:textId="77777777" w:rsidR="00B20990" w:rsidRDefault="00B20990" w:rsidP="00B20990"/>
    <w:p w14:paraId="7664CF1F" w14:textId="77777777"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6ABE51" w14:textId="77777777" w:rsidR="005E317F" w:rsidRPr="009C2562" w:rsidRDefault="005E317F" w:rsidP="005E317F">
      <w:pPr>
        <w:pStyle w:val="ActHead5"/>
      </w:pPr>
      <w:bookmarkStart w:id="1" w:name="_Toc4104276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E13EC2F" w14:textId="302992C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9130C" w:rsidRPr="0035464A">
        <w:rPr>
          <w:i/>
        </w:rPr>
        <w:t xml:space="preserve">Agricultural and Veterinary Chemicals Code (Prescribed Variations) Amendment </w:t>
      </w:r>
      <w:r w:rsidR="007D74EA">
        <w:rPr>
          <w:i/>
        </w:rPr>
        <w:t xml:space="preserve">Instrument </w:t>
      </w:r>
      <w:r w:rsidR="0069130C" w:rsidRPr="0035464A">
        <w:rPr>
          <w:i/>
        </w:rPr>
        <w:t>2020</w:t>
      </w:r>
      <w:r w:rsidRPr="009C2562">
        <w:t>.</w:t>
      </w:r>
    </w:p>
    <w:p w14:paraId="3D58C135" w14:textId="77777777" w:rsidR="005E317F" w:rsidRDefault="005E317F" w:rsidP="005E317F">
      <w:pPr>
        <w:pStyle w:val="ActHead5"/>
      </w:pPr>
      <w:bookmarkStart w:id="3" w:name="_Toc4104276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0F8EAF2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59ED7A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9786BC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F8378F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CECAAA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B6A76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C02168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CE8C63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54CEFE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5C7A3A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C9D291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9FFA29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6E455AE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9C582C" w14:textId="77777777" w:rsidR="00002BCC" w:rsidRPr="00DB146E" w:rsidRDefault="00002BCC" w:rsidP="00A02135">
            <w:pPr>
              <w:pStyle w:val="Tabletext"/>
              <w:rPr>
                <w:i/>
              </w:rPr>
            </w:pPr>
            <w:r w:rsidRPr="00DB146E">
              <w:t xml:space="preserve">1.  </w:t>
            </w:r>
            <w:r w:rsidR="0069130C" w:rsidRPr="00DB146E">
              <w:rPr>
                <w:i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EF4F01" w14:textId="020CEDB2" w:rsidR="00002BCC" w:rsidRPr="00DB146E" w:rsidRDefault="0069130C" w:rsidP="00A02135">
            <w:pPr>
              <w:pStyle w:val="Tabletext"/>
              <w:rPr>
                <w:i/>
              </w:rPr>
            </w:pPr>
            <w:r w:rsidRPr="00DB146E">
              <w:rPr>
                <w:i/>
              </w:rPr>
              <w:t xml:space="preserve">The day after </w:t>
            </w:r>
            <w:r w:rsidR="00C71BFE">
              <w:rPr>
                <w:i/>
              </w:rPr>
              <w:t>t</w:t>
            </w:r>
            <w:r w:rsidRPr="00DB146E">
              <w:rPr>
                <w:i/>
              </w:rPr>
              <w:t>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B6839F" w14:textId="77777777" w:rsidR="00002BCC" w:rsidRPr="00DB146E" w:rsidRDefault="00002BCC" w:rsidP="00A02135">
            <w:pPr>
              <w:pStyle w:val="Tabletext"/>
              <w:rPr>
                <w:i/>
              </w:rPr>
            </w:pPr>
            <w:r w:rsidRPr="00DB146E">
              <w:rPr>
                <w:i/>
              </w:rPr>
              <w:t>Leave blank unless a date is stated in column 2 In that case, insert the date here also.</w:t>
            </w:r>
          </w:p>
        </w:tc>
      </w:tr>
    </w:tbl>
    <w:p w14:paraId="30B7FC22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D506B0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261095" w14:textId="77777777" w:rsidR="005E317F" w:rsidRPr="009C2562" w:rsidRDefault="005E317F" w:rsidP="005E317F">
      <w:pPr>
        <w:pStyle w:val="ActHead5"/>
      </w:pPr>
      <w:bookmarkStart w:id="4" w:name="_Toc4104276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1C56EA57" w14:textId="77777777" w:rsidR="005E317F" w:rsidRPr="009C2562" w:rsidRDefault="005E317F" w:rsidP="0069130C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9130C">
        <w:t xml:space="preserve">subsection 26B(6) of the Agricultural and Veterinary Chemicals Code, as scheduled to the </w:t>
      </w:r>
      <w:r w:rsidR="0069130C">
        <w:rPr>
          <w:i/>
        </w:rPr>
        <w:t>Agricultural and Veterinary Chemicals Code Act 1994</w:t>
      </w:r>
      <w:r w:rsidRPr="009C2562">
        <w:t>.</w:t>
      </w:r>
    </w:p>
    <w:p w14:paraId="4D68C6A6" w14:textId="77777777" w:rsidR="005E317F" w:rsidRPr="006065DA" w:rsidRDefault="005E317F" w:rsidP="005E317F">
      <w:pPr>
        <w:pStyle w:val="ActHead5"/>
      </w:pPr>
      <w:bookmarkStart w:id="5" w:name="_Toc41042770"/>
      <w:r w:rsidRPr="006065DA">
        <w:t>4  Schedules</w:t>
      </w:r>
      <w:bookmarkEnd w:id="5"/>
    </w:p>
    <w:p w14:paraId="4799AD3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97DC51" w14:textId="77777777" w:rsidR="005E317F" w:rsidRDefault="005E317F" w:rsidP="005E317F">
      <w:pPr>
        <w:pStyle w:val="ActHead6"/>
        <w:pageBreakBefore/>
      </w:pPr>
      <w:bookmarkStart w:id="6" w:name="_Toc4104277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5EC037D" w14:textId="77777777" w:rsidR="0069130C" w:rsidRDefault="0069130C" w:rsidP="005E317F">
      <w:pPr>
        <w:pStyle w:val="ItemHead"/>
        <w:rPr>
          <w:rFonts w:ascii="Times New Roman" w:hAnsi="Times New Roman"/>
          <w:i/>
          <w:sz w:val="28"/>
        </w:rPr>
      </w:pPr>
      <w:r w:rsidRPr="0069130C">
        <w:rPr>
          <w:rFonts w:ascii="Times New Roman" w:hAnsi="Times New Roman"/>
          <w:i/>
          <w:sz w:val="28"/>
        </w:rPr>
        <w:t>Agricultural and Veterinary Chemicals Code (Prescribed Variations) Instrument 2019</w:t>
      </w:r>
    </w:p>
    <w:p w14:paraId="7A4EBA2F" w14:textId="77777777" w:rsidR="005E317F" w:rsidRDefault="005E317F" w:rsidP="005E317F">
      <w:pPr>
        <w:pStyle w:val="ItemHead"/>
      </w:pPr>
      <w:r>
        <w:t xml:space="preserve">1  </w:t>
      </w:r>
      <w:r w:rsidR="0069130C">
        <w:t>Section 4</w:t>
      </w:r>
    </w:p>
    <w:p w14:paraId="5231188A" w14:textId="77777777" w:rsidR="00E879D3" w:rsidRDefault="00E879D3" w:rsidP="00E879D3">
      <w:pPr>
        <w:pStyle w:val="Item"/>
      </w:pPr>
      <w:r>
        <w:t>Repeal the section, substitute:</w:t>
      </w:r>
    </w:p>
    <w:p w14:paraId="3A771F19" w14:textId="3354F278" w:rsidR="00E879D3" w:rsidRPr="00E879D3" w:rsidRDefault="00534266" w:rsidP="00DB146E">
      <w:pPr>
        <w:shd w:val="clear" w:color="auto" w:fill="FFFFFF"/>
        <w:spacing w:before="280" w:line="240" w:lineRule="auto"/>
        <w:ind w:left="1134" w:hanging="425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7" w:name="_Toc3903639"/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4</w:t>
      </w:r>
      <w:r w:rsidR="00E879D3" w:rsidRPr="00E879D3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 Definitions</w:t>
      </w:r>
      <w:bookmarkEnd w:id="7"/>
    </w:p>
    <w:p w14:paraId="06F0D196" w14:textId="77777777" w:rsidR="00E879D3" w:rsidRPr="00E879D3" w:rsidRDefault="00E879D3" w:rsidP="00E879D3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E879D3">
        <w:rPr>
          <w:rFonts w:eastAsia="Times New Roman" w:cs="Times New Roman"/>
          <w:color w:val="000000"/>
          <w:szCs w:val="22"/>
          <w:lang w:eastAsia="en-AU"/>
        </w:rPr>
        <w:t>             (1)  Unless the contrary intention appears:</w:t>
      </w:r>
    </w:p>
    <w:p w14:paraId="5FA51040" w14:textId="77777777" w:rsidR="00E879D3" w:rsidRPr="00E879D3" w:rsidRDefault="00E879D3" w:rsidP="00E879D3">
      <w:pPr>
        <w:shd w:val="clear" w:color="auto" w:fill="FFFFFF"/>
        <w:spacing w:before="40" w:line="240" w:lineRule="auto"/>
        <w:ind w:left="1644" w:hanging="1644"/>
        <w:rPr>
          <w:rFonts w:eastAsia="Times New Roman" w:cs="Times New Roman"/>
          <w:color w:val="000000"/>
          <w:szCs w:val="22"/>
          <w:lang w:eastAsia="en-AU"/>
        </w:rPr>
      </w:pPr>
      <w:r w:rsidRPr="00E879D3">
        <w:rPr>
          <w:rFonts w:eastAsia="Times New Roman" w:cs="Times New Roman"/>
          <w:color w:val="000000"/>
          <w:szCs w:val="22"/>
          <w:lang w:eastAsia="en-AU"/>
        </w:rPr>
        <w:t>                     (a)  words and expressions that are used in the Code have the same meaning in this Instrument; and</w:t>
      </w:r>
    </w:p>
    <w:p w14:paraId="5A6D6042" w14:textId="77777777" w:rsidR="00E879D3" w:rsidRPr="00E879D3" w:rsidRDefault="00E879D3" w:rsidP="00E879D3">
      <w:pPr>
        <w:shd w:val="clear" w:color="auto" w:fill="FFFFFF"/>
        <w:spacing w:before="40" w:line="240" w:lineRule="auto"/>
        <w:ind w:left="1644" w:hanging="1644"/>
        <w:rPr>
          <w:rFonts w:eastAsia="Times New Roman" w:cs="Times New Roman"/>
          <w:color w:val="000000"/>
          <w:szCs w:val="22"/>
          <w:lang w:eastAsia="en-AU"/>
        </w:rPr>
      </w:pPr>
      <w:r w:rsidRPr="00E879D3">
        <w:rPr>
          <w:rFonts w:eastAsia="Times New Roman" w:cs="Times New Roman"/>
          <w:color w:val="000000"/>
          <w:szCs w:val="22"/>
          <w:lang w:eastAsia="en-AU"/>
        </w:rPr>
        <w:t>                     (b)  words and expressions that are used in the Regulations have the same meaning in this Instrument.</w:t>
      </w:r>
    </w:p>
    <w:p w14:paraId="0E5BA893" w14:textId="6A3E4342" w:rsidR="00E879D3" w:rsidRPr="00DB146E" w:rsidRDefault="00E879D3" w:rsidP="00DB146E">
      <w:pPr>
        <w:shd w:val="clear" w:color="auto" w:fill="FFFFFF"/>
        <w:spacing w:before="180" w:line="240" w:lineRule="auto"/>
        <w:ind w:left="1134" w:hanging="1134"/>
        <w:rPr>
          <w:color w:val="000000"/>
          <w:szCs w:val="22"/>
        </w:rPr>
      </w:pPr>
      <w:r w:rsidRPr="00E879D3">
        <w:rPr>
          <w:rFonts w:eastAsia="Times New Roman" w:cs="Times New Roman"/>
          <w:color w:val="000000"/>
          <w:szCs w:val="22"/>
          <w:lang w:eastAsia="en-AU"/>
        </w:rPr>
        <w:t>             (2)  In this Instrument:</w:t>
      </w:r>
    </w:p>
    <w:p w14:paraId="712A250D" w14:textId="61EFEEFD" w:rsidR="00E879D3" w:rsidRDefault="00E879D3" w:rsidP="00E879D3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Code</w:t>
      </w:r>
      <w:r>
        <w:rPr>
          <w:color w:val="000000"/>
          <w:sz w:val="22"/>
          <w:szCs w:val="22"/>
        </w:rPr>
        <w:t> means the Agricultural and Veterinary Chemicals Code, as scheduled to the </w:t>
      </w:r>
      <w:r>
        <w:rPr>
          <w:i/>
          <w:iCs/>
          <w:color w:val="000000"/>
          <w:sz w:val="22"/>
          <w:szCs w:val="22"/>
        </w:rPr>
        <w:t>Agricultural and Veterinary Chemicals Code Act 1994</w:t>
      </w:r>
      <w:r>
        <w:rPr>
          <w:color w:val="000000"/>
          <w:sz w:val="22"/>
          <w:szCs w:val="22"/>
        </w:rPr>
        <w:t>.</w:t>
      </w:r>
    </w:p>
    <w:p w14:paraId="4CB05D44" w14:textId="16A131DF" w:rsidR="00E879D3" w:rsidRPr="00DB146E" w:rsidRDefault="00E879D3" w:rsidP="00DB146E">
      <w:pPr>
        <w:shd w:val="clear" w:color="auto" w:fill="FFFFFF"/>
        <w:spacing w:before="180" w:line="240" w:lineRule="auto"/>
        <w:ind w:left="1134"/>
        <w:rPr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  <w:lang w:eastAsia="en-AU"/>
        </w:rPr>
        <w:t>Primary steps of manufacture</w:t>
      </w:r>
      <w:r>
        <w:rPr>
          <w:rFonts w:eastAsia="Times New Roman" w:cs="Times New Roman"/>
          <w:bCs/>
          <w:i/>
          <w:iCs/>
          <w:color w:val="000000"/>
          <w:lang w:eastAsia="en-AU"/>
        </w:rPr>
        <w:t xml:space="preserve"> </w:t>
      </w:r>
      <w:r w:rsidRPr="0069130C">
        <w:rPr>
          <w:rFonts w:eastAsia="Times New Roman" w:cs="Times New Roman"/>
          <w:bCs/>
          <w:iCs/>
          <w:color w:val="000000"/>
          <w:lang w:eastAsia="en-AU"/>
        </w:rPr>
        <w:t>means all steps in the manufacturing process that result in direct contact with the veterinary chemical product.</w:t>
      </w:r>
    </w:p>
    <w:p w14:paraId="39498CF1" w14:textId="6542C21E" w:rsidR="005E317F" w:rsidRPr="00DB146E" w:rsidRDefault="00E879D3" w:rsidP="00DB146E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Regulations </w:t>
      </w:r>
      <w:r>
        <w:rPr>
          <w:color w:val="000000"/>
          <w:sz w:val="22"/>
          <w:szCs w:val="22"/>
        </w:rPr>
        <w:t>means the </w:t>
      </w:r>
      <w:r>
        <w:rPr>
          <w:i/>
          <w:iCs/>
          <w:color w:val="000000"/>
          <w:sz w:val="22"/>
          <w:szCs w:val="22"/>
        </w:rPr>
        <w:t>Agricultural and Veterinary Chemicals Code Regulations 1995</w:t>
      </w:r>
      <w:r>
        <w:rPr>
          <w:color w:val="000000"/>
          <w:sz w:val="22"/>
          <w:szCs w:val="22"/>
        </w:rPr>
        <w:t> and a reference to subreg</w:t>
      </w:r>
      <w:bookmarkStart w:id="8" w:name="_GoBack"/>
      <w:bookmarkEnd w:id="8"/>
      <w:r>
        <w:rPr>
          <w:color w:val="000000"/>
          <w:sz w:val="22"/>
          <w:szCs w:val="22"/>
        </w:rPr>
        <w:t>ulations has a corresponding meaning.</w:t>
      </w:r>
    </w:p>
    <w:p w14:paraId="55B0DABB" w14:textId="4D1DEE9C" w:rsidR="0069130C" w:rsidRDefault="0069130C" w:rsidP="0069130C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bCs/>
          <w:i/>
          <w:iCs/>
          <w:color w:val="000000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lang w:eastAsia="en-AU"/>
        </w:rPr>
        <w:t xml:space="preserve">Secondary steps of manufacture </w:t>
      </w:r>
      <w:r w:rsidRPr="0069130C">
        <w:rPr>
          <w:rFonts w:eastAsia="Times New Roman" w:cs="Times New Roman"/>
          <w:bCs/>
          <w:iCs/>
          <w:color w:val="000000"/>
          <w:lang w:eastAsia="en-AU"/>
        </w:rPr>
        <w:t>means labelling or relabelling or secondary/supplementary labelling; secondary packaging; storage; release for supply; analysis and testing; or manufacturing steps that do not result in direct contact with the veterinary chemical product released to market.</w:t>
      </w:r>
    </w:p>
    <w:p w14:paraId="0C4BE3AE" w14:textId="77777777" w:rsidR="005E317F" w:rsidRDefault="005E317F" w:rsidP="005E317F">
      <w:pPr>
        <w:pStyle w:val="ItemHead"/>
      </w:pPr>
      <w:r>
        <w:t xml:space="preserve">2  </w:t>
      </w:r>
      <w:r w:rsidR="0069130C" w:rsidRPr="0069130C">
        <w:t>Section 5</w:t>
      </w:r>
    </w:p>
    <w:p w14:paraId="566A3080" w14:textId="77777777" w:rsidR="005E317F" w:rsidRDefault="0069130C" w:rsidP="005E317F">
      <w:pPr>
        <w:pStyle w:val="Item"/>
      </w:pPr>
      <w:r>
        <w:t>Repeal the section, substitute:</w:t>
      </w:r>
    </w:p>
    <w:p w14:paraId="42D3715F" w14:textId="61514608" w:rsidR="0069130C" w:rsidRPr="00493BE6" w:rsidRDefault="0069130C" w:rsidP="0069130C">
      <w:pPr>
        <w:shd w:val="clear" w:color="auto" w:fill="FFFFFF"/>
        <w:spacing w:before="280" w:line="240" w:lineRule="auto"/>
        <w:ind w:left="1134" w:hanging="425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9" w:name="_Toc534710034"/>
      <w:r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5</w:t>
      </w:r>
      <w:r w:rsidR="007D07AA"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Prescribed</w:t>
      </w:r>
      <w:r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variations</w:t>
      </w:r>
      <w:bookmarkEnd w:id="9"/>
    </w:p>
    <w:p w14:paraId="44B11F4E" w14:textId="7DC16D44" w:rsidR="0069130C" w:rsidRDefault="0069130C" w:rsidP="0069130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 xml:space="preserve">                   The following table prescribes, for the purposes of paragraph 26B(4)(a) of the Code, </w:t>
      </w:r>
      <w:r w:rsidR="001910C8">
        <w:rPr>
          <w:rFonts w:eastAsia="Times New Roman" w:cs="Times New Roman"/>
          <w:color w:val="000000"/>
          <w:lang w:eastAsia="en-AU"/>
        </w:rPr>
        <w:t xml:space="preserve">prescribed </w:t>
      </w:r>
      <w:r w:rsidRPr="00493BE6">
        <w:rPr>
          <w:rFonts w:eastAsia="Times New Roman" w:cs="Times New Roman"/>
          <w:color w:val="000000"/>
          <w:lang w:eastAsia="en-AU"/>
        </w:rPr>
        <w:t>variations of the relevant particulars that are listed in an item in the table, for the registrations listed in the table for that item.</w:t>
      </w:r>
    </w:p>
    <w:p w14:paraId="5A0ACC59" w14:textId="77777777" w:rsidR="0069130C" w:rsidRPr="00493BE6" w:rsidRDefault="0069130C" w:rsidP="0069130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819"/>
        <w:gridCol w:w="3736"/>
      </w:tblGrid>
      <w:tr w:rsidR="0069130C" w:rsidRPr="00493BE6" w14:paraId="3A565169" w14:textId="77777777" w:rsidTr="00BF04B9">
        <w:trPr>
          <w:tblHeader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6A71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b/>
                <w:bCs/>
                <w:sz w:val="20"/>
                <w:lang w:eastAsia="en-AU"/>
              </w:rPr>
              <w:lastRenderedPageBreak/>
              <w:t>Prescribed variations</w:t>
            </w:r>
          </w:p>
        </w:tc>
      </w:tr>
      <w:tr w:rsidR="0069130C" w:rsidRPr="00493BE6" w14:paraId="6EAB0058" w14:textId="77777777" w:rsidTr="00DB146E">
        <w:trPr>
          <w:trHeight w:val="633"/>
          <w:tblHeader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F367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6A1F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b/>
                <w:bCs/>
                <w:sz w:val="20"/>
                <w:lang w:eastAsia="en-AU"/>
              </w:rPr>
              <w:t>Prescribed variation of relevant particular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E77A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b/>
                <w:bCs/>
                <w:sz w:val="20"/>
                <w:lang w:eastAsia="en-AU"/>
              </w:rPr>
              <w:t>Registration</w:t>
            </w:r>
          </w:p>
        </w:tc>
      </w:tr>
      <w:tr w:rsidR="0069130C" w:rsidRPr="00493BE6" w14:paraId="4C613295" w14:textId="77777777" w:rsidTr="00BF04B9">
        <w:trPr>
          <w:trHeight w:val="1665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2107" w14:textId="0089B5D4" w:rsidR="0069130C" w:rsidRPr="00493BE6" w:rsidRDefault="00F517C6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E0FC" w14:textId="77777777" w:rsidR="00F517C6" w:rsidRDefault="00F517C6" w:rsidP="00F517C6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variation of either or both of the following particulars:</w:t>
            </w:r>
          </w:p>
          <w:p w14:paraId="7A85CF74" w14:textId="36786135" w:rsidR="00F517C6" w:rsidRDefault="00F517C6" w:rsidP="00F517C6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(a) the name of a manufacturer </w:t>
            </w:r>
            <w:r w:rsidR="001910C8">
              <w:rPr>
                <w:color w:val="000000"/>
                <w:sz w:val="20"/>
                <w:szCs w:val="20"/>
              </w:rPr>
              <w:t xml:space="preserve">of a chemical product </w:t>
            </w:r>
            <w:r>
              <w:rPr>
                <w:color w:val="000000"/>
                <w:sz w:val="20"/>
                <w:szCs w:val="20"/>
              </w:rPr>
              <w:t>in Australia;</w:t>
            </w:r>
          </w:p>
          <w:p w14:paraId="7A747FE9" w14:textId="77AB5F71" w:rsidR="00F517C6" w:rsidRDefault="00F517C6" w:rsidP="00F517C6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(b) the address of each site in Australia at which the</w:t>
            </w:r>
            <w:r w:rsidR="00DA0042">
              <w:rPr>
                <w:color w:val="000000"/>
                <w:sz w:val="20"/>
                <w:szCs w:val="20"/>
              </w:rPr>
              <w:t xml:space="preserve"> chemical</w:t>
            </w:r>
            <w:r>
              <w:rPr>
                <w:color w:val="000000"/>
                <w:sz w:val="20"/>
                <w:szCs w:val="20"/>
              </w:rPr>
              <w:t xml:space="preserve"> product is manufactured by a manufacturer;</w:t>
            </w:r>
          </w:p>
          <w:p w14:paraId="625C07B3" w14:textId="77777777" w:rsidR="00F517C6" w:rsidRDefault="00F517C6" w:rsidP="00F517C6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but only if, under the varied particulars:</w:t>
            </w:r>
          </w:p>
          <w:p w14:paraId="2027DDEA" w14:textId="18159B12" w:rsidR="0069130C" w:rsidRPr="00DB146E" w:rsidRDefault="00F517C6" w:rsidP="00DB146E">
            <w:pPr>
              <w:pStyle w:val="tablea0"/>
              <w:shd w:val="clear" w:color="auto" w:fill="FFFFFF"/>
              <w:spacing w:before="60" w:beforeAutospacing="0" w:after="0" w:afterAutospacing="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(c) the manufacturer and the address of each manufacturing site are in Australia; and </w:t>
            </w:r>
            <w:r w:rsidR="0069130C">
              <w:rPr>
                <w:sz w:val="20"/>
              </w:rPr>
              <w:t>either</w:t>
            </w:r>
            <w:r w:rsidR="0069130C" w:rsidRPr="00493BE6">
              <w:rPr>
                <w:sz w:val="20"/>
              </w:rPr>
              <w:t>:</w:t>
            </w:r>
          </w:p>
          <w:p w14:paraId="347921B7" w14:textId="1D7027FA" w:rsidR="0069130C" w:rsidRPr="00561AEF" w:rsidRDefault="0069130C" w:rsidP="0069130C">
            <w:pPr>
              <w:pStyle w:val="ListParagraph"/>
              <w:numPr>
                <w:ilvl w:val="0"/>
                <w:numId w:val="14"/>
              </w:num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61A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the manufacturer is the holder of a valid licence under Part 8 of the Code that authorises carrying out a step in the manufacture of the </w:t>
            </w:r>
            <w:r w:rsidR="00DA00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chemical </w:t>
            </w:r>
            <w:r w:rsidRPr="00561AE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product at premises at the site; or</w:t>
            </w:r>
          </w:p>
          <w:p w14:paraId="260F3CCD" w14:textId="0FEAB565" w:rsidR="0069130C" w:rsidRDefault="0069130C" w:rsidP="0069130C">
            <w:pPr>
              <w:pStyle w:val="ListParagraph"/>
              <w:numPr>
                <w:ilvl w:val="0"/>
                <w:numId w:val="14"/>
              </w:num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the manufacturer is an exempt person as mentioned in paragraph 121(4)(a) of the Code in relation to the manufacture of the </w:t>
            </w:r>
            <w:r w:rsidR="00DA00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chemical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product</w:t>
            </w:r>
          </w:p>
          <w:p w14:paraId="478FEDD1" w14:textId="77777777" w:rsidR="0069130C" w:rsidRPr="00493BE6" w:rsidRDefault="0069130C" w:rsidP="00DB146E">
            <w:pPr>
              <w:spacing w:before="60" w:line="240" w:lineRule="atLeast"/>
              <w:ind w:left="1206" w:hanging="284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3CD2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any registration of a chemical product other than a chemical product that is prescribed under subregulation 59(1)</w:t>
            </w:r>
          </w:p>
        </w:tc>
      </w:tr>
      <w:tr w:rsidR="0069130C" w:rsidRPr="00493BE6" w14:paraId="2769DF54" w14:textId="77777777" w:rsidTr="00DB146E">
        <w:trPr>
          <w:trHeight w:val="1665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665B" w14:textId="2C815B69" w:rsidR="0069130C" w:rsidRDefault="00F517C6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  <w:p w14:paraId="3A097DF0" w14:textId="77777777" w:rsidR="0069130C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  <w:p w14:paraId="1931219A" w14:textId="77777777" w:rsidR="0069130C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  <w:p w14:paraId="0CE2DA61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E910" w14:textId="77777777" w:rsidR="00F517C6" w:rsidRPr="00F517C6" w:rsidRDefault="00F517C6" w:rsidP="004815A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517C6">
              <w:rPr>
                <w:rFonts w:eastAsia="Times New Roman" w:cs="Times New Roman"/>
                <w:sz w:val="20"/>
                <w:lang w:eastAsia="en-AU"/>
              </w:rPr>
              <w:t>A variation of either or both of the following particulars:</w:t>
            </w:r>
          </w:p>
          <w:p w14:paraId="527CE317" w14:textId="799CA787" w:rsidR="00F517C6" w:rsidRPr="001910C8" w:rsidRDefault="00F517C6" w:rsidP="00DB146E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ind w:hanging="581"/>
              <w:rPr>
                <w:rFonts w:eastAsia="Times New Roman" w:cs="Times New Roman"/>
                <w:sz w:val="20"/>
                <w:lang w:eastAsia="en-AU"/>
              </w:rPr>
            </w:pPr>
            <w:r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the name of a manufacturer </w:t>
            </w:r>
            <w:r w:rsidR="00DA0042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of a chemical product </w:t>
            </w:r>
            <w:r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outside Australia;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</w:t>
            </w:r>
          </w:p>
          <w:p w14:paraId="75E06F03" w14:textId="52F7FB6A" w:rsidR="004815A7" w:rsidRPr="00DB146E" w:rsidRDefault="007D07AA" w:rsidP="00DB146E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ind w:hanging="581"/>
              <w:rPr>
                <w:rFonts w:eastAsia="Times New Roman" w:cs="Times New Roman"/>
                <w:sz w:val="20"/>
                <w:lang w:eastAsia="en-AU"/>
              </w:rPr>
            </w:pPr>
            <w:r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the address of each site outside Australia </w:t>
            </w:r>
            <w:r w:rsidR="004815A7"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at which the chemical product is manufactured by a manufacturer </w:t>
            </w:r>
            <w:r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that conducts secondary steps of manufacture </w:t>
            </w:r>
            <w:r w:rsidR="004815A7"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(excluding the step of a biological assay for an immunobiological product) </w:t>
            </w:r>
            <w:r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in relation to </w:t>
            </w:r>
            <w:r w:rsidR="004815A7"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the chemical </w:t>
            </w:r>
            <w:r w:rsidRPr="00DB146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product</w:t>
            </w:r>
            <w:r w:rsidR="004815A7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, but only if, under the varied particulars:</w:t>
            </w:r>
          </w:p>
          <w:p w14:paraId="37E70B68" w14:textId="31393117" w:rsidR="0069130C" w:rsidRPr="00493BE6" w:rsidRDefault="001979ED" w:rsidP="00DB146E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ind w:left="1131" w:hanging="411"/>
              <w:rPr>
                <w:lang w:eastAsia="en-AU"/>
              </w:rPr>
            </w:pPr>
            <w:r w:rsidRP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the </w:t>
            </w:r>
            <w:r w:rsidR="00FA41AE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holder of the registration of the chemical product </w:t>
            </w:r>
            <w:r w:rsidRP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possesses </w:t>
            </w:r>
            <w:r w:rsidR="00B95F61" w:rsidRP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>evidence</w:t>
            </w:r>
            <w:r w:rsidRP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that each step in the manufacture of the chemical product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by</w:t>
            </w:r>
            <w:r w:rsidR="00DA0042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the manufacturer at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the </w:t>
            </w:r>
            <w:r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site of manufacture 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conforms to </w:t>
            </w:r>
            <w:r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a standard that the APVMA has determined is comparable to 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the </w:t>
            </w:r>
            <w:r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manufacturing principles and the Australian GMP Code 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B267" w14:textId="171B84DE" w:rsidR="0069130C" w:rsidRPr="00493BE6" w:rsidRDefault="007D07AA" w:rsidP="00DB146E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</w:pPr>
            <w:r>
              <w:rPr>
                <w:color w:val="000000"/>
                <w:sz w:val="20"/>
                <w:szCs w:val="20"/>
              </w:rPr>
              <w:t>a registration of a chemical product, other than a chemical product</w:t>
            </w:r>
            <w:r w:rsidR="00715A9B">
              <w:rPr>
                <w:color w:val="000000"/>
                <w:sz w:val="20"/>
                <w:szCs w:val="20"/>
              </w:rPr>
              <w:t xml:space="preserve"> that is</w:t>
            </w:r>
            <w:r w:rsidR="00892CB0">
              <w:rPr>
                <w:color w:val="000000"/>
                <w:sz w:val="20"/>
                <w:szCs w:val="20"/>
              </w:rPr>
              <w:t xml:space="preserve"> </w:t>
            </w:r>
            <w:r w:rsidR="00715A9B" w:rsidRPr="00715A9B">
              <w:rPr>
                <w:color w:val="000000"/>
                <w:sz w:val="20"/>
                <w:szCs w:val="20"/>
              </w:rPr>
              <w:t>prescri</w:t>
            </w:r>
            <w:r w:rsidR="00892CB0">
              <w:rPr>
                <w:color w:val="000000"/>
                <w:sz w:val="20"/>
                <w:szCs w:val="20"/>
              </w:rPr>
              <w:t>bed under subregulation 59(1)</w:t>
            </w:r>
          </w:p>
        </w:tc>
      </w:tr>
      <w:tr w:rsidR="00715A9B" w:rsidRPr="00493BE6" w14:paraId="4F962D63" w14:textId="77777777" w:rsidTr="007D07AA">
        <w:trPr>
          <w:trHeight w:val="1665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5F0D" w14:textId="15C4FC89" w:rsidR="00715A9B" w:rsidRPr="00493BE6" w:rsidRDefault="00F517C6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3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373D" w14:textId="77777777" w:rsidR="00F517C6" w:rsidRDefault="004815A7" w:rsidP="004815A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A variation </w:t>
            </w:r>
            <w:r w:rsidR="00F517C6">
              <w:rPr>
                <w:rFonts w:eastAsia="Times New Roman" w:cs="Times New Roman"/>
                <w:sz w:val="20"/>
                <w:lang w:eastAsia="en-AU"/>
              </w:rPr>
              <w:t>of either or both of the following particulars:</w:t>
            </w:r>
          </w:p>
          <w:p w14:paraId="6BD9F121" w14:textId="4118DCFA" w:rsidR="00F517C6" w:rsidRPr="00AE6846" w:rsidRDefault="00F517C6" w:rsidP="00F517C6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ind w:left="706" w:hanging="426"/>
              <w:rPr>
                <w:rFonts w:ascii="Times New Roman" w:eastAsia="Times New Roman" w:hAnsi="Times New Roman" w:cs="Times New Roman"/>
                <w:sz w:val="20"/>
                <w:lang w:eastAsia="en-AU"/>
              </w:rPr>
            </w:pPr>
            <w:r w:rsidRPr="00AE6846">
              <w:rPr>
                <w:rFonts w:ascii="Times New Roman" w:eastAsia="Times New Roman" w:hAnsi="Times New Roman" w:cs="Times New Roman"/>
                <w:sz w:val="20"/>
                <w:lang w:eastAsia="en-AU"/>
              </w:rPr>
              <w:t>the name of a manufacturer</w:t>
            </w:r>
            <w:r w:rsidR="00DA0042" w:rsidRPr="00AE684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of a chemical product</w:t>
            </w:r>
            <w:r w:rsidRPr="00AE684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outside Australia;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</w:t>
            </w:r>
          </w:p>
          <w:p w14:paraId="33B03EC7" w14:textId="71E2280D" w:rsidR="004815A7" w:rsidRPr="00DB146E" w:rsidRDefault="00715A9B" w:rsidP="00DB146E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ind w:left="706" w:hanging="426"/>
              <w:rPr>
                <w:rFonts w:eastAsia="Times New Roman" w:cs="Times New Roman"/>
                <w:sz w:val="20"/>
                <w:lang w:eastAsia="en-AU"/>
              </w:rPr>
            </w:pPr>
            <w:r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the address of each site outside Australia </w:t>
            </w:r>
            <w:r w:rsidR="004815A7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at which the chemical product is manufactured by a manufacturer </w:t>
            </w:r>
            <w:r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that conducts primary steps of manuf</w:t>
            </w:r>
            <w:r w:rsidR="004815A7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acture in relation to the chemical product, but only if, under the varied particulars:</w:t>
            </w:r>
          </w:p>
          <w:p w14:paraId="0B6535F5" w14:textId="431F7D45" w:rsidR="00715A9B" w:rsidRDefault="00DA0042" w:rsidP="00DB146E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ind w:left="1131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at the time of the holder’s application, </w:t>
            </w:r>
            <w:r w:rsidR="004815A7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the site of m</w:t>
            </w:r>
            <w:r w:rsidR="001979ED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anufacture is</w:t>
            </w:r>
            <w:r w:rsidR="00B95F61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entered i</w:t>
            </w:r>
            <w:r w:rsidR="001979ED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n the Register</w:t>
            </w:r>
            <w:r w:rsidR="004815A7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as a site for another chemical product of the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</w:t>
            </w:r>
            <w:r w:rsidR="004815A7">
              <w:rPr>
                <w:rFonts w:ascii="Times New Roman" w:eastAsia="Times New Roman" w:hAnsi="Times New Roman" w:cs="Times New Roman"/>
                <w:sz w:val="20"/>
                <w:lang w:eastAsia="en-AU"/>
              </w:rPr>
              <w:t>holder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>,</w:t>
            </w:r>
            <w:r w:rsidR="004815A7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and the manufacturer conducts </w:t>
            </w:r>
            <w:r w:rsidR="004815A7" w:rsidRPr="00DB146E">
              <w:rPr>
                <w:rFonts w:ascii="Times New Roman" w:eastAsia="Times New Roman" w:hAnsi="Times New Roman" w:cs="Times New Roman"/>
                <w:sz w:val="20"/>
                <w:lang w:eastAsia="en-AU"/>
              </w:rPr>
              <w:t>the same steps of manufacture</w:t>
            </w:r>
            <w:r w:rsidR="008E6070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in relation to the other chemical product</w:t>
            </w:r>
            <w:r w:rsidR="004815A7">
              <w:rPr>
                <w:rFonts w:ascii="Times New Roman" w:eastAsia="Times New Roman" w:hAnsi="Times New Roman" w:cs="Times New Roman"/>
                <w:sz w:val="20"/>
                <w:lang w:eastAsia="en-AU"/>
              </w:rPr>
              <w:t>; and</w:t>
            </w:r>
          </w:p>
          <w:p w14:paraId="308BC09B" w14:textId="5A20A204" w:rsidR="00715A9B" w:rsidRPr="00DB146E" w:rsidRDefault="00FA41AE" w:rsidP="00DB146E">
            <w:pPr>
              <w:pStyle w:val="ListParagraph"/>
              <w:numPr>
                <w:ilvl w:val="0"/>
                <w:numId w:val="21"/>
              </w:numPr>
              <w:ind w:left="1131" w:hanging="425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AU"/>
              </w:rPr>
              <w:t>the holder of the registration of the chemical product</w:t>
            </w:r>
            <w:r w:rsidR="00F517C6" w:rsidRPr="00AE684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possesses evidence that each step in the manufacture of the chemical product</w:t>
            </w:r>
            <w:r w:rsid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by</w:t>
            </w:r>
            <w:r w:rsidR="00F517C6"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 the manufacturer a</w:t>
            </w:r>
            <w:r w:rsidR="00DA0042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 </w:t>
            </w:r>
            <w:r w:rsid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the </w:t>
            </w:r>
            <w:r w:rsidR="00F517C6"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site of manufacture </w:t>
            </w:r>
            <w:r w:rsid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conforms to </w:t>
            </w:r>
            <w:r w:rsidR="00F517C6"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a standard that the APVMA has determined is comparable to </w:t>
            </w:r>
            <w:r w:rsidR="00F517C6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the </w:t>
            </w:r>
            <w:r w:rsidR="00F517C6" w:rsidRPr="001979ED">
              <w:rPr>
                <w:rFonts w:ascii="Times New Roman" w:eastAsia="Times New Roman" w:hAnsi="Times New Roman" w:cs="Times New Roman"/>
                <w:sz w:val="20"/>
                <w:lang w:eastAsia="en-AU"/>
              </w:rPr>
              <w:t xml:space="preserve">manufacturing principles and the Australian GMP Code 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D245" w14:textId="77777777" w:rsidR="004815A7" w:rsidRDefault="00715A9B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registration of a chemical product, other </w:t>
            </w:r>
            <w:r w:rsidR="00892CB0">
              <w:rPr>
                <w:color w:val="000000"/>
                <w:sz w:val="20"/>
                <w:szCs w:val="20"/>
              </w:rPr>
              <w:t xml:space="preserve">than </w:t>
            </w:r>
          </w:p>
          <w:p w14:paraId="5C57AAB5" w14:textId="77777777" w:rsidR="00715A9B" w:rsidRDefault="00892CB0" w:rsidP="00DB146E">
            <w:pPr>
              <w:pStyle w:val="tabletext0"/>
              <w:numPr>
                <w:ilvl w:val="0"/>
                <w:numId w:val="17"/>
              </w:numPr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chemical product that is </w:t>
            </w:r>
            <w:r w:rsidR="00715A9B" w:rsidRPr="00715A9B">
              <w:rPr>
                <w:color w:val="000000"/>
                <w:sz w:val="20"/>
                <w:szCs w:val="20"/>
              </w:rPr>
              <w:t>prescribed under subregulation 59(1)</w:t>
            </w:r>
            <w:r w:rsidR="004815A7">
              <w:rPr>
                <w:color w:val="000000"/>
                <w:sz w:val="20"/>
                <w:szCs w:val="20"/>
              </w:rPr>
              <w:t>; or</w:t>
            </w:r>
          </w:p>
          <w:p w14:paraId="2A3CD585" w14:textId="77777777" w:rsidR="004815A7" w:rsidRDefault="004815A7" w:rsidP="00DB146E">
            <w:pPr>
              <w:pStyle w:val="tabletext0"/>
              <w:numPr>
                <w:ilvl w:val="0"/>
                <w:numId w:val="17"/>
              </w:numPr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 immunobiological product</w:t>
            </w:r>
          </w:p>
          <w:p w14:paraId="7AD81B24" w14:textId="77777777" w:rsidR="00715A9B" w:rsidRDefault="00715A9B" w:rsidP="007D07AA">
            <w:pPr>
              <w:pStyle w:val="tabletext0"/>
              <w:shd w:val="clear" w:color="auto" w:fill="FFFFFF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69130C" w:rsidRPr="00493BE6" w14:paraId="1EDCDAAD" w14:textId="77777777" w:rsidTr="00BF04B9">
        <w:trPr>
          <w:trHeight w:val="1665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0BCD" w14:textId="2B2E5AEA" w:rsidR="0069130C" w:rsidRPr="00493BE6" w:rsidRDefault="00F517C6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9355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A variation of one or more constituents of a chemical product if:</w:t>
            </w:r>
          </w:p>
          <w:p w14:paraId="7326183D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(a) the constituent (the </w:t>
            </w:r>
            <w:r w:rsidRPr="00493BE6">
              <w:rPr>
                <w:rFonts w:eastAsia="Times New Roman" w:cs="Times New Roman"/>
                <w:b/>
                <w:bCs/>
                <w:i/>
                <w:iCs/>
                <w:sz w:val="20"/>
                <w:lang w:eastAsia="en-AU"/>
              </w:rPr>
              <w:t>original constituent</w:t>
            </w:r>
            <w:r w:rsidRPr="00493BE6">
              <w:rPr>
                <w:rFonts w:eastAsia="Times New Roman" w:cs="Times New Roman"/>
                <w:sz w:val="20"/>
                <w:lang w:eastAsia="en-AU"/>
              </w:rPr>
              <w:t>) is replaced with another constituent (the </w:t>
            </w:r>
            <w:r w:rsidRPr="00493BE6">
              <w:rPr>
                <w:rFonts w:eastAsia="Times New Roman" w:cs="Times New Roman"/>
                <w:b/>
                <w:bCs/>
                <w:i/>
                <w:iCs/>
                <w:sz w:val="20"/>
                <w:lang w:eastAsia="en-AU"/>
              </w:rPr>
              <w:t>replacement constituent</w:t>
            </w:r>
            <w:r w:rsidRPr="00493BE6">
              <w:rPr>
                <w:rFonts w:eastAsia="Times New Roman" w:cs="Times New Roman"/>
                <w:sz w:val="20"/>
                <w:lang w:eastAsia="en-AU"/>
              </w:rPr>
              <w:t>); and</w:t>
            </w:r>
          </w:p>
          <w:p w14:paraId="177CDFD0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(b) the original constituent is not an active constituent of the product; and</w:t>
            </w:r>
          </w:p>
          <w:p w14:paraId="2CA2E796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(c) the replacement constituent will not be an active constituent of the product; and</w:t>
            </w:r>
          </w:p>
          <w:p w14:paraId="009B21BD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(d) the original and replacement constituents have the same purpose in the product; and</w:t>
            </w:r>
          </w:p>
          <w:p w14:paraId="5A6A04A2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(e) the original and replacement constituents differ only in solvates or hydrates; and</w:t>
            </w:r>
          </w:p>
          <w:p w14:paraId="3040A4CD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(f) the original and replacement constituents have the same:</w:t>
            </w:r>
          </w:p>
          <w:p w14:paraId="3AFF2BA2" w14:textId="77777777" w:rsidR="0069130C" w:rsidRPr="00493BE6" w:rsidRDefault="0069130C" w:rsidP="00BF04B9">
            <w:pPr>
              <w:spacing w:line="240" w:lineRule="atLeast"/>
              <w:ind w:left="828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(i) pH; and</w:t>
            </w:r>
          </w:p>
          <w:p w14:paraId="6A39B38D" w14:textId="77777777" w:rsidR="0069130C" w:rsidRPr="00493BE6" w:rsidRDefault="0069130C" w:rsidP="00BF04B9">
            <w:pPr>
              <w:spacing w:line="240" w:lineRule="atLeast"/>
              <w:ind w:left="828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lastRenderedPageBreak/>
              <w:t>(ii) dissolution profile; and</w:t>
            </w:r>
          </w:p>
          <w:p w14:paraId="42AA0FEC" w14:textId="77777777" w:rsidR="0069130C" w:rsidRPr="00493BE6" w:rsidRDefault="0069130C" w:rsidP="00BF04B9">
            <w:pPr>
              <w:spacing w:line="240" w:lineRule="atLeast"/>
              <w:ind w:left="828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(iii) hydrophilic or hydrophobic behaviour; and</w:t>
            </w:r>
          </w:p>
          <w:p w14:paraId="1131B990" w14:textId="77777777" w:rsidR="0069130C" w:rsidRPr="00493BE6" w:rsidRDefault="0069130C" w:rsidP="00BF04B9">
            <w:pPr>
              <w:spacing w:line="240" w:lineRule="atLeast"/>
              <w:ind w:left="828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(iv) hygroscopic behaviour; and</w:t>
            </w:r>
          </w:p>
          <w:p w14:paraId="3BA88136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(g) neither the original nor replacement constituent are a nanomaterial; and</w:t>
            </w:r>
          </w:p>
          <w:p w14:paraId="4A71BB6D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(h) in the case of the original and replacement constituents being a straight or branched unsaturated hydrocarbon—the change in the length of the hydrocarbon chain is not more than 33% of the length of the original constituent’s hydrocarbon chain; and</w:t>
            </w:r>
          </w:p>
          <w:p w14:paraId="08301107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(i) the replacement constituent does not introduce material of human or animal origin into the product; and</w:t>
            </w:r>
          </w:p>
          <w:p w14:paraId="3709F782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(j) the variation does not require variation to the signal words required by the current Poisons Standard to be on the label of the product; and</w:t>
            </w:r>
          </w:p>
          <w:p w14:paraId="14691863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(k) in the case of a product that is a molluscicide in the form of a bait or a product applied to seeds to be stored before planting or sowing—the variation does not change the colour of the product; and</w:t>
            </w:r>
          </w:p>
          <w:p w14:paraId="1ED93F7F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(l) the variation does not require the formulation type entered in the Register for the product to be varied; and</w:t>
            </w:r>
          </w:p>
          <w:p w14:paraId="0F65A117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(m) in the case of a product that has 9 or more constituents entered in the Register for the product—the variation is to no more than 25% of the number of constituents entered in the Register for the product; and</w:t>
            </w:r>
          </w:p>
          <w:p w14:paraId="48E19A70" w14:textId="77777777" w:rsidR="0069130C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(n) in the case of a product that has less than 9 constituents entered in the Register for the product—the variation is to one or 2 of the constituents entered in the Register for the product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A58A" w14:textId="77777777" w:rsidR="0069130C" w:rsidRPr="00493BE6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lastRenderedPageBreak/>
              <w:t>a registration of a chemical product, other than a chemical product that is:</w:t>
            </w:r>
          </w:p>
          <w:p w14:paraId="0B51535D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(a) an antibiotic product; or</w:t>
            </w:r>
          </w:p>
          <w:p w14:paraId="49F7BB0D" w14:textId="77777777" w:rsidR="0069130C" w:rsidRPr="00493BE6" w:rsidRDefault="0069130C" w:rsidP="00BF04B9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(b) an immunobiological product; or</w:t>
            </w:r>
          </w:p>
          <w:p w14:paraId="3FCFB844" w14:textId="77777777" w:rsidR="0069130C" w:rsidRDefault="0069130C" w:rsidP="00BF04B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3BE6">
              <w:rPr>
                <w:rFonts w:eastAsia="Times New Roman" w:cs="Times New Roman"/>
                <w:sz w:val="20"/>
                <w:lang w:eastAsia="en-AU"/>
              </w:rPr>
              <w:t>(c) a product that is administered through direct injection into an animal</w:t>
            </w:r>
          </w:p>
        </w:tc>
      </w:tr>
    </w:tbl>
    <w:p w14:paraId="21719AC7" w14:textId="50BEB8A6" w:rsidR="003F6F52" w:rsidRPr="00DA182D" w:rsidRDefault="003F6F52" w:rsidP="00DB146E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8E92" w14:textId="77777777" w:rsidR="00CC224B" w:rsidRDefault="00CC224B" w:rsidP="0048364F">
      <w:pPr>
        <w:spacing w:line="240" w:lineRule="auto"/>
      </w:pPr>
      <w:r>
        <w:separator/>
      </w:r>
    </w:p>
  </w:endnote>
  <w:endnote w:type="continuationSeparator" w:id="0">
    <w:p w14:paraId="256B0646" w14:textId="77777777" w:rsidR="00CC224B" w:rsidRDefault="00CC22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4455930" w14:textId="77777777" w:rsidTr="0001176A">
      <w:tc>
        <w:tcPr>
          <w:tcW w:w="5000" w:type="pct"/>
        </w:tcPr>
        <w:p w14:paraId="4FB0FF77" w14:textId="0657569D" w:rsidR="009278C1" w:rsidRDefault="00D1063C" w:rsidP="0001176A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0" allowOverlap="1" wp14:anchorId="5FA288FE" wp14:editId="097A0EB3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posOffset>304800</wp:posOffset>
                    </wp:positionV>
                    <wp:extent cx="892175" cy="273050"/>
                    <wp:effectExtent l="0" t="0" r="0" b="0"/>
                    <wp:wrapNone/>
                    <wp:docPr id="9" name="janusSEAL SC F_Even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0DDAD7" w14:textId="012FADB3" w:rsidR="00D1063C" w:rsidRPr="00D1063C" w:rsidRDefault="00D1063C" w:rsidP="00D106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A288FE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_EvenPage" o:spid="_x0000_s1028" type="#_x0000_t202" style="position:absolute;margin-left:0;margin-top:24pt;width:70.25pt;height:21.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" o:allowincell="f" filled="f" stroked="f" strokeweight=".5pt">
                    <v:fill o:detectmouseclick="t"/>
                    <v:textbox style="mso-fit-shape-to-text:t">
                      <w:txbxContent>
                        <w:p w14:paraId="700DDAD7" w14:textId="012FADB3" w:rsidR="00D1063C" w:rsidRPr="00D1063C" w:rsidRDefault="00D1063C" w:rsidP="00D106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037B61E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1E17973" w14:textId="77777777" w:rsidTr="00C160A1">
      <w:tc>
        <w:tcPr>
          <w:tcW w:w="5000" w:type="pct"/>
        </w:tcPr>
        <w:p w14:paraId="59CDA937" w14:textId="601259AD" w:rsidR="00B20990" w:rsidRDefault="00D1063C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 wp14:anchorId="3B072E6B" wp14:editId="77ABE52F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posOffset>304800</wp:posOffset>
                    </wp:positionV>
                    <wp:extent cx="892175" cy="273050"/>
                    <wp:effectExtent l="0" t="0" r="0" b="0"/>
                    <wp:wrapNone/>
                    <wp:docPr id="7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898BA" w14:textId="497C3685" w:rsidR="00D1063C" w:rsidRPr="00D1063C" w:rsidRDefault="00D1063C" w:rsidP="00D106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072E6B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9" type="#_x0000_t202" style="position:absolute;margin-left:0;margin-top:24pt;width:70.25pt;height:21.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" o:allowincell="f" filled="f" stroked="f" strokeweight=".5pt">
                    <v:fill o:detectmouseclick="t"/>
                    <v:textbox style="mso-fit-shape-to-text:t">
                      <w:txbxContent>
                        <w:p w14:paraId="558898BA" w14:textId="497C3685" w:rsidR="00D1063C" w:rsidRPr="00D1063C" w:rsidRDefault="00D1063C" w:rsidP="00D106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01FCFBC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710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2FD6B3C" w14:textId="77777777" w:rsidTr="00C160A1">
      <w:tc>
        <w:tcPr>
          <w:tcW w:w="5000" w:type="pct"/>
        </w:tcPr>
        <w:p w14:paraId="1D2AEE1C" w14:textId="77777777" w:rsidR="00B20990" w:rsidRDefault="00B20990" w:rsidP="00465764">
          <w:pPr>
            <w:rPr>
              <w:sz w:val="18"/>
            </w:rPr>
          </w:pPr>
        </w:p>
      </w:tc>
    </w:tr>
  </w:tbl>
  <w:p w14:paraId="1F07A61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6C06" w14:textId="638391C0" w:rsidR="00B20990" w:rsidRPr="00E33C1C" w:rsidRDefault="00D1063C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497B6577" wp14:editId="70C1E33F">
              <wp:simplePos x="0" y="0"/>
              <wp:positionH relativeFrom="margin">
                <wp:align>center</wp:align>
              </wp:positionH>
              <wp:positionV relativeFrom="bottomMargin">
                <wp:posOffset>304800</wp:posOffset>
              </wp:positionV>
              <wp:extent cx="892175" cy="273050"/>
              <wp:effectExtent l="0" t="0" r="0" b="0"/>
              <wp:wrapNone/>
              <wp:docPr id="13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341BF4" w14:textId="4FED2361" w:rsidR="00D1063C" w:rsidRPr="00D1063C" w:rsidRDefault="00D1063C" w:rsidP="00D106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B6577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35" type="#_x0000_t202" style="position:absolute;margin-left:0;margin-top:24pt;width:70.25pt;height:21.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" o:allowincell="f" filled="f" stroked="f" strokeweight=".5pt">
              <v:fill o:detectmouseclick="t"/>
              <v:textbox style="mso-fit-shape-to-text:t">
                <w:txbxContent>
                  <w:p w14:paraId="52341BF4" w14:textId="4FED2361" w:rsidR="00D1063C" w:rsidRPr="00D1063C" w:rsidRDefault="00D1063C" w:rsidP="00D1063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5E4803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E62DC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76C7B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130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2D7A51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59E52E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A17FEF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5DE5E3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324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0AC7F1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7B9C9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331070" w14:textId="65B51CB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Agricultural and Veterinary Chemicals Code (Prescribed Variations)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00A92BF" w14:textId="6B6FFDC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34EA76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9500DB" w14:textId="77777777" w:rsidR="00B20990" w:rsidRDefault="00B20990" w:rsidP="007946FE">
          <w:pPr>
            <w:rPr>
              <w:sz w:val="18"/>
            </w:rPr>
          </w:pPr>
        </w:p>
      </w:tc>
    </w:tr>
  </w:tbl>
  <w:p w14:paraId="0B79E09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6837" w14:textId="423F138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C2199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5EFB9D" w14:textId="38FA935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E7BD22" w14:textId="5262652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Agricultural and Veterinary Chemicals Code (Prescribed Variations)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4F880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80C57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0DAF5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C8B5A3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D87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458738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2F1B1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2FE9FE" w14:textId="352D153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Agricultural and Veterinary Chemicals Code (Prescribed Variations)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30B9E6" w14:textId="6B3422B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9966B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5442F5" w14:textId="77777777" w:rsidR="00EE57E8" w:rsidRDefault="00EE57E8" w:rsidP="00EE57E8">
          <w:pPr>
            <w:rPr>
              <w:sz w:val="18"/>
            </w:rPr>
          </w:pPr>
        </w:p>
      </w:tc>
    </w:tr>
  </w:tbl>
  <w:p w14:paraId="2706D07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B01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E240E1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B6113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262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130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CA2CC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6993A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3CFBEB" w14:textId="4C8510C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9130C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A2728">
            <w:rPr>
              <w:i/>
              <w:noProof/>
              <w:sz w:val="18"/>
            </w:rPr>
            <w:t>14/8/2020 11:49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60F35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770FD" w14:textId="77777777" w:rsidR="00CC224B" w:rsidRDefault="00CC224B" w:rsidP="0048364F">
      <w:pPr>
        <w:spacing w:line="240" w:lineRule="auto"/>
      </w:pPr>
      <w:r>
        <w:separator/>
      </w:r>
    </w:p>
  </w:footnote>
  <w:footnote w:type="continuationSeparator" w:id="0">
    <w:p w14:paraId="4A195413" w14:textId="77777777" w:rsidR="00CC224B" w:rsidRDefault="00CC22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A9EA" w14:textId="38D8B309" w:rsidR="00B20990" w:rsidRPr="005F1388" w:rsidRDefault="00D1063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C5923DA" wp14:editId="58ED4DAE">
              <wp:simplePos x="0" y="0"/>
              <wp:positionH relativeFrom="margin">
                <wp:align>center</wp:align>
              </wp:positionH>
              <wp:positionV relativeFrom="topMargin">
                <wp:posOffset>101600</wp:posOffset>
              </wp:positionV>
              <wp:extent cx="892175" cy="273050"/>
              <wp:effectExtent l="0" t="0" r="0" b="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F11CD" w14:textId="5539C2AC" w:rsidR="00D1063C" w:rsidRPr="00D1063C" w:rsidRDefault="00D1063C" w:rsidP="00D106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923DA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8pt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" o:allowincell="f" filled="f" stroked="f" strokeweight=".5pt">
              <v:fill o:detectmouseclick="t"/>
              <v:textbox style="mso-fit-shape-to-text:t">
                <w:txbxContent>
                  <w:p w14:paraId="0ADF11CD" w14:textId="5539C2AC" w:rsidR="00D1063C" w:rsidRPr="00D1063C" w:rsidRDefault="00D1063C" w:rsidP="00D1063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82D6" w14:textId="4DC7B6D9" w:rsidR="00B20990" w:rsidRPr="005F1388" w:rsidRDefault="00D1063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1BE8FB5" wp14:editId="22168F0C">
              <wp:simplePos x="0" y="0"/>
              <wp:positionH relativeFrom="margin">
                <wp:align>center</wp:align>
              </wp:positionH>
              <wp:positionV relativeFrom="topMargin">
                <wp:posOffset>101600</wp:posOffset>
              </wp:positionV>
              <wp:extent cx="892175" cy="273050"/>
              <wp:effectExtent l="0" t="0" r="0" b="0"/>
              <wp:wrapNone/>
              <wp:docPr id="4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89172B" w14:textId="5CE21548" w:rsidR="00D1063C" w:rsidRPr="00D1063C" w:rsidRDefault="00D1063C" w:rsidP="00D106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E8FB5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8pt;width:70.25pt;height:2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" o:allowincell="f" filled="f" stroked="f" strokeweight=".5pt">
              <v:fill o:detectmouseclick="t"/>
              <v:textbox style="mso-fit-shape-to-text:t">
                <w:txbxContent>
                  <w:p w14:paraId="5389172B" w14:textId="5CE21548" w:rsidR="00D1063C" w:rsidRPr="00D1063C" w:rsidRDefault="00D1063C" w:rsidP="00D1063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A294" w14:textId="05B4A18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E005" w14:textId="63CDEA79" w:rsidR="00B20990" w:rsidRPr="00ED79B6" w:rsidRDefault="00D1063C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6DA91193" wp14:editId="67BCE85A">
              <wp:simplePos x="0" y="0"/>
              <wp:positionH relativeFrom="margin">
                <wp:align>center</wp:align>
              </wp:positionH>
              <wp:positionV relativeFrom="topMargin">
                <wp:posOffset>101600</wp:posOffset>
              </wp:positionV>
              <wp:extent cx="892175" cy="273050"/>
              <wp:effectExtent l="0" t="0" r="0" b="0"/>
              <wp:wrapNone/>
              <wp:docPr id="11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6EA7B" w14:textId="5C71DA24" w:rsidR="00D1063C" w:rsidRPr="00D1063C" w:rsidRDefault="00D1063C" w:rsidP="00D106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91193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32" type="#_x0000_t202" style="position:absolute;margin-left:0;margin-top:8pt;width:70.25pt;height:21.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" o:allowincell="f" filled="f" stroked="f" strokeweight=".5pt">
              <v:fill o:detectmouseclick="t"/>
              <v:textbox style="mso-fit-shape-to-text:t">
                <w:txbxContent>
                  <w:p w14:paraId="0406EA7B" w14:textId="5C71DA24" w:rsidR="00D1063C" w:rsidRPr="00D1063C" w:rsidRDefault="00D1063C" w:rsidP="00D1063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21239" w14:textId="63DBB7C5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A9D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B065" w14:textId="71E06EE5" w:rsidR="00EE57E8" w:rsidRPr="00A961C4" w:rsidRDefault="00EE57E8" w:rsidP="0048364F">
    <w:pPr>
      <w:rPr>
        <w:b/>
        <w:sz w:val="20"/>
      </w:rPr>
    </w:pPr>
  </w:p>
  <w:p w14:paraId="1276DD06" w14:textId="77777777" w:rsidR="00EE57E8" w:rsidRPr="00A961C4" w:rsidRDefault="00EE57E8" w:rsidP="0048364F">
    <w:pPr>
      <w:rPr>
        <w:b/>
        <w:sz w:val="20"/>
      </w:rPr>
    </w:pPr>
  </w:p>
  <w:p w14:paraId="7509E9D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406F" w14:textId="01210346" w:rsidR="00EE57E8" w:rsidRPr="00A961C4" w:rsidRDefault="00EE57E8" w:rsidP="0048364F">
    <w:pPr>
      <w:jc w:val="right"/>
      <w:rPr>
        <w:sz w:val="20"/>
      </w:rPr>
    </w:pPr>
  </w:p>
  <w:p w14:paraId="458DBC17" w14:textId="77777777" w:rsidR="00EE57E8" w:rsidRPr="00A961C4" w:rsidRDefault="00EE57E8" w:rsidP="0048364F">
    <w:pPr>
      <w:jc w:val="right"/>
      <w:rPr>
        <w:b/>
        <w:sz w:val="20"/>
      </w:rPr>
    </w:pPr>
  </w:p>
  <w:p w14:paraId="6975890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63C3F"/>
    <w:multiLevelType w:val="hybridMultilevel"/>
    <w:tmpl w:val="F944407A"/>
    <w:lvl w:ilvl="0" w:tplc="A0C07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9928BD"/>
    <w:multiLevelType w:val="hybridMultilevel"/>
    <w:tmpl w:val="29F89C32"/>
    <w:lvl w:ilvl="0" w:tplc="F6BC0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07F90"/>
    <w:multiLevelType w:val="hybridMultilevel"/>
    <w:tmpl w:val="D7E04B60"/>
    <w:lvl w:ilvl="0" w:tplc="C518B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2D34B00"/>
    <w:multiLevelType w:val="hybridMultilevel"/>
    <w:tmpl w:val="317491EA"/>
    <w:lvl w:ilvl="0" w:tplc="6C1CEB02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E76A0"/>
    <w:multiLevelType w:val="hybridMultilevel"/>
    <w:tmpl w:val="11044C08"/>
    <w:lvl w:ilvl="0" w:tplc="A8787A3E">
      <w:start w:val="1"/>
      <w:numFmt w:val="lowerRoman"/>
      <w:lvlText w:val="(%1)"/>
      <w:lvlJc w:val="left"/>
      <w:pPr>
        <w:ind w:left="2160" w:hanging="72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332EC0"/>
    <w:multiLevelType w:val="hybridMultilevel"/>
    <w:tmpl w:val="F944407A"/>
    <w:lvl w:ilvl="0" w:tplc="A0C07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7C66"/>
    <w:multiLevelType w:val="hybridMultilevel"/>
    <w:tmpl w:val="B90CAC1E"/>
    <w:lvl w:ilvl="0" w:tplc="9AAEAB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2A7079"/>
    <w:multiLevelType w:val="hybridMultilevel"/>
    <w:tmpl w:val="D7E04B60"/>
    <w:lvl w:ilvl="0" w:tplc="C518B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4"/>
  </w:num>
  <w:num w:numId="15">
    <w:abstractNumId w:val="20"/>
  </w:num>
  <w:num w:numId="16">
    <w:abstractNumId w:val="18"/>
  </w:num>
  <w:num w:numId="17">
    <w:abstractNumId w:val="13"/>
  </w:num>
  <w:num w:numId="18">
    <w:abstractNumId w:val="11"/>
  </w:num>
  <w:num w:numId="19">
    <w:abstractNumId w:val="19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C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253D"/>
    <w:rsid w:val="00184261"/>
    <w:rsid w:val="001910C8"/>
    <w:rsid w:val="00193461"/>
    <w:rsid w:val="001937E9"/>
    <w:rsid w:val="001939E1"/>
    <w:rsid w:val="0019452E"/>
    <w:rsid w:val="00195382"/>
    <w:rsid w:val="001979ED"/>
    <w:rsid w:val="001A16DE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481D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2783B"/>
    <w:rsid w:val="00327913"/>
    <w:rsid w:val="003415D3"/>
    <w:rsid w:val="003442F6"/>
    <w:rsid w:val="00346335"/>
    <w:rsid w:val="00352B0F"/>
    <w:rsid w:val="0035464A"/>
    <w:rsid w:val="003561B0"/>
    <w:rsid w:val="00397893"/>
    <w:rsid w:val="003A15AC"/>
    <w:rsid w:val="003A2728"/>
    <w:rsid w:val="003B0627"/>
    <w:rsid w:val="003C5F2B"/>
    <w:rsid w:val="003C7D35"/>
    <w:rsid w:val="003D0BFE"/>
    <w:rsid w:val="003D5700"/>
    <w:rsid w:val="003D7003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5A7"/>
    <w:rsid w:val="004819C7"/>
    <w:rsid w:val="0048364F"/>
    <w:rsid w:val="004877FC"/>
    <w:rsid w:val="00490F2E"/>
    <w:rsid w:val="00496F97"/>
    <w:rsid w:val="004A53EA"/>
    <w:rsid w:val="004B35E7"/>
    <w:rsid w:val="004E0B43"/>
    <w:rsid w:val="004F1FAC"/>
    <w:rsid w:val="004F3D1B"/>
    <w:rsid w:val="004F676E"/>
    <w:rsid w:val="004F71C0"/>
    <w:rsid w:val="00516B8D"/>
    <w:rsid w:val="0052756C"/>
    <w:rsid w:val="00530230"/>
    <w:rsid w:val="00530CC9"/>
    <w:rsid w:val="00531B46"/>
    <w:rsid w:val="0053426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130C"/>
    <w:rsid w:val="0069207B"/>
    <w:rsid w:val="006A304E"/>
    <w:rsid w:val="006B7006"/>
    <w:rsid w:val="006C7F8C"/>
    <w:rsid w:val="006D45D1"/>
    <w:rsid w:val="006D7AB9"/>
    <w:rsid w:val="00700B2C"/>
    <w:rsid w:val="00713084"/>
    <w:rsid w:val="00715A9B"/>
    <w:rsid w:val="00717463"/>
    <w:rsid w:val="00720FC2"/>
    <w:rsid w:val="00722E89"/>
    <w:rsid w:val="00731E00"/>
    <w:rsid w:val="007339C7"/>
    <w:rsid w:val="007440B7"/>
    <w:rsid w:val="00744607"/>
    <w:rsid w:val="00747993"/>
    <w:rsid w:val="00757FF9"/>
    <w:rsid w:val="007634AD"/>
    <w:rsid w:val="007715C9"/>
    <w:rsid w:val="00774EDD"/>
    <w:rsid w:val="007757EC"/>
    <w:rsid w:val="007A6863"/>
    <w:rsid w:val="007C78B4"/>
    <w:rsid w:val="007D07AA"/>
    <w:rsid w:val="007D74EA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2671"/>
    <w:rsid w:val="00856A31"/>
    <w:rsid w:val="008754D0"/>
    <w:rsid w:val="00877C69"/>
    <w:rsid w:val="00877D48"/>
    <w:rsid w:val="0088345B"/>
    <w:rsid w:val="00892CB0"/>
    <w:rsid w:val="008A16A5"/>
    <w:rsid w:val="008A5C57"/>
    <w:rsid w:val="008C0629"/>
    <w:rsid w:val="008D0EE0"/>
    <w:rsid w:val="008D7A27"/>
    <w:rsid w:val="008E4702"/>
    <w:rsid w:val="008E6070"/>
    <w:rsid w:val="008E69AA"/>
    <w:rsid w:val="008F4F1C"/>
    <w:rsid w:val="009069AD"/>
    <w:rsid w:val="0090752F"/>
    <w:rsid w:val="00910E64"/>
    <w:rsid w:val="00922764"/>
    <w:rsid w:val="009278C1"/>
    <w:rsid w:val="00932377"/>
    <w:rsid w:val="009346E3"/>
    <w:rsid w:val="0094523D"/>
    <w:rsid w:val="00961E59"/>
    <w:rsid w:val="00976A63"/>
    <w:rsid w:val="00981219"/>
    <w:rsid w:val="009B2490"/>
    <w:rsid w:val="009B50E5"/>
    <w:rsid w:val="009C3431"/>
    <w:rsid w:val="009C5989"/>
    <w:rsid w:val="009C6A32"/>
    <w:rsid w:val="009D08DA"/>
    <w:rsid w:val="009D3CE6"/>
    <w:rsid w:val="009D4E18"/>
    <w:rsid w:val="00A0403F"/>
    <w:rsid w:val="00A06860"/>
    <w:rsid w:val="00A136F5"/>
    <w:rsid w:val="00A231E2"/>
    <w:rsid w:val="00A2550D"/>
    <w:rsid w:val="00A379BB"/>
    <w:rsid w:val="00A4169B"/>
    <w:rsid w:val="00A50D55"/>
    <w:rsid w:val="00A52FDA"/>
    <w:rsid w:val="00A571ED"/>
    <w:rsid w:val="00A64912"/>
    <w:rsid w:val="00A70A74"/>
    <w:rsid w:val="00A9231A"/>
    <w:rsid w:val="00A95BC7"/>
    <w:rsid w:val="00AA0343"/>
    <w:rsid w:val="00AA78CE"/>
    <w:rsid w:val="00AA7B26"/>
    <w:rsid w:val="00AC767C"/>
    <w:rsid w:val="00AC77D0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2393"/>
    <w:rsid w:val="00B93516"/>
    <w:rsid w:val="00B95F61"/>
    <w:rsid w:val="00B96776"/>
    <w:rsid w:val="00B973E5"/>
    <w:rsid w:val="00BA47A3"/>
    <w:rsid w:val="00BA5026"/>
    <w:rsid w:val="00BA7B5B"/>
    <w:rsid w:val="00BB2BBC"/>
    <w:rsid w:val="00BB6E79"/>
    <w:rsid w:val="00BC4A9D"/>
    <w:rsid w:val="00BE42C5"/>
    <w:rsid w:val="00BE719A"/>
    <w:rsid w:val="00BE720A"/>
    <w:rsid w:val="00BF0723"/>
    <w:rsid w:val="00BF6650"/>
    <w:rsid w:val="00BF6C1F"/>
    <w:rsid w:val="00C067E5"/>
    <w:rsid w:val="00C164CA"/>
    <w:rsid w:val="00C26051"/>
    <w:rsid w:val="00C30DA0"/>
    <w:rsid w:val="00C42BF8"/>
    <w:rsid w:val="00C460AE"/>
    <w:rsid w:val="00C50043"/>
    <w:rsid w:val="00C5015F"/>
    <w:rsid w:val="00C50A0F"/>
    <w:rsid w:val="00C50F4A"/>
    <w:rsid w:val="00C71BFE"/>
    <w:rsid w:val="00C72D10"/>
    <w:rsid w:val="00C7573B"/>
    <w:rsid w:val="00C76CF3"/>
    <w:rsid w:val="00C93205"/>
    <w:rsid w:val="00C945DC"/>
    <w:rsid w:val="00CA7844"/>
    <w:rsid w:val="00CB58EF"/>
    <w:rsid w:val="00CC224B"/>
    <w:rsid w:val="00CE0A93"/>
    <w:rsid w:val="00CF0BB2"/>
    <w:rsid w:val="00CF484B"/>
    <w:rsid w:val="00D1063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0042"/>
    <w:rsid w:val="00DA2439"/>
    <w:rsid w:val="00DA6F05"/>
    <w:rsid w:val="00DB146E"/>
    <w:rsid w:val="00DB64FC"/>
    <w:rsid w:val="00DE149E"/>
    <w:rsid w:val="00DE3CF8"/>
    <w:rsid w:val="00E034DB"/>
    <w:rsid w:val="00E05704"/>
    <w:rsid w:val="00E12F1A"/>
    <w:rsid w:val="00E22935"/>
    <w:rsid w:val="00E54292"/>
    <w:rsid w:val="00E60191"/>
    <w:rsid w:val="00E712B0"/>
    <w:rsid w:val="00E74DC7"/>
    <w:rsid w:val="00E87699"/>
    <w:rsid w:val="00E879D3"/>
    <w:rsid w:val="00E92E27"/>
    <w:rsid w:val="00E9586B"/>
    <w:rsid w:val="00E97334"/>
    <w:rsid w:val="00EB3A99"/>
    <w:rsid w:val="00EB65F8"/>
    <w:rsid w:val="00ED4928"/>
    <w:rsid w:val="00ED7CFD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430"/>
    <w:rsid w:val="00F32FCB"/>
    <w:rsid w:val="00F33523"/>
    <w:rsid w:val="00F517C6"/>
    <w:rsid w:val="00F677A9"/>
    <w:rsid w:val="00F8121C"/>
    <w:rsid w:val="00F84CF5"/>
    <w:rsid w:val="00F8612E"/>
    <w:rsid w:val="00F94583"/>
    <w:rsid w:val="00FA41AE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162E"/>
  <w15:docId w15:val="{3C169110-DBE1-414A-972B-57A29660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69130C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tabletext0">
    <w:name w:val="tabletext"/>
    <w:basedOn w:val="Normal"/>
    <w:rsid w:val="007D07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7D07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1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5A7"/>
    <w:pPr>
      <w:spacing w:after="160" w:line="240" w:lineRule="auto"/>
    </w:pPr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5A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6DE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6DE"/>
    <w:rPr>
      <w:rFonts w:ascii="Calibri" w:hAnsi="Calibri"/>
      <w:b/>
      <w:bCs/>
    </w:rPr>
  </w:style>
  <w:style w:type="paragraph" w:customStyle="1" w:styleId="acthead50">
    <w:name w:val="acthead5"/>
    <w:basedOn w:val="Normal"/>
    <w:rsid w:val="00E87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879D3"/>
  </w:style>
  <w:style w:type="paragraph" w:customStyle="1" w:styleId="definition0">
    <w:name w:val="definition"/>
    <w:basedOn w:val="Normal"/>
    <w:rsid w:val="00E879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7.xml" Id="rId21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footer" Target="footer8.xml" Id="rId25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header" Target="header6.xml" Id="rId20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footer" Target="footer7.xml" Id="rId24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footer" Target="footer6.xml" Id="rId23" /><Relationship Type="http://schemas.openxmlformats.org/officeDocument/2006/relationships/header" Target="header1.xml" Id="rId10" /><Relationship Type="http://schemas.openxmlformats.org/officeDocument/2006/relationships/footer" Target="footer5.xml" Id="rId19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header" Target="header3.xml" Id="rId14" /><Relationship Type="http://schemas.openxmlformats.org/officeDocument/2006/relationships/header" Target="header8.xml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d4a3f643844441f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eston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A1870518</value>
    </field>
    <field name="Objective-Title">
      <value order="0">CEO Signed Draft Amending Instrument (Prescribed Variations)</value>
    </field>
    <field name="Objective-Description">
      <value order="0"/>
    </field>
    <field name="Objective-CreationStamp">
      <value order="0">2020-06-24T05:23:55Z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2020-08-14T01:55:12Z</value>
    </field>
    <field name="Objective-Owner">
      <value order="0">Lauren Weston</value>
    </field>
    <field name="Objective-Path">
      <value order="0">APVMA:LEGAL SERVICES:Legal Services - Legislative Instruments:Agricultural and Veterinary Chemicals Code (Prescribed Variations) Instrument 2019 Amendment:Lex 5849 - Prescribed Variations Instrument Amendment:00 Instrument</value>
    </field>
    <field name="Objective-Parent">
      <value order="0">00 Instrument</value>
    </field>
    <field name="Objective-State">
      <value order="0">Being Drafted</value>
    </field>
    <field name="Objective-VersionId">
      <value order="0">vA2892115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2020\11317</value>
    </field>
    <field name="Objective-Classification">
      <value order="0">Unclassified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1197</TotalTime>
  <Pages>9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WESTON, Lauren</dc:creator>
  <cp:keywords> [SEC=OFFICIAL]</cp:keywords>
  <cp:lastModifiedBy>WESTON, Lauren</cp:lastModifiedBy>
  <cp:revision>33</cp:revision>
  <dcterms:created xsi:type="dcterms:W3CDTF">2020-05-22T01:14:00Z</dcterms:created>
  <dcterms:modified xsi:type="dcterms:W3CDTF">2020-08-14T01:55:00Z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A1870518</vt:lpwstr>
  </property>
  <property fmtid="{D5CDD505-2E9C-101B-9397-08002B2CF9AE}" pid="4" name="Objective-Title">
    <vt:lpwstr>CEO Signed Draft Amending Instrument (Prescribed Variations)</vt:lpwstr>
  </property>
  <property fmtid="{D5CDD505-2E9C-101B-9397-08002B2CF9AE}" pid="5" name="Objective-Description">
    <vt:lpwstr/>
  </property>
  <property fmtid="{D5CDD505-2E9C-101B-9397-08002B2CF9AE}" pid="6" name="Objective-CreationStamp">
    <vt:filetime>2020-08-13T23:05:20Z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2020-08-14T01:55:12Z</vt:filetime>
  </property>
  <property fmtid="{D5CDD505-2E9C-101B-9397-08002B2CF9AE}" pid="11" name="Objective-Owner">
    <vt:lpwstr>Lauren Weston</vt:lpwstr>
  </property>
  <property fmtid="{D5CDD505-2E9C-101B-9397-08002B2CF9AE}" pid="12" name="Objective-Path">
    <vt:lpwstr>APVMA:LEGAL SERVICES:Legal Services - Legislative Instruments:Agricultural and Veterinary Chemicals Code (Prescribed Variations) Instrument 2019 Amendment:Lex 5849 - Prescribed Variations Instrument Amendment:00 Instrument:</vt:lpwstr>
  </property>
  <property fmtid="{D5CDD505-2E9C-101B-9397-08002B2CF9AE}" pid="13" name="Objective-Parent">
    <vt:lpwstr>00 Instrument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vA2892115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Caveats_Count">
    <vt:lpwstr>0</vt:lpwstr>
  </property>
  <property fmtid="{D5CDD505-2E9C-101B-9397-08002B2CF9AE}" pid="26" name="PM_DisplayValueSecClassificationWithQualifier">
    <vt:lpwstr>OFFICIAL</vt:lpwstr>
  </property>
  <property fmtid="{D5CDD505-2E9C-101B-9397-08002B2CF9AE}" pid="27" name="PM_Qualifier">
    <vt:lpwstr/>
  </property>
  <property fmtid="{D5CDD505-2E9C-101B-9397-08002B2CF9AE}" pid="28" name="PM_SecurityClassification">
    <vt:lpwstr>OFFICIAL</vt:lpwstr>
  </property>
  <property fmtid="{D5CDD505-2E9C-101B-9397-08002B2CF9AE}" pid="29" name="PM_InsertionValue">
    <vt:lpwstr>OFFICIAL</vt:lpwstr>
  </property>
  <property fmtid="{D5CDD505-2E9C-101B-9397-08002B2CF9AE}" pid="30" name="PM_Originating_FileId">
    <vt:lpwstr>7CB71A56E59A4B6CBDE9E2D4FF37DFA0</vt:lpwstr>
  </property>
  <property fmtid="{D5CDD505-2E9C-101B-9397-08002B2CF9AE}" pid="31" name="PM_ProtectiveMarkingValue_Footer">
    <vt:lpwstr>OFFICIAL</vt:lpwstr>
  </property>
  <property fmtid="{D5CDD505-2E9C-101B-9397-08002B2CF9AE}" pid="32" name="PM_Originator_Hash_SHA1">
    <vt:lpwstr>D5670F99CD79DD9B9157F1FA8D7BB6791079AEF3</vt:lpwstr>
  </property>
  <property fmtid="{D5CDD505-2E9C-101B-9397-08002B2CF9AE}" pid="33" name="PM_OriginationTimeStamp">
    <vt:lpwstr>2020-08-13T03:37:48Z</vt:lpwstr>
  </property>
  <property fmtid="{D5CDD505-2E9C-101B-9397-08002B2CF9AE}" pid="34" name="PM_ProtectiveMarkingValue_Header">
    <vt:lpwstr>OFFICIAL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2018.3</vt:lpwstr>
  </property>
  <property fmtid="{D5CDD505-2E9C-101B-9397-08002B2CF9AE}" pid="38" name="PM_Note">
    <vt:lpwstr/>
  </property>
  <property fmtid="{D5CDD505-2E9C-101B-9397-08002B2CF9AE}" pid="39" name="PM_Markers">
    <vt:lpwstr/>
  </property>
  <property fmtid="{D5CDD505-2E9C-101B-9397-08002B2CF9AE}" pid="40" name="PM_Hash_Version">
    <vt:lpwstr>2018.0</vt:lpwstr>
  </property>
  <property fmtid="{D5CDD505-2E9C-101B-9397-08002B2CF9AE}" pid="41" name="PM_Hash_Salt_Prev">
    <vt:lpwstr>23C7CB114C3D9DD5C49CA4D44F1C0900</vt:lpwstr>
  </property>
  <property fmtid="{D5CDD505-2E9C-101B-9397-08002B2CF9AE}" pid="42" name="PM_Hash_Salt">
    <vt:lpwstr>5AD19E069F3BCFAA47C6FD180856383F</vt:lpwstr>
  </property>
  <property fmtid="{D5CDD505-2E9C-101B-9397-08002B2CF9AE}" pid="43" name="PM_Hash_SHA1">
    <vt:lpwstr>984C8E41EEAE62520E9D3A15AE10425FF011D3D9</vt:lpwstr>
  </property>
  <property fmtid="{D5CDD505-2E9C-101B-9397-08002B2CF9AE}" pid="44" name="PM_SecurityClassification_Prev">
    <vt:lpwstr>OFFICIAL</vt:lpwstr>
  </property>
  <property fmtid="{D5CDD505-2E9C-101B-9397-08002B2CF9AE}" pid="45" name="PM_Qualifier_Prev">
    <vt:lpwstr/>
  </property>
</Properties>
</file>