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C7342" w14:textId="77777777" w:rsidR="00CC63E1" w:rsidRPr="006777D4" w:rsidRDefault="00CC63E1" w:rsidP="00CC63E1">
      <w:pPr>
        <w:pStyle w:val="Default"/>
        <w:spacing w:after="240" w:line="276" w:lineRule="auto"/>
        <w:jc w:val="center"/>
        <w:rPr>
          <w:sz w:val="28"/>
          <w:szCs w:val="28"/>
          <w:u w:val="single"/>
        </w:rPr>
      </w:pPr>
      <w:r w:rsidRPr="006777D4">
        <w:rPr>
          <w:b/>
          <w:bCs/>
          <w:sz w:val="28"/>
          <w:szCs w:val="28"/>
          <w:u w:val="single"/>
        </w:rPr>
        <w:t>EXPLANATORY STATEMENT</w:t>
      </w:r>
    </w:p>
    <w:p w14:paraId="25DE850B" w14:textId="77777777" w:rsidR="00CC63E1" w:rsidRPr="006777D4" w:rsidRDefault="00CC63E1" w:rsidP="00CC63E1">
      <w:pPr>
        <w:spacing w:line="276" w:lineRule="auto"/>
        <w:ind w:left="993" w:hanging="993"/>
        <w:jc w:val="center"/>
        <w:rPr>
          <w:rFonts w:ascii="Times New Roman" w:hAnsi="Times New Roman"/>
          <w:i/>
          <w:sz w:val="24"/>
          <w:szCs w:val="24"/>
        </w:rPr>
      </w:pPr>
      <w:r w:rsidRPr="006777D4">
        <w:rPr>
          <w:rFonts w:ascii="Times New Roman" w:hAnsi="Times New Roman"/>
          <w:i/>
          <w:sz w:val="24"/>
          <w:szCs w:val="24"/>
        </w:rPr>
        <w:t>Ozone Protection and Synthetic Greenhouse Gas Management Act 1989</w:t>
      </w:r>
    </w:p>
    <w:p w14:paraId="64A2B735" w14:textId="0EF02EC1" w:rsidR="00CC63E1" w:rsidRPr="006777D4" w:rsidRDefault="00CC63E1" w:rsidP="00CC63E1">
      <w:pPr>
        <w:pStyle w:val="subsection"/>
        <w:spacing w:after="240" w:line="276" w:lineRule="auto"/>
        <w:jc w:val="center"/>
        <w:rPr>
          <w:rFonts w:ascii="Times New Roman" w:hAnsi="Times New Roman" w:cs="Times New Roman"/>
          <w:i/>
          <w:sz w:val="24"/>
          <w:szCs w:val="24"/>
          <w:lang w:eastAsia="en-AU"/>
        </w:rPr>
      </w:pPr>
      <w:r w:rsidRPr="006777D4">
        <w:rPr>
          <w:rFonts w:ascii="Times New Roman" w:hAnsi="Times New Roman" w:cs="Times New Roman"/>
          <w:i/>
          <w:sz w:val="24"/>
          <w:szCs w:val="24"/>
          <w:lang w:eastAsia="en-AU"/>
        </w:rPr>
        <w:t>Ozone Protection and Synthetic Greenhouse Gas Management Amendment (20</w:t>
      </w:r>
      <w:r w:rsidR="00273F8F" w:rsidRPr="006777D4">
        <w:rPr>
          <w:rFonts w:ascii="Times New Roman" w:hAnsi="Times New Roman" w:cs="Times New Roman"/>
          <w:i/>
          <w:sz w:val="24"/>
          <w:szCs w:val="24"/>
          <w:lang w:eastAsia="en-AU"/>
        </w:rPr>
        <w:t>20</w:t>
      </w:r>
      <w:r w:rsidRPr="006777D4">
        <w:rPr>
          <w:rFonts w:ascii="Times New Roman" w:hAnsi="Times New Roman" w:cs="Times New Roman"/>
          <w:i/>
          <w:sz w:val="24"/>
          <w:szCs w:val="24"/>
          <w:lang w:eastAsia="en-AU"/>
        </w:rPr>
        <w:t> Measures No. 1) Regulations 20</w:t>
      </w:r>
      <w:r w:rsidR="00273F8F" w:rsidRPr="006777D4">
        <w:rPr>
          <w:rFonts w:ascii="Times New Roman" w:hAnsi="Times New Roman" w:cs="Times New Roman"/>
          <w:i/>
          <w:sz w:val="24"/>
          <w:szCs w:val="24"/>
          <w:lang w:eastAsia="en-AU"/>
        </w:rPr>
        <w:t>20</w:t>
      </w:r>
    </w:p>
    <w:p w14:paraId="515B5FA5" w14:textId="7B8BCC1F" w:rsidR="00CC63E1" w:rsidRPr="006777D4" w:rsidRDefault="00CC63E1" w:rsidP="00CC63E1">
      <w:pPr>
        <w:shd w:val="clear" w:color="auto" w:fill="FFFFFF"/>
        <w:spacing w:after="240" w:line="276" w:lineRule="auto"/>
        <w:jc w:val="center"/>
        <w:rPr>
          <w:rFonts w:ascii="Times New Roman" w:eastAsia="Times New Roman" w:hAnsi="Times New Roman"/>
          <w:sz w:val="24"/>
          <w:szCs w:val="24"/>
        </w:rPr>
      </w:pPr>
      <w:r w:rsidRPr="006777D4">
        <w:rPr>
          <w:rFonts w:ascii="Times New Roman" w:eastAsia="Times New Roman" w:hAnsi="Times New Roman"/>
          <w:sz w:val="24"/>
          <w:szCs w:val="24"/>
        </w:rPr>
        <w:t xml:space="preserve">Issued by authority of the </w:t>
      </w:r>
      <w:r w:rsidR="00273F8F" w:rsidRPr="006777D4">
        <w:rPr>
          <w:rFonts w:ascii="Times New Roman" w:eastAsia="Times New Roman" w:hAnsi="Times New Roman"/>
          <w:sz w:val="24"/>
          <w:szCs w:val="24"/>
        </w:rPr>
        <w:t xml:space="preserve">Assistant </w:t>
      </w:r>
      <w:r w:rsidRPr="006777D4">
        <w:rPr>
          <w:rFonts w:ascii="Times New Roman" w:eastAsia="Times New Roman" w:hAnsi="Times New Roman"/>
          <w:sz w:val="24"/>
          <w:szCs w:val="24"/>
        </w:rPr>
        <w:t xml:space="preserve">Minister for </w:t>
      </w:r>
      <w:r w:rsidR="00273F8F" w:rsidRPr="006777D4">
        <w:rPr>
          <w:rFonts w:ascii="Times New Roman" w:eastAsia="Times New Roman" w:hAnsi="Times New Roman"/>
          <w:sz w:val="24"/>
          <w:szCs w:val="24"/>
        </w:rPr>
        <w:t>Waste Reduction and</w:t>
      </w:r>
      <w:r w:rsidRPr="006777D4">
        <w:rPr>
          <w:rFonts w:ascii="Times New Roman" w:eastAsia="Times New Roman" w:hAnsi="Times New Roman"/>
          <w:sz w:val="24"/>
          <w:szCs w:val="24"/>
        </w:rPr>
        <w:t xml:space="preserve"> Environment</w:t>
      </w:r>
      <w:r w:rsidR="00273F8F" w:rsidRPr="006777D4">
        <w:rPr>
          <w:rFonts w:ascii="Times New Roman" w:eastAsia="Times New Roman" w:hAnsi="Times New Roman"/>
          <w:sz w:val="24"/>
          <w:szCs w:val="24"/>
        </w:rPr>
        <w:t>al Management</w:t>
      </w:r>
    </w:p>
    <w:p w14:paraId="39710C4B" w14:textId="77777777" w:rsidR="00CC63E1" w:rsidRPr="006777D4" w:rsidRDefault="00CC63E1" w:rsidP="00CC63E1">
      <w:pPr>
        <w:shd w:val="clear" w:color="auto" w:fill="FFFFFF"/>
        <w:spacing w:after="240" w:line="276" w:lineRule="auto"/>
        <w:rPr>
          <w:rFonts w:ascii="Times New Roman" w:eastAsia="Times New Roman" w:hAnsi="Times New Roman"/>
          <w:b/>
          <w:sz w:val="24"/>
          <w:szCs w:val="24"/>
        </w:rPr>
      </w:pPr>
      <w:r w:rsidRPr="006777D4">
        <w:rPr>
          <w:rFonts w:ascii="Times New Roman" w:eastAsia="Times New Roman" w:hAnsi="Times New Roman"/>
          <w:b/>
          <w:sz w:val="24"/>
          <w:szCs w:val="24"/>
        </w:rPr>
        <w:t>Purpose and operation</w:t>
      </w:r>
      <w:bookmarkStart w:id="0" w:name="_GoBack"/>
      <w:bookmarkEnd w:id="0"/>
    </w:p>
    <w:p w14:paraId="40F15A6F" w14:textId="77777777" w:rsidR="00CC63E1" w:rsidRPr="006777D4" w:rsidRDefault="00CC63E1"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 xml:space="preserve">The </w:t>
      </w:r>
      <w:r w:rsidRPr="006777D4">
        <w:rPr>
          <w:rFonts w:ascii="Times New Roman" w:hAnsi="Times New Roman"/>
          <w:i/>
          <w:sz w:val="24"/>
          <w:szCs w:val="24"/>
        </w:rPr>
        <w:t>Ozone Protection and Synthetic Greenhouse Gas Management Act 1989</w:t>
      </w:r>
      <w:r w:rsidRPr="006777D4">
        <w:rPr>
          <w:rFonts w:ascii="Times New Roman" w:eastAsia="Times New Roman" w:hAnsi="Times New Roman"/>
          <w:sz w:val="24"/>
          <w:szCs w:val="24"/>
        </w:rPr>
        <w:t xml:space="preserve"> (the Act) implements Australia’s obligations under the Vienna Convention for the Protection of the Ozone Layer and its associated Montreal Protocol on Substances that Deplete the Ozone Layer (the Montreal Protocol), as well as the United Nations Framework Convention on Climate Change and its associated Kyoto Protocol. </w:t>
      </w:r>
    </w:p>
    <w:p w14:paraId="06272F37" w14:textId="77777777" w:rsidR="00CC63E1" w:rsidRPr="006777D4" w:rsidRDefault="00CC63E1" w:rsidP="00CB125D">
      <w:pPr>
        <w:tabs>
          <w:tab w:val="left" w:pos="4536"/>
        </w:tabs>
        <w:spacing w:after="240" w:line="276" w:lineRule="auto"/>
        <w:rPr>
          <w:rFonts w:ascii="Times New Roman" w:hAnsi="Times New Roman"/>
          <w:sz w:val="24"/>
          <w:szCs w:val="24"/>
        </w:rPr>
      </w:pPr>
      <w:r w:rsidRPr="006777D4">
        <w:rPr>
          <w:rFonts w:ascii="Times New Roman" w:hAnsi="Times New Roman"/>
          <w:sz w:val="24"/>
          <w:szCs w:val="24"/>
        </w:rPr>
        <w:t>Section 70 of the Act provides that the Governor-General may make regulations required or permitted by the Act or that are necessary or convenient to be prescribed for carrying out or giving effect to the Act.</w:t>
      </w:r>
    </w:p>
    <w:p w14:paraId="03AABF8E" w14:textId="42FDC00F" w:rsidR="0049119F" w:rsidRPr="006777D4" w:rsidRDefault="0049119F" w:rsidP="00CB125D">
      <w:pPr>
        <w:tabs>
          <w:tab w:val="left" w:pos="4536"/>
        </w:tabs>
        <w:spacing w:after="240" w:line="276" w:lineRule="auto"/>
        <w:rPr>
          <w:rFonts w:ascii="Times New Roman" w:hAnsi="Times New Roman"/>
          <w:sz w:val="24"/>
          <w:szCs w:val="24"/>
          <w:lang w:val="en"/>
        </w:rPr>
      </w:pPr>
      <w:r w:rsidRPr="006777D4">
        <w:rPr>
          <w:rFonts w:ascii="Times New Roman" w:hAnsi="Times New Roman"/>
          <w:sz w:val="24"/>
          <w:szCs w:val="24"/>
        </w:rPr>
        <w:t xml:space="preserve">The </w:t>
      </w:r>
      <w:r w:rsidRPr="006777D4">
        <w:rPr>
          <w:rFonts w:ascii="Times New Roman" w:hAnsi="Times New Roman"/>
          <w:i/>
          <w:sz w:val="24"/>
          <w:szCs w:val="24"/>
        </w:rPr>
        <w:t>Ozone Protection and Synthetic Greenhouse Gas Management Amendment (2020 Measures No. 1) Regulations 2020</w:t>
      </w:r>
      <w:r w:rsidRPr="006777D4">
        <w:rPr>
          <w:rFonts w:ascii="Times New Roman" w:hAnsi="Times New Roman"/>
          <w:sz w:val="24"/>
          <w:szCs w:val="24"/>
        </w:rPr>
        <w:t xml:space="preserve"> (the Amendment Regulations) amend the </w:t>
      </w:r>
      <w:r w:rsidRPr="006777D4">
        <w:rPr>
          <w:rFonts w:ascii="Times New Roman" w:hAnsi="Times New Roman"/>
          <w:i/>
          <w:sz w:val="24"/>
          <w:szCs w:val="24"/>
        </w:rPr>
        <w:t>Ozone Protection and Synthetic Greenhouse Gas Management Regulations 1995</w:t>
      </w:r>
      <w:r w:rsidRPr="006777D4">
        <w:rPr>
          <w:rFonts w:ascii="Times New Roman" w:hAnsi="Times New Roman"/>
          <w:sz w:val="24"/>
          <w:szCs w:val="24"/>
        </w:rPr>
        <w:t xml:space="preserve"> (the Principal Regulations) to incorporate decisions made by the Parties to the Montreal Protocol, in November 201</w:t>
      </w:r>
      <w:r w:rsidR="00D474E4" w:rsidRPr="006777D4">
        <w:rPr>
          <w:rFonts w:ascii="Times New Roman" w:hAnsi="Times New Roman"/>
          <w:sz w:val="24"/>
          <w:szCs w:val="24"/>
        </w:rPr>
        <w:t>8</w:t>
      </w:r>
      <w:r w:rsidR="00470355" w:rsidRPr="006777D4">
        <w:rPr>
          <w:rFonts w:ascii="Times New Roman" w:hAnsi="Times New Roman"/>
          <w:sz w:val="24"/>
          <w:szCs w:val="24"/>
        </w:rPr>
        <w:t xml:space="preserve"> and November 2019</w:t>
      </w:r>
      <w:r w:rsidRPr="006777D4">
        <w:rPr>
          <w:rFonts w:ascii="Times New Roman" w:hAnsi="Times New Roman"/>
          <w:sz w:val="24"/>
          <w:szCs w:val="24"/>
        </w:rPr>
        <w:t xml:space="preserve">, </w:t>
      </w:r>
      <w:r w:rsidR="00F11DF0" w:rsidRPr="006777D4">
        <w:rPr>
          <w:rFonts w:ascii="Times New Roman" w:hAnsi="Times New Roman"/>
          <w:sz w:val="24"/>
          <w:szCs w:val="24"/>
        </w:rPr>
        <w:t>relating to the</w:t>
      </w:r>
      <w:r w:rsidRPr="006777D4">
        <w:rPr>
          <w:rFonts w:ascii="Times New Roman" w:hAnsi="Times New Roman"/>
          <w:sz w:val="24"/>
          <w:szCs w:val="24"/>
        </w:rPr>
        <w:t xml:space="preserve"> ongoing use of </w:t>
      </w:r>
      <w:r w:rsidRPr="006777D4">
        <w:rPr>
          <w:rFonts w:ascii="Times New Roman" w:hAnsi="Times New Roman"/>
          <w:sz w:val="24"/>
          <w:szCs w:val="24"/>
          <w:lang w:val="en"/>
        </w:rPr>
        <w:t>hydrochlorofluorocarbons (HCFCs)</w:t>
      </w:r>
      <w:r w:rsidRPr="006777D4">
        <w:rPr>
          <w:rFonts w:ascii="Times New Roman" w:hAnsi="Times New Roman"/>
          <w:sz w:val="24"/>
          <w:szCs w:val="24"/>
        </w:rPr>
        <w:t>. From 1</w:t>
      </w:r>
      <w:r w:rsidR="00F11DF0" w:rsidRPr="006777D4">
        <w:rPr>
          <w:rFonts w:ascii="Times New Roman" w:hAnsi="Times New Roman"/>
          <w:sz w:val="24"/>
          <w:szCs w:val="24"/>
        </w:rPr>
        <w:t> </w:t>
      </w:r>
      <w:r w:rsidRPr="006777D4">
        <w:rPr>
          <w:rFonts w:ascii="Times New Roman" w:hAnsi="Times New Roman"/>
          <w:sz w:val="24"/>
          <w:szCs w:val="24"/>
        </w:rPr>
        <w:t>January 2020, the Montreal Protocol restrict</w:t>
      </w:r>
      <w:r w:rsidR="003463DD" w:rsidRPr="006777D4">
        <w:rPr>
          <w:rFonts w:ascii="Times New Roman" w:hAnsi="Times New Roman"/>
          <w:sz w:val="24"/>
          <w:szCs w:val="24"/>
        </w:rPr>
        <w:t>s</w:t>
      </w:r>
      <w:r w:rsidRPr="006777D4">
        <w:rPr>
          <w:rFonts w:ascii="Times New Roman" w:hAnsi="Times New Roman"/>
          <w:sz w:val="24"/>
          <w:szCs w:val="24"/>
        </w:rPr>
        <w:t xml:space="preserve"> the use of newly manufactured HCFCs, except for </w:t>
      </w:r>
      <w:r w:rsidR="00D474E4" w:rsidRPr="006777D4">
        <w:rPr>
          <w:rFonts w:ascii="Times New Roman" w:hAnsi="Times New Roman"/>
          <w:sz w:val="24"/>
          <w:szCs w:val="24"/>
        </w:rPr>
        <w:t>servicing refrigeration and air conditioning and fire protection equipment, solvent applications in rocket engine manufacturing, topical medical aerosol applications for the specialised treatment of burns</w:t>
      </w:r>
      <w:r w:rsidR="00470355" w:rsidRPr="006777D4">
        <w:rPr>
          <w:rFonts w:ascii="Times New Roman" w:hAnsi="Times New Roman"/>
          <w:sz w:val="24"/>
          <w:szCs w:val="24"/>
        </w:rPr>
        <w:t>,</w:t>
      </w:r>
      <w:r w:rsidR="00D474E4" w:rsidRPr="006777D4">
        <w:rPr>
          <w:rFonts w:ascii="Times New Roman" w:hAnsi="Times New Roman"/>
          <w:sz w:val="24"/>
          <w:szCs w:val="24"/>
        </w:rPr>
        <w:t xml:space="preserve"> and laboratory and analytical uses</w:t>
      </w:r>
      <w:r w:rsidRPr="006777D4">
        <w:rPr>
          <w:rFonts w:ascii="Times New Roman" w:hAnsi="Times New Roman"/>
          <w:sz w:val="24"/>
          <w:szCs w:val="24"/>
        </w:rPr>
        <w:t xml:space="preserve">. </w:t>
      </w:r>
      <w:bookmarkStart w:id="1" w:name="_Hlk44478905"/>
      <w:r w:rsidR="00D474E4" w:rsidRPr="006777D4">
        <w:rPr>
          <w:rFonts w:ascii="Times New Roman" w:hAnsi="Times New Roman"/>
          <w:sz w:val="24"/>
          <w:szCs w:val="24"/>
          <w:lang w:val="en"/>
        </w:rPr>
        <w:t>Use</w:t>
      </w:r>
      <w:r w:rsidR="003463DD" w:rsidRPr="006777D4">
        <w:rPr>
          <w:rFonts w:ascii="Times New Roman" w:hAnsi="Times New Roman"/>
          <w:sz w:val="24"/>
          <w:szCs w:val="24"/>
          <w:lang w:val="en"/>
        </w:rPr>
        <w:t xml:space="preserve"> of HCFCs</w:t>
      </w:r>
      <w:r w:rsidR="00D474E4" w:rsidRPr="006777D4">
        <w:rPr>
          <w:rFonts w:ascii="Times New Roman" w:hAnsi="Times New Roman"/>
          <w:sz w:val="24"/>
          <w:szCs w:val="24"/>
          <w:lang w:val="en"/>
        </w:rPr>
        <w:t xml:space="preserve"> for servicing </w:t>
      </w:r>
      <w:r w:rsidR="00D474E4" w:rsidRPr="006777D4">
        <w:rPr>
          <w:rFonts w:ascii="Times New Roman" w:hAnsi="Times New Roman"/>
          <w:sz w:val="24"/>
          <w:szCs w:val="24"/>
        </w:rPr>
        <w:t>refrigeration</w:t>
      </w:r>
      <w:r w:rsidR="00E10B27" w:rsidRPr="006777D4">
        <w:rPr>
          <w:rFonts w:ascii="Times New Roman" w:hAnsi="Times New Roman"/>
          <w:sz w:val="24"/>
          <w:szCs w:val="24"/>
        </w:rPr>
        <w:t>,</w:t>
      </w:r>
      <w:r w:rsidR="00D474E4" w:rsidRPr="006777D4">
        <w:rPr>
          <w:rFonts w:ascii="Times New Roman" w:hAnsi="Times New Roman"/>
          <w:sz w:val="24"/>
          <w:szCs w:val="24"/>
        </w:rPr>
        <w:t xml:space="preserve"> air conditioning and fire protection equipment is already permitted under the </w:t>
      </w:r>
      <w:r w:rsidR="00D653D2" w:rsidRPr="006777D4">
        <w:rPr>
          <w:rFonts w:ascii="Times New Roman" w:hAnsi="Times New Roman"/>
          <w:sz w:val="24"/>
          <w:szCs w:val="24"/>
        </w:rPr>
        <w:t xml:space="preserve">Principal </w:t>
      </w:r>
      <w:r w:rsidR="00D474E4" w:rsidRPr="006777D4">
        <w:rPr>
          <w:rFonts w:ascii="Times New Roman" w:hAnsi="Times New Roman"/>
          <w:sz w:val="24"/>
          <w:szCs w:val="24"/>
        </w:rPr>
        <w:t xml:space="preserve">Regulations. </w:t>
      </w:r>
      <w:bookmarkEnd w:id="1"/>
      <w:r w:rsidR="00470355" w:rsidRPr="006777D4">
        <w:rPr>
          <w:rFonts w:ascii="Times New Roman" w:hAnsi="Times New Roman"/>
          <w:sz w:val="24"/>
          <w:szCs w:val="24"/>
        </w:rPr>
        <w:t xml:space="preserve">Australia has no current or expected use of HCFCs for solvent applications in rocket engine manufacturing, or for topical medical aerosol applications for the specialised treatment of burns. </w:t>
      </w:r>
      <w:r w:rsidR="003463DD" w:rsidRPr="006777D4">
        <w:rPr>
          <w:rFonts w:ascii="Times New Roman" w:hAnsi="Times New Roman"/>
          <w:sz w:val="24"/>
          <w:szCs w:val="24"/>
        </w:rPr>
        <w:t xml:space="preserve">The Amendment Regulations </w:t>
      </w:r>
      <w:r w:rsidR="003463DD" w:rsidRPr="006777D4">
        <w:rPr>
          <w:rFonts w:ascii="Times New Roman" w:hAnsi="Times New Roman"/>
          <w:sz w:val="24"/>
          <w:szCs w:val="24"/>
          <w:lang w:val="en"/>
        </w:rPr>
        <w:t>allow regulated HCFCs imported or manufactured after 1 January 2020 to be used for exempt laboratory and analytical purposes.</w:t>
      </w:r>
    </w:p>
    <w:p w14:paraId="2C899CD8" w14:textId="77777777" w:rsidR="00E10B27" w:rsidRPr="006777D4" w:rsidRDefault="0049119F" w:rsidP="00CB125D">
      <w:pPr>
        <w:spacing w:before="240" w:after="240" w:line="276" w:lineRule="auto"/>
        <w:rPr>
          <w:rFonts w:ascii="Times New Roman" w:hAnsi="Times New Roman"/>
          <w:sz w:val="24"/>
          <w:szCs w:val="24"/>
          <w:lang w:val="en"/>
        </w:rPr>
      </w:pPr>
      <w:r w:rsidRPr="006777D4">
        <w:rPr>
          <w:rFonts w:ascii="Times New Roman" w:hAnsi="Times New Roman"/>
          <w:sz w:val="24"/>
          <w:szCs w:val="24"/>
          <w:lang w:val="en"/>
        </w:rPr>
        <w:t xml:space="preserve">In addition, the Amendment Regulations amend the Principal Regulations to improve the ability of the established regulatory regime to prevent environmental harm from use of ozone depleting substances and synthetic greenhouse gases in the fire protection industry, by creating offences and imposing penalties where permit holders breach fire protection industry permit conditions. The new penalties align with existing penalties for breaching refrigeration and air conditioning industry permit conditions. </w:t>
      </w:r>
    </w:p>
    <w:p w14:paraId="50171FFE" w14:textId="5E66E5C5" w:rsidR="00CC63E1" w:rsidRPr="006777D4" w:rsidRDefault="00CC63E1" w:rsidP="00CB125D">
      <w:pPr>
        <w:keepNext/>
        <w:spacing w:before="240" w:after="240" w:line="276" w:lineRule="auto"/>
        <w:rPr>
          <w:rFonts w:ascii="Times New Roman" w:hAnsi="Times New Roman"/>
          <w:b/>
          <w:sz w:val="24"/>
          <w:szCs w:val="24"/>
          <w:lang w:val="en"/>
        </w:rPr>
      </w:pPr>
      <w:r w:rsidRPr="006777D4">
        <w:rPr>
          <w:rFonts w:ascii="Times New Roman" w:hAnsi="Times New Roman"/>
          <w:b/>
          <w:sz w:val="24"/>
          <w:szCs w:val="24"/>
          <w:lang w:val="en"/>
        </w:rPr>
        <w:lastRenderedPageBreak/>
        <w:t>Consultation</w:t>
      </w:r>
    </w:p>
    <w:p w14:paraId="1571BAF2" w14:textId="595CF602" w:rsidR="00273F8F" w:rsidRPr="006777D4" w:rsidRDefault="00273F8F" w:rsidP="00CB125D">
      <w:pPr>
        <w:spacing w:before="240" w:after="240" w:line="276" w:lineRule="auto"/>
        <w:rPr>
          <w:rFonts w:ascii="Times New Roman" w:hAnsi="Times New Roman"/>
          <w:sz w:val="24"/>
          <w:szCs w:val="24"/>
          <w:lang w:val="en"/>
        </w:rPr>
      </w:pPr>
      <w:r w:rsidRPr="006777D4">
        <w:rPr>
          <w:rFonts w:ascii="Times New Roman" w:hAnsi="Times New Roman"/>
          <w:sz w:val="24"/>
          <w:szCs w:val="24"/>
          <w:lang w:val="en"/>
        </w:rPr>
        <w:t>Consultation on the change to allow use of HCFCs for laboratory and analytical purposes was undertaken directly with industry through science industry associations and research institutions which advised that these substances continue to be required in Australia for research and analysis.</w:t>
      </w:r>
      <w:r w:rsidR="006B5F82" w:rsidRPr="006777D4">
        <w:rPr>
          <w:rFonts w:ascii="Times New Roman" w:hAnsi="Times New Roman"/>
          <w:sz w:val="24"/>
          <w:szCs w:val="24"/>
          <w:lang w:val="en"/>
        </w:rPr>
        <w:t xml:space="preserve"> Without this change, only HCFCs imported or manufactured prior to 2020 (virgin or used) could be used for these purposes, and these older HCFCs will become increasingly difficult to obtain.</w:t>
      </w:r>
    </w:p>
    <w:p w14:paraId="5C81F231" w14:textId="77777777" w:rsidR="003463DD" w:rsidRPr="006777D4" w:rsidRDefault="000A24E6" w:rsidP="00CB125D">
      <w:pPr>
        <w:tabs>
          <w:tab w:val="left" w:pos="993"/>
        </w:tabs>
        <w:spacing w:after="240" w:line="276" w:lineRule="auto"/>
        <w:rPr>
          <w:rFonts w:ascii="Times New Roman" w:hAnsi="Times New Roman"/>
          <w:sz w:val="24"/>
          <w:szCs w:val="24"/>
        </w:rPr>
      </w:pPr>
      <w:r w:rsidRPr="006777D4">
        <w:rPr>
          <w:rFonts w:ascii="Times New Roman" w:hAnsi="Times New Roman"/>
          <w:sz w:val="24"/>
          <w:szCs w:val="24"/>
        </w:rPr>
        <w:t>C</w:t>
      </w:r>
      <w:r w:rsidR="00273F8F" w:rsidRPr="006777D4">
        <w:rPr>
          <w:rFonts w:ascii="Times New Roman" w:hAnsi="Times New Roman"/>
          <w:sz w:val="24"/>
          <w:szCs w:val="24"/>
        </w:rPr>
        <w:t xml:space="preserve">onsultation was conducted </w:t>
      </w:r>
      <w:r w:rsidR="00FF4966" w:rsidRPr="006777D4">
        <w:rPr>
          <w:rFonts w:ascii="Times New Roman" w:hAnsi="Times New Roman"/>
          <w:sz w:val="24"/>
          <w:szCs w:val="24"/>
        </w:rPr>
        <w:t xml:space="preserve">with the fire protection industry through the Fire Protection Industry (ODS and SGG) Board, and </w:t>
      </w:r>
      <w:r w:rsidR="00E010BB" w:rsidRPr="006777D4">
        <w:rPr>
          <w:rFonts w:ascii="Times New Roman" w:hAnsi="Times New Roman"/>
          <w:sz w:val="24"/>
          <w:szCs w:val="24"/>
        </w:rPr>
        <w:t>the</w:t>
      </w:r>
      <w:r w:rsidR="00685320" w:rsidRPr="006777D4">
        <w:rPr>
          <w:rFonts w:ascii="Times New Roman" w:hAnsi="Times New Roman"/>
          <w:sz w:val="24"/>
          <w:szCs w:val="24"/>
        </w:rPr>
        <w:t xml:space="preserve"> Industry Advisory Body, </w:t>
      </w:r>
      <w:r w:rsidR="00273F8F" w:rsidRPr="006777D4">
        <w:rPr>
          <w:rFonts w:ascii="Times New Roman" w:hAnsi="Times New Roman"/>
          <w:sz w:val="24"/>
          <w:szCs w:val="24"/>
        </w:rPr>
        <w:t xml:space="preserve">in relation to the measure to create offences with associated penalties for breaches of fire protection industry permit conditions. </w:t>
      </w:r>
      <w:r w:rsidR="003463DD" w:rsidRPr="006777D4">
        <w:rPr>
          <w:rFonts w:ascii="Times New Roman" w:hAnsi="Times New Roman"/>
          <w:sz w:val="24"/>
          <w:szCs w:val="24"/>
        </w:rPr>
        <w:t xml:space="preserve">The Board administers the fire protection industry permit scheme under the Principal Regulations on behalf of the Australian Government. In undertaking this role, the Board works closely with the fire protection industry to encourage and facilitate regulatory compliance. The Industry Advisory Body provides industry-specific expert advice relevant to the implementation of the fire protection industry permit scheme. Industry experts advise on industry trends and developments and changes to permit and training requirements, to reduce the risk of emissions of ozone depleting substances and synthetic greenhouse gases. </w:t>
      </w:r>
    </w:p>
    <w:p w14:paraId="4DDE8B6F" w14:textId="50F05590" w:rsidR="00685320" w:rsidRPr="006777D4" w:rsidRDefault="000A24E6" w:rsidP="00CB125D">
      <w:pPr>
        <w:tabs>
          <w:tab w:val="left" w:pos="993"/>
        </w:tabs>
        <w:spacing w:after="240" w:line="276" w:lineRule="auto"/>
        <w:rPr>
          <w:rFonts w:ascii="Times New Roman" w:hAnsi="Times New Roman"/>
          <w:sz w:val="24"/>
          <w:szCs w:val="24"/>
        </w:rPr>
      </w:pPr>
      <w:r w:rsidRPr="006777D4">
        <w:rPr>
          <w:rFonts w:ascii="Times New Roman" w:hAnsi="Times New Roman"/>
          <w:sz w:val="24"/>
          <w:szCs w:val="24"/>
        </w:rPr>
        <w:t>The fire protection i</w:t>
      </w:r>
      <w:r w:rsidR="00685320" w:rsidRPr="006777D4">
        <w:rPr>
          <w:rFonts w:ascii="Times New Roman" w:hAnsi="Times New Roman"/>
          <w:sz w:val="24"/>
          <w:szCs w:val="24"/>
        </w:rPr>
        <w:t xml:space="preserve">ndustry </w:t>
      </w:r>
      <w:r w:rsidR="004F04AE" w:rsidRPr="006777D4">
        <w:rPr>
          <w:rFonts w:ascii="Times New Roman" w:hAnsi="Times New Roman"/>
          <w:sz w:val="24"/>
          <w:szCs w:val="24"/>
        </w:rPr>
        <w:t>support</w:t>
      </w:r>
      <w:r w:rsidR="00341775" w:rsidRPr="006777D4">
        <w:rPr>
          <w:rFonts w:ascii="Times New Roman" w:hAnsi="Times New Roman"/>
          <w:sz w:val="24"/>
          <w:szCs w:val="24"/>
        </w:rPr>
        <w:t>s</w:t>
      </w:r>
      <w:r w:rsidR="004F04AE" w:rsidRPr="006777D4">
        <w:rPr>
          <w:rFonts w:ascii="Times New Roman" w:hAnsi="Times New Roman"/>
          <w:sz w:val="24"/>
          <w:szCs w:val="24"/>
        </w:rPr>
        <w:t xml:space="preserve"> the offences and believe</w:t>
      </w:r>
      <w:r w:rsidR="00341775" w:rsidRPr="006777D4">
        <w:rPr>
          <w:rFonts w:ascii="Times New Roman" w:hAnsi="Times New Roman"/>
          <w:sz w:val="24"/>
          <w:szCs w:val="24"/>
        </w:rPr>
        <w:t>s</w:t>
      </w:r>
      <w:r w:rsidR="004F04AE" w:rsidRPr="006777D4">
        <w:rPr>
          <w:rFonts w:ascii="Times New Roman" w:hAnsi="Times New Roman"/>
          <w:sz w:val="24"/>
          <w:szCs w:val="24"/>
        </w:rPr>
        <w:t xml:space="preserve"> they are necessary to </w:t>
      </w:r>
      <w:r w:rsidRPr="006777D4">
        <w:rPr>
          <w:rFonts w:ascii="Times New Roman" w:hAnsi="Times New Roman"/>
          <w:sz w:val="24"/>
          <w:szCs w:val="24"/>
        </w:rPr>
        <w:t xml:space="preserve">strengthen the </w:t>
      </w:r>
      <w:r w:rsidR="004F04AE" w:rsidRPr="006777D4">
        <w:rPr>
          <w:rFonts w:ascii="Times New Roman" w:hAnsi="Times New Roman"/>
          <w:sz w:val="24"/>
          <w:szCs w:val="24"/>
        </w:rPr>
        <w:t>regulat</w:t>
      </w:r>
      <w:r w:rsidRPr="006777D4">
        <w:rPr>
          <w:rFonts w:ascii="Times New Roman" w:hAnsi="Times New Roman"/>
          <w:sz w:val="24"/>
          <w:szCs w:val="24"/>
        </w:rPr>
        <w:t xml:space="preserve">ions </w:t>
      </w:r>
      <w:r w:rsidR="00AB7067" w:rsidRPr="006777D4">
        <w:rPr>
          <w:rFonts w:ascii="Times New Roman" w:hAnsi="Times New Roman"/>
          <w:sz w:val="24"/>
          <w:szCs w:val="24"/>
        </w:rPr>
        <w:t xml:space="preserve">to </w:t>
      </w:r>
      <w:r w:rsidR="004F04AE" w:rsidRPr="006777D4">
        <w:rPr>
          <w:rFonts w:ascii="Times New Roman" w:hAnsi="Times New Roman"/>
          <w:sz w:val="24"/>
          <w:szCs w:val="24"/>
        </w:rPr>
        <w:t>prevent environmental harm</w:t>
      </w:r>
      <w:r w:rsidR="001F5B2F" w:rsidRPr="006777D4">
        <w:rPr>
          <w:rFonts w:ascii="Times New Roman" w:hAnsi="Times New Roman"/>
          <w:sz w:val="24"/>
          <w:szCs w:val="24"/>
        </w:rPr>
        <w:t>.</w:t>
      </w:r>
      <w:r w:rsidR="006B5F82" w:rsidRPr="006777D4">
        <w:rPr>
          <w:rFonts w:ascii="Times New Roman" w:hAnsi="Times New Roman"/>
          <w:sz w:val="24"/>
          <w:szCs w:val="24"/>
        </w:rPr>
        <w:t xml:space="preserve"> </w:t>
      </w:r>
      <w:r w:rsidR="003463DD" w:rsidRPr="006777D4">
        <w:rPr>
          <w:rFonts w:ascii="Times New Roman" w:hAnsi="Times New Roman"/>
          <w:sz w:val="24"/>
          <w:szCs w:val="24"/>
        </w:rPr>
        <w:t>The new offences align with the existing offence, under Regulation 136 of the Principal Regulations, of breaching refrigeration and air conditioning licence conditions. Regulation 136 was the enabling provision under which the Australian Government fined a refrigeration company, in June 2020, for using disposable cylinders for storing a controlled substance, in contravention of conditions of its refrigerant trading authorisation. The proposed regulations would allow similar compliance action to be taken against permit holders who breach conditions of their fire protection industry permit.</w:t>
      </w:r>
    </w:p>
    <w:p w14:paraId="5AE9A488" w14:textId="3CEF2E3E" w:rsidR="00CC63E1" w:rsidRPr="006777D4" w:rsidRDefault="00CC63E1" w:rsidP="00CB125D">
      <w:pPr>
        <w:tabs>
          <w:tab w:val="left" w:pos="993"/>
        </w:tabs>
        <w:spacing w:after="240" w:line="276" w:lineRule="auto"/>
        <w:rPr>
          <w:rFonts w:ascii="Times New Roman" w:hAnsi="Times New Roman"/>
          <w:b/>
          <w:sz w:val="24"/>
          <w:szCs w:val="24"/>
        </w:rPr>
      </w:pPr>
      <w:r w:rsidRPr="006777D4">
        <w:rPr>
          <w:rFonts w:ascii="Times New Roman" w:hAnsi="Times New Roman"/>
          <w:b/>
          <w:sz w:val="24"/>
          <w:szCs w:val="24"/>
        </w:rPr>
        <w:t>Regulatory impact analysis</w:t>
      </w:r>
    </w:p>
    <w:p w14:paraId="16DDCA8D" w14:textId="51AB5D85" w:rsidR="00CC63E1" w:rsidRPr="006777D4" w:rsidRDefault="00CC63E1" w:rsidP="00CB125D">
      <w:pPr>
        <w:spacing w:after="240" w:line="276" w:lineRule="auto"/>
        <w:rPr>
          <w:rFonts w:ascii="Times New Roman" w:hAnsi="Times New Roman"/>
          <w:sz w:val="24"/>
          <w:szCs w:val="24"/>
        </w:rPr>
      </w:pPr>
      <w:r w:rsidRPr="006777D4">
        <w:rPr>
          <w:rFonts w:ascii="Times New Roman" w:hAnsi="Times New Roman"/>
          <w:sz w:val="24"/>
          <w:szCs w:val="24"/>
        </w:rPr>
        <w:t xml:space="preserve">The Office of Best Practice Regulation advised that </w:t>
      </w:r>
      <w:r w:rsidR="003753BF" w:rsidRPr="006777D4">
        <w:rPr>
          <w:rFonts w:ascii="Times New Roman" w:hAnsi="Times New Roman"/>
          <w:sz w:val="24"/>
          <w:szCs w:val="24"/>
        </w:rPr>
        <w:t>these</w:t>
      </w:r>
      <w:r w:rsidRPr="006777D4">
        <w:rPr>
          <w:rFonts w:ascii="Times New Roman" w:hAnsi="Times New Roman"/>
          <w:sz w:val="24"/>
          <w:szCs w:val="24"/>
        </w:rPr>
        <w:t xml:space="preserve"> regulatory amendments are likely to have a minor regulatory impact and that a Regulatory Impact Statement is not required.</w:t>
      </w:r>
    </w:p>
    <w:p w14:paraId="6368EB9F" w14:textId="77777777" w:rsidR="00CC63E1" w:rsidRPr="006777D4" w:rsidRDefault="00CC63E1" w:rsidP="00CB125D">
      <w:pPr>
        <w:spacing w:after="240" w:line="276" w:lineRule="auto"/>
        <w:rPr>
          <w:rFonts w:ascii="Times New Roman" w:hAnsi="Times New Roman"/>
          <w:b/>
          <w:sz w:val="24"/>
          <w:szCs w:val="24"/>
          <w:shd w:val="clear" w:color="auto" w:fill="FFFFFF"/>
        </w:rPr>
      </w:pPr>
      <w:r w:rsidRPr="006777D4">
        <w:rPr>
          <w:rFonts w:ascii="Times New Roman" w:hAnsi="Times New Roman"/>
          <w:b/>
          <w:sz w:val="24"/>
          <w:szCs w:val="24"/>
          <w:shd w:val="clear" w:color="auto" w:fill="FFFFFF"/>
        </w:rPr>
        <w:t>Other Matters</w:t>
      </w:r>
    </w:p>
    <w:p w14:paraId="4B241BF6" w14:textId="7A95790B" w:rsidR="00CC63E1" w:rsidRPr="006777D4" w:rsidRDefault="00CC63E1" w:rsidP="00CB125D">
      <w:pPr>
        <w:spacing w:line="276" w:lineRule="auto"/>
        <w:rPr>
          <w:rFonts w:ascii="Times New Roman" w:hAnsi="Times New Roman"/>
          <w:sz w:val="24"/>
          <w:szCs w:val="24"/>
        </w:rPr>
      </w:pPr>
      <w:r w:rsidRPr="006777D4">
        <w:rPr>
          <w:rFonts w:ascii="Times New Roman" w:hAnsi="Times New Roman"/>
          <w:sz w:val="24"/>
          <w:szCs w:val="24"/>
        </w:rPr>
        <w:t>The Amendment Regulations incorporat</w:t>
      </w:r>
      <w:r w:rsidR="00186B88" w:rsidRPr="006777D4">
        <w:rPr>
          <w:rFonts w:ascii="Times New Roman" w:hAnsi="Times New Roman"/>
          <w:sz w:val="24"/>
          <w:szCs w:val="24"/>
        </w:rPr>
        <w:t>e</w:t>
      </w:r>
      <w:r w:rsidRPr="006777D4">
        <w:rPr>
          <w:rFonts w:ascii="Times New Roman" w:hAnsi="Times New Roman"/>
          <w:sz w:val="24"/>
          <w:szCs w:val="24"/>
        </w:rPr>
        <w:t xml:space="preserve"> by reference</w:t>
      </w:r>
      <w:r w:rsidR="00186B88" w:rsidRPr="006777D4">
        <w:rPr>
          <w:rFonts w:ascii="Times New Roman" w:hAnsi="Times New Roman"/>
          <w:sz w:val="24"/>
          <w:szCs w:val="24"/>
        </w:rPr>
        <w:t xml:space="preserve"> decisions by the Parties to the Montreal Protocol</w:t>
      </w:r>
      <w:r w:rsidRPr="006777D4">
        <w:rPr>
          <w:rFonts w:ascii="Times New Roman" w:hAnsi="Times New Roman"/>
          <w:sz w:val="24"/>
          <w:szCs w:val="24"/>
        </w:rPr>
        <w:t>.</w:t>
      </w:r>
      <w:r w:rsidR="00416EBF" w:rsidRPr="006777D4">
        <w:rPr>
          <w:rFonts w:ascii="Times New Roman" w:hAnsi="Times New Roman"/>
          <w:sz w:val="24"/>
          <w:szCs w:val="24"/>
        </w:rPr>
        <w:t xml:space="preserve"> </w:t>
      </w:r>
      <w:r w:rsidR="00DF5DA8" w:rsidRPr="006777D4">
        <w:rPr>
          <w:rFonts w:ascii="Times New Roman" w:hAnsi="Times New Roman"/>
          <w:sz w:val="24"/>
          <w:szCs w:val="24"/>
        </w:rPr>
        <w:t>The incorporated documents are freely available online</w:t>
      </w:r>
      <w:r w:rsidR="00476509" w:rsidRPr="006777D4">
        <w:rPr>
          <w:rFonts w:ascii="Times New Roman" w:hAnsi="Times New Roman"/>
          <w:sz w:val="24"/>
          <w:szCs w:val="24"/>
        </w:rPr>
        <w:t xml:space="preserve"> at </w:t>
      </w:r>
      <w:hyperlink r:id="rId13" w:history="1">
        <w:r w:rsidR="00476509" w:rsidRPr="006777D4">
          <w:rPr>
            <w:rStyle w:val="Hyperlink"/>
          </w:rPr>
          <w:t>https://ozone.unep.org/treaties/montreal-protocol</w:t>
        </w:r>
      </w:hyperlink>
      <w:r w:rsidR="00476509" w:rsidRPr="006777D4">
        <w:t>.</w:t>
      </w:r>
    </w:p>
    <w:p w14:paraId="4351871B" w14:textId="77777777" w:rsidR="00CC63E1" w:rsidRPr="006777D4" w:rsidRDefault="00CC63E1" w:rsidP="00CB125D">
      <w:pPr>
        <w:spacing w:line="276" w:lineRule="auto"/>
        <w:rPr>
          <w:rFonts w:ascii="Times New Roman" w:hAnsi="Times New Roman"/>
          <w:b/>
          <w:sz w:val="24"/>
          <w:szCs w:val="24"/>
        </w:rPr>
      </w:pPr>
    </w:p>
    <w:p w14:paraId="29B8EF60" w14:textId="77777777" w:rsidR="00CC63E1" w:rsidRPr="006777D4" w:rsidRDefault="00CC63E1" w:rsidP="00CB125D">
      <w:pPr>
        <w:spacing w:line="276" w:lineRule="auto"/>
        <w:rPr>
          <w:rFonts w:ascii="Times New Roman" w:hAnsi="Times New Roman"/>
          <w:sz w:val="24"/>
          <w:szCs w:val="24"/>
        </w:rPr>
      </w:pPr>
      <w:r w:rsidRPr="006777D4">
        <w:rPr>
          <w:rFonts w:ascii="Times New Roman" w:hAnsi="Times New Roman"/>
          <w:sz w:val="24"/>
          <w:szCs w:val="24"/>
        </w:rPr>
        <w:t xml:space="preserve">Details of the Amendment Regulations are set out in </w:t>
      </w:r>
      <w:r w:rsidRPr="006777D4">
        <w:rPr>
          <w:rFonts w:ascii="Times New Roman" w:hAnsi="Times New Roman"/>
          <w:sz w:val="24"/>
          <w:szCs w:val="24"/>
          <w:u w:val="single"/>
        </w:rPr>
        <w:t>Attachment A</w:t>
      </w:r>
      <w:r w:rsidRPr="006777D4">
        <w:rPr>
          <w:rFonts w:ascii="Times New Roman" w:hAnsi="Times New Roman"/>
          <w:sz w:val="24"/>
          <w:szCs w:val="24"/>
        </w:rPr>
        <w:t xml:space="preserve">. A Statement of Compatibility with Human Rights has been completed and is at </w:t>
      </w:r>
      <w:r w:rsidRPr="006777D4">
        <w:rPr>
          <w:rFonts w:ascii="Times New Roman" w:hAnsi="Times New Roman"/>
          <w:sz w:val="24"/>
          <w:szCs w:val="24"/>
          <w:u w:val="single"/>
        </w:rPr>
        <w:t>Attachment B</w:t>
      </w:r>
      <w:r w:rsidRPr="006777D4">
        <w:rPr>
          <w:rFonts w:ascii="Times New Roman" w:hAnsi="Times New Roman"/>
          <w:sz w:val="24"/>
          <w:szCs w:val="24"/>
        </w:rPr>
        <w:t>.</w:t>
      </w:r>
    </w:p>
    <w:p w14:paraId="36C4042D" w14:textId="77777777" w:rsidR="00CC63E1" w:rsidRPr="006777D4" w:rsidRDefault="00CC63E1" w:rsidP="00CB125D">
      <w:pPr>
        <w:spacing w:line="276" w:lineRule="auto"/>
        <w:rPr>
          <w:rFonts w:ascii="Times New Roman" w:hAnsi="Times New Roman"/>
          <w:sz w:val="24"/>
          <w:szCs w:val="24"/>
        </w:rPr>
      </w:pPr>
    </w:p>
    <w:p w14:paraId="18E10512" w14:textId="77777777" w:rsidR="00CC63E1" w:rsidRPr="006777D4" w:rsidRDefault="00CC63E1" w:rsidP="00CB125D">
      <w:pPr>
        <w:spacing w:line="276" w:lineRule="auto"/>
        <w:rPr>
          <w:rFonts w:ascii="Times New Roman" w:hAnsi="Times New Roman"/>
          <w:sz w:val="24"/>
          <w:szCs w:val="24"/>
        </w:rPr>
      </w:pPr>
      <w:r w:rsidRPr="006777D4">
        <w:rPr>
          <w:rFonts w:ascii="Times New Roman" w:hAnsi="Times New Roman"/>
          <w:sz w:val="24"/>
          <w:szCs w:val="24"/>
        </w:rPr>
        <w:t>The Act specifies no conditions that need to be satisfied before the power to make the Regulations may be exercised.</w:t>
      </w:r>
    </w:p>
    <w:p w14:paraId="0B8C4B66" w14:textId="77777777" w:rsidR="00CC63E1" w:rsidRPr="006777D4" w:rsidRDefault="00CC63E1" w:rsidP="00CB125D">
      <w:pPr>
        <w:spacing w:line="276" w:lineRule="auto"/>
        <w:rPr>
          <w:rFonts w:ascii="Times New Roman" w:hAnsi="Times New Roman"/>
          <w:sz w:val="24"/>
          <w:szCs w:val="24"/>
        </w:rPr>
      </w:pPr>
    </w:p>
    <w:p w14:paraId="203542F3" w14:textId="77777777" w:rsidR="00CC63E1" w:rsidRPr="006777D4" w:rsidRDefault="00CC63E1" w:rsidP="00CB125D">
      <w:pPr>
        <w:spacing w:line="276" w:lineRule="auto"/>
        <w:rPr>
          <w:rFonts w:ascii="Times New Roman" w:hAnsi="Times New Roman"/>
          <w:sz w:val="24"/>
          <w:szCs w:val="24"/>
        </w:rPr>
      </w:pPr>
      <w:r w:rsidRPr="006777D4">
        <w:rPr>
          <w:rFonts w:ascii="Times New Roman" w:hAnsi="Times New Roman"/>
          <w:sz w:val="24"/>
          <w:szCs w:val="24"/>
        </w:rPr>
        <w:lastRenderedPageBreak/>
        <w:t xml:space="preserve">The Amendment Regulations are a legislative instrument for the purposes of the </w:t>
      </w:r>
      <w:r w:rsidRPr="006777D4">
        <w:rPr>
          <w:rFonts w:ascii="Times New Roman" w:hAnsi="Times New Roman"/>
          <w:i/>
          <w:sz w:val="24"/>
          <w:szCs w:val="24"/>
        </w:rPr>
        <w:t>Legislation Act 2003.</w:t>
      </w:r>
    </w:p>
    <w:p w14:paraId="36563547" w14:textId="77777777" w:rsidR="00CC63E1" w:rsidRPr="006777D4" w:rsidRDefault="00CC63E1" w:rsidP="00CB125D">
      <w:pPr>
        <w:spacing w:line="276" w:lineRule="auto"/>
        <w:rPr>
          <w:rFonts w:ascii="Times New Roman" w:hAnsi="Times New Roman"/>
          <w:sz w:val="24"/>
          <w:szCs w:val="24"/>
        </w:rPr>
      </w:pPr>
    </w:p>
    <w:p w14:paraId="2446A5D5" w14:textId="59AC9106" w:rsidR="00CC63E1" w:rsidRPr="006777D4" w:rsidRDefault="00CC63E1" w:rsidP="00CB125D">
      <w:pPr>
        <w:spacing w:line="276" w:lineRule="auto"/>
        <w:rPr>
          <w:rFonts w:ascii="Times New Roman" w:hAnsi="Times New Roman"/>
          <w:sz w:val="24"/>
          <w:szCs w:val="24"/>
        </w:rPr>
      </w:pPr>
      <w:r w:rsidRPr="006777D4">
        <w:rPr>
          <w:rFonts w:ascii="Times New Roman" w:hAnsi="Times New Roman"/>
          <w:sz w:val="24"/>
          <w:szCs w:val="24"/>
        </w:rPr>
        <w:t xml:space="preserve">The Amendment Regulations commence on </w:t>
      </w:r>
      <w:r w:rsidR="003753BF" w:rsidRPr="006777D4">
        <w:rPr>
          <w:rFonts w:ascii="Times New Roman" w:hAnsi="Times New Roman"/>
          <w:sz w:val="24"/>
          <w:szCs w:val="24"/>
        </w:rPr>
        <w:t>the day after registration</w:t>
      </w:r>
      <w:r w:rsidRPr="006777D4">
        <w:rPr>
          <w:rFonts w:ascii="Times New Roman" w:hAnsi="Times New Roman"/>
          <w:sz w:val="24"/>
          <w:szCs w:val="24"/>
        </w:rPr>
        <w:t xml:space="preserve">. </w:t>
      </w:r>
    </w:p>
    <w:p w14:paraId="2456AB94" w14:textId="77777777" w:rsidR="00BF560B" w:rsidRPr="006777D4" w:rsidRDefault="00BF560B" w:rsidP="00814991">
      <w:pPr>
        <w:tabs>
          <w:tab w:val="left" w:pos="993"/>
        </w:tabs>
        <w:spacing w:after="240" w:line="276" w:lineRule="auto"/>
        <w:rPr>
          <w:rFonts w:ascii="Times New Roman" w:hAnsi="Times New Roman"/>
          <w:sz w:val="24"/>
          <w:szCs w:val="24"/>
        </w:rPr>
      </w:pPr>
    </w:p>
    <w:p w14:paraId="1AF5CCF3" w14:textId="77777777" w:rsidR="00907713" w:rsidRPr="006777D4" w:rsidRDefault="00907713" w:rsidP="00814991">
      <w:pPr>
        <w:tabs>
          <w:tab w:val="left" w:pos="993"/>
        </w:tabs>
        <w:spacing w:line="276" w:lineRule="auto"/>
        <w:rPr>
          <w:rFonts w:ascii="Times New Roman" w:hAnsi="Times New Roman"/>
          <w:b/>
          <w:sz w:val="24"/>
          <w:szCs w:val="24"/>
          <w:u w:val="single"/>
        </w:rPr>
        <w:sectPr w:rsidR="00907713" w:rsidRPr="006777D4" w:rsidSect="00A43B39">
          <w:footerReference w:type="default" r:id="rId14"/>
          <w:pgSz w:w="11906" w:h="16838" w:code="9"/>
          <w:pgMar w:top="1440" w:right="1021" w:bottom="1440" w:left="1134" w:header="567" w:footer="567" w:gutter="0"/>
          <w:cols w:space="708"/>
          <w:docGrid w:linePitch="360"/>
        </w:sectPr>
      </w:pPr>
    </w:p>
    <w:p w14:paraId="21915D1E" w14:textId="5A5BA35B" w:rsidR="00381322" w:rsidRPr="006777D4" w:rsidRDefault="00B9342A" w:rsidP="00814991">
      <w:pPr>
        <w:spacing w:line="276" w:lineRule="auto"/>
        <w:jc w:val="right"/>
        <w:rPr>
          <w:rFonts w:ascii="Times New Roman" w:hAnsi="Times New Roman"/>
          <w:b/>
          <w:sz w:val="24"/>
          <w:szCs w:val="24"/>
          <w:u w:val="single"/>
        </w:rPr>
      </w:pPr>
      <w:r w:rsidRPr="006777D4">
        <w:rPr>
          <w:rFonts w:ascii="Times New Roman" w:hAnsi="Times New Roman"/>
          <w:b/>
          <w:sz w:val="24"/>
          <w:szCs w:val="24"/>
          <w:u w:val="single"/>
        </w:rPr>
        <w:t>ATTACHMENT A</w:t>
      </w:r>
    </w:p>
    <w:p w14:paraId="60AE0B08" w14:textId="254B95FD" w:rsidR="005D072E" w:rsidRPr="006777D4" w:rsidRDefault="00381322" w:rsidP="00B9342A">
      <w:pPr>
        <w:tabs>
          <w:tab w:val="left" w:pos="993"/>
          <w:tab w:val="left" w:pos="4536"/>
          <w:tab w:val="left" w:pos="5670"/>
        </w:tabs>
        <w:spacing w:before="240" w:line="276" w:lineRule="auto"/>
        <w:rPr>
          <w:rFonts w:ascii="Times New Roman" w:hAnsi="Times New Roman"/>
          <w:b/>
          <w:i/>
          <w:sz w:val="24"/>
          <w:szCs w:val="24"/>
        </w:rPr>
      </w:pPr>
      <w:r w:rsidRPr="006777D4">
        <w:rPr>
          <w:rFonts w:ascii="Times New Roman" w:hAnsi="Times New Roman"/>
          <w:b/>
          <w:sz w:val="24"/>
          <w:szCs w:val="24"/>
        </w:rPr>
        <w:t xml:space="preserve">Details of the </w:t>
      </w:r>
      <w:r w:rsidR="000B4280" w:rsidRPr="006777D4">
        <w:rPr>
          <w:rFonts w:ascii="Times New Roman" w:hAnsi="Times New Roman"/>
          <w:b/>
          <w:i/>
          <w:sz w:val="24"/>
          <w:szCs w:val="24"/>
        </w:rPr>
        <w:t>Ozone Protection and Synthetic Greenhouse Gas Management Amendment (20</w:t>
      </w:r>
      <w:r w:rsidR="003753BF" w:rsidRPr="006777D4">
        <w:rPr>
          <w:rFonts w:ascii="Times New Roman" w:hAnsi="Times New Roman"/>
          <w:b/>
          <w:i/>
          <w:sz w:val="24"/>
          <w:szCs w:val="24"/>
        </w:rPr>
        <w:t>20</w:t>
      </w:r>
      <w:r w:rsidR="000B4280" w:rsidRPr="006777D4">
        <w:rPr>
          <w:rFonts w:ascii="Times New Roman" w:hAnsi="Times New Roman"/>
          <w:b/>
          <w:i/>
          <w:sz w:val="24"/>
          <w:szCs w:val="24"/>
        </w:rPr>
        <w:t> Measures No. 1) Regulations 20</w:t>
      </w:r>
      <w:r w:rsidR="003753BF" w:rsidRPr="006777D4">
        <w:rPr>
          <w:rFonts w:ascii="Times New Roman" w:hAnsi="Times New Roman"/>
          <w:b/>
          <w:i/>
          <w:sz w:val="24"/>
          <w:szCs w:val="24"/>
        </w:rPr>
        <w:t>20</w:t>
      </w:r>
    </w:p>
    <w:p w14:paraId="07639EDB" w14:textId="7A89741C" w:rsidR="00381322" w:rsidRPr="006777D4" w:rsidRDefault="00381322" w:rsidP="00814991">
      <w:pPr>
        <w:tabs>
          <w:tab w:val="left" w:pos="993"/>
          <w:tab w:val="left" w:pos="4536"/>
          <w:tab w:val="left" w:pos="5670"/>
        </w:tabs>
        <w:spacing w:line="276" w:lineRule="auto"/>
        <w:rPr>
          <w:rFonts w:ascii="Times New Roman" w:hAnsi="Times New Roman"/>
          <w:sz w:val="24"/>
          <w:szCs w:val="24"/>
          <w:u w:val="single"/>
        </w:rPr>
      </w:pPr>
    </w:p>
    <w:p w14:paraId="346FBB3B" w14:textId="77777777" w:rsidR="009F39C2" w:rsidRPr="006777D4" w:rsidRDefault="009F39C2" w:rsidP="009F39C2">
      <w:pPr>
        <w:tabs>
          <w:tab w:val="left" w:pos="993"/>
          <w:tab w:val="left" w:pos="4536"/>
          <w:tab w:val="left" w:pos="5670"/>
        </w:tabs>
        <w:spacing w:after="200"/>
        <w:rPr>
          <w:rFonts w:ascii="Times New Roman" w:hAnsi="Times New Roman"/>
          <w:sz w:val="24"/>
          <w:szCs w:val="24"/>
          <w:u w:val="single"/>
        </w:rPr>
      </w:pPr>
      <w:r w:rsidRPr="006777D4">
        <w:rPr>
          <w:rFonts w:ascii="Times New Roman" w:hAnsi="Times New Roman"/>
          <w:sz w:val="24"/>
          <w:szCs w:val="24"/>
          <w:u w:val="single"/>
        </w:rPr>
        <w:t xml:space="preserve">Section 1 – Name </w:t>
      </w:r>
    </w:p>
    <w:p w14:paraId="3D6E8CB8" w14:textId="01E2D938" w:rsidR="009F39C2" w:rsidRPr="006777D4" w:rsidRDefault="009F39C2" w:rsidP="009F39C2">
      <w:pPr>
        <w:pStyle w:val="ListNumber"/>
        <w:numPr>
          <w:ilvl w:val="0"/>
          <w:numId w:val="2"/>
        </w:numPr>
        <w:spacing w:after="240" w:line="276" w:lineRule="auto"/>
        <w:ind w:left="567" w:hanging="567"/>
        <w:rPr>
          <w:rFonts w:ascii="Times New Roman" w:hAnsi="Times New Roman"/>
          <w:sz w:val="24"/>
          <w:szCs w:val="24"/>
        </w:rPr>
      </w:pPr>
      <w:r w:rsidRPr="006777D4">
        <w:rPr>
          <w:rFonts w:ascii="Times New Roman" w:hAnsi="Times New Roman"/>
          <w:sz w:val="24"/>
          <w:szCs w:val="24"/>
        </w:rPr>
        <w:t xml:space="preserve">This section specifies that the title of the Regulations is the </w:t>
      </w:r>
      <w:r w:rsidRPr="006777D4">
        <w:rPr>
          <w:rFonts w:ascii="Times New Roman" w:hAnsi="Times New Roman"/>
          <w:i/>
          <w:iCs/>
          <w:sz w:val="24"/>
          <w:szCs w:val="24"/>
        </w:rPr>
        <w:t>Ozone Protection and Synthetic Greenhouse Gas Management Amendment (2020 Measures No. 1) Regulations 2020</w:t>
      </w:r>
      <w:r w:rsidRPr="006777D4">
        <w:rPr>
          <w:rFonts w:ascii="Times New Roman" w:hAnsi="Times New Roman"/>
          <w:sz w:val="24"/>
          <w:szCs w:val="24"/>
        </w:rPr>
        <w:t>.</w:t>
      </w:r>
    </w:p>
    <w:p w14:paraId="551930DB" w14:textId="77777777" w:rsidR="009F39C2" w:rsidRPr="006777D4" w:rsidRDefault="009F39C2" w:rsidP="009F39C2">
      <w:pPr>
        <w:tabs>
          <w:tab w:val="left" w:pos="993"/>
          <w:tab w:val="left" w:pos="4536"/>
          <w:tab w:val="left" w:pos="5670"/>
        </w:tabs>
        <w:spacing w:after="200"/>
        <w:rPr>
          <w:rFonts w:ascii="Times New Roman" w:hAnsi="Times New Roman"/>
          <w:sz w:val="24"/>
          <w:szCs w:val="24"/>
          <w:u w:val="single"/>
        </w:rPr>
      </w:pPr>
      <w:r w:rsidRPr="006777D4">
        <w:rPr>
          <w:rFonts w:ascii="Times New Roman" w:hAnsi="Times New Roman"/>
          <w:sz w:val="24"/>
          <w:szCs w:val="24"/>
          <w:u w:val="single"/>
        </w:rPr>
        <w:t>Section 2 – Commencement</w:t>
      </w:r>
    </w:p>
    <w:p w14:paraId="42741C5F" w14:textId="2F0F09B3" w:rsidR="009F39C2" w:rsidRPr="006777D4" w:rsidRDefault="009F39C2" w:rsidP="009F39C2">
      <w:pPr>
        <w:pStyle w:val="ListNumber"/>
        <w:numPr>
          <w:ilvl w:val="0"/>
          <w:numId w:val="2"/>
        </w:numPr>
        <w:spacing w:after="240" w:line="276" w:lineRule="auto"/>
        <w:ind w:left="567" w:hanging="567"/>
        <w:rPr>
          <w:rFonts w:ascii="Times New Roman" w:hAnsi="Times New Roman"/>
          <w:sz w:val="24"/>
          <w:szCs w:val="24"/>
        </w:rPr>
      </w:pPr>
      <w:r w:rsidRPr="006777D4">
        <w:rPr>
          <w:rFonts w:ascii="Times New Roman" w:hAnsi="Times New Roman"/>
          <w:sz w:val="24"/>
          <w:szCs w:val="24"/>
        </w:rPr>
        <w:t xml:space="preserve">The table in this section provides that the </w:t>
      </w:r>
      <w:r w:rsidRPr="006777D4">
        <w:rPr>
          <w:rFonts w:ascii="Times New Roman" w:hAnsi="Times New Roman"/>
          <w:i/>
          <w:iCs/>
          <w:sz w:val="24"/>
          <w:szCs w:val="24"/>
        </w:rPr>
        <w:t>Ozone Protection and Synthetic Greenhouse Gas Management Amendment (2020 Measures No. 1) Regulations 2020</w:t>
      </w:r>
      <w:r w:rsidRPr="006777D4">
        <w:rPr>
          <w:rFonts w:ascii="Times New Roman" w:hAnsi="Times New Roman"/>
          <w:sz w:val="24"/>
          <w:szCs w:val="24"/>
        </w:rPr>
        <w:t>, including all Schedules, commence the day after the instrument is registered.</w:t>
      </w:r>
    </w:p>
    <w:p w14:paraId="7B71480B" w14:textId="77777777" w:rsidR="009F39C2" w:rsidRPr="006777D4" w:rsidRDefault="009F39C2" w:rsidP="009F39C2">
      <w:pPr>
        <w:tabs>
          <w:tab w:val="left" w:pos="993"/>
          <w:tab w:val="left" w:pos="4536"/>
          <w:tab w:val="left" w:pos="5670"/>
        </w:tabs>
        <w:spacing w:after="200"/>
        <w:rPr>
          <w:rFonts w:ascii="Times New Roman" w:hAnsi="Times New Roman"/>
          <w:sz w:val="24"/>
          <w:szCs w:val="24"/>
          <w:u w:val="single"/>
        </w:rPr>
      </w:pPr>
      <w:r w:rsidRPr="006777D4">
        <w:rPr>
          <w:rFonts w:ascii="Times New Roman" w:hAnsi="Times New Roman"/>
          <w:sz w:val="24"/>
          <w:szCs w:val="24"/>
          <w:u w:val="single"/>
        </w:rPr>
        <w:t>Section 3 – Authority</w:t>
      </w:r>
    </w:p>
    <w:p w14:paraId="43E5BE8A" w14:textId="28F9DF1F" w:rsidR="009F39C2" w:rsidRPr="006777D4" w:rsidRDefault="009F39C2" w:rsidP="009F39C2">
      <w:pPr>
        <w:pStyle w:val="ListNumber"/>
        <w:numPr>
          <w:ilvl w:val="0"/>
          <w:numId w:val="2"/>
        </w:numPr>
        <w:spacing w:after="240" w:line="276" w:lineRule="auto"/>
        <w:ind w:left="567" w:hanging="567"/>
        <w:rPr>
          <w:rFonts w:ascii="Times New Roman" w:hAnsi="Times New Roman"/>
          <w:sz w:val="24"/>
          <w:szCs w:val="24"/>
        </w:rPr>
      </w:pPr>
      <w:r w:rsidRPr="006777D4">
        <w:rPr>
          <w:rFonts w:ascii="Times New Roman" w:hAnsi="Times New Roman"/>
          <w:sz w:val="24"/>
          <w:szCs w:val="24"/>
        </w:rPr>
        <w:t xml:space="preserve">This section provides that the </w:t>
      </w:r>
      <w:r w:rsidRPr="006777D4">
        <w:rPr>
          <w:rFonts w:ascii="Times New Roman" w:hAnsi="Times New Roman"/>
          <w:i/>
          <w:iCs/>
          <w:sz w:val="24"/>
          <w:szCs w:val="24"/>
        </w:rPr>
        <w:t xml:space="preserve">Ozone Protection and Synthetic Greenhouse Gas Management Amendment (2020 Measures No. 1) Regulations 2020 </w:t>
      </w:r>
      <w:r w:rsidRPr="006777D4">
        <w:rPr>
          <w:rFonts w:ascii="Times New Roman" w:hAnsi="Times New Roman"/>
          <w:sz w:val="24"/>
          <w:szCs w:val="24"/>
        </w:rPr>
        <w:t xml:space="preserve">are made under the </w:t>
      </w:r>
      <w:r w:rsidRPr="006777D4">
        <w:rPr>
          <w:rFonts w:ascii="Times New Roman" w:hAnsi="Times New Roman"/>
          <w:i/>
          <w:sz w:val="24"/>
          <w:szCs w:val="24"/>
        </w:rPr>
        <w:t>Ozone Protection and Synthetic Greenhouse Gas Management Act 1989</w:t>
      </w:r>
      <w:r w:rsidRPr="006777D4">
        <w:rPr>
          <w:rFonts w:ascii="Times New Roman" w:hAnsi="Times New Roman"/>
          <w:sz w:val="24"/>
          <w:szCs w:val="24"/>
        </w:rPr>
        <w:t xml:space="preserve"> (the Act).</w:t>
      </w:r>
    </w:p>
    <w:p w14:paraId="5FCB8760" w14:textId="77777777" w:rsidR="009F39C2" w:rsidRPr="006777D4" w:rsidRDefault="009F39C2" w:rsidP="009F39C2">
      <w:pPr>
        <w:tabs>
          <w:tab w:val="left" w:pos="993"/>
          <w:tab w:val="left" w:pos="4536"/>
          <w:tab w:val="left" w:pos="5670"/>
        </w:tabs>
        <w:spacing w:after="200"/>
        <w:rPr>
          <w:rFonts w:ascii="Times New Roman" w:hAnsi="Times New Roman"/>
          <w:sz w:val="24"/>
          <w:szCs w:val="24"/>
          <w:u w:val="single"/>
        </w:rPr>
      </w:pPr>
      <w:r w:rsidRPr="006777D4">
        <w:rPr>
          <w:rFonts w:ascii="Times New Roman" w:hAnsi="Times New Roman"/>
          <w:sz w:val="24"/>
          <w:szCs w:val="24"/>
          <w:u w:val="single"/>
        </w:rPr>
        <w:t>Section 4 – Schedules</w:t>
      </w:r>
    </w:p>
    <w:p w14:paraId="1E156683" w14:textId="75F69324" w:rsidR="009F39C2" w:rsidRPr="006777D4" w:rsidRDefault="009F39C2" w:rsidP="009F39C2">
      <w:pPr>
        <w:pStyle w:val="ListNumber"/>
        <w:numPr>
          <w:ilvl w:val="0"/>
          <w:numId w:val="2"/>
        </w:numPr>
        <w:spacing w:after="240" w:line="276" w:lineRule="auto"/>
        <w:ind w:left="567" w:hanging="567"/>
        <w:rPr>
          <w:rFonts w:ascii="Times New Roman" w:hAnsi="Times New Roman"/>
          <w:sz w:val="24"/>
          <w:szCs w:val="24"/>
        </w:rPr>
      </w:pPr>
      <w:r w:rsidRPr="006777D4">
        <w:rPr>
          <w:rFonts w:ascii="Times New Roman" w:hAnsi="Times New Roman"/>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60A7400" w14:textId="77777777" w:rsidR="009F39C2" w:rsidRPr="006777D4" w:rsidRDefault="009F39C2" w:rsidP="009F39C2">
      <w:pPr>
        <w:pStyle w:val="ListNumber"/>
        <w:spacing w:after="200"/>
        <w:ind w:left="0" w:firstLine="0"/>
        <w:rPr>
          <w:rFonts w:ascii="Times New Roman" w:hAnsi="Times New Roman"/>
          <w:b/>
          <w:sz w:val="24"/>
          <w:szCs w:val="24"/>
        </w:rPr>
      </w:pPr>
      <w:r w:rsidRPr="006777D4">
        <w:rPr>
          <w:rFonts w:ascii="Times New Roman" w:hAnsi="Times New Roman"/>
          <w:b/>
          <w:sz w:val="24"/>
          <w:szCs w:val="24"/>
        </w:rPr>
        <w:t>Schedule 1 – Amendments</w:t>
      </w:r>
    </w:p>
    <w:p w14:paraId="4A10F79F" w14:textId="77777777" w:rsidR="009F39C2" w:rsidRPr="006777D4" w:rsidRDefault="009F39C2" w:rsidP="009F39C2">
      <w:pPr>
        <w:pStyle w:val="ListNumber"/>
        <w:spacing w:after="200"/>
        <w:ind w:left="0" w:firstLine="0"/>
        <w:rPr>
          <w:rFonts w:ascii="Times New Roman" w:hAnsi="Times New Roman"/>
          <w:b/>
          <w:sz w:val="24"/>
          <w:szCs w:val="24"/>
        </w:rPr>
      </w:pPr>
      <w:r w:rsidRPr="006777D4">
        <w:rPr>
          <w:rFonts w:ascii="Times New Roman" w:hAnsi="Times New Roman"/>
          <w:b/>
          <w:sz w:val="24"/>
          <w:szCs w:val="24"/>
        </w:rPr>
        <w:t>Part 1 – Use of HCFCs for laboratory and analytical purposes</w:t>
      </w:r>
    </w:p>
    <w:p w14:paraId="05DF1D2C" w14:textId="7E896E9C" w:rsidR="009F39C2" w:rsidRPr="006777D4" w:rsidRDefault="009F39C2" w:rsidP="00CB125D">
      <w:pPr>
        <w:spacing w:after="200" w:line="276" w:lineRule="auto"/>
        <w:rPr>
          <w:rFonts w:ascii="Times New Roman" w:hAnsi="Times New Roman"/>
          <w:sz w:val="24"/>
          <w:szCs w:val="24"/>
        </w:rPr>
      </w:pPr>
      <w:bookmarkStart w:id="2" w:name="_Hlk44422150"/>
      <w:r w:rsidRPr="006777D4">
        <w:rPr>
          <w:rFonts w:ascii="Times New Roman" w:hAnsi="Times New Roman"/>
          <w:sz w:val="24"/>
          <w:szCs w:val="24"/>
        </w:rPr>
        <w:t>From 1 January 2020, the Montreal Protocol</w:t>
      </w:r>
      <w:r w:rsidR="000A24E6" w:rsidRPr="006777D4">
        <w:rPr>
          <w:rFonts w:ascii="Times New Roman" w:hAnsi="Times New Roman"/>
          <w:sz w:val="24"/>
          <w:szCs w:val="24"/>
        </w:rPr>
        <w:t xml:space="preserve"> on Substances that Deplete the Ozone Layer</w:t>
      </w:r>
      <w:r w:rsidRPr="006777D4">
        <w:rPr>
          <w:rFonts w:ascii="Times New Roman" w:hAnsi="Times New Roman"/>
          <w:sz w:val="24"/>
          <w:szCs w:val="24"/>
        </w:rPr>
        <w:t xml:space="preserve"> restricted the use of new</w:t>
      </w:r>
      <w:r w:rsidR="000A24E6" w:rsidRPr="006777D4">
        <w:rPr>
          <w:rFonts w:ascii="Times New Roman" w:hAnsi="Times New Roman"/>
          <w:sz w:val="24"/>
          <w:szCs w:val="24"/>
        </w:rPr>
        <w:t>ly manufactured</w:t>
      </w:r>
      <w:r w:rsidRPr="006777D4">
        <w:rPr>
          <w:rFonts w:ascii="Times New Roman" w:hAnsi="Times New Roman"/>
          <w:sz w:val="24"/>
          <w:szCs w:val="24"/>
        </w:rPr>
        <w:t xml:space="preserve"> hydrochlorofluorocarbons </w:t>
      </w:r>
      <w:bookmarkEnd w:id="2"/>
      <w:r w:rsidRPr="006777D4">
        <w:rPr>
          <w:rFonts w:ascii="Times New Roman" w:hAnsi="Times New Roman"/>
          <w:sz w:val="24"/>
          <w:szCs w:val="24"/>
        </w:rPr>
        <w:t>(HCFCs). Section 45C of the Act implements Australia’s obligations under the Montreal Protocol by prohibiting the use of HCFCs that are manufactured or imported on or after 1 January 2020. Subsection 45C(2) provides an exemption to this prohibition if the use of the HCFC manufactured or imported after 1 January 2020 is for a purpose prescribed in the Regulations.</w:t>
      </w:r>
    </w:p>
    <w:p w14:paraId="6E51BCAE" w14:textId="7D167112" w:rsidR="00610489" w:rsidRPr="006777D4" w:rsidRDefault="009F39C2" w:rsidP="00CB125D">
      <w:pPr>
        <w:spacing w:after="200" w:line="276" w:lineRule="auto"/>
        <w:rPr>
          <w:rFonts w:ascii="Times New Roman" w:hAnsi="Times New Roman"/>
          <w:sz w:val="24"/>
          <w:szCs w:val="24"/>
        </w:rPr>
      </w:pPr>
      <w:r w:rsidRPr="006777D4">
        <w:rPr>
          <w:rFonts w:ascii="Times New Roman" w:hAnsi="Times New Roman"/>
          <w:sz w:val="24"/>
          <w:szCs w:val="24"/>
        </w:rPr>
        <w:t xml:space="preserve">Decision </w:t>
      </w:r>
      <w:r w:rsidR="009252E7" w:rsidRPr="006777D4">
        <w:rPr>
          <w:rFonts w:ascii="Times New Roman" w:hAnsi="Times New Roman"/>
          <w:sz w:val="24"/>
          <w:szCs w:val="24"/>
        </w:rPr>
        <w:t xml:space="preserve">XXXI/5 and </w:t>
      </w:r>
      <w:r w:rsidRPr="006777D4">
        <w:rPr>
          <w:rFonts w:ascii="Times New Roman" w:hAnsi="Times New Roman"/>
          <w:sz w:val="24"/>
          <w:szCs w:val="24"/>
        </w:rPr>
        <w:t>XXXI/5 of the Meeting of the Parties to the Montreal Protocol (available at:</w:t>
      </w:r>
      <w:r w:rsidR="00476509" w:rsidRPr="006777D4">
        <w:t xml:space="preserve"> </w:t>
      </w:r>
      <w:r w:rsidR="009252E7" w:rsidRPr="006777D4">
        <w:t>https://ozone.unep.org/treaties/montreal-protocol/decisions/by-meeting</w:t>
      </w:r>
      <w:r w:rsidRPr="006777D4">
        <w:rPr>
          <w:rFonts w:ascii="Times New Roman" w:hAnsi="Times New Roman"/>
          <w:sz w:val="24"/>
          <w:szCs w:val="24"/>
        </w:rPr>
        <w:t xml:space="preserve">) allow new HCFCs to be used after 1 January 2020 for essential uses including laboratory and analytical uses. </w:t>
      </w:r>
      <w:r w:rsidR="00610489" w:rsidRPr="006777D4">
        <w:rPr>
          <w:rFonts w:ascii="Times New Roman" w:hAnsi="Times New Roman"/>
          <w:sz w:val="24"/>
          <w:szCs w:val="24"/>
        </w:rPr>
        <w:t xml:space="preserve">Decision XXXI/5 allows for this use of HCFCs indefinitely but keeps open the possibility of review at a later date. Amendments to new regulation 600 </w:t>
      </w:r>
      <w:r w:rsidR="00341775" w:rsidRPr="006777D4">
        <w:rPr>
          <w:rFonts w:ascii="Times New Roman" w:hAnsi="Times New Roman"/>
          <w:sz w:val="24"/>
          <w:szCs w:val="24"/>
        </w:rPr>
        <w:t>would</w:t>
      </w:r>
      <w:r w:rsidR="00610489" w:rsidRPr="006777D4">
        <w:rPr>
          <w:rFonts w:ascii="Times New Roman" w:hAnsi="Times New Roman"/>
          <w:sz w:val="24"/>
          <w:szCs w:val="24"/>
        </w:rPr>
        <w:t xml:space="preserve"> be required later if future Montreal Protocol decisions limit laboratory and analytical uses of HCFCs.</w:t>
      </w:r>
    </w:p>
    <w:p w14:paraId="275739CD" w14:textId="77777777" w:rsidR="000A0424" w:rsidRPr="006777D4" w:rsidRDefault="000A0424">
      <w:pPr>
        <w:spacing w:after="200" w:line="276" w:lineRule="auto"/>
        <w:rPr>
          <w:rFonts w:ascii="Times New Roman" w:hAnsi="Times New Roman"/>
          <w:sz w:val="24"/>
          <w:szCs w:val="24"/>
        </w:rPr>
      </w:pPr>
      <w:r w:rsidRPr="006777D4">
        <w:rPr>
          <w:rFonts w:ascii="Times New Roman" w:hAnsi="Times New Roman"/>
          <w:sz w:val="24"/>
          <w:szCs w:val="24"/>
        </w:rPr>
        <w:br w:type="page"/>
      </w:r>
    </w:p>
    <w:p w14:paraId="168F389A" w14:textId="091936C8" w:rsidR="009F39C2" w:rsidRPr="006777D4" w:rsidRDefault="009F39C2" w:rsidP="0043706A">
      <w:pPr>
        <w:spacing w:after="200" w:line="276" w:lineRule="auto"/>
        <w:rPr>
          <w:rFonts w:ascii="Times New Roman" w:hAnsi="Times New Roman"/>
          <w:sz w:val="24"/>
          <w:szCs w:val="24"/>
        </w:rPr>
      </w:pPr>
      <w:r w:rsidRPr="006777D4">
        <w:rPr>
          <w:rFonts w:ascii="Times New Roman" w:hAnsi="Times New Roman"/>
          <w:sz w:val="24"/>
          <w:szCs w:val="24"/>
        </w:rPr>
        <w:t>Allowing HCFCs imported or manufactured from 1 January 2020 to be used for laboratory and analytical purposes allow</w:t>
      </w:r>
      <w:r w:rsidR="0043706A" w:rsidRPr="006777D4">
        <w:rPr>
          <w:rFonts w:ascii="Times New Roman" w:hAnsi="Times New Roman"/>
          <w:sz w:val="24"/>
          <w:szCs w:val="24"/>
        </w:rPr>
        <w:t>s</w:t>
      </w:r>
      <w:r w:rsidRPr="006777D4">
        <w:rPr>
          <w:rFonts w:ascii="Times New Roman" w:hAnsi="Times New Roman"/>
          <w:sz w:val="24"/>
          <w:szCs w:val="24"/>
        </w:rPr>
        <w:t xml:space="preserve"> continuation of essential scientific research and analytical work that requires these substances. Only small quantities of these substances </w:t>
      </w:r>
      <w:r w:rsidR="0043706A" w:rsidRPr="006777D4">
        <w:rPr>
          <w:rFonts w:ascii="Times New Roman" w:hAnsi="Times New Roman"/>
          <w:sz w:val="24"/>
          <w:szCs w:val="24"/>
        </w:rPr>
        <w:t>are</w:t>
      </w:r>
      <w:r w:rsidRPr="006777D4">
        <w:rPr>
          <w:rFonts w:ascii="Times New Roman" w:hAnsi="Times New Roman"/>
          <w:sz w:val="24"/>
          <w:szCs w:val="24"/>
        </w:rPr>
        <w:t xml:space="preserve"> expected to be used for these purposes – grams rather than tonnes.</w:t>
      </w:r>
    </w:p>
    <w:p w14:paraId="24F9C989" w14:textId="7263F4F2" w:rsidR="00476509" w:rsidRPr="006777D4" w:rsidRDefault="00476509" w:rsidP="00476509">
      <w:pPr>
        <w:spacing w:after="200" w:line="276" w:lineRule="auto"/>
        <w:rPr>
          <w:rFonts w:ascii="Times New Roman" w:hAnsi="Times New Roman"/>
          <w:sz w:val="24"/>
          <w:szCs w:val="24"/>
          <w:u w:val="single"/>
        </w:rPr>
      </w:pPr>
      <w:r w:rsidRPr="006777D4">
        <w:rPr>
          <w:rFonts w:ascii="Times New Roman" w:hAnsi="Times New Roman"/>
          <w:sz w:val="24"/>
          <w:szCs w:val="24"/>
          <w:u w:val="single"/>
        </w:rPr>
        <w:t>Items 1 and 2</w:t>
      </w:r>
    </w:p>
    <w:p w14:paraId="2B4FB071" w14:textId="386C11F6" w:rsidR="00476509" w:rsidRPr="006777D4" w:rsidRDefault="00476509" w:rsidP="00476509">
      <w:pPr>
        <w:spacing w:after="200" w:line="276" w:lineRule="auto"/>
        <w:rPr>
          <w:rFonts w:ascii="Times New Roman" w:hAnsi="Times New Roman"/>
          <w:sz w:val="24"/>
          <w:szCs w:val="24"/>
        </w:rPr>
      </w:pPr>
      <w:r w:rsidRPr="006777D4">
        <w:rPr>
          <w:rFonts w:ascii="Times New Roman" w:hAnsi="Times New Roman"/>
          <w:sz w:val="24"/>
          <w:szCs w:val="24"/>
        </w:rPr>
        <w:t xml:space="preserve">Items 1 and 2 are required as a consequence of item 3. Item 1 repeals the existing Note 1 to regulation 500 regarding intentionally unused regulation numbers 501 to 899 inclusive. </w:t>
      </w:r>
    </w:p>
    <w:p w14:paraId="2B309AC5" w14:textId="77777777" w:rsidR="00476509" w:rsidRPr="006777D4" w:rsidRDefault="00476509" w:rsidP="00476509">
      <w:pPr>
        <w:spacing w:after="200" w:line="276" w:lineRule="auto"/>
        <w:rPr>
          <w:rFonts w:ascii="Times New Roman" w:hAnsi="Times New Roman"/>
          <w:sz w:val="24"/>
          <w:szCs w:val="24"/>
        </w:rPr>
      </w:pPr>
      <w:r w:rsidRPr="006777D4">
        <w:rPr>
          <w:rFonts w:ascii="Times New Roman" w:hAnsi="Times New Roman"/>
          <w:sz w:val="24"/>
          <w:szCs w:val="24"/>
        </w:rPr>
        <w:t>Item 2 retitles ‘Note 2’ to the note to regulation 500 to ‘Note’ as the only note to this regulation.</w:t>
      </w:r>
    </w:p>
    <w:p w14:paraId="0F7B27D1" w14:textId="77777777" w:rsidR="009F39C2" w:rsidRPr="006777D4" w:rsidRDefault="009F39C2" w:rsidP="009F39C2">
      <w:pPr>
        <w:rPr>
          <w:rFonts w:ascii="Times New Roman" w:hAnsi="Times New Roman"/>
          <w:b/>
          <w:sz w:val="24"/>
          <w:szCs w:val="24"/>
        </w:rPr>
      </w:pPr>
      <w:r w:rsidRPr="006777D4">
        <w:rPr>
          <w:rFonts w:ascii="Times New Roman" w:hAnsi="Times New Roman"/>
          <w:b/>
          <w:sz w:val="24"/>
          <w:szCs w:val="24"/>
        </w:rPr>
        <w:t>Division 6A.7 – HCFCs manufactured or imported on or after 1 January 2020 used for laboratory and analytical purposes</w:t>
      </w:r>
    </w:p>
    <w:p w14:paraId="02B3356D" w14:textId="77777777" w:rsidR="009F39C2" w:rsidRPr="006777D4" w:rsidRDefault="009F39C2" w:rsidP="009F39C2">
      <w:pPr>
        <w:rPr>
          <w:rFonts w:ascii="Times New Roman" w:hAnsi="Times New Roman"/>
          <w:sz w:val="24"/>
          <w:szCs w:val="24"/>
        </w:rPr>
      </w:pPr>
    </w:p>
    <w:p w14:paraId="775BBA32" w14:textId="77777777" w:rsidR="009F39C2" w:rsidRPr="006777D4" w:rsidRDefault="009F39C2" w:rsidP="009F39C2">
      <w:pPr>
        <w:spacing w:after="200"/>
        <w:rPr>
          <w:rFonts w:ascii="Times New Roman" w:hAnsi="Times New Roman"/>
          <w:sz w:val="24"/>
          <w:szCs w:val="24"/>
          <w:u w:val="single"/>
        </w:rPr>
      </w:pPr>
      <w:r w:rsidRPr="006777D4">
        <w:rPr>
          <w:rFonts w:ascii="Times New Roman" w:hAnsi="Times New Roman"/>
          <w:sz w:val="24"/>
          <w:szCs w:val="24"/>
          <w:u w:val="single"/>
        </w:rPr>
        <w:t>Item 3</w:t>
      </w:r>
    </w:p>
    <w:p w14:paraId="150319CF" w14:textId="77359C60" w:rsidR="009F39C2" w:rsidRPr="006777D4" w:rsidRDefault="009F39C2" w:rsidP="00CB125D">
      <w:pPr>
        <w:spacing w:after="240" w:line="276" w:lineRule="auto"/>
        <w:rPr>
          <w:rFonts w:ascii="Times New Roman" w:hAnsi="Times New Roman"/>
          <w:sz w:val="24"/>
          <w:szCs w:val="24"/>
        </w:rPr>
      </w:pPr>
      <w:r w:rsidRPr="006777D4">
        <w:rPr>
          <w:rFonts w:ascii="Times New Roman" w:hAnsi="Times New Roman"/>
          <w:sz w:val="24"/>
          <w:szCs w:val="24"/>
        </w:rPr>
        <w:t>Item 3 insert</w:t>
      </w:r>
      <w:r w:rsidR="0043706A" w:rsidRPr="006777D4">
        <w:rPr>
          <w:rFonts w:ascii="Times New Roman" w:hAnsi="Times New Roman"/>
          <w:sz w:val="24"/>
          <w:szCs w:val="24"/>
        </w:rPr>
        <w:t>s</w:t>
      </w:r>
      <w:r w:rsidRPr="006777D4">
        <w:rPr>
          <w:rFonts w:ascii="Times New Roman" w:hAnsi="Times New Roman"/>
          <w:sz w:val="24"/>
          <w:szCs w:val="24"/>
        </w:rPr>
        <w:t xml:space="preserve"> new regulation 600 to prescribe, for the purpose of subsection </w:t>
      </w:r>
      <w:proofErr w:type="gramStart"/>
      <w:r w:rsidRPr="006777D4">
        <w:rPr>
          <w:rFonts w:ascii="Times New Roman" w:hAnsi="Times New Roman"/>
          <w:sz w:val="24"/>
          <w:szCs w:val="24"/>
        </w:rPr>
        <w:t>45C(</w:t>
      </w:r>
      <w:proofErr w:type="gramEnd"/>
      <w:r w:rsidRPr="006777D4">
        <w:rPr>
          <w:rFonts w:ascii="Times New Roman" w:hAnsi="Times New Roman"/>
          <w:sz w:val="24"/>
          <w:szCs w:val="24"/>
        </w:rPr>
        <w:t>2) of the Act, that an HCFC manufactured or imported on or after 1 January 2020 may be used for laboratory and analytical purposes. Subregulation 600(2) make</w:t>
      </w:r>
      <w:r w:rsidR="0043706A" w:rsidRPr="006777D4">
        <w:rPr>
          <w:rFonts w:ascii="Times New Roman" w:hAnsi="Times New Roman"/>
          <w:sz w:val="24"/>
          <w:szCs w:val="24"/>
        </w:rPr>
        <w:t>s</w:t>
      </w:r>
      <w:r w:rsidRPr="006777D4">
        <w:rPr>
          <w:rFonts w:ascii="Times New Roman" w:hAnsi="Times New Roman"/>
          <w:sz w:val="24"/>
          <w:szCs w:val="24"/>
        </w:rPr>
        <w:t xml:space="preserve"> clear that an HCFC may not be used for a laboratory or analytical use if that use has been specifically excluded from being an acceptable laboratory and analytical use for HCFCs in a decision made by the Parties to the Montreal Protocol that applies to Australia. Uses are so excluded if alternative substances that do not damage the ozone layer are practically available. Consistently with section 14 of the </w:t>
      </w:r>
      <w:r w:rsidRPr="006777D4">
        <w:rPr>
          <w:rFonts w:ascii="Times New Roman" w:hAnsi="Times New Roman"/>
          <w:i/>
          <w:iCs/>
          <w:sz w:val="24"/>
          <w:szCs w:val="24"/>
        </w:rPr>
        <w:t>Legislation Act 2003</w:t>
      </w:r>
      <w:r w:rsidRPr="006777D4">
        <w:rPr>
          <w:rFonts w:ascii="Times New Roman" w:hAnsi="Times New Roman"/>
          <w:sz w:val="24"/>
          <w:szCs w:val="24"/>
        </w:rPr>
        <w:t>, this regulation only incorporate</w:t>
      </w:r>
      <w:r w:rsidR="0043706A" w:rsidRPr="006777D4">
        <w:rPr>
          <w:rFonts w:ascii="Times New Roman" w:hAnsi="Times New Roman"/>
          <w:sz w:val="24"/>
          <w:szCs w:val="24"/>
        </w:rPr>
        <w:t>s</w:t>
      </w:r>
      <w:r w:rsidRPr="006777D4">
        <w:rPr>
          <w:rFonts w:ascii="Times New Roman" w:hAnsi="Times New Roman"/>
          <w:sz w:val="24"/>
          <w:szCs w:val="24"/>
        </w:rPr>
        <w:t xml:space="preserve"> Montreal Protocol decisions that exist at the time this regulation commences. Accordingly, further amendments to the regulations would be required if future Montreal Protocol decisions exclude additional laboratory and analytical uses.</w:t>
      </w:r>
    </w:p>
    <w:p w14:paraId="2D565C91" w14:textId="77777777" w:rsidR="00843792" w:rsidRPr="006777D4" w:rsidRDefault="00843792" w:rsidP="00CB125D">
      <w:pPr>
        <w:spacing w:after="200" w:line="276" w:lineRule="auto"/>
        <w:rPr>
          <w:rFonts w:ascii="Times New Roman" w:hAnsi="Times New Roman"/>
          <w:sz w:val="24"/>
          <w:szCs w:val="24"/>
        </w:rPr>
      </w:pPr>
      <w:r w:rsidRPr="006777D4">
        <w:rPr>
          <w:rFonts w:ascii="Times New Roman" w:hAnsi="Times New Roman"/>
          <w:sz w:val="24"/>
          <w:szCs w:val="24"/>
        </w:rPr>
        <w:t>Note 1 to regulation 600 shows the revised intentionally unused regulation numbers 601 to 899 inclusive.</w:t>
      </w:r>
    </w:p>
    <w:p w14:paraId="3301E79A" w14:textId="529B06BB" w:rsidR="009F39C2" w:rsidRPr="006777D4" w:rsidRDefault="009F39C2" w:rsidP="00CB125D">
      <w:pPr>
        <w:spacing w:after="240" w:line="276" w:lineRule="auto"/>
        <w:rPr>
          <w:rFonts w:ascii="Times New Roman" w:hAnsi="Times New Roman"/>
          <w:sz w:val="24"/>
          <w:szCs w:val="24"/>
        </w:rPr>
      </w:pPr>
      <w:r w:rsidRPr="006777D4">
        <w:rPr>
          <w:rFonts w:ascii="Times New Roman" w:hAnsi="Times New Roman"/>
          <w:sz w:val="24"/>
          <w:szCs w:val="24"/>
        </w:rPr>
        <w:t>Note 2 to regulation 600 direct</w:t>
      </w:r>
      <w:r w:rsidR="0043706A" w:rsidRPr="006777D4">
        <w:rPr>
          <w:rFonts w:ascii="Times New Roman" w:hAnsi="Times New Roman"/>
          <w:sz w:val="24"/>
          <w:szCs w:val="24"/>
        </w:rPr>
        <w:t>s</w:t>
      </w:r>
      <w:r w:rsidRPr="006777D4">
        <w:rPr>
          <w:rFonts w:ascii="Times New Roman" w:hAnsi="Times New Roman"/>
          <w:sz w:val="24"/>
          <w:szCs w:val="24"/>
        </w:rPr>
        <w:t xml:space="preserve"> readers to the relevant regulations that govern the use of HCFCs in </w:t>
      </w:r>
      <w:r w:rsidR="000A24E6" w:rsidRPr="006777D4">
        <w:rPr>
          <w:rFonts w:ascii="Times New Roman" w:hAnsi="Times New Roman"/>
          <w:sz w:val="24"/>
          <w:szCs w:val="24"/>
        </w:rPr>
        <w:t xml:space="preserve">refrigeration and air conditioning </w:t>
      </w:r>
      <w:r w:rsidRPr="006777D4">
        <w:rPr>
          <w:rFonts w:ascii="Times New Roman" w:hAnsi="Times New Roman"/>
          <w:sz w:val="24"/>
          <w:szCs w:val="24"/>
        </w:rPr>
        <w:t>equipment and fire protection equipment.</w:t>
      </w:r>
    </w:p>
    <w:p w14:paraId="6B1ECAC5" w14:textId="77777777" w:rsidR="009F39C2" w:rsidRPr="006777D4" w:rsidRDefault="009F39C2" w:rsidP="009F39C2">
      <w:pPr>
        <w:pStyle w:val="ListNumber"/>
        <w:spacing w:after="200"/>
        <w:ind w:left="0" w:firstLine="0"/>
        <w:rPr>
          <w:rFonts w:ascii="Times New Roman" w:hAnsi="Times New Roman"/>
          <w:b/>
          <w:sz w:val="24"/>
          <w:szCs w:val="24"/>
        </w:rPr>
      </w:pPr>
      <w:r w:rsidRPr="006777D4">
        <w:rPr>
          <w:rFonts w:ascii="Times New Roman" w:hAnsi="Times New Roman"/>
          <w:b/>
          <w:sz w:val="24"/>
          <w:szCs w:val="24"/>
        </w:rPr>
        <w:t>Part 2 – Contravening conditions of certain Division 6A.2 permits</w:t>
      </w:r>
    </w:p>
    <w:p w14:paraId="1755E0E1" w14:textId="5C5E56DF" w:rsidR="009F39C2" w:rsidRPr="006777D4" w:rsidRDefault="009F39C2" w:rsidP="009F39C2">
      <w:pPr>
        <w:pStyle w:val="notedraft"/>
        <w:ind w:left="0" w:firstLine="0"/>
        <w:rPr>
          <w:i w:val="0"/>
          <w:iCs/>
          <w:u w:val="single"/>
        </w:rPr>
      </w:pPr>
      <w:r w:rsidRPr="006777D4">
        <w:rPr>
          <w:i w:val="0"/>
          <w:iCs/>
          <w:u w:val="single"/>
        </w:rPr>
        <w:t xml:space="preserve">Items </w:t>
      </w:r>
      <w:r w:rsidR="008C08B2" w:rsidRPr="006777D4">
        <w:rPr>
          <w:i w:val="0"/>
          <w:iCs/>
          <w:u w:val="single"/>
        </w:rPr>
        <w:t>4</w:t>
      </w:r>
      <w:r w:rsidRPr="006777D4">
        <w:rPr>
          <w:i w:val="0"/>
          <w:iCs/>
          <w:u w:val="single"/>
        </w:rPr>
        <w:t xml:space="preserve"> and </w:t>
      </w:r>
      <w:r w:rsidR="008C08B2" w:rsidRPr="006777D4">
        <w:rPr>
          <w:i w:val="0"/>
          <w:iCs/>
          <w:u w:val="single"/>
        </w:rPr>
        <w:t>5</w:t>
      </w:r>
    </w:p>
    <w:p w14:paraId="54A0CE36" w14:textId="3DA804B2" w:rsidR="009F39C2" w:rsidRPr="006777D4" w:rsidRDefault="009F39C2" w:rsidP="00CB125D">
      <w:pPr>
        <w:pStyle w:val="notedraft"/>
        <w:spacing w:after="240" w:line="276" w:lineRule="auto"/>
        <w:ind w:left="0" w:firstLine="0"/>
        <w:rPr>
          <w:rFonts w:eastAsiaTheme="minorHAnsi"/>
          <w:i w:val="0"/>
          <w:szCs w:val="24"/>
        </w:rPr>
      </w:pPr>
      <w:r w:rsidRPr="006777D4">
        <w:rPr>
          <w:rFonts w:eastAsiaTheme="minorHAnsi"/>
          <w:i w:val="0"/>
          <w:szCs w:val="24"/>
        </w:rPr>
        <w:t xml:space="preserve">Edits to </w:t>
      </w:r>
      <w:proofErr w:type="spellStart"/>
      <w:r w:rsidRPr="006777D4">
        <w:rPr>
          <w:rFonts w:eastAsiaTheme="minorHAnsi"/>
          <w:i w:val="0"/>
          <w:szCs w:val="24"/>
        </w:rPr>
        <w:t>subregulations</w:t>
      </w:r>
      <w:proofErr w:type="spellEnd"/>
      <w:r w:rsidRPr="006777D4">
        <w:rPr>
          <w:rFonts w:eastAsiaTheme="minorHAnsi"/>
          <w:i w:val="0"/>
          <w:szCs w:val="24"/>
        </w:rPr>
        <w:t xml:space="preserve"> 136(1) and 142(1) result in no changes to the law. The edits are designed to correct grammatical errors, in which paragraph (c) in each provision </w:t>
      </w:r>
      <w:r w:rsidR="00843792" w:rsidRPr="006777D4">
        <w:rPr>
          <w:rFonts w:eastAsiaTheme="minorHAnsi"/>
          <w:i w:val="0"/>
          <w:szCs w:val="24"/>
        </w:rPr>
        <w:t>did</w:t>
      </w:r>
      <w:r w:rsidRPr="006777D4">
        <w:rPr>
          <w:rFonts w:eastAsiaTheme="minorHAnsi"/>
          <w:i w:val="0"/>
          <w:szCs w:val="24"/>
        </w:rPr>
        <w:t xml:space="preserve"> not flow properly from the words before the colon. </w:t>
      </w:r>
    </w:p>
    <w:p w14:paraId="41A394E1" w14:textId="77777777" w:rsidR="000A0424" w:rsidRPr="006777D4" w:rsidRDefault="000A0424">
      <w:pPr>
        <w:spacing w:after="200" w:line="276" w:lineRule="auto"/>
        <w:rPr>
          <w:rFonts w:ascii="Times New Roman" w:hAnsi="Times New Roman"/>
          <w:b/>
          <w:sz w:val="24"/>
          <w:szCs w:val="24"/>
        </w:rPr>
      </w:pPr>
      <w:r w:rsidRPr="006777D4">
        <w:rPr>
          <w:rFonts w:ascii="Times New Roman" w:hAnsi="Times New Roman"/>
          <w:b/>
          <w:sz w:val="24"/>
          <w:szCs w:val="24"/>
        </w:rPr>
        <w:br w:type="page"/>
      </w:r>
    </w:p>
    <w:p w14:paraId="6A2541AF" w14:textId="3DB41C04" w:rsidR="009F39C2" w:rsidRPr="006777D4" w:rsidRDefault="009F39C2" w:rsidP="009F39C2">
      <w:pPr>
        <w:pStyle w:val="ListNumber"/>
        <w:spacing w:after="200"/>
        <w:ind w:left="0" w:firstLine="0"/>
        <w:rPr>
          <w:rFonts w:ascii="Times New Roman" w:hAnsi="Times New Roman"/>
          <w:b/>
          <w:sz w:val="24"/>
          <w:szCs w:val="24"/>
        </w:rPr>
      </w:pPr>
      <w:r w:rsidRPr="006777D4">
        <w:rPr>
          <w:rFonts w:ascii="Times New Roman" w:hAnsi="Times New Roman"/>
          <w:b/>
          <w:sz w:val="24"/>
          <w:szCs w:val="24"/>
        </w:rPr>
        <w:t>Part 2 – Contravening conditions of certain Division 6A.4 permits</w:t>
      </w:r>
    </w:p>
    <w:p w14:paraId="3255B3C9" w14:textId="0BA367B9" w:rsidR="009F39C2" w:rsidRPr="006777D4" w:rsidRDefault="009F39C2" w:rsidP="009F39C2">
      <w:pPr>
        <w:pStyle w:val="notedraft"/>
        <w:ind w:left="0" w:firstLine="0"/>
        <w:rPr>
          <w:i w:val="0"/>
          <w:iCs/>
          <w:u w:val="single"/>
        </w:rPr>
      </w:pPr>
      <w:r w:rsidRPr="006777D4">
        <w:rPr>
          <w:i w:val="0"/>
          <w:iCs/>
          <w:u w:val="single"/>
        </w:rPr>
        <w:t xml:space="preserve">Items </w:t>
      </w:r>
      <w:r w:rsidR="008C08B2" w:rsidRPr="006777D4">
        <w:rPr>
          <w:i w:val="0"/>
          <w:iCs/>
          <w:u w:val="single"/>
        </w:rPr>
        <w:t>6</w:t>
      </w:r>
      <w:r w:rsidRPr="006777D4">
        <w:rPr>
          <w:i w:val="0"/>
          <w:iCs/>
          <w:u w:val="single"/>
        </w:rPr>
        <w:t xml:space="preserve"> – </w:t>
      </w:r>
      <w:r w:rsidR="008C08B2" w:rsidRPr="006777D4">
        <w:rPr>
          <w:i w:val="0"/>
          <w:iCs/>
          <w:u w:val="single"/>
        </w:rPr>
        <w:t>8</w:t>
      </w:r>
    </w:p>
    <w:p w14:paraId="1CDEFE5D" w14:textId="1A688CE7" w:rsidR="009F39C2" w:rsidRPr="006777D4" w:rsidRDefault="009F39C2" w:rsidP="00CB125D">
      <w:pPr>
        <w:pStyle w:val="notedraft"/>
        <w:spacing w:line="276" w:lineRule="auto"/>
        <w:ind w:left="0" w:firstLine="0"/>
        <w:rPr>
          <w:i w:val="0"/>
          <w:iCs/>
        </w:rPr>
      </w:pPr>
      <w:r w:rsidRPr="006777D4">
        <w:rPr>
          <w:i w:val="0"/>
          <w:iCs/>
        </w:rPr>
        <w:t xml:space="preserve">Item </w:t>
      </w:r>
      <w:r w:rsidR="008C08B2" w:rsidRPr="006777D4">
        <w:rPr>
          <w:i w:val="0"/>
          <w:iCs/>
        </w:rPr>
        <w:t>6</w:t>
      </w:r>
      <w:r w:rsidRPr="006777D4">
        <w:rPr>
          <w:i w:val="0"/>
          <w:iCs/>
        </w:rPr>
        <w:t xml:space="preserve"> insert</w:t>
      </w:r>
      <w:r w:rsidR="00843792" w:rsidRPr="006777D4">
        <w:rPr>
          <w:i w:val="0"/>
          <w:iCs/>
        </w:rPr>
        <w:t>s</w:t>
      </w:r>
      <w:r w:rsidRPr="006777D4">
        <w:rPr>
          <w:i w:val="0"/>
          <w:iCs/>
        </w:rPr>
        <w:t xml:space="preserve"> new regulation 327 into the Principal Regulations. New regulation 327 create</w:t>
      </w:r>
      <w:r w:rsidR="00843792" w:rsidRPr="006777D4">
        <w:rPr>
          <w:i w:val="0"/>
          <w:iCs/>
        </w:rPr>
        <w:t>s</w:t>
      </w:r>
      <w:r w:rsidRPr="006777D4">
        <w:rPr>
          <w:i w:val="0"/>
          <w:iCs/>
        </w:rPr>
        <w:t xml:space="preserve"> a new strict liability offence if a person contravenes a condition of an extinguishing agent handling licence. For consistency, this is designed to mirror existing regulation 136, which makes it an offence to contravene a condition of a refrigerant handling licence.</w:t>
      </w:r>
    </w:p>
    <w:p w14:paraId="31D0EF2E" w14:textId="577B5FAD" w:rsidR="009F39C2" w:rsidRPr="006777D4" w:rsidRDefault="009F39C2" w:rsidP="00CB125D">
      <w:pPr>
        <w:pStyle w:val="notedraft"/>
        <w:spacing w:line="276" w:lineRule="auto"/>
        <w:ind w:left="0" w:firstLine="0"/>
        <w:rPr>
          <w:i w:val="0"/>
          <w:iCs/>
        </w:rPr>
      </w:pPr>
      <w:r w:rsidRPr="006777D4">
        <w:rPr>
          <w:i w:val="0"/>
          <w:iCs/>
        </w:rPr>
        <w:t xml:space="preserve">Item </w:t>
      </w:r>
      <w:r w:rsidR="008C08B2" w:rsidRPr="006777D4">
        <w:rPr>
          <w:i w:val="0"/>
          <w:iCs/>
        </w:rPr>
        <w:t>7</w:t>
      </w:r>
      <w:r w:rsidRPr="006777D4">
        <w:rPr>
          <w:i w:val="0"/>
          <w:iCs/>
        </w:rPr>
        <w:t xml:space="preserve"> insert</w:t>
      </w:r>
      <w:r w:rsidR="00A55A0E" w:rsidRPr="006777D4">
        <w:rPr>
          <w:i w:val="0"/>
          <w:iCs/>
        </w:rPr>
        <w:t>s</w:t>
      </w:r>
      <w:r w:rsidRPr="006777D4">
        <w:rPr>
          <w:i w:val="0"/>
          <w:iCs/>
        </w:rPr>
        <w:t xml:space="preserve"> new regulation 333 into the Principal Regulations. New regulation 333 create</w:t>
      </w:r>
      <w:r w:rsidR="00A55A0E" w:rsidRPr="006777D4">
        <w:rPr>
          <w:i w:val="0"/>
          <w:iCs/>
        </w:rPr>
        <w:t>s</w:t>
      </w:r>
      <w:r w:rsidRPr="006777D4">
        <w:rPr>
          <w:i w:val="0"/>
          <w:iCs/>
        </w:rPr>
        <w:t xml:space="preserve"> a new strict liability offence if a person contravenes a condition of an extinguishing agent trading authorisation. For consistency, this is designed to mirror existing regulation 142, which makes it an offence to contravene a condition of a refrigerant trading authorisation.</w:t>
      </w:r>
    </w:p>
    <w:p w14:paraId="377496CC" w14:textId="63F744B0" w:rsidR="009F39C2" w:rsidRPr="006777D4" w:rsidRDefault="009F39C2" w:rsidP="00CB125D">
      <w:pPr>
        <w:pStyle w:val="notedraft"/>
        <w:spacing w:line="276" w:lineRule="auto"/>
        <w:ind w:left="0" w:firstLine="0"/>
        <w:rPr>
          <w:i w:val="0"/>
          <w:iCs/>
        </w:rPr>
      </w:pPr>
      <w:r w:rsidRPr="006777D4">
        <w:rPr>
          <w:i w:val="0"/>
          <w:iCs/>
        </w:rPr>
        <w:t xml:space="preserve">Item </w:t>
      </w:r>
      <w:r w:rsidR="008C08B2" w:rsidRPr="006777D4">
        <w:rPr>
          <w:i w:val="0"/>
          <w:iCs/>
        </w:rPr>
        <w:t>8</w:t>
      </w:r>
      <w:r w:rsidRPr="006777D4">
        <w:rPr>
          <w:i w:val="0"/>
          <w:iCs/>
        </w:rPr>
        <w:t xml:space="preserve"> insert</w:t>
      </w:r>
      <w:r w:rsidR="006C358A" w:rsidRPr="006777D4">
        <w:rPr>
          <w:i w:val="0"/>
          <w:iCs/>
        </w:rPr>
        <w:t>s</w:t>
      </w:r>
      <w:r w:rsidRPr="006777D4">
        <w:rPr>
          <w:i w:val="0"/>
          <w:iCs/>
        </w:rPr>
        <w:t xml:space="preserve"> new </w:t>
      </w:r>
      <w:proofErr w:type="spellStart"/>
      <w:r w:rsidRPr="006777D4">
        <w:rPr>
          <w:i w:val="0"/>
          <w:iCs/>
        </w:rPr>
        <w:t>subregulations</w:t>
      </w:r>
      <w:proofErr w:type="spellEnd"/>
      <w:r w:rsidRPr="006777D4">
        <w:rPr>
          <w:i w:val="0"/>
          <w:iCs/>
        </w:rPr>
        <w:t xml:space="preserve"> 341(6) and (7) into the Principal Regulations. These new </w:t>
      </w:r>
      <w:proofErr w:type="spellStart"/>
      <w:r w:rsidRPr="006777D4">
        <w:rPr>
          <w:i w:val="0"/>
          <w:iCs/>
        </w:rPr>
        <w:t>subregulations</w:t>
      </w:r>
      <w:proofErr w:type="spellEnd"/>
      <w:r w:rsidRPr="006777D4">
        <w:rPr>
          <w:i w:val="0"/>
          <w:iCs/>
        </w:rPr>
        <w:t xml:space="preserve"> create a new strict liability offence if a person contravenes a condition of a halon special permit.</w:t>
      </w:r>
    </w:p>
    <w:p w14:paraId="0EC9D6D8" w14:textId="03384ED5" w:rsidR="009F39C2" w:rsidRPr="006777D4" w:rsidRDefault="009F39C2" w:rsidP="00CB125D">
      <w:pPr>
        <w:pStyle w:val="notedraft"/>
        <w:spacing w:line="276" w:lineRule="auto"/>
        <w:ind w:left="0" w:firstLine="0"/>
        <w:rPr>
          <w:i w:val="0"/>
          <w:iCs/>
        </w:rPr>
      </w:pPr>
      <w:r w:rsidRPr="006777D4">
        <w:rPr>
          <w:i w:val="0"/>
          <w:iCs/>
        </w:rPr>
        <w:t xml:space="preserve">Contraventions of the new offences at items </w:t>
      </w:r>
      <w:r w:rsidR="008C08B2" w:rsidRPr="006777D4">
        <w:rPr>
          <w:i w:val="0"/>
          <w:iCs/>
        </w:rPr>
        <w:t xml:space="preserve">6, 7 and 8 </w:t>
      </w:r>
      <w:r w:rsidRPr="006777D4">
        <w:rPr>
          <w:i w:val="0"/>
          <w:iCs/>
        </w:rPr>
        <w:t xml:space="preserve">carry a maximum penalty of 10 penalty units for an individual or 50 penalty units for a body corporate. Application of strict liability to these offences, and the amount of the maximum penalties, is based on </w:t>
      </w:r>
      <w:r w:rsidR="00A55A0E" w:rsidRPr="006777D4">
        <w:t>A Guide to Framing Commonwealth Offences, Infringement Notices and Enforcement Powers</w:t>
      </w:r>
      <w:r w:rsidRPr="006777D4">
        <w:rPr>
          <w:i w:val="0"/>
          <w:iCs/>
        </w:rPr>
        <w:t>, which sets guidelines about the circumstances in which strict liability is appropriate, and the appropriate maximum penalty. The use of strict liability for these offences is necessary to ensure the integrity of the established regulatory regime to prevent environmental harm.</w:t>
      </w:r>
    </w:p>
    <w:p w14:paraId="7043E1ED" w14:textId="426CBDB1" w:rsidR="009F39C2" w:rsidRPr="006777D4" w:rsidRDefault="009F39C2" w:rsidP="009F39C2">
      <w:pPr>
        <w:pStyle w:val="notedraft"/>
        <w:ind w:left="0" w:firstLine="0"/>
        <w:rPr>
          <w:rFonts w:eastAsiaTheme="minorHAnsi"/>
          <w:i w:val="0"/>
          <w:szCs w:val="24"/>
          <w:u w:val="single"/>
        </w:rPr>
      </w:pPr>
      <w:r w:rsidRPr="006777D4">
        <w:rPr>
          <w:rFonts w:eastAsiaTheme="minorHAnsi"/>
          <w:i w:val="0"/>
          <w:szCs w:val="24"/>
          <w:u w:val="single"/>
        </w:rPr>
        <w:t xml:space="preserve">Items </w:t>
      </w:r>
      <w:r w:rsidR="008C08B2" w:rsidRPr="006777D4">
        <w:rPr>
          <w:rFonts w:eastAsiaTheme="minorHAnsi"/>
          <w:i w:val="0"/>
          <w:szCs w:val="24"/>
          <w:u w:val="single"/>
        </w:rPr>
        <w:t>9 and 10</w:t>
      </w:r>
    </w:p>
    <w:p w14:paraId="773F298B" w14:textId="4E05BA9D" w:rsidR="009F39C2" w:rsidRPr="006777D4" w:rsidRDefault="009F39C2" w:rsidP="00A55A0E">
      <w:pPr>
        <w:pStyle w:val="notedraft"/>
        <w:spacing w:line="276" w:lineRule="auto"/>
        <w:ind w:left="0" w:firstLine="0"/>
        <w:rPr>
          <w:rFonts w:eastAsiaTheme="minorHAnsi"/>
          <w:i w:val="0"/>
          <w:szCs w:val="24"/>
        </w:rPr>
      </w:pPr>
      <w:r w:rsidRPr="006777D4">
        <w:rPr>
          <w:rFonts w:eastAsiaTheme="minorHAnsi"/>
          <w:i w:val="0"/>
          <w:szCs w:val="24"/>
        </w:rPr>
        <w:t xml:space="preserve">Items </w:t>
      </w:r>
      <w:r w:rsidR="008C08B2" w:rsidRPr="006777D4">
        <w:rPr>
          <w:rFonts w:eastAsiaTheme="minorHAnsi"/>
          <w:i w:val="0"/>
          <w:szCs w:val="24"/>
        </w:rPr>
        <w:t>9 and 10</w:t>
      </w:r>
      <w:r w:rsidRPr="006777D4">
        <w:rPr>
          <w:rFonts w:eastAsiaTheme="minorHAnsi"/>
          <w:i w:val="0"/>
          <w:szCs w:val="24"/>
        </w:rPr>
        <w:t xml:space="preserve"> apply to special circumstances exemptions granted under regulation 342. A special circumstances exemption entitles the holder to the privileges of an extinguishing agent handling licence, an extinguishing agent trading authorisation or a halon special permit (as specified in the exemption). </w:t>
      </w:r>
    </w:p>
    <w:p w14:paraId="4D29C1CA" w14:textId="20315027" w:rsidR="009F39C2" w:rsidRPr="006777D4" w:rsidRDefault="009F39C2" w:rsidP="00A55A0E">
      <w:pPr>
        <w:pStyle w:val="notedraft"/>
        <w:spacing w:line="276" w:lineRule="auto"/>
        <w:ind w:left="0" w:firstLine="0"/>
        <w:rPr>
          <w:i w:val="0"/>
          <w:iCs/>
        </w:rPr>
      </w:pPr>
      <w:r w:rsidRPr="006777D4">
        <w:rPr>
          <w:i w:val="0"/>
          <w:iCs/>
        </w:rPr>
        <w:t xml:space="preserve">Item </w:t>
      </w:r>
      <w:r w:rsidR="008C08B2" w:rsidRPr="006777D4">
        <w:rPr>
          <w:i w:val="0"/>
          <w:iCs/>
        </w:rPr>
        <w:t>9</w:t>
      </w:r>
      <w:r w:rsidRPr="006777D4">
        <w:rPr>
          <w:i w:val="0"/>
          <w:iCs/>
        </w:rPr>
        <w:t xml:space="preserve"> insert</w:t>
      </w:r>
      <w:r w:rsidR="00A55A0E" w:rsidRPr="006777D4">
        <w:rPr>
          <w:i w:val="0"/>
          <w:iCs/>
        </w:rPr>
        <w:t>s</w:t>
      </w:r>
      <w:r w:rsidRPr="006777D4">
        <w:rPr>
          <w:i w:val="0"/>
          <w:iCs/>
        </w:rPr>
        <w:t xml:space="preserve"> new subparagraph 342(3</w:t>
      </w:r>
      <w:proofErr w:type="gramStart"/>
      <w:r w:rsidRPr="006777D4">
        <w:rPr>
          <w:i w:val="0"/>
          <w:iCs/>
        </w:rPr>
        <w:t>)(</w:t>
      </w:r>
      <w:proofErr w:type="gramEnd"/>
      <w:r w:rsidRPr="006777D4">
        <w:rPr>
          <w:i w:val="0"/>
          <w:iCs/>
        </w:rPr>
        <w:t>b)(</w:t>
      </w:r>
      <w:proofErr w:type="spellStart"/>
      <w:r w:rsidRPr="006777D4">
        <w:rPr>
          <w:i w:val="0"/>
          <w:iCs/>
        </w:rPr>
        <w:t>iia</w:t>
      </w:r>
      <w:proofErr w:type="spellEnd"/>
      <w:r w:rsidRPr="006777D4">
        <w:rPr>
          <w:i w:val="0"/>
          <w:iCs/>
        </w:rPr>
        <w:t>), which require</w:t>
      </w:r>
      <w:r w:rsidR="00A55A0E" w:rsidRPr="006777D4">
        <w:rPr>
          <w:i w:val="0"/>
          <w:iCs/>
        </w:rPr>
        <w:t>s</w:t>
      </w:r>
      <w:r w:rsidRPr="006777D4">
        <w:rPr>
          <w:i w:val="0"/>
          <w:iCs/>
        </w:rPr>
        <w:t xml:space="preserve"> the relevant authority to specify, on the exemption itself, any conditions that are put on the exemption under new subregulation 342(4).</w:t>
      </w:r>
    </w:p>
    <w:p w14:paraId="55FC4BCE" w14:textId="34D286B8" w:rsidR="009F39C2" w:rsidRPr="006777D4" w:rsidRDefault="009F39C2" w:rsidP="00A55A0E">
      <w:pPr>
        <w:pStyle w:val="notedraft"/>
        <w:spacing w:line="276" w:lineRule="auto"/>
        <w:ind w:left="0" w:firstLine="0"/>
        <w:rPr>
          <w:rFonts w:eastAsiaTheme="minorHAnsi"/>
          <w:i w:val="0"/>
          <w:szCs w:val="24"/>
        </w:rPr>
      </w:pPr>
      <w:r w:rsidRPr="006777D4">
        <w:rPr>
          <w:rFonts w:eastAsiaTheme="minorHAnsi"/>
          <w:i w:val="0"/>
          <w:szCs w:val="24"/>
        </w:rPr>
        <w:t xml:space="preserve">Item </w:t>
      </w:r>
      <w:r w:rsidR="008C08B2" w:rsidRPr="006777D4">
        <w:rPr>
          <w:rFonts w:eastAsiaTheme="minorHAnsi"/>
          <w:i w:val="0"/>
          <w:szCs w:val="24"/>
        </w:rPr>
        <w:t>10</w:t>
      </w:r>
      <w:r w:rsidRPr="006777D4">
        <w:rPr>
          <w:rFonts w:eastAsiaTheme="minorHAnsi"/>
          <w:i w:val="0"/>
          <w:szCs w:val="24"/>
        </w:rPr>
        <w:t xml:space="preserve"> insert</w:t>
      </w:r>
      <w:r w:rsidR="00A55A0E" w:rsidRPr="006777D4">
        <w:rPr>
          <w:rFonts w:eastAsiaTheme="minorHAnsi"/>
          <w:i w:val="0"/>
          <w:szCs w:val="24"/>
        </w:rPr>
        <w:t>s</w:t>
      </w:r>
      <w:r w:rsidRPr="006777D4">
        <w:rPr>
          <w:rFonts w:eastAsiaTheme="minorHAnsi"/>
          <w:i w:val="0"/>
          <w:szCs w:val="24"/>
        </w:rPr>
        <w:t xml:space="preserve"> both new subregulation 342(4), which allow</w:t>
      </w:r>
      <w:r w:rsidR="00A55A0E" w:rsidRPr="006777D4">
        <w:rPr>
          <w:rFonts w:eastAsiaTheme="minorHAnsi"/>
          <w:i w:val="0"/>
          <w:szCs w:val="24"/>
        </w:rPr>
        <w:t>s</w:t>
      </w:r>
      <w:r w:rsidRPr="006777D4">
        <w:rPr>
          <w:rFonts w:eastAsiaTheme="minorHAnsi"/>
          <w:i w:val="0"/>
          <w:szCs w:val="24"/>
        </w:rPr>
        <w:t xml:space="preserve"> the relevant authority to put a condition on a special circumstances exemption, and new </w:t>
      </w:r>
      <w:proofErr w:type="spellStart"/>
      <w:r w:rsidRPr="006777D4">
        <w:rPr>
          <w:rFonts w:eastAsiaTheme="minorHAnsi"/>
          <w:i w:val="0"/>
          <w:szCs w:val="24"/>
        </w:rPr>
        <w:t>subregulations</w:t>
      </w:r>
      <w:proofErr w:type="spellEnd"/>
      <w:r w:rsidRPr="006777D4">
        <w:rPr>
          <w:rFonts w:eastAsiaTheme="minorHAnsi"/>
          <w:i w:val="0"/>
          <w:szCs w:val="24"/>
        </w:rPr>
        <w:t xml:space="preserve"> 342(5) and (6) which </w:t>
      </w:r>
      <w:r w:rsidRPr="006777D4">
        <w:rPr>
          <w:i w:val="0"/>
          <w:iCs/>
        </w:rPr>
        <w:t>insert a new strict liability offence if a person contravenes a condition of a</w:t>
      </w:r>
      <w:r w:rsidRPr="006777D4">
        <w:rPr>
          <w:rFonts w:eastAsiaTheme="minorHAnsi"/>
          <w:i w:val="0"/>
          <w:szCs w:val="24"/>
        </w:rPr>
        <w:t xml:space="preserve"> special circumstances exemption.</w:t>
      </w:r>
    </w:p>
    <w:p w14:paraId="4AF50D7B" w14:textId="02031A1A" w:rsidR="009F39C2" w:rsidRPr="006777D4" w:rsidRDefault="009F39C2" w:rsidP="00A55A0E">
      <w:pPr>
        <w:pStyle w:val="notedraft"/>
        <w:spacing w:line="276" w:lineRule="auto"/>
        <w:ind w:left="0" w:firstLine="0"/>
        <w:rPr>
          <w:i w:val="0"/>
          <w:iCs/>
        </w:rPr>
      </w:pPr>
      <w:r w:rsidRPr="006777D4">
        <w:rPr>
          <w:rFonts w:eastAsiaTheme="minorHAnsi"/>
          <w:i w:val="0"/>
          <w:szCs w:val="24"/>
        </w:rPr>
        <w:t xml:space="preserve">As with items </w:t>
      </w:r>
      <w:r w:rsidR="008C08B2" w:rsidRPr="006777D4">
        <w:rPr>
          <w:rFonts w:eastAsiaTheme="minorHAnsi"/>
          <w:i w:val="0"/>
          <w:szCs w:val="24"/>
        </w:rPr>
        <w:t>6, 7 and 8</w:t>
      </w:r>
      <w:r w:rsidRPr="006777D4">
        <w:rPr>
          <w:rFonts w:eastAsiaTheme="minorHAnsi"/>
          <w:i w:val="0"/>
          <w:szCs w:val="24"/>
        </w:rPr>
        <w:t xml:space="preserve">, contravention of the offence at item </w:t>
      </w:r>
      <w:r w:rsidR="008C08B2" w:rsidRPr="006777D4">
        <w:rPr>
          <w:rFonts w:eastAsiaTheme="minorHAnsi"/>
          <w:i w:val="0"/>
          <w:szCs w:val="24"/>
        </w:rPr>
        <w:t>10</w:t>
      </w:r>
      <w:r w:rsidRPr="006777D4">
        <w:rPr>
          <w:rFonts w:eastAsiaTheme="minorHAnsi"/>
          <w:i w:val="0"/>
          <w:szCs w:val="24"/>
        </w:rPr>
        <w:t xml:space="preserve"> </w:t>
      </w:r>
      <w:r w:rsidRPr="006777D4">
        <w:rPr>
          <w:i w:val="0"/>
          <w:iCs/>
        </w:rPr>
        <w:t xml:space="preserve">carries a maximum penalty of 10 penalty units for an individual or 50 penalty units for a body corporate. Application of strict liability to this offence is based on </w:t>
      </w:r>
      <w:r w:rsidRPr="006777D4">
        <w:t>A Guide to Framing Commonwealth Offences, Infringement Notices and Enforcement Powers</w:t>
      </w:r>
      <w:r w:rsidRPr="006777D4">
        <w:rPr>
          <w:i w:val="0"/>
          <w:iCs/>
        </w:rPr>
        <w:t>, which sets guidelines about the circumstances in which strict liability is appropriate. The use of strict liability for this offence is necessary to ensure the integrity of the established regulatory regime to prevent environmental harm.</w:t>
      </w:r>
    </w:p>
    <w:p w14:paraId="2CA5032F" w14:textId="77777777" w:rsidR="009A0623" w:rsidRPr="006777D4" w:rsidRDefault="009A0623">
      <w:pPr>
        <w:spacing w:after="200" w:line="276" w:lineRule="auto"/>
        <w:rPr>
          <w:rFonts w:ascii="Times New Roman" w:hAnsi="Times New Roman"/>
          <w:sz w:val="24"/>
          <w:szCs w:val="24"/>
          <w:u w:val="single"/>
        </w:rPr>
      </w:pPr>
      <w:r w:rsidRPr="006777D4">
        <w:rPr>
          <w:i/>
          <w:szCs w:val="24"/>
          <w:u w:val="single"/>
        </w:rPr>
        <w:br w:type="page"/>
      </w:r>
    </w:p>
    <w:p w14:paraId="3612F3E3" w14:textId="4C0D132A" w:rsidR="009F39C2" w:rsidRPr="006777D4" w:rsidRDefault="009F39C2" w:rsidP="009F39C2">
      <w:pPr>
        <w:pStyle w:val="notedraft"/>
        <w:ind w:left="0" w:firstLine="0"/>
        <w:rPr>
          <w:rFonts w:eastAsiaTheme="minorHAnsi"/>
          <w:i w:val="0"/>
          <w:szCs w:val="24"/>
          <w:u w:val="single"/>
        </w:rPr>
      </w:pPr>
      <w:r w:rsidRPr="006777D4">
        <w:rPr>
          <w:rFonts w:eastAsiaTheme="minorHAnsi"/>
          <w:i w:val="0"/>
          <w:szCs w:val="24"/>
          <w:u w:val="single"/>
        </w:rPr>
        <w:t xml:space="preserve">Item </w:t>
      </w:r>
      <w:r w:rsidR="008C08B2" w:rsidRPr="006777D4">
        <w:rPr>
          <w:rFonts w:eastAsiaTheme="minorHAnsi"/>
          <w:i w:val="0"/>
          <w:szCs w:val="24"/>
          <w:u w:val="single"/>
        </w:rPr>
        <w:t>11</w:t>
      </w:r>
    </w:p>
    <w:p w14:paraId="10231AE4" w14:textId="1E73E4FB" w:rsidR="009F39C2" w:rsidRPr="006777D4" w:rsidRDefault="009F39C2" w:rsidP="00CB125D">
      <w:pPr>
        <w:pStyle w:val="notedraft"/>
        <w:spacing w:line="276" w:lineRule="auto"/>
        <w:ind w:left="0" w:firstLine="0"/>
        <w:rPr>
          <w:rFonts w:eastAsiaTheme="minorHAnsi"/>
          <w:i w:val="0"/>
          <w:szCs w:val="24"/>
        </w:rPr>
      </w:pPr>
      <w:r w:rsidRPr="006777D4">
        <w:rPr>
          <w:rFonts w:eastAsiaTheme="minorHAnsi"/>
          <w:i w:val="0"/>
          <w:szCs w:val="24"/>
        </w:rPr>
        <w:t xml:space="preserve">Item </w:t>
      </w:r>
      <w:r w:rsidR="008C08B2" w:rsidRPr="006777D4">
        <w:rPr>
          <w:rFonts w:eastAsiaTheme="minorHAnsi"/>
          <w:i w:val="0"/>
          <w:szCs w:val="24"/>
        </w:rPr>
        <w:t>11</w:t>
      </w:r>
      <w:r w:rsidRPr="006777D4">
        <w:rPr>
          <w:rFonts w:eastAsiaTheme="minorHAnsi"/>
          <w:i w:val="0"/>
          <w:szCs w:val="24"/>
        </w:rPr>
        <w:t xml:space="preserve"> is required as a consequence of </w:t>
      </w:r>
      <w:r w:rsidR="008C08B2" w:rsidRPr="006777D4">
        <w:rPr>
          <w:rFonts w:eastAsiaTheme="minorHAnsi"/>
          <w:i w:val="0"/>
          <w:szCs w:val="24"/>
        </w:rPr>
        <w:t>Items 6-8, and Item 10</w:t>
      </w:r>
      <w:r w:rsidRPr="006777D4">
        <w:rPr>
          <w:rFonts w:eastAsiaTheme="minorHAnsi"/>
          <w:i w:val="0"/>
          <w:szCs w:val="24"/>
        </w:rPr>
        <w:t>. It amend</w:t>
      </w:r>
      <w:r w:rsidR="00A55A0E" w:rsidRPr="006777D4">
        <w:rPr>
          <w:rFonts w:eastAsiaTheme="minorHAnsi"/>
          <w:i w:val="0"/>
          <w:szCs w:val="24"/>
        </w:rPr>
        <w:t>s</w:t>
      </w:r>
      <w:r w:rsidRPr="006777D4">
        <w:rPr>
          <w:rFonts w:eastAsiaTheme="minorHAnsi"/>
          <w:i w:val="0"/>
          <w:szCs w:val="24"/>
        </w:rPr>
        <w:t xml:space="preserve"> regulation 906A to specify the new offence at </w:t>
      </w:r>
      <w:proofErr w:type="spellStart"/>
      <w:r w:rsidRPr="006777D4">
        <w:rPr>
          <w:rFonts w:eastAsiaTheme="minorHAnsi"/>
          <w:i w:val="0"/>
          <w:szCs w:val="24"/>
        </w:rPr>
        <w:t>subregulations</w:t>
      </w:r>
      <w:proofErr w:type="spellEnd"/>
      <w:r w:rsidRPr="006777D4">
        <w:rPr>
          <w:rFonts w:eastAsiaTheme="minorHAnsi"/>
          <w:i w:val="0"/>
          <w:szCs w:val="24"/>
        </w:rPr>
        <w:t xml:space="preserve"> 327(1), 333(1), 341(6) and 342(5) as infringement notice offences. Making these offences subject to the infringement notice provisions strengthen</w:t>
      </w:r>
      <w:r w:rsidR="00A55A0E" w:rsidRPr="006777D4">
        <w:rPr>
          <w:rFonts w:eastAsiaTheme="minorHAnsi"/>
          <w:i w:val="0"/>
          <w:szCs w:val="24"/>
        </w:rPr>
        <w:t>s</w:t>
      </w:r>
      <w:r w:rsidRPr="006777D4">
        <w:rPr>
          <w:rFonts w:eastAsiaTheme="minorHAnsi"/>
          <w:i w:val="0"/>
          <w:szCs w:val="24"/>
        </w:rPr>
        <w:t xml:space="preserve"> enforcement of, and compliance, with the Regulations as it allow</w:t>
      </w:r>
      <w:r w:rsidR="00A55A0E" w:rsidRPr="006777D4">
        <w:rPr>
          <w:rFonts w:eastAsiaTheme="minorHAnsi"/>
          <w:i w:val="0"/>
          <w:szCs w:val="24"/>
        </w:rPr>
        <w:t>s</w:t>
      </w:r>
      <w:r w:rsidRPr="006777D4">
        <w:rPr>
          <w:rFonts w:eastAsiaTheme="minorHAnsi"/>
          <w:i w:val="0"/>
          <w:szCs w:val="24"/>
        </w:rPr>
        <w:t xml:space="preserve"> an infringement notice to be given for the offences, requiring payment of 2 penalty units for an individual or 10</w:t>
      </w:r>
      <w:r w:rsidR="00A55A0E" w:rsidRPr="006777D4">
        <w:rPr>
          <w:rFonts w:eastAsiaTheme="minorHAnsi"/>
          <w:i w:val="0"/>
          <w:szCs w:val="24"/>
        </w:rPr>
        <w:t> </w:t>
      </w:r>
      <w:r w:rsidRPr="006777D4">
        <w:rPr>
          <w:rFonts w:eastAsiaTheme="minorHAnsi"/>
          <w:i w:val="0"/>
          <w:szCs w:val="24"/>
        </w:rPr>
        <w:t>penalty units for a body corporate. Failure to pay the amount could result in the person being prosecuted in a court for the alleged contravention.</w:t>
      </w:r>
    </w:p>
    <w:p w14:paraId="2DCB64FC" w14:textId="59D3FF91" w:rsidR="009F39C2" w:rsidRPr="006777D4" w:rsidRDefault="009F39C2" w:rsidP="00CB125D">
      <w:pPr>
        <w:pStyle w:val="notedraft"/>
        <w:spacing w:line="276" w:lineRule="auto"/>
        <w:ind w:left="0" w:firstLine="0"/>
        <w:rPr>
          <w:rFonts w:eastAsiaTheme="minorHAnsi"/>
          <w:i w:val="0"/>
          <w:szCs w:val="24"/>
          <w:u w:val="single"/>
        </w:rPr>
      </w:pPr>
      <w:r w:rsidRPr="006777D4">
        <w:rPr>
          <w:rFonts w:eastAsiaTheme="minorHAnsi"/>
          <w:i w:val="0"/>
          <w:szCs w:val="24"/>
          <w:u w:val="single"/>
        </w:rPr>
        <w:t>Item 1</w:t>
      </w:r>
      <w:r w:rsidR="008C08B2" w:rsidRPr="006777D4">
        <w:rPr>
          <w:rFonts w:eastAsiaTheme="minorHAnsi"/>
          <w:i w:val="0"/>
          <w:szCs w:val="24"/>
          <w:u w:val="single"/>
        </w:rPr>
        <w:t>2</w:t>
      </w:r>
    </w:p>
    <w:p w14:paraId="115737B9" w14:textId="1FFD3D29" w:rsidR="00B9342A" w:rsidRPr="006777D4" w:rsidRDefault="009F39C2" w:rsidP="00CB125D">
      <w:pPr>
        <w:pStyle w:val="notedraft"/>
        <w:spacing w:line="276" w:lineRule="auto"/>
        <w:ind w:left="0" w:firstLine="0"/>
        <w:rPr>
          <w:szCs w:val="24"/>
        </w:rPr>
        <w:sectPr w:rsidR="00B9342A" w:rsidRPr="006777D4" w:rsidSect="00994F6B">
          <w:pgSz w:w="11906" w:h="16838" w:code="9"/>
          <w:pgMar w:top="1134" w:right="1418" w:bottom="567" w:left="1418" w:header="567" w:footer="567" w:gutter="0"/>
          <w:cols w:space="708"/>
          <w:docGrid w:linePitch="360"/>
        </w:sectPr>
      </w:pPr>
      <w:r w:rsidRPr="006777D4">
        <w:rPr>
          <w:rFonts w:eastAsiaTheme="minorHAnsi"/>
          <w:i w:val="0"/>
          <w:szCs w:val="24"/>
        </w:rPr>
        <w:t>The application provision at regulation 973 clarif</w:t>
      </w:r>
      <w:r w:rsidR="00A55A0E" w:rsidRPr="006777D4">
        <w:rPr>
          <w:rFonts w:eastAsiaTheme="minorHAnsi"/>
          <w:i w:val="0"/>
          <w:szCs w:val="24"/>
        </w:rPr>
        <w:t>ies</w:t>
      </w:r>
      <w:r w:rsidRPr="006777D4">
        <w:rPr>
          <w:rFonts w:eastAsiaTheme="minorHAnsi"/>
          <w:i w:val="0"/>
          <w:szCs w:val="24"/>
        </w:rPr>
        <w:t xml:space="preserve"> that none of the amendments in Part 2 (including the amendments of 136(1) and 142(1)) apply to contraventions that start to occur before the amendments commence. The intention is to make it clear that none of the new offences apply retrospectively.</w:t>
      </w:r>
      <w:r w:rsidR="00AE7DE6" w:rsidRPr="006777D4">
        <w:rPr>
          <w:szCs w:val="24"/>
        </w:rPr>
        <w:br w:type="page"/>
      </w:r>
    </w:p>
    <w:p w14:paraId="3896FDD4" w14:textId="2701F66B" w:rsidR="00AE7DE6" w:rsidRPr="006777D4" w:rsidRDefault="00AE7DE6" w:rsidP="00814991">
      <w:pPr>
        <w:spacing w:after="200" w:line="276" w:lineRule="auto"/>
        <w:rPr>
          <w:rFonts w:ascii="Times New Roman" w:hAnsi="Times New Roman"/>
          <w:sz w:val="24"/>
          <w:szCs w:val="24"/>
        </w:rPr>
      </w:pPr>
    </w:p>
    <w:p w14:paraId="67413F09" w14:textId="1B6BA101" w:rsidR="00F45E4F" w:rsidRPr="006777D4" w:rsidRDefault="00B9342A" w:rsidP="00F45E4F">
      <w:pPr>
        <w:spacing w:after="240" w:line="276" w:lineRule="auto"/>
        <w:jc w:val="right"/>
        <w:rPr>
          <w:rFonts w:ascii="Times New Roman" w:hAnsi="Times New Roman"/>
          <w:b/>
          <w:iCs/>
          <w:sz w:val="24"/>
          <w:szCs w:val="24"/>
          <w:u w:val="single"/>
        </w:rPr>
      </w:pPr>
      <w:r w:rsidRPr="006777D4">
        <w:rPr>
          <w:rFonts w:ascii="Times New Roman" w:hAnsi="Times New Roman"/>
          <w:b/>
          <w:iCs/>
          <w:sz w:val="24"/>
          <w:szCs w:val="24"/>
          <w:u w:val="single"/>
        </w:rPr>
        <w:t>ATTACHMENT B</w:t>
      </w:r>
    </w:p>
    <w:p w14:paraId="4D1C1A14" w14:textId="77777777" w:rsidR="00F45E4F" w:rsidRPr="006777D4" w:rsidRDefault="00F45E4F" w:rsidP="00F45E4F">
      <w:pPr>
        <w:spacing w:after="240" w:line="276" w:lineRule="auto"/>
        <w:jc w:val="center"/>
        <w:rPr>
          <w:rFonts w:ascii="Times New Roman" w:hAnsi="Times New Roman"/>
          <w:b/>
          <w:sz w:val="24"/>
          <w:szCs w:val="24"/>
        </w:rPr>
      </w:pPr>
      <w:r w:rsidRPr="006777D4">
        <w:rPr>
          <w:rFonts w:ascii="Times New Roman" w:hAnsi="Times New Roman"/>
          <w:b/>
          <w:iCs/>
          <w:sz w:val="24"/>
          <w:szCs w:val="24"/>
        </w:rPr>
        <w:t>Statement of Compatibility with Human Rights</w:t>
      </w:r>
    </w:p>
    <w:p w14:paraId="4A215AFD" w14:textId="77777777" w:rsidR="00F45E4F" w:rsidRPr="006777D4" w:rsidRDefault="00F45E4F" w:rsidP="00F45E4F">
      <w:pPr>
        <w:spacing w:after="240" w:line="276" w:lineRule="auto"/>
        <w:rPr>
          <w:rFonts w:ascii="Times New Roman" w:hAnsi="Times New Roman"/>
          <w:i/>
          <w:sz w:val="24"/>
          <w:szCs w:val="24"/>
        </w:rPr>
      </w:pPr>
      <w:r w:rsidRPr="006777D4">
        <w:rPr>
          <w:rFonts w:ascii="Times New Roman" w:hAnsi="Times New Roman"/>
          <w:i/>
          <w:sz w:val="24"/>
          <w:szCs w:val="24"/>
        </w:rPr>
        <w:t>Prepared in accordance with Part 3 of the Human Rights (Parliamentary Scrutiny) Act 2011</w:t>
      </w:r>
    </w:p>
    <w:p w14:paraId="7CAC810F" w14:textId="59C155F9" w:rsidR="00F45E4F" w:rsidRPr="006777D4" w:rsidRDefault="00F45E4F" w:rsidP="00F45E4F">
      <w:pPr>
        <w:spacing w:after="240" w:line="276" w:lineRule="auto"/>
        <w:jc w:val="center"/>
        <w:rPr>
          <w:rFonts w:ascii="Times New Roman" w:hAnsi="Times New Roman"/>
          <w:b/>
          <w:i/>
          <w:sz w:val="24"/>
          <w:szCs w:val="24"/>
        </w:rPr>
      </w:pPr>
      <w:r w:rsidRPr="006777D4">
        <w:rPr>
          <w:rFonts w:ascii="Times New Roman" w:hAnsi="Times New Roman"/>
          <w:b/>
          <w:i/>
          <w:sz w:val="24"/>
          <w:szCs w:val="24"/>
        </w:rPr>
        <w:t>Ozone Protection and Synthetic Greenhouse Gas Management Amendment (20</w:t>
      </w:r>
      <w:r w:rsidR="00B8634E" w:rsidRPr="006777D4">
        <w:rPr>
          <w:rFonts w:ascii="Times New Roman" w:hAnsi="Times New Roman"/>
          <w:b/>
          <w:i/>
          <w:sz w:val="24"/>
          <w:szCs w:val="24"/>
        </w:rPr>
        <w:t>20</w:t>
      </w:r>
      <w:r w:rsidRPr="006777D4">
        <w:rPr>
          <w:rFonts w:ascii="Times New Roman" w:hAnsi="Times New Roman"/>
          <w:b/>
          <w:i/>
          <w:sz w:val="24"/>
          <w:szCs w:val="24"/>
        </w:rPr>
        <w:t xml:space="preserve"> Measures No. 1) Regulations 20</w:t>
      </w:r>
      <w:r w:rsidR="00B8634E" w:rsidRPr="006777D4">
        <w:rPr>
          <w:rFonts w:ascii="Times New Roman" w:hAnsi="Times New Roman"/>
          <w:b/>
          <w:i/>
          <w:sz w:val="24"/>
          <w:szCs w:val="24"/>
        </w:rPr>
        <w:t>20</w:t>
      </w:r>
    </w:p>
    <w:p w14:paraId="00E024E6" w14:textId="77777777" w:rsidR="00F45E4F" w:rsidRPr="006777D4" w:rsidRDefault="00F45E4F" w:rsidP="00F45E4F">
      <w:pPr>
        <w:spacing w:after="240" w:line="276" w:lineRule="auto"/>
        <w:jc w:val="center"/>
        <w:rPr>
          <w:rFonts w:ascii="Times New Roman" w:hAnsi="Times New Roman"/>
          <w:sz w:val="24"/>
          <w:szCs w:val="24"/>
        </w:rPr>
      </w:pPr>
      <w:r w:rsidRPr="006777D4">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6777D4">
        <w:rPr>
          <w:rFonts w:ascii="Times New Roman" w:hAnsi="Times New Roman"/>
          <w:i/>
          <w:sz w:val="24"/>
          <w:szCs w:val="24"/>
        </w:rPr>
        <w:t>Human Rights (Parliamentary Scrutiny) Act 2011</w:t>
      </w:r>
      <w:r w:rsidRPr="006777D4">
        <w:rPr>
          <w:rFonts w:ascii="Times New Roman" w:hAnsi="Times New Roman"/>
          <w:sz w:val="24"/>
          <w:szCs w:val="24"/>
        </w:rPr>
        <w:t>.</w:t>
      </w:r>
    </w:p>
    <w:p w14:paraId="31F43631" w14:textId="77777777" w:rsidR="00F45E4F" w:rsidRPr="006777D4" w:rsidRDefault="00F45E4F" w:rsidP="00F45E4F">
      <w:pPr>
        <w:spacing w:after="240" w:line="276" w:lineRule="auto"/>
        <w:rPr>
          <w:rFonts w:ascii="Times New Roman" w:hAnsi="Times New Roman"/>
          <w:b/>
          <w:sz w:val="24"/>
          <w:szCs w:val="24"/>
        </w:rPr>
      </w:pPr>
      <w:r w:rsidRPr="006777D4">
        <w:rPr>
          <w:rFonts w:ascii="Times New Roman" w:hAnsi="Times New Roman"/>
          <w:b/>
          <w:sz w:val="24"/>
          <w:szCs w:val="24"/>
        </w:rPr>
        <w:t>Overview of the Legislative Instrument</w:t>
      </w:r>
    </w:p>
    <w:p w14:paraId="00CFB6D8" w14:textId="77777777" w:rsidR="00F45E4F" w:rsidRPr="006777D4" w:rsidRDefault="00F45E4F" w:rsidP="00F45E4F">
      <w:pPr>
        <w:shd w:val="clear" w:color="auto" w:fill="FFFFFF"/>
        <w:spacing w:line="276" w:lineRule="auto"/>
        <w:rPr>
          <w:rFonts w:ascii="Times New Roman" w:eastAsia="Times New Roman" w:hAnsi="Times New Roman"/>
          <w:sz w:val="24"/>
          <w:szCs w:val="24"/>
        </w:rPr>
      </w:pPr>
      <w:r w:rsidRPr="006777D4">
        <w:rPr>
          <w:rFonts w:ascii="Times New Roman" w:eastAsia="Times New Roman" w:hAnsi="Times New Roman"/>
          <w:sz w:val="24"/>
          <w:szCs w:val="24"/>
        </w:rPr>
        <w:t xml:space="preserve">The </w:t>
      </w:r>
      <w:r w:rsidRPr="006777D4">
        <w:rPr>
          <w:rFonts w:ascii="Times New Roman" w:hAnsi="Times New Roman"/>
          <w:i/>
          <w:sz w:val="24"/>
          <w:szCs w:val="24"/>
        </w:rPr>
        <w:t>Ozone Protection and Synthetic Greenhouse Gas Management Act 1989</w:t>
      </w:r>
      <w:r w:rsidRPr="006777D4">
        <w:rPr>
          <w:rFonts w:ascii="Times New Roman" w:eastAsia="Times New Roman" w:hAnsi="Times New Roman"/>
          <w:sz w:val="24"/>
          <w:szCs w:val="24"/>
        </w:rPr>
        <w:t xml:space="preserve"> (the Act) implements Australia’s obligations under the Vienna Convention for the Protection of the Ozone Layer and its Montreal Protocol on Substances that Deplete the Ozone Layer and the United Nations Framework Convention on Climate Change and its Kyoto Protocol.</w:t>
      </w:r>
    </w:p>
    <w:p w14:paraId="3BA62E8F" w14:textId="77777777" w:rsidR="00F45E4F" w:rsidRPr="006777D4" w:rsidRDefault="00F45E4F" w:rsidP="00F45E4F">
      <w:pPr>
        <w:shd w:val="clear" w:color="auto" w:fill="FFFFFF"/>
        <w:spacing w:line="276" w:lineRule="auto"/>
        <w:rPr>
          <w:rFonts w:ascii="Times New Roman" w:eastAsia="Times New Roman" w:hAnsi="Times New Roman"/>
          <w:sz w:val="24"/>
          <w:szCs w:val="24"/>
        </w:rPr>
      </w:pPr>
    </w:p>
    <w:p w14:paraId="096E7518" w14:textId="219C6D78" w:rsidR="00813029" w:rsidRPr="006777D4" w:rsidRDefault="00813029" w:rsidP="00813029">
      <w:pPr>
        <w:tabs>
          <w:tab w:val="left" w:pos="4536"/>
        </w:tabs>
        <w:spacing w:after="240" w:line="276" w:lineRule="auto"/>
        <w:rPr>
          <w:rFonts w:ascii="Times New Roman" w:hAnsi="Times New Roman"/>
          <w:sz w:val="24"/>
          <w:szCs w:val="24"/>
        </w:rPr>
      </w:pPr>
      <w:bookmarkStart w:id="3" w:name="_Hlk40957799"/>
      <w:r w:rsidRPr="006777D4">
        <w:rPr>
          <w:rFonts w:ascii="Times New Roman" w:hAnsi="Times New Roman"/>
          <w:sz w:val="24"/>
          <w:szCs w:val="24"/>
        </w:rPr>
        <w:t xml:space="preserve">The </w:t>
      </w:r>
      <w:r w:rsidRPr="006777D4">
        <w:rPr>
          <w:rFonts w:ascii="Times New Roman" w:hAnsi="Times New Roman"/>
          <w:i/>
          <w:sz w:val="24"/>
          <w:szCs w:val="24"/>
        </w:rPr>
        <w:t>Ozone Protection and Synthetic Greenhouse Gas Management Amendment (2020 Measures No. 1) Regulations 2020</w:t>
      </w:r>
      <w:r w:rsidRPr="006777D4">
        <w:rPr>
          <w:rFonts w:ascii="Times New Roman" w:hAnsi="Times New Roman"/>
          <w:sz w:val="24"/>
          <w:szCs w:val="24"/>
        </w:rPr>
        <w:t xml:space="preserve"> (the proposed Regulations) amend the </w:t>
      </w:r>
      <w:r w:rsidRPr="006777D4">
        <w:rPr>
          <w:rFonts w:ascii="Times New Roman" w:hAnsi="Times New Roman"/>
          <w:i/>
          <w:sz w:val="24"/>
          <w:szCs w:val="24"/>
        </w:rPr>
        <w:t>Ozone Protection and Synthetic Greenhouse Gas Management Regulations 1995</w:t>
      </w:r>
      <w:r w:rsidRPr="006777D4">
        <w:rPr>
          <w:rFonts w:ascii="Times New Roman" w:hAnsi="Times New Roman"/>
          <w:sz w:val="24"/>
          <w:szCs w:val="24"/>
        </w:rPr>
        <w:t xml:space="preserve"> (the Principal Regulations) to make the following changes to the regulation of scheduled substances: </w:t>
      </w:r>
    </w:p>
    <w:p w14:paraId="6D8EDEBA" w14:textId="77777777" w:rsidR="00813029" w:rsidRPr="006777D4" w:rsidRDefault="00813029" w:rsidP="00813029">
      <w:pPr>
        <w:pStyle w:val="ListNumber"/>
        <w:numPr>
          <w:ilvl w:val="0"/>
          <w:numId w:val="8"/>
        </w:numPr>
        <w:spacing w:line="276" w:lineRule="auto"/>
        <w:rPr>
          <w:rFonts w:ascii="Times New Roman" w:hAnsi="Times New Roman"/>
          <w:sz w:val="24"/>
          <w:szCs w:val="24"/>
        </w:rPr>
      </w:pPr>
      <w:r w:rsidRPr="006777D4">
        <w:rPr>
          <w:rFonts w:ascii="Times New Roman" w:hAnsi="Times New Roman"/>
          <w:sz w:val="24"/>
          <w:szCs w:val="24"/>
        </w:rPr>
        <w:t>Allow regulated hydrochlorofluorocarbons (HCFCs) to be used for laboratory and analytical purposes, in line with international agreements; and</w:t>
      </w:r>
    </w:p>
    <w:p w14:paraId="1D036A93" w14:textId="77777777" w:rsidR="00813029" w:rsidRPr="006777D4" w:rsidRDefault="00813029" w:rsidP="00813029">
      <w:pPr>
        <w:pStyle w:val="ListNumber"/>
        <w:numPr>
          <w:ilvl w:val="0"/>
          <w:numId w:val="8"/>
        </w:numPr>
        <w:spacing w:line="276" w:lineRule="auto"/>
        <w:rPr>
          <w:rFonts w:ascii="Times New Roman" w:hAnsi="Times New Roman"/>
          <w:sz w:val="24"/>
          <w:szCs w:val="24"/>
        </w:rPr>
      </w:pPr>
      <w:r w:rsidRPr="006777D4">
        <w:rPr>
          <w:rFonts w:ascii="Times New Roman" w:hAnsi="Times New Roman"/>
          <w:sz w:val="24"/>
          <w:szCs w:val="24"/>
        </w:rPr>
        <w:t>Create offences and impose penalties where permit holders breach fire protection industry permit conditions, to align with penalties for breaching refrigeration and air conditioning industry permit conditions.</w:t>
      </w:r>
    </w:p>
    <w:bookmarkEnd w:id="3"/>
    <w:p w14:paraId="5FDFD82D" w14:textId="2FCD972F" w:rsidR="00F45E4F" w:rsidRPr="006777D4" w:rsidRDefault="00F45E4F" w:rsidP="00813029">
      <w:pPr>
        <w:shd w:val="clear" w:color="auto" w:fill="FFFFFF"/>
        <w:spacing w:before="240" w:after="240" w:line="276" w:lineRule="auto"/>
        <w:rPr>
          <w:rFonts w:eastAsia="Times New Roman" w:cs="Arial"/>
          <w:sz w:val="24"/>
          <w:szCs w:val="24"/>
        </w:rPr>
      </w:pPr>
      <w:r w:rsidRPr="006777D4">
        <w:rPr>
          <w:rFonts w:ascii="Times New Roman" w:eastAsia="Times New Roman" w:hAnsi="Times New Roman"/>
          <w:b/>
          <w:bCs/>
          <w:sz w:val="24"/>
          <w:szCs w:val="24"/>
        </w:rPr>
        <w:t>Human rights implications</w:t>
      </w:r>
    </w:p>
    <w:p w14:paraId="2975258B" w14:textId="35C69BA6" w:rsidR="00F45E4F" w:rsidRPr="006777D4" w:rsidRDefault="00F45E4F" w:rsidP="00F45E4F">
      <w:pPr>
        <w:shd w:val="clear" w:color="auto" w:fill="FFFFFF"/>
        <w:spacing w:after="240" w:line="276" w:lineRule="auto"/>
        <w:rPr>
          <w:rFonts w:eastAsia="Times New Roman" w:cs="Arial"/>
          <w:sz w:val="24"/>
          <w:szCs w:val="24"/>
        </w:rPr>
      </w:pPr>
      <w:r w:rsidRPr="006777D4">
        <w:rPr>
          <w:rFonts w:ascii="Times New Roman" w:eastAsia="Times New Roman" w:hAnsi="Times New Roman"/>
          <w:sz w:val="24"/>
          <w:szCs w:val="24"/>
        </w:rPr>
        <w:t>The Amendment Regulations engages the following human rights:</w:t>
      </w:r>
    </w:p>
    <w:p w14:paraId="0E2E0E41" w14:textId="11319190" w:rsidR="00F45E4F" w:rsidRPr="006777D4" w:rsidRDefault="00F45E4F" w:rsidP="00F45E4F">
      <w:pPr>
        <w:pStyle w:val="ListParagraph"/>
        <w:numPr>
          <w:ilvl w:val="0"/>
          <w:numId w:val="12"/>
        </w:numPr>
        <w:shd w:val="clear" w:color="auto" w:fill="FFFFFF"/>
        <w:spacing w:after="200" w:line="276" w:lineRule="auto"/>
        <w:contextualSpacing w:val="0"/>
        <w:rPr>
          <w:rFonts w:eastAsia="Times New Roman" w:cs="Arial"/>
          <w:sz w:val="24"/>
          <w:szCs w:val="24"/>
        </w:rPr>
      </w:pPr>
      <w:r w:rsidRPr="006777D4">
        <w:rPr>
          <w:rFonts w:ascii="Times New Roman" w:eastAsia="Times New Roman" w:hAnsi="Times New Roman"/>
          <w:sz w:val="24"/>
          <w:szCs w:val="24"/>
        </w:rPr>
        <w:t>The right to an effective remedy in Article 2(3) of the International Covenant on Civil and Political Rights (ICCPR);</w:t>
      </w:r>
    </w:p>
    <w:p w14:paraId="17E59567" w14:textId="14435824" w:rsidR="00F45E4F" w:rsidRPr="006777D4" w:rsidRDefault="00F45E4F" w:rsidP="00F45E4F">
      <w:pPr>
        <w:pStyle w:val="ListParagraph"/>
        <w:numPr>
          <w:ilvl w:val="0"/>
          <w:numId w:val="12"/>
        </w:numPr>
        <w:shd w:val="clear" w:color="auto" w:fill="FFFFFF"/>
        <w:spacing w:after="200" w:line="276" w:lineRule="auto"/>
        <w:contextualSpacing w:val="0"/>
        <w:rPr>
          <w:rFonts w:eastAsia="Times New Roman" w:cs="Arial"/>
          <w:sz w:val="24"/>
          <w:szCs w:val="24"/>
        </w:rPr>
      </w:pPr>
      <w:r w:rsidRPr="006777D4">
        <w:rPr>
          <w:rFonts w:ascii="Times New Roman" w:eastAsia="Times New Roman" w:hAnsi="Times New Roman"/>
          <w:sz w:val="24"/>
          <w:szCs w:val="24"/>
        </w:rPr>
        <w:t>The right to a fair trial in Article 14(1) of the ICCPR;</w:t>
      </w:r>
    </w:p>
    <w:p w14:paraId="5DA15653" w14:textId="687910A1" w:rsidR="00F45E4F" w:rsidRPr="006777D4" w:rsidRDefault="00F45E4F" w:rsidP="00F45E4F">
      <w:pPr>
        <w:pStyle w:val="ListParagraph"/>
        <w:numPr>
          <w:ilvl w:val="0"/>
          <w:numId w:val="12"/>
        </w:numPr>
        <w:shd w:val="clear" w:color="auto" w:fill="FFFFFF"/>
        <w:spacing w:after="200" w:line="276" w:lineRule="auto"/>
        <w:contextualSpacing w:val="0"/>
        <w:rPr>
          <w:rFonts w:eastAsia="Times New Roman" w:cs="Arial"/>
          <w:sz w:val="24"/>
          <w:szCs w:val="24"/>
        </w:rPr>
      </w:pPr>
      <w:r w:rsidRPr="006777D4">
        <w:rPr>
          <w:rFonts w:ascii="Times New Roman" w:eastAsia="Times New Roman" w:hAnsi="Times New Roman"/>
          <w:sz w:val="24"/>
          <w:szCs w:val="24"/>
        </w:rPr>
        <w:t>The right to the presumption of innocence in Article 14(2) of the ICCPR.</w:t>
      </w:r>
    </w:p>
    <w:p w14:paraId="11799A0D" w14:textId="4D2882B0" w:rsidR="00F45E4F" w:rsidRPr="006777D4" w:rsidRDefault="00F45E4F" w:rsidP="00F45E4F">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b/>
          <w:bCs/>
          <w:sz w:val="24"/>
          <w:szCs w:val="24"/>
        </w:rPr>
        <w:t xml:space="preserve">Right to an effective remedy </w:t>
      </w:r>
    </w:p>
    <w:p w14:paraId="0117ADC8" w14:textId="63400FD9" w:rsidR="00F45E4F" w:rsidRPr="006777D4" w:rsidRDefault="00F45E4F"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Article 2(3) of the ICCPR ensures that any person whose rights or freedoms are violated shall have an effective remedy, and that a person in claiming such a remedy shall have his rights determined by a competent judicial, administrative or legislative authority.</w:t>
      </w:r>
    </w:p>
    <w:p w14:paraId="065684E2" w14:textId="1664E621" w:rsidR="000B5C9A" w:rsidRPr="006777D4" w:rsidRDefault="003C1B08" w:rsidP="00CB125D">
      <w:pPr>
        <w:shd w:val="clear" w:color="auto" w:fill="FFFFFF"/>
        <w:spacing w:after="240" w:line="276" w:lineRule="auto"/>
        <w:rPr>
          <w:rFonts w:ascii="Times New Roman" w:hAnsi="Times New Roman"/>
          <w:color w:val="000000"/>
          <w:sz w:val="24"/>
          <w:szCs w:val="24"/>
        </w:rPr>
      </w:pPr>
      <w:r w:rsidRPr="006777D4">
        <w:rPr>
          <w:rFonts w:ascii="Times New Roman" w:hAnsi="Times New Roman"/>
          <w:color w:val="000000"/>
          <w:sz w:val="24"/>
          <w:szCs w:val="24"/>
        </w:rPr>
        <w:t xml:space="preserve">If </w:t>
      </w:r>
      <w:r w:rsidR="000B5C9A" w:rsidRPr="006777D4">
        <w:rPr>
          <w:rFonts w:ascii="Times New Roman" w:hAnsi="Times New Roman"/>
          <w:color w:val="000000"/>
          <w:sz w:val="24"/>
          <w:szCs w:val="24"/>
        </w:rPr>
        <w:t xml:space="preserve">a permit holder </w:t>
      </w:r>
      <w:r w:rsidRPr="006777D4">
        <w:rPr>
          <w:rFonts w:ascii="Times New Roman" w:hAnsi="Times New Roman"/>
          <w:color w:val="000000"/>
          <w:sz w:val="24"/>
          <w:szCs w:val="24"/>
        </w:rPr>
        <w:t xml:space="preserve">were to be </w:t>
      </w:r>
      <w:r w:rsidR="000B5C9A" w:rsidRPr="006777D4">
        <w:rPr>
          <w:rFonts w:ascii="Times New Roman" w:hAnsi="Times New Roman"/>
          <w:color w:val="000000"/>
          <w:sz w:val="24"/>
          <w:szCs w:val="24"/>
        </w:rPr>
        <w:t>charged with contravening a condition of their fire protection industry permit</w:t>
      </w:r>
      <w:r w:rsidRPr="006777D4">
        <w:rPr>
          <w:rFonts w:ascii="Times New Roman" w:hAnsi="Times New Roman"/>
          <w:color w:val="000000"/>
          <w:sz w:val="24"/>
          <w:szCs w:val="24"/>
        </w:rPr>
        <w:t xml:space="preserve"> under the new offence provisions in the Amendment Regulations</w:t>
      </w:r>
      <w:r w:rsidR="000B5C9A" w:rsidRPr="006777D4">
        <w:rPr>
          <w:rFonts w:ascii="Times New Roman" w:hAnsi="Times New Roman"/>
          <w:color w:val="000000"/>
          <w:sz w:val="24"/>
          <w:szCs w:val="24"/>
        </w:rPr>
        <w:t xml:space="preserve">, </w:t>
      </w:r>
      <w:r w:rsidRPr="006777D4">
        <w:rPr>
          <w:rFonts w:ascii="Times New Roman" w:hAnsi="Times New Roman"/>
          <w:color w:val="000000"/>
          <w:sz w:val="24"/>
          <w:szCs w:val="24"/>
        </w:rPr>
        <w:t xml:space="preserve">the relevant </w:t>
      </w:r>
      <w:r w:rsidR="000B5C9A" w:rsidRPr="006777D4">
        <w:rPr>
          <w:rFonts w:ascii="Times New Roman" w:hAnsi="Times New Roman"/>
          <w:color w:val="000000"/>
          <w:sz w:val="24"/>
          <w:szCs w:val="24"/>
        </w:rPr>
        <w:t xml:space="preserve">permit </w:t>
      </w:r>
      <w:r w:rsidR="0002070C" w:rsidRPr="006777D4">
        <w:rPr>
          <w:rFonts w:ascii="Times New Roman" w:hAnsi="Times New Roman"/>
          <w:color w:val="000000"/>
          <w:sz w:val="24"/>
          <w:szCs w:val="24"/>
        </w:rPr>
        <w:t xml:space="preserve">could </w:t>
      </w:r>
      <w:r w:rsidR="000B5C9A" w:rsidRPr="006777D4">
        <w:rPr>
          <w:rFonts w:ascii="Times New Roman" w:hAnsi="Times New Roman"/>
          <w:color w:val="000000"/>
          <w:sz w:val="24"/>
          <w:szCs w:val="24"/>
        </w:rPr>
        <w:t>be suspended or cancelled. The Principal Regulations already provide that a decision to suspend or cancel a fire protection industry permit may be reconsidered upon application to the relevant authority using processes outlined in Regulation 316. The process involves the affected person applying directly to the relevant authority for a reconsideration of the decision within 21 days of the day on which the notice of the decision was issued by the relevant authority.</w:t>
      </w:r>
    </w:p>
    <w:p w14:paraId="2BACD8DE" w14:textId="4034947D" w:rsidR="000B5C9A" w:rsidRPr="006777D4" w:rsidRDefault="000B5C9A" w:rsidP="00CB125D">
      <w:pPr>
        <w:shd w:val="clear" w:color="auto" w:fill="FFFFFF"/>
        <w:spacing w:after="240" w:line="276" w:lineRule="auto"/>
        <w:rPr>
          <w:rFonts w:ascii="Times New Roman" w:eastAsia="Times New Roman" w:hAnsi="Times New Roman"/>
          <w:sz w:val="24"/>
          <w:szCs w:val="24"/>
        </w:rPr>
      </w:pPr>
      <w:r w:rsidRPr="006777D4">
        <w:rPr>
          <w:rFonts w:ascii="Times New Roman" w:hAnsi="Times New Roman"/>
          <w:color w:val="000000"/>
          <w:sz w:val="24"/>
          <w:szCs w:val="24"/>
        </w:rPr>
        <w:t>If the person is not satisfied with the outcome of the reconsidered decision, existing Regulation 317 allows the affected person to apply to the Administrative Appeals Tribunal for review of the reconsidered decision. This two-stage process provides two mechanisms for affected persons to seek an effective remedy.</w:t>
      </w:r>
    </w:p>
    <w:p w14:paraId="0708C8BE" w14:textId="77777777" w:rsidR="00F45E4F" w:rsidRPr="006777D4" w:rsidRDefault="00F45E4F" w:rsidP="00CB125D">
      <w:pPr>
        <w:shd w:val="clear" w:color="auto" w:fill="FFFFFF"/>
        <w:spacing w:after="240" w:line="276" w:lineRule="auto"/>
        <w:rPr>
          <w:rFonts w:eastAsia="Times New Roman" w:cs="Arial"/>
          <w:sz w:val="24"/>
          <w:szCs w:val="24"/>
        </w:rPr>
      </w:pPr>
      <w:r w:rsidRPr="006777D4">
        <w:rPr>
          <w:rFonts w:ascii="Times New Roman" w:eastAsia="Times New Roman" w:hAnsi="Times New Roman"/>
          <w:b/>
          <w:bCs/>
          <w:sz w:val="24"/>
          <w:szCs w:val="24"/>
        </w:rPr>
        <w:t>Right to a fair trial</w:t>
      </w:r>
    </w:p>
    <w:p w14:paraId="7709D09A" w14:textId="77777777" w:rsidR="00F45E4F" w:rsidRPr="006777D4" w:rsidRDefault="00F45E4F" w:rsidP="00CB125D">
      <w:pPr>
        <w:shd w:val="clear" w:color="auto" w:fill="FFFFFF"/>
        <w:spacing w:after="240" w:line="276" w:lineRule="auto"/>
        <w:rPr>
          <w:rFonts w:eastAsia="Times New Roman" w:cs="Arial"/>
          <w:sz w:val="24"/>
          <w:szCs w:val="24"/>
        </w:rPr>
      </w:pPr>
      <w:r w:rsidRPr="006777D4">
        <w:rPr>
          <w:rFonts w:ascii="Times New Roman" w:eastAsia="Times New Roman" w:hAnsi="Times New Roman"/>
          <w:sz w:val="24"/>
          <w:szCs w:val="24"/>
        </w:rPr>
        <w:t>Article 14(1) of the ICCPR guarantees the right to a fair trial and fair hearing in relation to both criminal and civil proceedings.</w:t>
      </w:r>
    </w:p>
    <w:p w14:paraId="4E948AE5" w14:textId="77777777" w:rsidR="00F45E4F" w:rsidRPr="006777D4" w:rsidRDefault="00F45E4F" w:rsidP="00CB125D">
      <w:pPr>
        <w:shd w:val="clear" w:color="auto" w:fill="FFFFFF"/>
        <w:spacing w:after="240" w:line="276" w:lineRule="auto"/>
        <w:rPr>
          <w:rFonts w:ascii="Times New Roman" w:eastAsia="Times New Roman" w:hAnsi="Times New Roman"/>
          <w:sz w:val="24"/>
          <w:szCs w:val="24"/>
          <w:u w:val="single"/>
        </w:rPr>
      </w:pPr>
      <w:r w:rsidRPr="006777D4">
        <w:rPr>
          <w:rFonts w:ascii="Times New Roman" w:eastAsia="Times New Roman" w:hAnsi="Times New Roman"/>
          <w:sz w:val="24"/>
          <w:szCs w:val="24"/>
          <w:u w:val="single"/>
        </w:rPr>
        <w:t xml:space="preserve">Infringement notices </w:t>
      </w:r>
    </w:p>
    <w:p w14:paraId="33A16336" w14:textId="4AF1A651" w:rsidR="00F45E4F" w:rsidRPr="006777D4" w:rsidRDefault="00F45E4F"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Regulation 906A lists offences in the Regulations for which an infringement notice may be issued. The offences of</w:t>
      </w:r>
      <w:r w:rsidR="00EC1273" w:rsidRPr="006777D4">
        <w:rPr>
          <w:rFonts w:ascii="Times New Roman" w:eastAsia="Times New Roman" w:hAnsi="Times New Roman"/>
          <w:sz w:val="24"/>
          <w:szCs w:val="24"/>
        </w:rPr>
        <w:t xml:space="preserve"> extinguishing agent handling licence contravention, extinguishing agent trading authorisation contravention, halon special permit contravention, and special circumstances exemption contravention</w:t>
      </w:r>
      <w:r w:rsidRPr="006777D4">
        <w:rPr>
          <w:rFonts w:ascii="Times New Roman" w:eastAsia="Times New Roman" w:hAnsi="Times New Roman"/>
          <w:sz w:val="24"/>
          <w:szCs w:val="24"/>
        </w:rPr>
        <w:t>, created by the Amendment Regulations, have been inc</w:t>
      </w:r>
      <w:r w:rsidR="006122E9" w:rsidRPr="006777D4">
        <w:rPr>
          <w:rFonts w:ascii="Times New Roman" w:eastAsia="Times New Roman" w:hAnsi="Times New Roman"/>
          <w:sz w:val="24"/>
          <w:szCs w:val="24"/>
        </w:rPr>
        <w:t>luded in the list at regulation </w:t>
      </w:r>
      <w:r w:rsidRPr="006777D4">
        <w:rPr>
          <w:rFonts w:ascii="Times New Roman" w:eastAsia="Times New Roman" w:hAnsi="Times New Roman"/>
          <w:sz w:val="24"/>
          <w:szCs w:val="24"/>
        </w:rPr>
        <w:t xml:space="preserve">906A. These provisions will enable an appointed inspector to issue an infringement notice under Part 8 of the Regulations where the inspector believes, on reasonable grounds, that </w:t>
      </w:r>
      <w:r w:rsidR="00732919" w:rsidRPr="006777D4">
        <w:rPr>
          <w:rFonts w:ascii="Times New Roman" w:eastAsia="Times New Roman" w:hAnsi="Times New Roman"/>
          <w:sz w:val="24"/>
          <w:szCs w:val="24"/>
        </w:rPr>
        <w:t xml:space="preserve">any of these </w:t>
      </w:r>
      <w:r w:rsidRPr="006777D4">
        <w:rPr>
          <w:rFonts w:ascii="Times New Roman" w:eastAsia="Times New Roman" w:hAnsi="Times New Roman"/>
          <w:sz w:val="24"/>
          <w:szCs w:val="24"/>
        </w:rPr>
        <w:t>offence</w:t>
      </w:r>
      <w:r w:rsidR="00732919" w:rsidRPr="006777D4">
        <w:rPr>
          <w:rFonts w:ascii="Times New Roman" w:eastAsia="Times New Roman" w:hAnsi="Times New Roman"/>
          <w:sz w:val="24"/>
          <w:szCs w:val="24"/>
        </w:rPr>
        <w:t>s</w:t>
      </w:r>
      <w:r w:rsidRPr="006777D4">
        <w:rPr>
          <w:rFonts w:ascii="Times New Roman" w:eastAsia="Times New Roman" w:hAnsi="Times New Roman"/>
          <w:sz w:val="24"/>
          <w:szCs w:val="24"/>
        </w:rPr>
        <w:t xml:space="preserve"> ha</w:t>
      </w:r>
      <w:r w:rsidR="00732919" w:rsidRPr="006777D4">
        <w:rPr>
          <w:rFonts w:ascii="Times New Roman" w:eastAsia="Times New Roman" w:hAnsi="Times New Roman"/>
          <w:sz w:val="24"/>
          <w:szCs w:val="24"/>
        </w:rPr>
        <w:t>ve</w:t>
      </w:r>
      <w:r w:rsidRPr="006777D4">
        <w:rPr>
          <w:rFonts w:ascii="Times New Roman" w:eastAsia="Times New Roman" w:hAnsi="Times New Roman"/>
          <w:sz w:val="24"/>
          <w:szCs w:val="24"/>
        </w:rPr>
        <w:t xml:space="preserve"> been contravened.</w:t>
      </w:r>
    </w:p>
    <w:p w14:paraId="5167D74C" w14:textId="77777777" w:rsidR="00F45E4F" w:rsidRPr="006777D4" w:rsidRDefault="00F45E4F" w:rsidP="00CB125D">
      <w:pPr>
        <w:shd w:val="clear" w:color="auto" w:fill="FFFFFF"/>
        <w:spacing w:after="240" w:line="276" w:lineRule="auto"/>
        <w:rPr>
          <w:rFonts w:ascii="Times New Roman" w:eastAsia="Times New Roman" w:hAnsi="Times New Roman"/>
          <w:b/>
          <w:bCs/>
          <w:sz w:val="24"/>
          <w:szCs w:val="24"/>
        </w:rPr>
      </w:pPr>
      <w:r w:rsidRPr="006777D4">
        <w:rPr>
          <w:rFonts w:ascii="Times New Roman" w:eastAsia="Times New Roman" w:hAnsi="Times New Roman"/>
          <w:sz w:val="24"/>
          <w:szCs w:val="24"/>
        </w:rPr>
        <w:t>An infringement notice issued under Part 8 of the Regulations is a notice of a pecuniary penalty imposed on the person. It sets out the particulars of an alleged contravention the offence. An infringement notice gives the person to whom the notice is issued the option of paying the penalty set out in the notice, or electing to have the matter dealt by a court. If the person does not pay the amount in the notice, they may be prosecuted for the alleged contravention. This engages the right to a fair and public hearing and the other criminal process rights and minimum guarantees in Article 14 of the ICCPR. As the person may elect to have the matter heard by a court, rather than pay the penalty, the rights to a fair and public hearing are not limited. Therefore, the minimum guarantees in criminal proceedings or other process rights provided for by Article 14 of the ICCPR are not limited.</w:t>
      </w:r>
    </w:p>
    <w:p w14:paraId="17BB5FCB" w14:textId="77777777" w:rsidR="00F45E4F" w:rsidRPr="006777D4" w:rsidRDefault="00F45E4F" w:rsidP="00CB125D">
      <w:pPr>
        <w:shd w:val="clear" w:color="auto" w:fill="FFFFFF"/>
        <w:spacing w:after="240" w:line="276" w:lineRule="auto"/>
        <w:rPr>
          <w:rFonts w:eastAsia="Times New Roman" w:cs="Arial"/>
          <w:sz w:val="24"/>
          <w:szCs w:val="24"/>
        </w:rPr>
      </w:pPr>
      <w:r w:rsidRPr="006777D4">
        <w:rPr>
          <w:rFonts w:ascii="Times New Roman" w:eastAsia="Times New Roman" w:hAnsi="Times New Roman"/>
          <w:b/>
          <w:bCs/>
          <w:sz w:val="24"/>
          <w:szCs w:val="24"/>
        </w:rPr>
        <w:t>Right to the presumption of innocence</w:t>
      </w:r>
    </w:p>
    <w:p w14:paraId="0A56B8C7" w14:textId="77777777" w:rsidR="00F45E4F" w:rsidRPr="006777D4" w:rsidRDefault="00F45E4F"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Article 14(2) of the ICCPR protects the right to be presumed innocent until proven guilty according to law.</w:t>
      </w:r>
    </w:p>
    <w:p w14:paraId="1590A38F" w14:textId="77777777" w:rsidR="00CB125D" w:rsidRPr="006777D4" w:rsidRDefault="00CB125D">
      <w:pPr>
        <w:spacing w:after="200" w:line="276" w:lineRule="auto"/>
        <w:rPr>
          <w:rFonts w:ascii="Times New Roman" w:eastAsia="Times New Roman" w:hAnsi="Times New Roman"/>
          <w:sz w:val="24"/>
          <w:szCs w:val="24"/>
          <w:u w:val="single"/>
        </w:rPr>
      </w:pPr>
      <w:r w:rsidRPr="006777D4">
        <w:rPr>
          <w:rFonts w:ascii="Times New Roman" w:eastAsia="Times New Roman" w:hAnsi="Times New Roman"/>
          <w:sz w:val="24"/>
          <w:szCs w:val="24"/>
          <w:u w:val="single"/>
        </w:rPr>
        <w:br w:type="page"/>
      </w:r>
    </w:p>
    <w:p w14:paraId="3BFB6F74" w14:textId="06736FB2" w:rsidR="00F45E4F" w:rsidRPr="006777D4" w:rsidRDefault="00F45E4F" w:rsidP="00CB125D">
      <w:pPr>
        <w:shd w:val="clear" w:color="auto" w:fill="FFFFFF"/>
        <w:spacing w:after="240" w:line="276" w:lineRule="auto"/>
        <w:rPr>
          <w:rFonts w:ascii="Times New Roman" w:eastAsia="Times New Roman" w:hAnsi="Times New Roman"/>
          <w:sz w:val="24"/>
          <w:szCs w:val="24"/>
          <w:u w:val="single"/>
        </w:rPr>
      </w:pPr>
      <w:r w:rsidRPr="006777D4">
        <w:rPr>
          <w:rFonts w:ascii="Times New Roman" w:eastAsia="Times New Roman" w:hAnsi="Times New Roman"/>
          <w:sz w:val="24"/>
          <w:szCs w:val="24"/>
          <w:u w:val="single"/>
        </w:rPr>
        <w:t>Strict liability </w:t>
      </w:r>
    </w:p>
    <w:p w14:paraId="37EF81B8" w14:textId="44F35F7E" w:rsidR="00F45E4F" w:rsidRPr="006777D4" w:rsidRDefault="00F45E4F"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Strict liability offences engage and limit the presumption of innocence as they allow for the imposition of criminal liability without the need to prove fault. However, the defence of mistake of fact is still available to the defendant. This ensures that a person cannot be held liable if he or she had an honest and reasonable belief that they were complying with relevant obligations.</w:t>
      </w:r>
    </w:p>
    <w:p w14:paraId="7A503BBE" w14:textId="410BA369" w:rsidR="00F45E4F" w:rsidRPr="006777D4" w:rsidRDefault="00F45E4F"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The Amendment Regulations applies strict liability to a number of new offence provisions</w:t>
      </w:r>
      <w:r w:rsidR="00732919" w:rsidRPr="006777D4">
        <w:rPr>
          <w:rFonts w:ascii="Times New Roman" w:eastAsia="Times New Roman" w:hAnsi="Times New Roman"/>
          <w:sz w:val="24"/>
          <w:szCs w:val="24"/>
        </w:rPr>
        <w:t xml:space="preserve">, </w:t>
      </w:r>
      <w:r w:rsidR="00813029" w:rsidRPr="006777D4">
        <w:rPr>
          <w:rFonts w:ascii="Times New Roman" w:eastAsia="Times New Roman" w:hAnsi="Times New Roman"/>
          <w:sz w:val="24"/>
          <w:szCs w:val="24"/>
        </w:rPr>
        <w:t>each with</w:t>
      </w:r>
      <w:r w:rsidR="00732919" w:rsidRPr="006777D4">
        <w:rPr>
          <w:rFonts w:ascii="Times New Roman" w:eastAsia="Times New Roman" w:hAnsi="Times New Roman"/>
          <w:sz w:val="24"/>
          <w:szCs w:val="24"/>
        </w:rPr>
        <w:t xml:space="preserve"> a maximum penalty of 10 penalty units</w:t>
      </w:r>
      <w:r w:rsidRPr="006777D4">
        <w:rPr>
          <w:rFonts w:ascii="Times New Roman" w:eastAsia="Times New Roman" w:hAnsi="Times New Roman"/>
          <w:sz w:val="24"/>
          <w:szCs w:val="24"/>
        </w:rPr>
        <w:t>:</w:t>
      </w:r>
    </w:p>
    <w:p w14:paraId="7310E84C" w14:textId="011ABE4A" w:rsidR="00F45E4F" w:rsidRPr="006777D4" w:rsidRDefault="00F45E4F" w:rsidP="00CB125D">
      <w:pPr>
        <w:pStyle w:val="ListParagraph"/>
        <w:numPr>
          <w:ilvl w:val="0"/>
          <w:numId w:val="13"/>
        </w:num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 xml:space="preserve">Regulation </w:t>
      </w:r>
      <w:r w:rsidR="00560AC4" w:rsidRPr="006777D4">
        <w:rPr>
          <w:rFonts w:ascii="Times New Roman" w:eastAsia="Times New Roman" w:hAnsi="Times New Roman"/>
          <w:sz w:val="24"/>
          <w:szCs w:val="24"/>
        </w:rPr>
        <w:t>327 (Offence—contravention of licence condition).</w:t>
      </w:r>
      <w:r w:rsidR="00560AC4" w:rsidRPr="006777D4">
        <w:t xml:space="preserve"> </w:t>
      </w:r>
      <w:r w:rsidRPr="006777D4">
        <w:rPr>
          <w:rFonts w:ascii="Times New Roman" w:eastAsia="Times New Roman" w:hAnsi="Times New Roman"/>
          <w:sz w:val="24"/>
          <w:szCs w:val="24"/>
        </w:rPr>
        <w:t xml:space="preserve">An offence is committed if a person </w:t>
      </w:r>
      <w:r w:rsidR="00560AC4" w:rsidRPr="006777D4">
        <w:rPr>
          <w:rFonts w:ascii="Times New Roman" w:eastAsia="Times New Roman" w:hAnsi="Times New Roman"/>
          <w:sz w:val="24"/>
          <w:szCs w:val="24"/>
        </w:rPr>
        <w:t xml:space="preserve">contravenes a condition of their extinguishing agent handling licence. </w:t>
      </w:r>
      <w:r w:rsidRPr="006777D4">
        <w:rPr>
          <w:rFonts w:ascii="Times New Roman" w:eastAsia="Times New Roman" w:hAnsi="Times New Roman"/>
          <w:sz w:val="24"/>
          <w:szCs w:val="24"/>
        </w:rPr>
        <w:t xml:space="preserve"> </w:t>
      </w:r>
    </w:p>
    <w:p w14:paraId="240A05A3" w14:textId="7A02C39E" w:rsidR="00560AC4" w:rsidRPr="006777D4" w:rsidRDefault="00560AC4" w:rsidP="00CB125D">
      <w:pPr>
        <w:pStyle w:val="ListParagraph"/>
        <w:numPr>
          <w:ilvl w:val="0"/>
          <w:numId w:val="13"/>
        </w:num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 xml:space="preserve">Regulation 333 (Offence—contravention of condition of authorisation). An offence is committed if a person contravenes a condition of their extinguishing agent trading authorisation. </w:t>
      </w:r>
    </w:p>
    <w:p w14:paraId="471C1EDC" w14:textId="57178114" w:rsidR="00560AC4" w:rsidRPr="006777D4" w:rsidRDefault="00560AC4" w:rsidP="00CB125D">
      <w:pPr>
        <w:pStyle w:val="ListParagraph"/>
        <w:numPr>
          <w:ilvl w:val="0"/>
          <w:numId w:val="13"/>
        </w:num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Regulation 3</w:t>
      </w:r>
      <w:r w:rsidR="003116C8" w:rsidRPr="006777D4">
        <w:rPr>
          <w:rFonts w:ascii="Times New Roman" w:eastAsia="Times New Roman" w:hAnsi="Times New Roman"/>
          <w:sz w:val="24"/>
          <w:szCs w:val="24"/>
        </w:rPr>
        <w:t>41</w:t>
      </w:r>
      <w:r w:rsidRPr="006777D4">
        <w:rPr>
          <w:rFonts w:ascii="Times New Roman" w:eastAsia="Times New Roman" w:hAnsi="Times New Roman"/>
          <w:sz w:val="24"/>
          <w:szCs w:val="24"/>
        </w:rPr>
        <w:t xml:space="preserve"> (</w:t>
      </w:r>
      <w:r w:rsidR="003116C8" w:rsidRPr="006777D4">
        <w:rPr>
          <w:rFonts w:ascii="Times New Roman" w:eastAsia="Times New Roman" w:hAnsi="Times New Roman"/>
          <w:sz w:val="24"/>
          <w:szCs w:val="24"/>
        </w:rPr>
        <w:t>Halon special permit</w:t>
      </w:r>
      <w:r w:rsidRPr="006777D4">
        <w:rPr>
          <w:rFonts w:ascii="Times New Roman" w:eastAsia="Times New Roman" w:hAnsi="Times New Roman"/>
          <w:sz w:val="24"/>
          <w:szCs w:val="24"/>
        </w:rPr>
        <w:t xml:space="preserve">). An offence is committed if a person contravenes a condition of their </w:t>
      </w:r>
      <w:r w:rsidR="003116C8" w:rsidRPr="006777D4">
        <w:rPr>
          <w:rFonts w:ascii="Times New Roman" w:eastAsia="Times New Roman" w:hAnsi="Times New Roman"/>
          <w:sz w:val="24"/>
          <w:szCs w:val="24"/>
        </w:rPr>
        <w:t>halon special permit</w:t>
      </w:r>
      <w:r w:rsidRPr="006777D4">
        <w:rPr>
          <w:rFonts w:ascii="Times New Roman" w:eastAsia="Times New Roman" w:hAnsi="Times New Roman"/>
          <w:sz w:val="24"/>
          <w:szCs w:val="24"/>
        </w:rPr>
        <w:t xml:space="preserve">. </w:t>
      </w:r>
    </w:p>
    <w:p w14:paraId="0F552092" w14:textId="3BBFCB3C" w:rsidR="003116C8" w:rsidRPr="006777D4" w:rsidRDefault="003116C8" w:rsidP="00CB125D">
      <w:pPr>
        <w:pStyle w:val="ListParagraph"/>
        <w:numPr>
          <w:ilvl w:val="0"/>
          <w:numId w:val="13"/>
        </w:num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 xml:space="preserve">Regulation 342 (Special circumstances exemption). An offence is committed if a person contravenes a condition of their special circumstances exemption. </w:t>
      </w:r>
    </w:p>
    <w:p w14:paraId="7D1A1E60" w14:textId="3019E132" w:rsidR="00F45E4F" w:rsidRPr="006777D4" w:rsidRDefault="00F45E4F" w:rsidP="00CB125D">
      <w:pPr>
        <w:pStyle w:val="ListParagraph"/>
        <w:shd w:val="clear" w:color="auto" w:fill="FFFFFF"/>
        <w:spacing w:line="276" w:lineRule="auto"/>
        <w:rPr>
          <w:rFonts w:ascii="Times New Roman" w:eastAsia="Times New Roman" w:hAnsi="Times New Roman"/>
          <w:sz w:val="24"/>
          <w:szCs w:val="24"/>
        </w:rPr>
      </w:pPr>
    </w:p>
    <w:p w14:paraId="6E0C44CE" w14:textId="4A1A6C8B" w:rsidR="00F45E4F" w:rsidRPr="006777D4" w:rsidRDefault="00F45E4F"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Application of strict liability to these offences has been set with consideration given to the guidelines regarding the circumstances in which strict liability is appropriate as set out in </w:t>
      </w:r>
      <w:r w:rsidR="00A55A0E" w:rsidRPr="006777D4">
        <w:rPr>
          <w:rFonts w:ascii="Times New Roman" w:hAnsi="Times New Roman"/>
          <w:i/>
          <w:iCs/>
          <w:sz w:val="24"/>
          <w:szCs w:val="24"/>
        </w:rPr>
        <w:t>A Guide to Framing Commonwealth Offences, Infringement Notices and Enforcement Powers</w:t>
      </w:r>
      <w:r w:rsidRPr="006777D4">
        <w:rPr>
          <w:rFonts w:ascii="Times New Roman" w:eastAsia="Times New Roman" w:hAnsi="Times New Roman"/>
          <w:sz w:val="24"/>
          <w:szCs w:val="24"/>
        </w:rPr>
        <w:t xml:space="preserve">. The penalties for the strict liability offences do not include </w:t>
      </w:r>
      <w:r w:rsidR="000C1985" w:rsidRPr="006777D4">
        <w:rPr>
          <w:rFonts w:ascii="Times New Roman" w:eastAsia="Times New Roman" w:hAnsi="Times New Roman"/>
          <w:sz w:val="24"/>
          <w:szCs w:val="24"/>
        </w:rPr>
        <w:t>imprisonment and do not exceed 5</w:t>
      </w:r>
      <w:r w:rsidRPr="006777D4">
        <w:rPr>
          <w:rFonts w:ascii="Times New Roman" w:eastAsia="Times New Roman" w:hAnsi="Times New Roman"/>
          <w:sz w:val="24"/>
          <w:szCs w:val="24"/>
        </w:rPr>
        <w:t xml:space="preserve">0 penalty units for an individual. </w:t>
      </w:r>
    </w:p>
    <w:p w14:paraId="67B87D75" w14:textId="77777777" w:rsidR="00F45E4F" w:rsidRPr="006777D4" w:rsidRDefault="00F45E4F"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 xml:space="preserve">Strict liability offences are used throughout the Act and Regulations and are necessary to ensure the integrity of the established regulatory regime to prevent environmental harm and to ensure compliance with Australia’s obligations under the Montreal Protocol. </w:t>
      </w:r>
    </w:p>
    <w:p w14:paraId="2BB1DDA1" w14:textId="77777777" w:rsidR="00F45E4F" w:rsidRPr="006777D4" w:rsidRDefault="00F45E4F" w:rsidP="00CB125D">
      <w:pPr>
        <w:shd w:val="clear" w:color="auto" w:fill="FFFFFF"/>
        <w:spacing w:after="240" w:line="276" w:lineRule="auto"/>
        <w:rPr>
          <w:rFonts w:eastAsia="Times New Roman" w:cs="Arial"/>
          <w:sz w:val="24"/>
          <w:szCs w:val="24"/>
        </w:rPr>
      </w:pPr>
      <w:r w:rsidRPr="006777D4">
        <w:rPr>
          <w:rFonts w:ascii="Times New Roman" w:eastAsia="Times New Roman" w:hAnsi="Times New Roman"/>
          <w:b/>
          <w:bCs/>
          <w:sz w:val="24"/>
          <w:szCs w:val="24"/>
        </w:rPr>
        <w:t>Conclusion</w:t>
      </w:r>
    </w:p>
    <w:p w14:paraId="61902115" w14:textId="77777777" w:rsidR="00F45E4F" w:rsidRPr="006777D4" w:rsidRDefault="00F45E4F" w:rsidP="00CB125D">
      <w:pPr>
        <w:shd w:val="clear" w:color="auto" w:fill="FFFFFF"/>
        <w:spacing w:after="240" w:line="276" w:lineRule="auto"/>
        <w:rPr>
          <w:rFonts w:ascii="Times New Roman" w:eastAsia="Times New Roman" w:hAnsi="Times New Roman"/>
          <w:sz w:val="24"/>
          <w:szCs w:val="24"/>
        </w:rPr>
      </w:pPr>
      <w:r w:rsidRPr="006777D4">
        <w:rPr>
          <w:rFonts w:ascii="Times New Roman" w:eastAsia="Times New Roman" w:hAnsi="Times New Roman"/>
          <w:sz w:val="24"/>
          <w:szCs w:val="24"/>
        </w:rPr>
        <w:t>The Amendment Regulations is compatible with human rights because it promotes the right to an effective remedy under Article 2(3) of the ICCPR. To the extent that it engages and limits other human rights (including Article 14(1) and 14(2)), those limitations are </w:t>
      </w:r>
      <w:r w:rsidRPr="006777D4">
        <w:rPr>
          <w:rFonts w:ascii="Times New Roman" w:eastAsia="Times New Roman" w:hAnsi="Times New Roman"/>
          <w:sz w:val="24"/>
          <w:szCs w:val="24"/>
          <w:lang w:val="en-GB"/>
        </w:rPr>
        <w:t>reasonable, necessary and </w:t>
      </w:r>
      <w:r w:rsidRPr="006777D4">
        <w:rPr>
          <w:rFonts w:ascii="Times New Roman" w:eastAsia="Times New Roman" w:hAnsi="Times New Roman"/>
          <w:sz w:val="24"/>
          <w:szCs w:val="24"/>
        </w:rPr>
        <w:t xml:space="preserve">proportionate to achieve the legitimate aims and the ongoing efficient and effective operation of the Regulations. </w:t>
      </w:r>
    </w:p>
    <w:p w14:paraId="71521A49" w14:textId="14F35353" w:rsidR="00F45E4F" w:rsidRPr="006777D4" w:rsidRDefault="00F45E4F" w:rsidP="00F45E4F">
      <w:pPr>
        <w:shd w:val="clear" w:color="auto" w:fill="FFFFFF"/>
        <w:spacing w:after="240" w:line="276" w:lineRule="auto"/>
        <w:jc w:val="center"/>
        <w:rPr>
          <w:rFonts w:ascii="Times New Roman" w:eastAsia="Times New Roman" w:hAnsi="Times New Roman"/>
          <w:b/>
          <w:sz w:val="24"/>
          <w:szCs w:val="24"/>
        </w:rPr>
      </w:pPr>
      <w:r w:rsidRPr="006777D4">
        <w:rPr>
          <w:rFonts w:ascii="Times New Roman" w:eastAsia="Times New Roman" w:hAnsi="Times New Roman"/>
          <w:b/>
          <w:sz w:val="24"/>
          <w:szCs w:val="24"/>
        </w:rPr>
        <w:t xml:space="preserve">The Hon </w:t>
      </w:r>
      <w:r w:rsidR="00F23EC8" w:rsidRPr="006777D4">
        <w:rPr>
          <w:rFonts w:ascii="Times New Roman" w:eastAsia="Times New Roman" w:hAnsi="Times New Roman"/>
          <w:b/>
          <w:sz w:val="24"/>
          <w:szCs w:val="24"/>
        </w:rPr>
        <w:t>Trevor Evans</w:t>
      </w:r>
      <w:r w:rsidRPr="006777D4">
        <w:rPr>
          <w:rFonts w:ascii="Times New Roman" w:eastAsia="Times New Roman" w:hAnsi="Times New Roman"/>
          <w:b/>
          <w:sz w:val="24"/>
          <w:szCs w:val="24"/>
        </w:rPr>
        <w:t xml:space="preserve"> MP</w:t>
      </w:r>
    </w:p>
    <w:p w14:paraId="75C765CA" w14:textId="2FE5046E" w:rsidR="00F45E4F" w:rsidRPr="006777D4" w:rsidRDefault="00F23EC8" w:rsidP="008C08B2">
      <w:pPr>
        <w:shd w:val="clear" w:color="auto" w:fill="FFFFFF"/>
        <w:spacing w:line="276" w:lineRule="auto"/>
        <w:jc w:val="center"/>
        <w:rPr>
          <w:rFonts w:ascii="Times New Roman" w:eastAsia="Times New Roman" w:hAnsi="Times New Roman"/>
          <w:b/>
          <w:sz w:val="24"/>
          <w:szCs w:val="24"/>
        </w:rPr>
      </w:pPr>
      <w:r w:rsidRPr="006777D4">
        <w:rPr>
          <w:rFonts w:ascii="Times New Roman" w:eastAsia="Times New Roman" w:hAnsi="Times New Roman"/>
          <w:b/>
          <w:sz w:val="24"/>
          <w:szCs w:val="24"/>
        </w:rPr>
        <w:t xml:space="preserve">Assistant </w:t>
      </w:r>
      <w:r w:rsidR="00F45E4F" w:rsidRPr="006777D4">
        <w:rPr>
          <w:rFonts w:ascii="Times New Roman" w:eastAsia="Times New Roman" w:hAnsi="Times New Roman"/>
          <w:b/>
          <w:sz w:val="24"/>
          <w:szCs w:val="24"/>
        </w:rPr>
        <w:t xml:space="preserve">Minister for </w:t>
      </w:r>
      <w:r w:rsidRPr="006777D4">
        <w:rPr>
          <w:rFonts w:ascii="Times New Roman" w:eastAsia="Times New Roman" w:hAnsi="Times New Roman"/>
          <w:b/>
          <w:sz w:val="24"/>
          <w:szCs w:val="24"/>
        </w:rPr>
        <w:t xml:space="preserve">Waste Reduction and </w:t>
      </w:r>
      <w:r w:rsidR="00F45E4F" w:rsidRPr="006777D4">
        <w:rPr>
          <w:rFonts w:ascii="Times New Roman" w:eastAsia="Times New Roman" w:hAnsi="Times New Roman"/>
          <w:b/>
          <w:sz w:val="24"/>
          <w:szCs w:val="24"/>
        </w:rPr>
        <w:t>Environment</w:t>
      </w:r>
      <w:r w:rsidRPr="006777D4">
        <w:rPr>
          <w:rFonts w:ascii="Times New Roman" w:eastAsia="Times New Roman" w:hAnsi="Times New Roman"/>
          <w:b/>
          <w:sz w:val="24"/>
          <w:szCs w:val="24"/>
        </w:rPr>
        <w:t>al Management</w:t>
      </w:r>
    </w:p>
    <w:p w14:paraId="7FE7C168" w14:textId="1B0ED042" w:rsidR="008C08B2" w:rsidRPr="00603A42" w:rsidRDefault="008C08B2" w:rsidP="00F45E4F">
      <w:pPr>
        <w:shd w:val="clear" w:color="auto" w:fill="FFFFFF"/>
        <w:spacing w:after="240" w:line="276" w:lineRule="auto"/>
        <w:jc w:val="center"/>
        <w:rPr>
          <w:rFonts w:ascii="Times New Roman" w:eastAsia="Times New Roman" w:hAnsi="Times New Roman"/>
          <w:b/>
          <w:sz w:val="24"/>
          <w:szCs w:val="24"/>
        </w:rPr>
      </w:pPr>
      <w:r w:rsidRPr="006777D4">
        <w:rPr>
          <w:rFonts w:ascii="Times New Roman" w:eastAsia="Times New Roman" w:hAnsi="Times New Roman"/>
          <w:b/>
          <w:sz w:val="24"/>
          <w:szCs w:val="24"/>
        </w:rPr>
        <w:t>Parliamentary Secretary to the Minister for the Environment</w:t>
      </w:r>
    </w:p>
    <w:p w14:paraId="3241BDAD" w14:textId="32077DE5" w:rsidR="00B6118E" w:rsidRPr="00B6118E" w:rsidRDefault="00B6118E" w:rsidP="006970A2">
      <w:pPr>
        <w:spacing w:after="240" w:line="276" w:lineRule="auto"/>
        <w:jc w:val="right"/>
        <w:rPr>
          <w:rFonts w:ascii="Times New Roman" w:hAnsi="Times New Roman"/>
          <w:i/>
          <w:sz w:val="24"/>
          <w:szCs w:val="24"/>
        </w:rPr>
      </w:pPr>
    </w:p>
    <w:sectPr w:rsidR="00B6118E" w:rsidRPr="00B6118E" w:rsidSect="00994F6B">
      <w:pgSz w:w="11906" w:h="16838" w:code="9"/>
      <w:pgMar w:top="1134"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77E44" w14:textId="77777777" w:rsidR="00BB6044" w:rsidRDefault="00BB6044" w:rsidP="0069229F">
      <w:r>
        <w:separator/>
      </w:r>
    </w:p>
  </w:endnote>
  <w:endnote w:type="continuationSeparator" w:id="0">
    <w:p w14:paraId="6A7B3B48" w14:textId="77777777" w:rsidR="00BB6044" w:rsidRDefault="00BB6044" w:rsidP="0069229F">
      <w:r>
        <w:continuationSeparator/>
      </w:r>
    </w:p>
  </w:endnote>
  <w:endnote w:type="continuationNotice" w:id="1">
    <w:p w14:paraId="13FFFC20" w14:textId="77777777" w:rsidR="00BB6044" w:rsidRDefault="00BB6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gency FB">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21852995"/>
      <w:docPartObj>
        <w:docPartGallery w:val="Page Numbers (Bottom of Page)"/>
        <w:docPartUnique/>
      </w:docPartObj>
    </w:sdtPr>
    <w:sdtEndPr>
      <w:rPr>
        <w:noProof/>
      </w:rPr>
    </w:sdtEndPr>
    <w:sdtContent>
      <w:p w14:paraId="4E6EBA06" w14:textId="44F7B2C7" w:rsidR="00BB6044" w:rsidRPr="00142F91" w:rsidRDefault="00BB6044" w:rsidP="001B6076">
        <w:pPr>
          <w:pStyle w:val="Footer"/>
          <w:jc w:val="center"/>
          <w:rPr>
            <w:rFonts w:ascii="Times New Roman" w:hAnsi="Times New Roman"/>
          </w:rPr>
        </w:pPr>
        <w:r w:rsidRPr="00142F91">
          <w:rPr>
            <w:rFonts w:ascii="Times New Roman" w:hAnsi="Times New Roman"/>
          </w:rPr>
          <w:fldChar w:fldCharType="begin"/>
        </w:r>
        <w:r w:rsidRPr="00142F91">
          <w:rPr>
            <w:rFonts w:ascii="Times New Roman" w:hAnsi="Times New Roman"/>
          </w:rPr>
          <w:instrText xml:space="preserve"> PAGE   \* MERGEFORMAT </w:instrText>
        </w:r>
        <w:r w:rsidRPr="00142F91">
          <w:rPr>
            <w:rFonts w:ascii="Times New Roman" w:hAnsi="Times New Roman"/>
          </w:rPr>
          <w:fldChar w:fldCharType="separate"/>
        </w:r>
        <w:r w:rsidR="006777D4">
          <w:rPr>
            <w:rFonts w:ascii="Times New Roman" w:hAnsi="Times New Roman"/>
            <w:noProof/>
          </w:rPr>
          <w:t>1</w:t>
        </w:r>
        <w:r w:rsidRPr="00142F91">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737AB" w14:textId="77777777" w:rsidR="00BB6044" w:rsidRDefault="00BB6044" w:rsidP="0069229F">
      <w:r>
        <w:separator/>
      </w:r>
    </w:p>
  </w:footnote>
  <w:footnote w:type="continuationSeparator" w:id="0">
    <w:p w14:paraId="20285295" w14:textId="77777777" w:rsidR="00BB6044" w:rsidRDefault="00BB6044" w:rsidP="0069229F">
      <w:r>
        <w:continuationSeparator/>
      </w:r>
    </w:p>
  </w:footnote>
  <w:footnote w:type="continuationNotice" w:id="1">
    <w:p w14:paraId="5C3F574C" w14:textId="77777777" w:rsidR="00BB6044" w:rsidRDefault="00BB60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6AF124F"/>
    <w:multiLevelType w:val="hybridMultilevel"/>
    <w:tmpl w:val="31200412"/>
    <w:lvl w:ilvl="0" w:tplc="BB34568E">
      <w:start w:val="1"/>
      <w:numFmt w:val="bullet"/>
      <w:lvlText w:val=""/>
      <w:lvlJc w:val="left"/>
      <w:pPr>
        <w:ind w:left="360" w:hanging="360"/>
      </w:pPr>
      <w:rPr>
        <w:rFonts w:ascii="Symbol" w:hAnsi="Symbol" w:hint="default"/>
        <w:b w:val="0"/>
        <w:strike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CB4E52"/>
    <w:multiLevelType w:val="hybridMultilevel"/>
    <w:tmpl w:val="1D6C06A4"/>
    <w:lvl w:ilvl="0" w:tplc="56BCC4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46913"/>
    <w:multiLevelType w:val="hybridMultilevel"/>
    <w:tmpl w:val="A6464298"/>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BAB7010"/>
    <w:multiLevelType w:val="hybridMultilevel"/>
    <w:tmpl w:val="B270E7A6"/>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8118EB"/>
    <w:multiLevelType w:val="hybridMultilevel"/>
    <w:tmpl w:val="9FE238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987C45B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69483198"/>
    <w:multiLevelType w:val="hybridMultilevel"/>
    <w:tmpl w:val="AB5E9EF0"/>
    <w:lvl w:ilvl="0" w:tplc="4D5AD946">
      <w:start w:val="1"/>
      <w:numFmt w:val="bullet"/>
      <w:lvlText w:val="-"/>
      <w:lvlJc w:val="left"/>
      <w:pPr>
        <w:ind w:left="720" w:hanging="360"/>
      </w:pPr>
      <w:rPr>
        <w:rFonts w:ascii="Agency FB" w:hAnsi="Agency FB"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DE4DBB"/>
    <w:multiLevelType w:val="hybridMultilevel"/>
    <w:tmpl w:val="B456B6A8"/>
    <w:lvl w:ilvl="0" w:tplc="0C090001">
      <w:start w:val="1"/>
      <w:numFmt w:val="bullet"/>
      <w:lvlText w:val=""/>
      <w:lvlJc w:val="left"/>
      <w:pPr>
        <w:ind w:left="360" w:hanging="360"/>
      </w:pPr>
      <w:rPr>
        <w:rFonts w:ascii="Symbol" w:hAnsi="Symbol" w:hint="default"/>
        <w:b w:val="0"/>
        <w:strike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8CD10EB"/>
    <w:multiLevelType w:val="hybridMultilevel"/>
    <w:tmpl w:val="91B8BD54"/>
    <w:lvl w:ilvl="0" w:tplc="7666B19A">
      <w:start w:val="1"/>
      <w:numFmt w:val="bullet"/>
      <w:lvlText w:val=""/>
      <w:lvlJc w:val="left"/>
      <w:pPr>
        <w:ind w:left="720" w:hanging="360"/>
      </w:pPr>
      <w:rPr>
        <w:rFonts w:ascii="Symbol" w:hAnsi="Symbol" w:hint="default"/>
        <w:b w:val="0"/>
        <w:strike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5E66A0"/>
    <w:multiLevelType w:val="hybridMultilevel"/>
    <w:tmpl w:val="B588A6DA"/>
    <w:lvl w:ilvl="0" w:tplc="7024A5D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5"/>
  </w:num>
  <w:num w:numId="5">
    <w:abstractNumId w:val="10"/>
  </w:num>
  <w:num w:numId="6">
    <w:abstractNumId w:val="2"/>
  </w:num>
  <w:num w:numId="7">
    <w:abstractNumId w:val="7"/>
  </w:num>
  <w:num w:numId="8">
    <w:abstractNumId w:val="1"/>
  </w:num>
  <w:num w:numId="9">
    <w:abstractNumId w:val="12"/>
  </w:num>
  <w:num w:numId="10">
    <w:abstractNumId w:val="3"/>
  </w:num>
  <w:num w:numId="11">
    <w:abstractNumId w:val="6"/>
  </w:num>
  <w:num w:numId="12">
    <w:abstractNumId w:val="13"/>
  </w:num>
  <w:num w:numId="13">
    <w:abstractNumId w:val="9"/>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EA"/>
    <w:rsid w:val="00001F71"/>
    <w:rsid w:val="00003681"/>
    <w:rsid w:val="000050E0"/>
    <w:rsid w:val="00007AAD"/>
    <w:rsid w:val="0001187C"/>
    <w:rsid w:val="00012C6C"/>
    <w:rsid w:val="00013144"/>
    <w:rsid w:val="0001357D"/>
    <w:rsid w:val="000166EB"/>
    <w:rsid w:val="00016B2D"/>
    <w:rsid w:val="000179F8"/>
    <w:rsid w:val="00017F45"/>
    <w:rsid w:val="000202E4"/>
    <w:rsid w:val="0002070C"/>
    <w:rsid w:val="00021EEA"/>
    <w:rsid w:val="0002752C"/>
    <w:rsid w:val="000279AF"/>
    <w:rsid w:val="00030CC3"/>
    <w:rsid w:val="00030E0A"/>
    <w:rsid w:val="00032429"/>
    <w:rsid w:val="0003342C"/>
    <w:rsid w:val="00033BC9"/>
    <w:rsid w:val="00034F9B"/>
    <w:rsid w:val="0003565A"/>
    <w:rsid w:val="00037311"/>
    <w:rsid w:val="00037CD6"/>
    <w:rsid w:val="00040068"/>
    <w:rsid w:val="000408AF"/>
    <w:rsid w:val="000419C0"/>
    <w:rsid w:val="00042443"/>
    <w:rsid w:val="0004275D"/>
    <w:rsid w:val="00042FA8"/>
    <w:rsid w:val="00043579"/>
    <w:rsid w:val="00045822"/>
    <w:rsid w:val="00045E4D"/>
    <w:rsid w:val="000466BD"/>
    <w:rsid w:val="000476AC"/>
    <w:rsid w:val="0005355D"/>
    <w:rsid w:val="0005543F"/>
    <w:rsid w:val="00060792"/>
    <w:rsid w:val="00064A86"/>
    <w:rsid w:val="00073283"/>
    <w:rsid w:val="000735D5"/>
    <w:rsid w:val="00074915"/>
    <w:rsid w:val="000758E3"/>
    <w:rsid w:val="00076DAF"/>
    <w:rsid w:val="000776B0"/>
    <w:rsid w:val="0008206F"/>
    <w:rsid w:val="0008272B"/>
    <w:rsid w:val="00083220"/>
    <w:rsid w:val="00083260"/>
    <w:rsid w:val="0008379A"/>
    <w:rsid w:val="00084858"/>
    <w:rsid w:val="00084FB6"/>
    <w:rsid w:val="00085249"/>
    <w:rsid w:val="00085677"/>
    <w:rsid w:val="000862E2"/>
    <w:rsid w:val="0008670D"/>
    <w:rsid w:val="000878C9"/>
    <w:rsid w:val="0009002A"/>
    <w:rsid w:val="00090525"/>
    <w:rsid w:val="00092CD0"/>
    <w:rsid w:val="000935B9"/>
    <w:rsid w:val="00094077"/>
    <w:rsid w:val="000970C8"/>
    <w:rsid w:val="000A0424"/>
    <w:rsid w:val="000A057D"/>
    <w:rsid w:val="000A24E6"/>
    <w:rsid w:val="000A5F30"/>
    <w:rsid w:val="000A76B6"/>
    <w:rsid w:val="000B11D9"/>
    <w:rsid w:val="000B15D4"/>
    <w:rsid w:val="000B3FFB"/>
    <w:rsid w:val="000B4280"/>
    <w:rsid w:val="000B5588"/>
    <w:rsid w:val="000B5C9A"/>
    <w:rsid w:val="000C0616"/>
    <w:rsid w:val="000C0F4C"/>
    <w:rsid w:val="000C1985"/>
    <w:rsid w:val="000C1C3B"/>
    <w:rsid w:val="000C576E"/>
    <w:rsid w:val="000C591D"/>
    <w:rsid w:val="000D1A89"/>
    <w:rsid w:val="000D22D4"/>
    <w:rsid w:val="000D2929"/>
    <w:rsid w:val="000D2B4A"/>
    <w:rsid w:val="000D38F4"/>
    <w:rsid w:val="000D4FD4"/>
    <w:rsid w:val="000D64F6"/>
    <w:rsid w:val="000D7FA6"/>
    <w:rsid w:val="000E003E"/>
    <w:rsid w:val="000E1AB9"/>
    <w:rsid w:val="000E20D6"/>
    <w:rsid w:val="000E4087"/>
    <w:rsid w:val="000E40FA"/>
    <w:rsid w:val="000E53AB"/>
    <w:rsid w:val="000E6707"/>
    <w:rsid w:val="000F0AE7"/>
    <w:rsid w:val="000F2624"/>
    <w:rsid w:val="000F2723"/>
    <w:rsid w:val="000F47BD"/>
    <w:rsid w:val="000F59D5"/>
    <w:rsid w:val="000F6033"/>
    <w:rsid w:val="0010129D"/>
    <w:rsid w:val="00103384"/>
    <w:rsid w:val="00103BFC"/>
    <w:rsid w:val="001112DB"/>
    <w:rsid w:val="00113D53"/>
    <w:rsid w:val="00114328"/>
    <w:rsid w:val="0011492F"/>
    <w:rsid w:val="0011613F"/>
    <w:rsid w:val="00116B31"/>
    <w:rsid w:val="001217CE"/>
    <w:rsid w:val="00121F5D"/>
    <w:rsid w:val="00121F9F"/>
    <w:rsid w:val="00122048"/>
    <w:rsid w:val="0012212A"/>
    <w:rsid w:val="00122C8F"/>
    <w:rsid w:val="00123A04"/>
    <w:rsid w:val="00123DB5"/>
    <w:rsid w:val="00124FA9"/>
    <w:rsid w:val="00125EFF"/>
    <w:rsid w:val="00126227"/>
    <w:rsid w:val="001264D5"/>
    <w:rsid w:val="001310BC"/>
    <w:rsid w:val="0013176F"/>
    <w:rsid w:val="00133B69"/>
    <w:rsid w:val="00133FD1"/>
    <w:rsid w:val="00137412"/>
    <w:rsid w:val="001408B6"/>
    <w:rsid w:val="00141B0F"/>
    <w:rsid w:val="00142F91"/>
    <w:rsid w:val="00143CE2"/>
    <w:rsid w:val="00145DA7"/>
    <w:rsid w:val="00146A03"/>
    <w:rsid w:val="00155356"/>
    <w:rsid w:val="00155E46"/>
    <w:rsid w:val="00156F16"/>
    <w:rsid w:val="0015715D"/>
    <w:rsid w:val="0016196F"/>
    <w:rsid w:val="001631D7"/>
    <w:rsid w:val="00163BE0"/>
    <w:rsid w:val="00172E11"/>
    <w:rsid w:val="00173211"/>
    <w:rsid w:val="0017431B"/>
    <w:rsid w:val="00174A5F"/>
    <w:rsid w:val="00176C5A"/>
    <w:rsid w:val="0018024F"/>
    <w:rsid w:val="00186553"/>
    <w:rsid w:val="00186B88"/>
    <w:rsid w:val="00187429"/>
    <w:rsid w:val="001903C3"/>
    <w:rsid w:val="0019063E"/>
    <w:rsid w:val="00190720"/>
    <w:rsid w:val="0019092A"/>
    <w:rsid w:val="00194279"/>
    <w:rsid w:val="001951CC"/>
    <w:rsid w:val="00195BD6"/>
    <w:rsid w:val="001961EE"/>
    <w:rsid w:val="00196A26"/>
    <w:rsid w:val="00196DB4"/>
    <w:rsid w:val="00197A8C"/>
    <w:rsid w:val="001A01BC"/>
    <w:rsid w:val="001A0748"/>
    <w:rsid w:val="001A1FED"/>
    <w:rsid w:val="001A2D7B"/>
    <w:rsid w:val="001B08F6"/>
    <w:rsid w:val="001B2D6F"/>
    <w:rsid w:val="001B4C14"/>
    <w:rsid w:val="001B544A"/>
    <w:rsid w:val="001B55BB"/>
    <w:rsid w:val="001B59F0"/>
    <w:rsid w:val="001B5AA4"/>
    <w:rsid w:val="001B5CE0"/>
    <w:rsid w:val="001B6076"/>
    <w:rsid w:val="001B6169"/>
    <w:rsid w:val="001B7CB6"/>
    <w:rsid w:val="001C07AB"/>
    <w:rsid w:val="001C1090"/>
    <w:rsid w:val="001C3BDB"/>
    <w:rsid w:val="001C51C8"/>
    <w:rsid w:val="001C52DC"/>
    <w:rsid w:val="001C56A8"/>
    <w:rsid w:val="001D1ABC"/>
    <w:rsid w:val="001D1CBD"/>
    <w:rsid w:val="001D383C"/>
    <w:rsid w:val="001D7D1A"/>
    <w:rsid w:val="001D7D8D"/>
    <w:rsid w:val="001E1375"/>
    <w:rsid w:val="001E272D"/>
    <w:rsid w:val="001E2C18"/>
    <w:rsid w:val="001E33C9"/>
    <w:rsid w:val="001E3F54"/>
    <w:rsid w:val="001E5F4F"/>
    <w:rsid w:val="001F13ED"/>
    <w:rsid w:val="001F20FC"/>
    <w:rsid w:val="001F325E"/>
    <w:rsid w:val="001F5B2F"/>
    <w:rsid w:val="001F6337"/>
    <w:rsid w:val="001F6B5E"/>
    <w:rsid w:val="0020020E"/>
    <w:rsid w:val="00200A9D"/>
    <w:rsid w:val="00200D56"/>
    <w:rsid w:val="00202977"/>
    <w:rsid w:val="00203D72"/>
    <w:rsid w:val="002044D7"/>
    <w:rsid w:val="002055E0"/>
    <w:rsid w:val="0020784D"/>
    <w:rsid w:val="00210E0F"/>
    <w:rsid w:val="00211957"/>
    <w:rsid w:val="002140D0"/>
    <w:rsid w:val="00215A71"/>
    <w:rsid w:val="002163FF"/>
    <w:rsid w:val="00216597"/>
    <w:rsid w:val="0021696F"/>
    <w:rsid w:val="0021703B"/>
    <w:rsid w:val="0022049D"/>
    <w:rsid w:val="0022088E"/>
    <w:rsid w:val="002243BC"/>
    <w:rsid w:val="00224F55"/>
    <w:rsid w:val="00225875"/>
    <w:rsid w:val="002264BB"/>
    <w:rsid w:val="0022791A"/>
    <w:rsid w:val="00230CB9"/>
    <w:rsid w:val="002313D7"/>
    <w:rsid w:val="00231688"/>
    <w:rsid w:val="00231C5A"/>
    <w:rsid w:val="00231F17"/>
    <w:rsid w:val="00232AED"/>
    <w:rsid w:val="00232C50"/>
    <w:rsid w:val="002334D9"/>
    <w:rsid w:val="00234477"/>
    <w:rsid w:val="00235309"/>
    <w:rsid w:val="00235800"/>
    <w:rsid w:val="00235ED9"/>
    <w:rsid w:val="00236061"/>
    <w:rsid w:val="00237AF1"/>
    <w:rsid w:val="00242E1C"/>
    <w:rsid w:val="00243956"/>
    <w:rsid w:val="00245060"/>
    <w:rsid w:val="0024531D"/>
    <w:rsid w:val="00245DB5"/>
    <w:rsid w:val="0024676D"/>
    <w:rsid w:val="002477A5"/>
    <w:rsid w:val="0025089B"/>
    <w:rsid w:val="00252FDF"/>
    <w:rsid w:val="002545AB"/>
    <w:rsid w:val="002600FA"/>
    <w:rsid w:val="00260596"/>
    <w:rsid w:val="00262E70"/>
    <w:rsid w:val="00263963"/>
    <w:rsid w:val="00264B49"/>
    <w:rsid w:val="0026727E"/>
    <w:rsid w:val="00272091"/>
    <w:rsid w:val="002720A8"/>
    <w:rsid w:val="002729F3"/>
    <w:rsid w:val="0027398B"/>
    <w:rsid w:val="00273F8F"/>
    <w:rsid w:val="00273F9E"/>
    <w:rsid w:val="002754B1"/>
    <w:rsid w:val="00276825"/>
    <w:rsid w:val="0028184B"/>
    <w:rsid w:val="00281919"/>
    <w:rsid w:val="00281924"/>
    <w:rsid w:val="002843AA"/>
    <w:rsid w:val="0028584F"/>
    <w:rsid w:val="00290F1E"/>
    <w:rsid w:val="0029155A"/>
    <w:rsid w:val="00291D32"/>
    <w:rsid w:val="002947D1"/>
    <w:rsid w:val="002A0DD1"/>
    <w:rsid w:val="002A1E97"/>
    <w:rsid w:val="002A5152"/>
    <w:rsid w:val="002B2409"/>
    <w:rsid w:val="002B4EBE"/>
    <w:rsid w:val="002C07C1"/>
    <w:rsid w:val="002C115B"/>
    <w:rsid w:val="002C26D5"/>
    <w:rsid w:val="002C3210"/>
    <w:rsid w:val="002C3697"/>
    <w:rsid w:val="002C3F5E"/>
    <w:rsid w:val="002C57ED"/>
    <w:rsid w:val="002C60A6"/>
    <w:rsid w:val="002C635D"/>
    <w:rsid w:val="002C69AB"/>
    <w:rsid w:val="002C779F"/>
    <w:rsid w:val="002D003E"/>
    <w:rsid w:val="002D06C8"/>
    <w:rsid w:val="002D11E2"/>
    <w:rsid w:val="002D2A05"/>
    <w:rsid w:val="002D3D80"/>
    <w:rsid w:val="002D4046"/>
    <w:rsid w:val="002D4F3C"/>
    <w:rsid w:val="002D5961"/>
    <w:rsid w:val="002D63C2"/>
    <w:rsid w:val="002D7738"/>
    <w:rsid w:val="002E0745"/>
    <w:rsid w:val="002E0D5E"/>
    <w:rsid w:val="002E2DF6"/>
    <w:rsid w:val="002E415C"/>
    <w:rsid w:val="002E7865"/>
    <w:rsid w:val="002F0858"/>
    <w:rsid w:val="002F4329"/>
    <w:rsid w:val="002F5879"/>
    <w:rsid w:val="002F651F"/>
    <w:rsid w:val="002F6A75"/>
    <w:rsid w:val="00301392"/>
    <w:rsid w:val="00301581"/>
    <w:rsid w:val="00302DCA"/>
    <w:rsid w:val="00303ECD"/>
    <w:rsid w:val="003049A3"/>
    <w:rsid w:val="00305926"/>
    <w:rsid w:val="00305CEA"/>
    <w:rsid w:val="003061B5"/>
    <w:rsid w:val="00307601"/>
    <w:rsid w:val="003112E6"/>
    <w:rsid w:val="003116C8"/>
    <w:rsid w:val="00313EFE"/>
    <w:rsid w:val="0031496D"/>
    <w:rsid w:val="00315393"/>
    <w:rsid w:val="00315989"/>
    <w:rsid w:val="00316301"/>
    <w:rsid w:val="00320228"/>
    <w:rsid w:val="00321C1D"/>
    <w:rsid w:val="00325746"/>
    <w:rsid w:val="00326671"/>
    <w:rsid w:val="00326D03"/>
    <w:rsid w:val="003333C6"/>
    <w:rsid w:val="00340396"/>
    <w:rsid w:val="0034111A"/>
    <w:rsid w:val="00341775"/>
    <w:rsid w:val="00341E31"/>
    <w:rsid w:val="0034223F"/>
    <w:rsid w:val="00342748"/>
    <w:rsid w:val="0034343F"/>
    <w:rsid w:val="00343963"/>
    <w:rsid w:val="00343B01"/>
    <w:rsid w:val="00345AB9"/>
    <w:rsid w:val="003463DD"/>
    <w:rsid w:val="0034778E"/>
    <w:rsid w:val="003478FC"/>
    <w:rsid w:val="00351D3C"/>
    <w:rsid w:val="0035359C"/>
    <w:rsid w:val="00353DC1"/>
    <w:rsid w:val="00354800"/>
    <w:rsid w:val="00357E96"/>
    <w:rsid w:val="00360A59"/>
    <w:rsid w:val="00362CF0"/>
    <w:rsid w:val="00363F9A"/>
    <w:rsid w:val="00365240"/>
    <w:rsid w:val="0036551C"/>
    <w:rsid w:val="003724AD"/>
    <w:rsid w:val="00373F01"/>
    <w:rsid w:val="003753BF"/>
    <w:rsid w:val="003756FD"/>
    <w:rsid w:val="00377417"/>
    <w:rsid w:val="00377680"/>
    <w:rsid w:val="00381322"/>
    <w:rsid w:val="003824F6"/>
    <w:rsid w:val="0038290D"/>
    <w:rsid w:val="00382E3C"/>
    <w:rsid w:val="00383221"/>
    <w:rsid w:val="00386DE4"/>
    <w:rsid w:val="003902F3"/>
    <w:rsid w:val="003910AD"/>
    <w:rsid w:val="00394994"/>
    <w:rsid w:val="00395CFB"/>
    <w:rsid w:val="00396A5E"/>
    <w:rsid w:val="003A2791"/>
    <w:rsid w:val="003A2FAC"/>
    <w:rsid w:val="003A3862"/>
    <w:rsid w:val="003A451F"/>
    <w:rsid w:val="003A6A4D"/>
    <w:rsid w:val="003A7A19"/>
    <w:rsid w:val="003B0C08"/>
    <w:rsid w:val="003B29B7"/>
    <w:rsid w:val="003B2DCF"/>
    <w:rsid w:val="003B3D86"/>
    <w:rsid w:val="003B3E97"/>
    <w:rsid w:val="003B7998"/>
    <w:rsid w:val="003C1180"/>
    <w:rsid w:val="003C1B08"/>
    <w:rsid w:val="003C2AC2"/>
    <w:rsid w:val="003C3009"/>
    <w:rsid w:val="003C31DE"/>
    <w:rsid w:val="003C3B8B"/>
    <w:rsid w:val="003C64FB"/>
    <w:rsid w:val="003C77EF"/>
    <w:rsid w:val="003C7B12"/>
    <w:rsid w:val="003D0927"/>
    <w:rsid w:val="003D09F3"/>
    <w:rsid w:val="003D0AB1"/>
    <w:rsid w:val="003D168C"/>
    <w:rsid w:val="003D1CE2"/>
    <w:rsid w:val="003D1D0F"/>
    <w:rsid w:val="003D3158"/>
    <w:rsid w:val="003D5B4E"/>
    <w:rsid w:val="003D6912"/>
    <w:rsid w:val="003D6A5D"/>
    <w:rsid w:val="003D6DB6"/>
    <w:rsid w:val="003E03D2"/>
    <w:rsid w:val="003E1327"/>
    <w:rsid w:val="003E3E09"/>
    <w:rsid w:val="003E5CA1"/>
    <w:rsid w:val="003E74E4"/>
    <w:rsid w:val="003F188D"/>
    <w:rsid w:val="003F3045"/>
    <w:rsid w:val="003F4CD6"/>
    <w:rsid w:val="003F546D"/>
    <w:rsid w:val="00402467"/>
    <w:rsid w:val="004028C6"/>
    <w:rsid w:val="00402D8E"/>
    <w:rsid w:val="00404BAF"/>
    <w:rsid w:val="00406040"/>
    <w:rsid w:val="0040617C"/>
    <w:rsid w:val="00406D52"/>
    <w:rsid w:val="00407C33"/>
    <w:rsid w:val="00416EBF"/>
    <w:rsid w:val="0041766B"/>
    <w:rsid w:val="00417A5F"/>
    <w:rsid w:val="00420B1D"/>
    <w:rsid w:val="004211DE"/>
    <w:rsid w:val="00421FD3"/>
    <w:rsid w:val="00424A6B"/>
    <w:rsid w:val="00424E2E"/>
    <w:rsid w:val="004307B9"/>
    <w:rsid w:val="00430872"/>
    <w:rsid w:val="0043286E"/>
    <w:rsid w:val="00433211"/>
    <w:rsid w:val="004333EE"/>
    <w:rsid w:val="00435F67"/>
    <w:rsid w:val="00436874"/>
    <w:rsid w:val="0043697B"/>
    <w:rsid w:val="00436B12"/>
    <w:rsid w:val="0043706A"/>
    <w:rsid w:val="0044014C"/>
    <w:rsid w:val="004422FA"/>
    <w:rsid w:val="00442FA9"/>
    <w:rsid w:val="00446D04"/>
    <w:rsid w:val="00447D3C"/>
    <w:rsid w:val="00451500"/>
    <w:rsid w:val="00453DEC"/>
    <w:rsid w:val="004543D6"/>
    <w:rsid w:val="00454E4F"/>
    <w:rsid w:val="004568A4"/>
    <w:rsid w:val="00456CE8"/>
    <w:rsid w:val="00457045"/>
    <w:rsid w:val="0045746F"/>
    <w:rsid w:val="00460500"/>
    <w:rsid w:val="0046142A"/>
    <w:rsid w:val="00461BE7"/>
    <w:rsid w:val="0046795E"/>
    <w:rsid w:val="00470355"/>
    <w:rsid w:val="004713EE"/>
    <w:rsid w:val="004726F8"/>
    <w:rsid w:val="00475B63"/>
    <w:rsid w:val="00475C6A"/>
    <w:rsid w:val="00476509"/>
    <w:rsid w:val="00476A63"/>
    <w:rsid w:val="00477315"/>
    <w:rsid w:val="00480439"/>
    <w:rsid w:val="004809D3"/>
    <w:rsid w:val="00482108"/>
    <w:rsid w:val="00482253"/>
    <w:rsid w:val="0048279D"/>
    <w:rsid w:val="00483767"/>
    <w:rsid w:val="0049119F"/>
    <w:rsid w:val="0049293E"/>
    <w:rsid w:val="00492D02"/>
    <w:rsid w:val="00494E13"/>
    <w:rsid w:val="00495296"/>
    <w:rsid w:val="004A0A62"/>
    <w:rsid w:val="004A0CC5"/>
    <w:rsid w:val="004A246E"/>
    <w:rsid w:val="004A28AD"/>
    <w:rsid w:val="004A2D37"/>
    <w:rsid w:val="004A3A17"/>
    <w:rsid w:val="004A3A44"/>
    <w:rsid w:val="004A4689"/>
    <w:rsid w:val="004A489A"/>
    <w:rsid w:val="004A4BD9"/>
    <w:rsid w:val="004A4D4D"/>
    <w:rsid w:val="004A5509"/>
    <w:rsid w:val="004A61F1"/>
    <w:rsid w:val="004B13E7"/>
    <w:rsid w:val="004B17EF"/>
    <w:rsid w:val="004B2EFB"/>
    <w:rsid w:val="004B4326"/>
    <w:rsid w:val="004B6B50"/>
    <w:rsid w:val="004B6DBB"/>
    <w:rsid w:val="004B7F81"/>
    <w:rsid w:val="004C0A10"/>
    <w:rsid w:val="004C1666"/>
    <w:rsid w:val="004C239C"/>
    <w:rsid w:val="004C2410"/>
    <w:rsid w:val="004C283E"/>
    <w:rsid w:val="004C39F4"/>
    <w:rsid w:val="004C4EB2"/>
    <w:rsid w:val="004D0604"/>
    <w:rsid w:val="004D21AC"/>
    <w:rsid w:val="004D4C62"/>
    <w:rsid w:val="004D5E2F"/>
    <w:rsid w:val="004D6171"/>
    <w:rsid w:val="004E39D9"/>
    <w:rsid w:val="004E43C9"/>
    <w:rsid w:val="004E7806"/>
    <w:rsid w:val="004E79CB"/>
    <w:rsid w:val="004F04AE"/>
    <w:rsid w:val="004F0E63"/>
    <w:rsid w:val="004F30DB"/>
    <w:rsid w:val="004F345B"/>
    <w:rsid w:val="004F5C49"/>
    <w:rsid w:val="00501B36"/>
    <w:rsid w:val="005042F0"/>
    <w:rsid w:val="00505AE7"/>
    <w:rsid w:val="00505AF9"/>
    <w:rsid w:val="0051018C"/>
    <w:rsid w:val="0051290D"/>
    <w:rsid w:val="00513517"/>
    <w:rsid w:val="00515EFA"/>
    <w:rsid w:val="00517B7C"/>
    <w:rsid w:val="005214A6"/>
    <w:rsid w:val="0052372D"/>
    <w:rsid w:val="00523B33"/>
    <w:rsid w:val="005240BC"/>
    <w:rsid w:val="005244A9"/>
    <w:rsid w:val="00524B85"/>
    <w:rsid w:val="00525A56"/>
    <w:rsid w:val="00526F73"/>
    <w:rsid w:val="005275E6"/>
    <w:rsid w:val="0053006F"/>
    <w:rsid w:val="00530693"/>
    <w:rsid w:val="0053106B"/>
    <w:rsid w:val="00531FF4"/>
    <w:rsid w:val="00533A0B"/>
    <w:rsid w:val="00534568"/>
    <w:rsid w:val="00535295"/>
    <w:rsid w:val="005409C2"/>
    <w:rsid w:val="005508FA"/>
    <w:rsid w:val="0055147A"/>
    <w:rsid w:val="0055197E"/>
    <w:rsid w:val="00554FC3"/>
    <w:rsid w:val="005557D1"/>
    <w:rsid w:val="0055633E"/>
    <w:rsid w:val="0055724E"/>
    <w:rsid w:val="00560AC4"/>
    <w:rsid w:val="00560EFE"/>
    <w:rsid w:val="00562DCD"/>
    <w:rsid w:val="005654A1"/>
    <w:rsid w:val="00565ABB"/>
    <w:rsid w:val="00570AB5"/>
    <w:rsid w:val="005723D9"/>
    <w:rsid w:val="00572E09"/>
    <w:rsid w:val="0057488F"/>
    <w:rsid w:val="005761EA"/>
    <w:rsid w:val="005806C3"/>
    <w:rsid w:val="0058133F"/>
    <w:rsid w:val="005832E6"/>
    <w:rsid w:val="005836C9"/>
    <w:rsid w:val="005843C0"/>
    <w:rsid w:val="00584F90"/>
    <w:rsid w:val="00585BB8"/>
    <w:rsid w:val="00585DB2"/>
    <w:rsid w:val="0058630A"/>
    <w:rsid w:val="00586CC4"/>
    <w:rsid w:val="00590886"/>
    <w:rsid w:val="0059170E"/>
    <w:rsid w:val="005947B5"/>
    <w:rsid w:val="0059795B"/>
    <w:rsid w:val="005A1202"/>
    <w:rsid w:val="005A13DB"/>
    <w:rsid w:val="005A3B36"/>
    <w:rsid w:val="005A4DD2"/>
    <w:rsid w:val="005A6027"/>
    <w:rsid w:val="005A68FF"/>
    <w:rsid w:val="005A6CC0"/>
    <w:rsid w:val="005B2375"/>
    <w:rsid w:val="005B2DB7"/>
    <w:rsid w:val="005B3CB6"/>
    <w:rsid w:val="005B4C0A"/>
    <w:rsid w:val="005B7D0A"/>
    <w:rsid w:val="005C09FC"/>
    <w:rsid w:val="005C4493"/>
    <w:rsid w:val="005C7647"/>
    <w:rsid w:val="005D02C5"/>
    <w:rsid w:val="005D072E"/>
    <w:rsid w:val="005D1530"/>
    <w:rsid w:val="005D22EB"/>
    <w:rsid w:val="005D3AFD"/>
    <w:rsid w:val="005D44AE"/>
    <w:rsid w:val="005D7BDC"/>
    <w:rsid w:val="005E1202"/>
    <w:rsid w:val="005E2B83"/>
    <w:rsid w:val="005E41B9"/>
    <w:rsid w:val="005F1CE0"/>
    <w:rsid w:val="005F391D"/>
    <w:rsid w:val="005F4934"/>
    <w:rsid w:val="005F5C2C"/>
    <w:rsid w:val="005F6760"/>
    <w:rsid w:val="005F715C"/>
    <w:rsid w:val="005F7A40"/>
    <w:rsid w:val="005F7A88"/>
    <w:rsid w:val="00604B63"/>
    <w:rsid w:val="00605A63"/>
    <w:rsid w:val="0060710C"/>
    <w:rsid w:val="006101DB"/>
    <w:rsid w:val="00610489"/>
    <w:rsid w:val="006110D1"/>
    <w:rsid w:val="0061153C"/>
    <w:rsid w:val="006122E9"/>
    <w:rsid w:val="006137E8"/>
    <w:rsid w:val="00614817"/>
    <w:rsid w:val="00614A23"/>
    <w:rsid w:val="00617A72"/>
    <w:rsid w:val="00620E6C"/>
    <w:rsid w:val="006262DA"/>
    <w:rsid w:val="00626AA3"/>
    <w:rsid w:val="006271B6"/>
    <w:rsid w:val="00627B58"/>
    <w:rsid w:val="0063185C"/>
    <w:rsid w:val="006408E9"/>
    <w:rsid w:val="00641F1D"/>
    <w:rsid w:val="00643A66"/>
    <w:rsid w:val="00647364"/>
    <w:rsid w:val="00647C39"/>
    <w:rsid w:val="00653FF7"/>
    <w:rsid w:val="006559C1"/>
    <w:rsid w:val="00656708"/>
    <w:rsid w:val="00660D62"/>
    <w:rsid w:val="00663F77"/>
    <w:rsid w:val="0066463B"/>
    <w:rsid w:val="00665DD4"/>
    <w:rsid w:val="006662AB"/>
    <w:rsid w:val="00674BB0"/>
    <w:rsid w:val="00674D93"/>
    <w:rsid w:val="006754B3"/>
    <w:rsid w:val="00676CE8"/>
    <w:rsid w:val="006777D4"/>
    <w:rsid w:val="006821DD"/>
    <w:rsid w:val="00683751"/>
    <w:rsid w:val="00683D7F"/>
    <w:rsid w:val="00685012"/>
    <w:rsid w:val="00685320"/>
    <w:rsid w:val="0069020B"/>
    <w:rsid w:val="006903FD"/>
    <w:rsid w:val="00690621"/>
    <w:rsid w:val="00692132"/>
    <w:rsid w:val="0069229F"/>
    <w:rsid w:val="00692D35"/>
    <w:rsid w:val="00693CDA"/>
    <w:rsid w:val="00694186"/>
    <w:rsid w:val="006959E6"/>
    <w:rsid w:val="006970A2"/>
    <w:rsid w:val="006A01BD"/>
    <w:rsid w:val="006A0CD2"/>
    <w:rsid w:val="006A1A92"/>
    <w:rsid w:val="006A3D9B"/>
    <w:rsid w:val="006A407C"/>
    <w:rsid w:val="006A492E"/>
    <w:rsid w:val="006A5109"/>
    <w:rsid w:val="006A56B6"/>
    <w:rsid w:val="006A665B"/>
    <w:rsid w:val="006B395C"/>
    <w:rsid w:val="006B3C57"/>
    <w:rsid w:val="006B40BD"/>
    <w:rsid w:val="006B4739"/>
    <w:rsid w:val="006B5F82"/>
    <w:rsid w:val="006B6EC3"/>
    <w:rsid w:val="006C074B"/>
    <w:rsid w:val="006C20B7"/>
    <w:rsid w:val="006C2E64"/>
    <w:rsid w:val="006C358A"/>
    <w:rsid w:val="006C4250"/>
    <w:rsid w:val="006D2531"/>
    <w:rsid w:val="006D31E4"/>
    <w:rsid w:val="006D3E8D"/>
    <w:rsid w:val="006D4A6B"/>
    <w:rsid w:val="006D5628"/>
    <w:rsid w:val="006D7E2C"/>
    <w:rsid w:val="006D7F32"/>
    <w:rsid w:val="006E1AFF"/>
    <w:rsid w:val="006E234E"/>
    <w:rsid w:val="006E596D"/>
    <w:rsid w:val="006F1C73"/>
    <w:rsid w:val="006F1DE5"/>
    <w:rsid w:val="006F2220"/>
    <w:rsid w:val="006F522C"/>
    <w:rsid w:val="006F7883"/>
    <w:rsid w:val="006F7AD5"/>
    <w:rsid w:val="00702337"/>
    <w:rsid w:val="00702F32"/>
    <w:rsid w:val="007052DE"/>
    <w:rsid w:val="0070572D"/>
    <w:rsid w:val="00705E1E"/>
    <w:rsid w:val="00706219"/>
    <w:rsid w:val="00706F08"/>
    <w:rsid w:val="007073E9"/>
    <w:rsid w:val="0071037A"/>
    <w:rsid w:val="00710606"/>
    <w:rsid w:val="00711FF9"/>
    <w:rsid w:val="00715344"/>
    <w:rsid w:val="007179A3"/>
    <w:rsid w:val="00721913"/>
    <w:rsid w:val="0072479B"/>
    <w:rsid w:val="00724FD4"/>
    <w:rsid w:val="00726632"/>
    <w:rsid w:val="007309D3"/>
    <w:rsid w:val="00732919"/>
    <w:rsid w:val="00733CFF"/>
    <w:rsid w:val="00733F24"/>
    <w:rsid w:val="00734314"/>
    <w:rsid w:val="0073447C"/>
    <w:rsid w:val="00735631"/>
    <w:rsid w:val="0073706C"/>
    <w:rsid w:val="0073782B"/>
    <w:rsid w:val="00741DF0"/>
    <w:rsid w:val="00743C57"/>
    <w:rsid w:val="00743CDD"/>
    <w:rsid w:val="007444DE"/>
    <w:rsid w:val="007458FD"/>
    <w:rsid w:val="00746370"/>
    <w:rsid w:val="00747C8A"/>
    <w:rsid w:val="0075170E"/>
    <w:rsid w:val="00754F20"/>
    <w:rsid w:val="00757CA8"/>
    <w:rsid w:val="00760331"/>
    <w:rsid w:val="00760C0D"/>
    <w:rsid w:val="0076106B"/>
    <w:rsid w:val="00761685"/>
    <w:rsid w:val="00761D5C"/>
    <w:rsid w:val="007624CA"/>
    <w:rsid w:val="00764543"/>
    <w:rsid w:val="007645EF"/>
    <w:rsid w:val="00766662"/>
    <w:rsid w:val="00767CCD"/>
    <w:rsid w:val="00770F4D"/>
    <w:rsid w:val="00773C89"/>
    <w:rsid w:val="00774C01"/>
    <w:rsid w:val="007763CC"/>
    <w:rsid w:val="00776776"/>
    <w:rsid w:val="0077751F"/>
    <w:rsid w:val="00777CA0"/>
    <w:rsid w:val="00781DE0"/>
    <w:rsid w:val="00786EE6"/>
    <w:rsid w:val="00790CD8"/>
    <w:rsid w:val="0079146E"/>
    <w:rsid w:val="0079196C"/>
    <w:rsid w:val="00793E45"/>
    <w:rsid w:val="0079589B"/>
    <w:rsid w:val="007971D2"/>
    <w:rsid w:val="00797F40"/>
    <w:rsid w:val="007A2171"/>
    <w:rsid w:val="007A43C3"/>
    <w:rsid w:val="007A64FF"/>
    <w:rsid w:val="007A719D"/>
    <w:rsid w:val="007A7AC8"/>
    <w:rsid w:val="007B3667"/>
    <w:rsid w:val="007B468B"/>
    <w:rsid w:val="007B639D"/>
    <w:rsid w:val="007C0859"/>
    <w:rsid w:val="007C0A68"/>
    <w:rsid w:val="007C0BA0"/>
    <w:rsid w:val="007C1DE0"/>
    <w:rsid w:val="007C3FD9"/>
    <w:rsid w:val="007C44FF"/>
    <w:rsid w:val="007D2575"/>
    <w:rsid w:val="007D2A27"/>
    <w:rsid w:val="007D3C36"/>
    <w:rsid w:val="007D4459"/>
    <w:rsid w:val="007D4D60"/>
    <w:rsid w:val="007D5BF9"/>
    <w:rsid w:val="007D610A"/>
    <w:rsid w:val="007D6597"/>
    <w:rsid w:val="007E2432"/>
    <w:rsid w:val="007E2C66"/>
    <w:rsid w:val="007E4660"/>
    <w:rsid w:val="007E4836"/>
    <w:rsid w:val="007E7E67"/>
    <w:rsid w:val="007F030C"/>
    <w:rsid w:val="007F11F2"/>
    <w:rsid w:val="007F1371"/>
    <w:rsid w:val="007F1E2C"/>
    <w:rsid w:val="007F2996"/>
    <w:rsid w:val="007F3627"/>
    <w:rsid w:val="007F3B40"/>
    <w:rsid w:val="007F4CCE"/>
    <w:rsid w:val="007F56C3"/>
    <w:rsid w:val="007F5CCF"/>
    <w:rsid w:val="007F6DB0"/>
    <w:rsid w:val="007F79D5"/>
    <w:rsid w:val="00800124"/>
    <w:rsid w:val="00800A73"/>
    <w:rsid w:val="0080127C"/>
    <w:rsid w:val="00801333"/>
    <w:rsid w:val="008014D8"/>
    <w:rsid w:val="00802676"/>
    <w:rsid w:val="00804C30"/>
    <w:rsid w:val="008053CE"/>
    <w:rsid w:val="00805C41"/>
    <w:rsid w:val="00806771"/>
    <w:rsid w:val="00810865"/>
    <w:rsid w:val="0081143F"/>
    <w:rsid w:val="00813029"/>
    <w:rsid w:val="00814991"/>
    <w:rsid w:val="00817D9F"/>
    <w:rsid w:val="00821843"/>
    <w:rsid w:val="008251F7"/>
    <w:rsid w:val="00826352"/>
    <w:rsid w:val="0082696D"/>
    <w:rsid w:val="008302B3"/>
    <w:rsid w:val="00830CA8"/>
    <w:rsid w:val="008335E7"/>
    <w:rsid w:val="00834FAE"/>
    <w:rsid w:val="00840B84"/>
    <w:rsid w:val="0084137F"/>
    <w:rsid w:val="00843792"/>
    <w:rsid w:val="008444EA"/>
    <w:rsid w:val="00844D1E"/>
    <w:rsid w:val="0084594C"/>
    <w:rsid w:val="00845FE0"/>
    <w:rsid w:val="00847773"/>
    <w:rsid w:val="00847D4E"/>
    <w:rsid w:val="00847E69"/>
    <w:rsid w:val="00851592"/>
    <w:rsid w:val="0085278C"/>
    <w:rsid w:val="00854B03"/>
    <w:rsid w:val="00855124"/>
    <w:rsid w:val="00855CA2"/>
    <w:rsid w:val="00856B3F"/>
    <w:rsid w:val="00860283"/>
    <w:rsid w:val="008612B8"/>
    <w:rsid w:val="00861817"/>
    <w:rsid w:val="0086216B"/>
    <w:rsid w:val="00867452"/>
    <w:rsid w:val="008678C7"/>
    <w:rsid w:val="00867AB0"/>
    <w:rsid w:val="008718C8"/>
    <w:rsid w:val="00872080"/>
    <w:rsid w:val="008744AB"/>
    <w:rsid w:val="008746A4"/>
    <w:rsid w:val="008757EB"/>
    <w:rsid w:val="00877682"/>
    <w:rsid w:val="008825E4"/>
    <w:rsid w:val="00886353"/>
    <w:rsid w:val="00886E81"/>
    <w:rsid w:val="00890069"/>
    <w:rsid w:val="00891894"/>
    <w:rsid w:val="00893213"/>
    <w:rsid w:val="008932B7"/>
    <w:rsid w:val="00893D50"/>
    <w:rsid w:val="00893EE7"/>
    <w:rsid w:val="008945B3"/>
    <w:rsid w:val="00894BBC"/>
    <w:rsid w:val="00894F83"/>
    <w:rsid w:val="008A0BDB"/>
    <w:rsid w:val="008A0F55"/>
    <w:rsid w:val="008A2123"/>
    <w:rsid w:val="008A23F5"/>
    <w:rsid w:val="008A6B3B"/>
    <w:rsid w:val="008A6DE3"/>
    <w:rsid w:val="008B0150"/>
    <w:rsid w:val="008B1974"/>
    <w:rsid w:val="008B4751"/>
    <w:rsid w:val="008B568D"/>
    <w:rsid w:val="008B5FF4"/>
    <w:rsid w:val="008B6004"/>
    <w:rsid w:val="008B62AF"/>
    <w:rsid w:val="008C08B2"/>
    <w:rsid w:val="008C0F14"/>
    <w:rsid w:val="008C3F7A"/>
    <w:rsid w:val="008C48EF"/>
    <w:rsid w:val="008C4C02"/>
    <w:rsid w:val="008D0245"/>
    <w:rsid w:val="008D0474"/>
    <w:rsid w:val="008D5012"/>
    <w:rsid w:val="008D7F10"/>
    <w:rsid w:val="008E2094"/>
    <w:rsid w:val="008E4248"/>
    <w:rsid w:val="008E49DF"/>
    <w:rsid w:val="008E654D"/>
    <w:rsid w:val="008E72D1"/>
    <w:rsid w:val="008E7E54"/>
    <w:rsid w:val="008F087C"/>
    <w:rsid w:val="008F21B6"/>
    <w:rsid w:val="008F2A97"/>
    <w:rsid w:val="008F353B"/>
    <w:rsid w:val="008F489F"/>
    <w:rsid w:val="008F5B7E"/>
    <w:rsid w:val="008F6676"/>
    <w:rsid w:val="008F692F"/>
    <w:rsid w:val="00902C6C"/>
    <w:rsid w:val="00903A24"/>
    <w:rsid w:val="0090442E"/>
    <w:rsid w:val="00904FF9"/>
    <w:rsid w:val="00905DEA"/>
    <w:rsid w:val="009070D1"/>
    <w:rsid w:val="00907713"/>
    <w:rsid w:val="009108D6"/>
    <w:rsid w:val="00912065"/>
    <w:rsid w:val="0091216B"/>
    <w:rsid w:val="00912E18"/>
    <w:rsid w:val="00914317"/>
    <w:rsid w:val="00914CE6"/>
    <w:rsid w:val="00916762"/>
    <w:rsid w:val="009178A5"/>
    <w:rsid w:val="00920A1F"/>
    <w:rsid w:val="00921AC3"/>
    <w:rsid w:val="00922193"/>
    <w:rsid w:val="0092361B"/>
    <w:rsid w:val="00923CB9"/>
    <w:rsid w:val="0092404D"/>
    <w:rsid w:val="0092430F"/>
    <w:rsid w:val="00924F51"/>
    <w:rsid w:val="009252E7"/>
    <w:rsid w:val="009257C0"/>
    <w:rsid w:val="00930D9B"/>
    <w:rsid w:val="009310EE"/>
    <w:rsid w:val="0093223C"/>
    <w:rsid w:val="00933D31"/>
    <w:rsid w:val="009341A4"/>
    <w:rsid w:val="009343D2"/>
    <w:rsid w:val="00934614"/>
    <w:rsid w:val="00934698"/>
    <w:rsid w:val="00934E8A"/>
    <w:rsid w:val="009353EB"/>
    <w:rsid w:val="00935984"/>
    <w:rsid w:val="00935FBC"/>
    <w:rsid w:val="00937079"/>
    <w:rsid w:val="009403CF"/>
    <w:rsid w:val="00941577"/>
    <w:rsid w:val="009419E1"/>
    <w:rsid w:val="00941CC0"/>
    <w:rsid w:val="00941FDE"/>
    <w:rsid w:val="00942266"/>
    <w:rsid w:val="009444B7"/>
    <w:rsid w:val="0095095F"/>
    <w:rsid w:val="00950D29"/>
    <w:rsid w:val="00952D27"/>
    <w:rsid w:val="00952FE7"/>
    <w:rsid w:val="00953185"/>
    <w:rsid w:val="00955946"/>
    <w:rsid w:val="00955CEB"/>
    <w:rsid w:val="00955E5F"/>
    <w:rsid w:val="00957847"/>
    <w:rsid w:val="00957D9C"/>
    <w:rsid w:val="0096013D"/>
    <w:rsid w:val="00960875"/>
    <w:rsid w:val="00962138"/>
    <w:rsid w:val="009644BE"/>
    <w:rsid w:val="00965299"/>
    <w:rsid w:val="00965CAA"/>
    <w:rsid w:val="00965D74"/>
    <w:rsid w:val="00970C40"/>
    <w:rsid w:val="00971353"/>
    <w:rsid w:val="00972ED7"/>
    <w:rsid w:val="009741DE"/>
    <w:rsid w:val="00974B5E"/>
    <w:rsid w:val="00974F9A"/>
    <w:rsid w:val="009802DD"/>
    <w:rsid w:val="0098254F"/>
    <w:rsid w:val="00982FC5"/>
    <w:rsid w:val="00984017"/>
    <w:rsid w:val="00986FC1"/>
    <w:rsid w:val="00987D06"/>
    <w:rsid w:val="009917A8"/>
    <w:rsid w:val="009917EF"/>
    <w:rsid w:val="00992ED9"/>
    <w:rsid w:val="00994F6B"/>
    <w:rsid w:val="0099603F"/>
    <w:rsid w:val="00997959"/>
    <w:rsid w:val="009A0623"/>
    <w:rsid w:val="009A3960"/>
    <w:rsid w:val="009A422E"/>
    <w:rsid w:val="009A473B"/>
    <w:rsid w:val="009A4CAF"/>
    <w:rsid w:val="009A5902"/>
    <w:rsid w:val="009B19A2"/>
    <w:rsid w:val="009B24A9"/>
    <w:rsid w:val="009B273F"/>
    <w:rsid w:val="009B4B52"/>
    <w:rsid w:val="009B53F3"/>
    <w:rsid w:val="009B5569"/>
    <w:rsid w:val="009B725E"/>
    <w:rsid w:val="009B7610"/>
    <w:rsid w:val="009B7D2F"/>
    <w:rsid w:val="009C0894"/>
    <w:rsid w:val="009C1F25"/>
    <w:rsid w:val="009C2A1E"/>
    <w:rsid w:val="009C2F53"/>
    <w:rsid w:val="009C3D86"/>
    <w:rsid w:val="009C58DF"/>
    <w:rsid w:val="009C7B86"/>
    <w:rsid w:val="009C7E7A"/>
    <w:rsid w:val="009D11A0"/>
    <w:rsid w:val="009D15C6"/>
    <w:rsid w:val="009D2AEC"/>
    <w:rsid w:val="009D403B"/>
    <w:rsid w:val="009D5046"/>
    <w:rsid w:val="009D73B8"/>
    <w:rsid w:val="009E0682"/>
    <w:rsid w:val="009E1A74"/>
    <w:rsid w:val="009E337A"/>
    <w:rsid w:val="009E5ACF"/>
    <w:rsid w:val="009E64BB"/>
    <w:rsid w:val="009E69E0"/>
    <w:rsid w:val="009E7951"/>
    <w:rsid w:val="009F1885"/>
    <w:rsid w:val="009F2B3F"/>
    <w:rsid w:val="009F34B9"/>
    <w:rsid w:val="009F36F3"/>
    <w:rsid w:val="009F39C2"/>
    <w:rsid w:val="009F70E9"/>
    <w:rsid w:val="00A004BA"/>
    <w:rsid w:val="00A015E9"/>
    <w:rsid w:val="00A023D4"/>
    <w:rsid w:val="00A0385D"/>
    <w:rsid w:val="00A04EBE"/>
    <w:rsid w:val="00A05AAA"/>
    <w:rsid w:val="00A06628"/>
    <w:rsid w:val="00A107F8"/>
    <w:rsid w:val="00A10B68"/>
    <w:rsid w:val="00A126A6"/>
    <w:rsid w:val="00A14DF5"/>
    <w:rsid w:val="00A16073"/>
    <w:rsid w:val="00A16E6E"/>
    <w:rsid w:val="00A17BBE"/>
    <w:rsid w:val="00A21209"/>
    <w:rsid w:val="00A2158F"/>
    <w:rsid w:val="00A21A37"/>
    <w:rsid w:val="00A22BCE"/>
    <w:rsid w:val="00A24240"/>
    <w:rsid w:val="00A25C3C"/>
    <w:rsid w:val="00A25F8D"/>
    <w:rsid w:val="00A276F3"/>
    <w:rsid w:val="00A324B6"/>
    <w:rsid w:val="00A33938"/>
    <w:rsid w:val="00A34E9D"/>
    <w:rsid w:val="00A34F61"/>
    <w:rsid w:val="00A37A52"/>
    <w:rsid w:val="00A40A79"/>
    <w:rsid w:val="00A420C1"/>
    <w:rsid w:val="00A4389E"/>
    <w:rsid w:val="00A43B39"/>
    <w:rsid w:val="00A44591"/>
    <w:rsid w:val="00A44AB7"/>
    <w:rsid w:val="00A46A4D"/>
    <w:rsid w:val="00A46E39"/>
    <w:rsid w:val="00A47A5F"/>
    <w:rsid w:val="00A50688"/>
    <w:rsid w:val="00A50B3B"/>
    <w:rsid w:val="00A50CBC"/>
    <w:rsid w:val="00A51BA1"/>
    <w:rsid w:val="00A51CD6"/>
    <w:rsid w:val="00A52F1F"/>
    <w:rsid w:val="00A535F4"/>
    <w:rsid w:val="00A55A0E"/>
    <w:rsid w:val="00A55DBD"/>
    <w:rsid w:val="00A6032F"/>
    <w:rsid w:val="00A60971"/>
    <w:rsid w:val="00A61883"/>
    <w:rsid w:val="00A6192A"/>
    <w:rsid w:val="00A61A42"/>
    <w:rsid w:val="00A635A7"/>
    <w:rsid w:val="00A63738"/>
    <w:rsid w:val="00A64D86"/>
    <w:rsid w:val="00A64E5C"/>
    <w:rsid w:val="00A660AE"/>
    <w:rsid w:val="00A668EB"/>
    <w:rsid w:val="00A67E3E"/>
    <w:rsid w:val="00A73718"/>
    <w:rsid w:val="00A744EA"/>
    <w:rsid w:val="00A75E9D"/>
    <w:rsid w:val="00A816E6"/>
    <w:rsid w:val="00A84E6F"/>
    <w:rsid w:val="00A85E24"/>
    <w:rsid w:val="00A8637A"/>
    <w:rsid w:val="00A870AC"/>
    <w:rsid w:val="00A9287D"/>
    <w:rsid w:val="00A95B6D"/>
    <w:rsid w:val="00A964F7"/>
    <w:rsid w:val="00AA0C56"/>
    <w:rsid w:val="00AA4702"/>
    <w:rsid w:val="00AA6253"/>
    <w:rsid w:val="00AA6BA2"/>
    <w:rsid w:val="00AA7B2F"/>
    <w:rsid w:val="00AA7E8B"/>
    <w:rsid w:val="00AB0918"/>
    <w:rsid w:val="00AB17F6"/>
    <w:rsid w:val="00AB33F6"/>
    <w:rsid w:val="00AB3CB9"/>
    <w:rsid w:val="00AB510E"/>
    <w:rsid w:val="00AB6ADC"/>
    <w:rsid w:val="00AB6E1C"/>
    <w:rsid w:val="00AB7067"/>
    <w:rsid w:val="00AC078C"/>
    <w:rsid w:val="00AC3BD4"/>
    <w:rsid w:val="00AC3C01"/>
    <w:rsid w:val="00AC4BB5"/>
    <w:rsid w:val="00AC56F8"/>
    <w:rsid w:val="00AD1FEE"/>
    <w:rsid w:val="00AD31A0"/>
    <w:rsid w:val="00AD48D0"/>
    <w:rsid w:val="00AD5603"/>
    <w:rsid w:val="00AE0B08"/>
    <w:rsid w:val="00AE1190"/>
    <w:rsid w:val="00AE2114"/>
    <w:rsid w:val="00AE2BEA"/>
    <w:rsid w:val="00AE65BE"/>
    <w:rsid w:val="00AE66B4"/>
    <w:rsid w:val="00AE7B48"/>
    <w:rsid w:val="00AE7DE6"/>
    <w:rsid w:val="00AE7FD8"/>
    <w:rsid w:val="00AF0CB5"/>
    <w:rsid w:val="00AF1630"/>
    <w:rsid w:val="00AF2CB4"/>
    <w:rsid w:val="00AF3E31"/>
    <w:rsid w:val="00AF3E36"/>
    <w:rsid w:val="00AF578B"/>
    <w:rsid w:val="00AF5C92"/>
    <w:rsid w:val="00B00291"/>
    <w:rsid w:val="00B0068B"/>
    <w:rsid w:val="00B016ED"/>
    <w:rsid w:val="00B11270"/>
    <w:rsid w:val="00B118B6"/>
    <w:rsid w:val="00B1254F"/>
    <w:rsid w:val="00B138A3"/>
    <w:rsid w:val="00B15090"/>
    <w:rsid w:val="00B20FAA"/>
    <w:rsid w:val="00B24081"/>
    <w:rsid w:val="00B270CA"/>
    <w:rsid w:val="00B307B7"/>
    <w:rsid w:val="00B32086"/>
    <w:rsid w:val="00B32088"/>
    <w:rsid w:val="00B32992"/>
    <w:rsid w:val="00B32E1E"/>
    <w:rsid w:val="00B33926"/>
    <w:rsid w:val="00B34413"/>
    <w:rsid w:val="00B35178"/>
    <w:rsid w:val="00B3563C"/>
    <w:rsid w:val="00B374AA"/>
    <w:rsid w:val="00B37822"/>
    <w:rsid w:val="00B37CCB"/>
    <w:rsid w:val="00B40212"/>
    <w:rsid w:val="00B404AA"/>
    <w:rsid w:val="00B4089F"/>
    <w:rsid w:val="00B40E65"/>
    <w:rsid w:val="00B41FA0"/>
    <w:rsid w:val="00B4202D"/>
    <w:rsid w:val="00B43310"/>
    <w:rsid w:val="00B471AB"/>
    <w:rsid w:val="00B47FEF"/>
    <w:rsid w:val="00B502E1"/>
    <w:rsid w:val="00B52066"/>
    <w:rsid w:val="00B523EF"/>
    <w:rsid w:val="00B532F8"/>
    <w:rsid w:val="00B54F12"/>
    <w:rsid w:val="00B57421"/>
    <w:rsid w:val="00B57790"/>
    <w:rsid w:val="00B57B4E"/>
    <w:rsid w:val="00B6118E"/>
    <w:rsid w:val="00B61549"/>
    <w:rsid w:val="00B6470E"/>
    <w:rsid w:val="00B66AE5"/>
    <w:rsid w:val="00B67B13"/>
    <w:rsid w:val="00B71ECD"/>
    <w:rsid w:val="00B728CC"/>
    <w:rsid w:val="00B73A58"/>
    <w:rsid w:val="00B7497C"/>
    <w:rsid w:val="00B80685"/>
    <w:rsid w:val="00B8158B"/>
    <w:rsid w:val="00B82928"/>
    <w:rsid w:val="00B83E71"/>
    <w:rsid w:val="00B843CF"/>
    <w:rsid w:val="00B86140"/>
    <w:rsid w:val="00B8634E"/>
    <w:rsid w:val="00B865A9"/>
    <w:rsid w:val="00B912BF"/>
    <w:rsid w:val="00B92316"/>
    <w:rsid w:val="00B9342A"/>
    <w:rsid w:val="00B94B06"/>
    <w:rsid w:val="00B97C02"/>
    <w:rsid w:val="00BA119E"/>
    <w:rsid w:val="00BA14A1"/>
    <w:rsid w:val="00BA2273"/>
    <w:rsid w:val="00BA49FF"/>
    <w:rsid w:val="00BA50BE"/>
    <w:rsid w:val="00BA5A1F"/>
    <w:rsid w:val="00BA5B95"/>
    <w:rsid w:val="00BB26BC"/>
    <w:rsid w:val="00BB43A9"/>
    <w:rsid w:val="00BB4488"/>
    <w:rsid w:val="00BB6044"/>
    <w:rsid w:val="00BB682B"/>
    <w:rsid w:val="00BB70B6"/>
    <w:rsid w:val="00BC1479"/>
    <w:rsid w:val="00BC3DA2"/>
    <w:rsid w:val="00BC7764"/>
    <w:rsid w:val="00BD0171"/>
    <w:rsid w:val="00BD2DF4"/>
    <w:rsid w:val="00BD34ED"/>
    <w:rsid w:val="00BD3CDA"/>
    <w:rsid w:val="00BD4F09"/>
    <w:rsid w:val="00BD747D"/>
    <w:rsid w:val="00BE0AD3"/>
    <w:rsid w:val="00BE115C"/>
    <w:rsid w:val="00BE29C6"/>
    <w:rsid w:val="00BE34E3"/>
    <w:rsid w:val="00BE3C08"/>
    <w:rsid w:val="00BE45C5"/>
    <w:rsid w:val="00BE6410"/>
    <w:rsid w:val="00BF2C7D"/>
    <w:rsid w:val="00BF560B"/>
    <w:rsid w:val="00BF651A"/>
    <w:rsid w:val="00BF6F9F"/>
    <w:rsid w:val="00BF7359"/>
    <w:rsid w:val="00BF770F"/>
    <w:rsid w:val="00BF797B"/>
    <w:rsid w:val="00C01AC9"/>
    <w:rsid w:val="00C021D1"/>
    <w:rsid w:val="00C026D9"/>
    <w:rsid w:val="00C04854"/>
    <w:rsid w:val="00C04ADF"/>
    <w:rsid w:val="00C057F6"/>
    <w:rsid w:val="00C15931"/>
    <w:rsid w:val="00C21ED7"/>
    <w:rsid w:val="00C2205A"/>
    <w:rsid w:val="00C225C5"/>
    <w:rsid w:val="00C23EF3"/>
    <w:rsid w:val="00C26CC7"/>
    <w:rsid w:val="00C27F10"/>
    <w:rsid w:val="00C32446"/>
    <w:rsid w:val="00C32BEA"/>
    <w:rsid w:val="00C342C8"/>
    <w:rsid w:val="00C3434E"/>
    <w:rsid w:val="00C3492F"/>
    <w:rsid w:val="00C352EB"/>
    <w:rsid w:val="00C37085"/>
    <w:rsid w:val="00C401DD"/>
    <w:rsid w:val="00C440A1"/>
    <w:rsid w:val="00C44608"/>
    <w:rsid w:val="00C46846"/>
    <w:rsid w:val="00C51451"/>
    <w:rsid w:val="00C55497"/>
    <w:rsid w:val="00C5703C"/>
    <w:rsid w:val="00C578DB"/>
    <w:rsid w:val="00C6078E"/>
    <w:rsid w:val="00C60FAB"/>
    <w:rsid w:val="00C61504"/>
    <w:rsid w:val="00C61772"/>
    <w:rsid w:val="00C623D8"/>
    <w:rsid w:val="00C667A8"/>
    <w:rsid w:val="00C66B67"/>
    <w:rsid w:val="00C67C61"/>
    <w:rsid w:val="00C67E93"/>
    <w:rsid w:val="00C67E9D"/>
    <w:rsid w:val="00C71E12"/>
    <w:rsid w:val="00C7402F"/>
    <w:rsid w:val="00C741B4"/>
    <w:rsid w:val="00C75689"/>
    <w:rsid w:val="00C76C3A"/>
    <w:rsid w:val="00C81BEC"/>
    <w:rsid w:val="00C839B2"/>
    <w:rsid w:val="00C83BE7"/>
    <w:rsid w:val="00C84B77"/>
    <w:rsid w:val="00C85F46"/>
    <w:rsid w:val="00C8774E"/>
    <w:rsid w:val="00C90B26"/>
    <w:rsid w:val="00C914F4"/>
    <w:rsid w:val="00C93850"/>
    <w:rsid w:val="00C93DC3"/>
    <w:rsid w:val="00C94741"/>
    <w:rsid w:val="00C94877"/>
    <w:rsid w:val="00C960E3"/>
    <w:rsid w:val="00C97726"/>
    <w:rsid w:val="00CA0362"/>
    <w:rsid w:val="00CA0A9C"/>
    <w:rsid w:val="00CA5944"/>
    <w:rsid w:val="00CA753F"/>
    <w:rsid w:val="00CB00CD"/>
    <w:rsid w:val="00CB125D"/>
    <w:rsid w:val="00CB4571"/>
    <w:rsid w:val="00CB4D38"/>
    <w:rsid w:val="00CB5526"/>
    <w:rsid w:val="00CB5F80"/>
    <w:rsid w:val="00CB6C90"/>
    <w:rsid w:val="00CC0502"/>
    <w:rsid w:val="00CC2521"/>
    <w:rsid w:val="00CC32F1"/>
    <w:rsid w:val="00CC600F"/>
    <w:rsid w:val="00CC63E1"/>
    <w:rsid w:val="00CC6DD1"/>
    <w:rsid w:val="00CC769A"/>
    <w:rsid w:val="00CD04EB"/>
    <w:rsid w:val="00CD2DEB"/>
    <w:rsid w:val="00CD3C57"/>
    <w:rsid w:val="00CD70F0"/>
    <w:rsid w:val="00CD7AD6"/>
    <w:rsid w:val="00CE2838"/>
    <w:rsid w:val="00CE2E61"/>
    <w:rsid w:val="00CE34CE"/>
    <w:rsid w:val="00CE4168"/>
    <w:rsid w:val="00CE5468"/>
    <w:rsid w:val="00CE5803"/>
    <w:rsid w:val="00CE61EA"/>
    <w:rsid w:val="00CE731D"/>
    <w:rsid w:val="00CE7CC4"/>
    <w:rsid w:val="00CF14E0"/>
    <w:rsid w:val="00CF5442"/>
    <w:rsid w:val="00CF56F9"/>
    <w:rsid w:val="00CF6187"/>
    <w:rsid w:val="00CF796C"/>
    <w:rsid w:val="00D000C2"/>
    <w:rsid w:val="00D006D7"/>
    <w:rsid w:val="00D00A1F"/>
    <w:rsid w:val="00D031FB"/>
    <w:rsid w:val="00D0327A"/>
    <w:rsid w:val="00D0417F"/>
    <w:rsid w:val="00D05452"/>
    <w:rsid w:val="00D06D5E"/>
    <w:rsid w:val="00D07E7C"/>
    <w:rsid w:val="00D104B6"/>
    <w:rsid w:val="00D127AA"/>
    <w:rsid w:val="00D129F3"/>
    <w:rsid w:val="00D140FA"/>
    <w:rsid w:val="00D158C0"/>
    <w:rsid w:val="00D15C84"/>
    <w:rsid w:val="00D161A1"/>
    <w:rsid w:val="00D2107D"/>
    <w:rsid w:val="00D25658"/>
    <w:rsid w:val="00D274FE"/>
    <w:rsid w:val="00D2760B"/>
    <w:rsid w:val="00D27CCD"/>
    <w:rsid w:val="00D30594"/>
    <w:rsid w:val="00D3360F"/>
    <w:rsid w:val="00D341B2"/>
    <w:rsid w:val="00D3529E"/>
    <w:rsid w:val="00D3532E"/>
    <w:rsid w:val="00D3546D"/>
    <w:rsid w:val="00D41597"/>
    <w:rsid w:val="00D4208A"/>
    <w:rsid w:val="00D43EF4"/>
    <w:rsid w:val="00D4489A"/>
    <w:rsid w:val="00D46E1B"/>
    <w:rsid w:val="00D474E4"/>
    <w:rsid w:val="00D5091A"/>
    <w:rsid w:val="00D52E69"/>
    <w:rsid w:val="00D54632"/>
    <w:rsid w:val="00D578B7"/>
    <w:rsid w:val="00D629C6"/>
    <w:rsid w:val="00D63DB3"/>
    <w:rsid w:val="00D64205"/>
    <w:rsid w:val="00D646EF"/>
    <w:rsid w:val="00D64A90"/>
    <w:rsid w:val="00D653D2"/>
    <w:rsid w:val="00D75200"/>
    <w:rsid w:val="00D75358"/>
    <w:rsid w:val="00D77E69"/>
    <w:rsid w:val="00D805FC"/>
    <w:rsid w:val="00D81E00"/>
    <w:rsid w:val="00D8249B"/>
    <w:rsid w:val="00D84A5F"/>
    <w:rsid w:val="00D874DC"/>
    <w:rsid w:val="00D90545"/>
    <w:rsid w:val="00D90B6F"/>
    <w:rsid w:val="00D912FA"/>
    <w:rsid w:val="00D92953"/>
    <w:rsid w:val="00D93720"/>
    <w:rsid w:val="00D94E06"/>
    <w:rsid w:val="00D95314"/>
    <w:rsid w:val="00D96B69"/>
    <w:rsid w:val="00D97061"/>
    <w:rsid w:val="00DA1A47"/>
    <w:rsid w:val="00DA28A3"/>
    <w:rsid w:val="00DA314C"/>
    <w:rsid w:val="00DA33EA"/>
    <w:rsid w:val="00DA5A10"/>
    <w:rsid w:val="00DB0D8D"/>
    <w:rsid w:val="00DB5C79"/>
    <w:rsid w:val="00DB5EA9"/>
    <w:rsid w:val="00DC1753"/>
    <w:rsid w:val="00DC2392"/>
    <w:rsid w:val="00DC31F3"/>
    <w:rsid w:val="00DC3389"/>
    <w:rsid w:val="00DC71E2"/>
    <w:rsid w:val="00DC7F45"/>
    <w:rsid w:val="00DD1007"/>
    <w:rsid w:val="00DD14FE"/>
    <w:rsid w:val="00DD2A59"/>
    <w:rsid w:val="00DD2D2A"/>
    <w:rsid w:val="00DD307B"/>
    <w:rsid w:val="00DD39F5"/>
    <w:rsid w:val="00DD54A1"/>
    <w:rsid w:val="00DD5F2A"/>
    <w:rsid w:val="00DE0588"/>
    <w:rsid w:val="00DE3549"/>
    <w:rsid w:val="00DE3ADB"/>
    <w:rsid w:val="00DE4275"/>
    <w:rsid w:val="00DE4F60"/>
    <w:rsid w:val="00DE537D"/>
    <w:rsid w:val="00DE5DC8"/>
    <w:rsid w:val="00DF3ACB"/>
    <w:rsid w:val="00DF57DC"/>
    <w:rsid w:val="00DF5DA8"/>
    <w:rsid w:val="00DF74EB"/>
    <w:rsid w:val="00E00882"/>
    <w:rsid w:val="00E00C36"/>
    <w:rsid w:val="00E010BB"/>
    <w:rsid w:val="00E0283E"/>
    <w:rsid w:val="00E0437C"/>
    <w:rsid w:val="00E04468"/>
    <w:rsid w:val="00E07748"/>
    <w:rsid w:val="00E10B27"/>
    <w:rsid w:val="00E11137"/>
    <w:rsid w:val="00E11D1B"/>
    <w:rsid w:val="00E12A23"/>
    <w:rsid w:val="00E12C37"/>
    <w:rsid w:val="00E12C7E"/>
    <w:rsid w:val="00E13AC6"/>
    <w:rsid w:val="00E169CE"/>
    <w:rsid w:val="00E17E53"/>
    <w:rsid w:val="00E20788"/>
    <w:rsid w:val="00E20E6C"/>
    <w:rsid w:val="00E26BAA"/>
    <w:rsid w:val="00E26BE0"/>
    <w:rsid w:val="00E27637"/>
    <w:rsid w:val="00E303FD"/>
    <w:rsid w:val="00E304FD"/>
    <w:rsid w:val="00E31ADD"/>
    <w:rsid w:val="00E343BD"/>
    <w:rsid w:val="00E3562D"/>
    <w:rsid w:val="00E361C2"/>
    <w:rsid w:val="00E37F55"/>
    <w:rsid w:val="00E407B2"/>
    <w:rsid w:val="00E40C89"/>
    <w:rsid w:val="00E41A6D"/>
    <w:rsid w:val="00E42357"/>
    <w:rsid w:val="00E435E6"/>
    <w:rsid w:val="00E438C6"/>
    <w:rsid w:val="00E47667"/>
    <w:rsid w:val="00E5000A"/>
    <w:rsid w:val="00E5241E"/>
    <w:rsid w:val="00E53A63"/>
    <w:rsid w:val="00E557AC"/>
    <w:rsid w:val="00E55B5F"/>
    <w:rsid w:val="00E56480"/>
    <w:rsid w:val="00E57CED"/>
    <w:rsid w:val="00E612E5"/>
    <w:rsid w:val="00E62BDB"/>
    <w:rsid w:val="00E64DBE"/>
    <w:rsid w:val="00E65845"/>
    <w:rsid w:val="00E659C2"/>
    <w:rsid w:val="00E6730E"/>
    <w:rsid w:val="00E67E99"/>
    <w:rsid w:val="00E71F33"/>
    <w:rsid w:val="00E746EF"/>
    <w:rsid w:val="00E74A7C"/>
    <w:rsid w:val="00E801C9"/>
    <w:rsid w:val="00E82F3D"/>
    <w:rsid w:val="00E849C4"/>
    <w:rsid w:val="00E8677C"/>
    <w:rsid w:val="00E9133E"/>
    <w:rsid w:val="00E913F8"/>
    <w:rsid w:val="00E9158E"/>
    <w:rsid w:val="00E91F37"/>
    <w:rsid w:val="00E93F0A"/>
    <w:rsid w:val="00E9572C"/>
    <w:rsid w:val="00E95B0D"/>
    <w:rsid w:val="00E96B42"/>
    <w:rsid w:val="00E96D8B"/>
    <w:rsid w:val="00E9747D"/>
    <w:rsid w:val="00E97B3B"/>
    <w:rsid w:val="00EA126B"/>
    <w:rsid w:val="00EA3383"/>
    <w:rsid w:val="00EA3718"/>
    <w:rsid w:val="00EA5AFA"/>
    <w:rsid w:val="00EA656B"/>
    <w:rsid w:val="00EA6BBC"/>
    <w:rsid w:val="00EA6FA2"/>
    <w:rsid w:val="00EB10DF"/>
    <w:rsid w:val="00EB637A"/>
    <w:rsid w:val="00EB78A9"/>
    <w:rsid w:val="00EB7CC2"/>
    <w:rsid w:val="00EC0B61"/>
    <w:rsid w:val="00EC0BF8"/>
    <w:rsid w:val="00EC102C"/>
    <w:rsid w:val="00EC1273"/>
    <w:rsid w:val="00EC12C5"/>
    <w:rsid w:val="00EC16D9"/>
    <w:rsid w:val="00EC31AC"/>
    <w:rsid w:val="00EC4D8A"/>
    <w:rsid w:val="00ED0127"/>
    <w:rsid w:val="00ED0703"/>
    <w:rsid w:val="00ED1904"/>
    <w:rsid w:val="00ED1CB1"/>
    <w:rsid w:val="00ED2B6E"/>
    <w:rsid w:val="00ED5801"/>
    <w:rsid w:val="00ED7B3B"/>
    <w:rsid w:val="00ED7EB0"/>
    <w:rsid w:val="00EE0619"/>
    <w:rsid w:val="00EE2053"/>
    <w:rsid w:val="00EE2FB3"/>
    <w:rsid w:val="00EE3B22"/>
    <w:rsid w:val="00EE49CC"/>
    <w:rsid w:val="00EE4C60"/>
    <w:rsid w:val="00EE5E54"/>
    <w:rsid w:val="00EE631A"/>
    <w:rsid w:val="00EE764D"/>
    <w:rsid w:val="00EE7A80"/>
    <w:rsid w:val="00EF1BE5"/>
    <w:rsid w:val="00EF2D64"/>
    <w:rsid w:val="00EF5B31"/>
    <w:rsid w:val="00EF7CD2"/>
    <w:rsid w:val="00F001C8"/>
    <w:rsid w:val="00F0102B"/>
    <w:rsid w:val="00F01F28"/>
    <w:rsid w:val="00F02812"/>
    <w:rsid w:val="00F03932"/>
    <w:rsid w:val="00F03C55"/>
    <w:rsid w:val="00F04BAB"/>
    <w:rsid w:val="00F04DB8"/>
    <w:rsid w:val="00F056D3"/>
    <w:rsid w:val="00F074CD"/>
    <w:rsid w:val="00F11C4B"/>
    <w:rsid w:val="00F11DF0"/>
    <w:rsid w:val="00F11F34"/>
    <w:rsid w:val="00F1210D"/>
    <w:rsid w:val="00F14701"/>
    <w:rsid w:val="00F14E08"/>
    <w:rsid w:val="00F17F26"/>
    <w:rsid w:val="00F23A58"/>
    <w:rsid w:val="00F23EC8"/>
    <w:rsid w:val="00F254B6"/>
    <w:rsid w:val="00F267A6"/>
    <w:rsid w:val="00F2682A"/>
    <w:rsid w:val="00F26C46"/>
    <w:rsid w:val="00F26E65"/>
    <w:rsid w:val="00F27F3C"/>
    <w:rsid w:val="00F30844"/>
    <w:rsid w:val="00F30A28"/>
    <w:rsid w:val="00F311BE"/>
    <w:rsid w:val="00F33BD7"/>
    <w:rsid w:val="00F359E5"/>
    <w:rsid w:val="00F36EC8"/>
    <w:rsid w:val="00F40D47"/>
    <w:rsid w:val="00F43C66"/>
    <w:rsid w:val="00F45AE4"/>
    <w:rsid w:val="00F45E4F"/>
    <w:rsid w:val="00F47F70"/>
    <w:rsid w:val="00F5011D"/>
    <w:rsid w:val="00F5079B"/>
    <w:rsid w:val="00F52122"/>
    <w:rsid w:val="00F5249E"/>
    <w:rsid w:val="00F54015"/>
    <w:rsid w:val="00F5426D"/>
    <w:rsid w:val="00F5475E"/>
    <w:rsid w:val="00F5637E"/>
    <w:rsid w:val="00F6036B"/>
    <w:rsid w:val="00F61789"/>
    <w:rsid w:val="00F62BB0"/>
    <w:rsid w:val="00F6393E"/>
    <w:rsid w:val="00F6616A"/>
    <w:rsid w:val="00F661AF"/>
    <w:rsid w:val="00F66435"/>
    <w:rsid w:val="00F70D7F"/>
    <w:rsid w:val="00F717DB"/>
    <w:rsid w:val="00F7487C"/>
    <w:rsid w:val="00F74FF3"/>
    <w:rsid w:val="00F76C07"/>
    <w:rsid w:val="00F80A93"/>
    <w:rsid w:val="00F81384"/>
    <w:rsid w:val="00F81CE3"/>
    <w:rsid w:val="00F824ED"/>
    <w:rsid w:val="00F830A5"/>
    <w:rsid w:val="00F8426F"/>
    <w:rsid w:val="00F8539F"/>
    <w:rsid w:val="00F856B0"/>
    <w:rsid w:val="00F864F3"/>
    <w:rsid w:val="00F87CFA"/>
    <w:rsid w:val="00F906DE"/>
    <w:rsid w:val="00F9294F"/>
    <w:rsid w:val="00F93897"/>
    <w:rsid w:val="00F966B4"/>
    <w:rsid w:val="00FA0B9D"/>
    <w:rsid w:val="00FA2128"/>
    <w:rsid w:val="00FA2B88"/>
    <w:rsid w:val="00FA315D"/>
    <w:rsid w:val="00FA4BB0"/>
    <w:rsid w:val="00FA4E25"/>
    <w:rsid w:val="00FA4FAF"/>
    <w:rsid w:val="00FA7BD2"/>
    <w:rsid w:val="00FB0AFC"/>
    <w:rsid w:val="00FB4000"/>
    <w:rsid w:val="00FB50C0"/>
    <w:rsid w:val="00FB62B4"/>
    <w:rsid w:val="00FB6C3A"/>
    <w:rsid w:val="00FB6D63"/>
    <w:rsid w:val="00FC0121"/>
    <w:rsid w:val="00FC09DB"/>
    <w:rsid w:val="00FC1271"/>
    <w:rsid w:val="00FC293D"/>
    <w:rsid w:val="00FC3454"/>
    <w:rsid w:val="00FC3ECB"/>
    <w:rsid w:val="00FC4311"/>
    <w:rsid w:val="00FC4E0B"/>
    <w:rsid w:val="00FC58CD"/>
    <w:rsid w:val="00FC5C70"/>
    <w:rsid w:val="00FC71BF"/>
    <w:rsid w:val="00FD240B"/>
    <w:rsid w:val="00FD2822"/>
    <w:rsid w:val="00FD38A2"/>
    <w:rsid w:val="00FD590E"/>
    <w:rsid w:val="00FD66E5"/>
    <w:rsid w:val="00FE08C4"/>
    <w:rsid w:val="00FE0F23"/>
    <w:rsid w:val="00FE1606"/>
    <w:rsid w:val="00FE1872"/>
    <w:rsid w:val="00FE2A17"/>
    <w:rsid w:val="00FE4B47"/>
    <w:rsid w:val="00FE5FB2"/>
    <w:rsid w:val="00FE6566"/>
    <w:rsid w:val="00FF173D"/>
    <w:rsid w:val="00FF2163"/>
    <w:rsid w:val="00FF4966"/>
    <w:rsid w:val="00FF4D51"/>
    <w:rsid w:val="00FF5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C01E"/>
  <w15:chartTrackingRefBased/>
  <w15:docId w15:val="{8DE7DD06-40F1-49D6-A0C3-4263A225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140"/>
    <w:pPr>
      <w:spacing w:after="0" w:line="240" w:lineRule="auto"/>
    </w:pPr>
    <w:rPr>
      <w:rFonts w:ascii="Calibri" w:hAnsi="Calibri" w:cs="Times New Roman"/>
      <w:lang w:eastAsia="en-AU"/>
    </w:rPr>
  </w:style>
  <w:style w:type="paragraph" w:styleId="Heading2">
    <w:name w:val="heading 2"/>
    <w:basedOn w:val="Normal"/>
    <w:next w:val="Normal"/>
    <w:link w:val="Heading2Char"/>
    <w:uiPriority w:val="9"/>
    <w:unhideWhenUsed/>
    <w:qFormat/>
    <w:rsid w:val="00021EE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021E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021E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1EEA"/>
    <w:rPr>
      <w:rFonts w:asciiTheme="majorHAnsi" w:eastAsiaTheme="majorEastAsia" w:hAnsiTheme="majorHAnsi" w:cstheme="majorBidi"/>
      <w:color w:val="243F60" w:themeColor="accent1" w:themeShade="7F"/>
      <w:sz w:val="24"/>
      <w:szCs w:val="24"/>
      <w:lang w:eastAsia="en-AU"/>
    </w:rPr>
  </w:style>
  <w:style w:type="paragraph" w:styleId="ListParagraph">
    <w:name w:val="List Paragraph"/>
    <w:basedOn w:val="Normal"/>
    <w:link w:val="ListParagraphChar"/>
    <w:uiPriority w:val="34"/>
    <w:qFormat/>
    <w:rsid w:val="00021EEA"/>
    <w:pPr>
      <w:ind w:left="720"/>
      <w:contextualSpacing/>
    </w:pPr>
  </w:style>
  <w:style w:type="numbering" w:customStyle="1" w:styleId="KeyPoints">
    <w:name w:val="Key Points"/>
    <w:basedOn w:val="NoList"/>
    <w:uiPriority w:val="99"/>
    <w:rsid w:val="00381322"/>
    <w:pPr>
      <w:numPr>
        <w:numId w:val="1"/>
      </w:numPr>
    </w:pPr>
  </w:style>
  <w:style w:type="paragraph" w:styleId="ListNumber">
    <w:name w:val="List Number"/>
    <w:basedOn w:val="Normal"/>
    <w:uiPriority w:val="99"/>
    <w:qFormat/>
    <w:rsid w:val="00381322"/>
    <w:pPr>
      <w:ind w:left="369" w:hanging="369"/>
    </w:pPr>
  </w:style>
  <w:style w:type="paragraph" w:styleId="ListNumber2">
    <w:name w:val="List Number 2"/>
    <w:basedOn w:val="Normal"/>
    <w:uiPriority w:val="99"/>
    <w:rsid w:val="00381322"/>
    <w:pPr>
      <w:ind w:left="738" w:hanging="369"/>
    </w:pPr>
  </w:style>
  <w:style w:type="paragraph" w:styleId="ListNumber3">
    <w:name w:val="List Number 3"/>
    <w:basedOn w:val="Normal"/>
    <w:uiPriority w:val="99"/>
    <w:rsid w:val="00381322"/>
    <w:pPr>
      <w:ind w:left="1107" w:hanging="369"/>
    </w:pPr>
  </w:style>
  <w:style w:type="paragraph" w:styleId="ListNumber4">
    <w:name w:val="List Number 4"/>
    <w:basedOn w:val="Normal"/>
    <w:uiPriority w:val="99"/>
    <w:rsid w:val="00381322"/>
    <w:pPr>
      <w:ind w:left="1476" w:hanging="369"/>
    </w:pPr>
  </w:style>
  <w:style w:type="paragraph" w:styleId="ListNumber5">
    <w:name w:val="List Number 5"/>
    <w:basedOn w:val="Normal"/>
    <w:uiPriority w:val="99"/>
    <w:rsid w:val="00381322"/>
    <w:pPr>
      <w:ind w:left="1845" w:hanging="369"/>
    </w:pPr>
  </w:style>
  <w:style w:type="paragraph" w:styleId="BalloonText">
    <w:name w:val="Balloon Text"/>
    <w:basedOn w:val="Normal"/>
    <w:link w:val="BalloonTextChar"/>
    <w:uiPriority w:val="99"/>
    <w:semiHidden/>
    <w:unhideWhenUsed/>
    <w:rsid w:val="00653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F7"/>
    <w:rPr>
      <w:rFonts w:ascii="Segoe UI" w:hAnsi="Segoe UI" w:cs="Segoe UI"/>
      <w:sz w:val="18"/>
      <w:szCs w:val="18"/>
      <w:lang w:eastAsia="en-AU"/>
    </w:rPr>
  </w:style>
  <w:style w:type="paragraph" w:customStyle="1" w:styleId="paragraph">
    <w:name w:val="paragraph"/>
    <w:aliases w:val="a"/>
    <w:basedOn w:val="Normal"/>
    <w:link w:val="paragraphChar"/>
    <w:rsid w:val="00585DB2"/>
    <w:pPr>
      <w:tabs>
        <w:tab w:val="right" w:pos="1531"/>
      </w:tabs>
      <w:spacing w:before="40"/>
      <w:ind w:left="1644" w:hanging="1644"/>
    </w:pPr>
    <w:rPr>
      <w:rFonts w:ascii="Times New Roman" w:eastAsia="Times New Roman" w:hAnsi="Times New Roman"/>
      <w:szCs w:val="20"/>
    </w:rPr>
  </w:style>
  <w:style w:type="paragraph" w:customStyle="1" w:styleId="Subitem">
    <w:name w:val="Subitem"/>
    <w:aliases w:val="iss"/>
    <w:basedOn w:val="Normal"/>
    <w:rsid w:val="00585DB2"/>
    <w:pPr>
      <w:spacing w:before="180"/>
      <w:ind w:left="709" w:hanging="709"/>
    </w:pPr>
    <w:rPr>
      <w:rFonts w:ascii="Times New Roman" w:eastAsia="Times New Roman" w:hAnsi="Times New Roman"/>
      <w:szCs w:val="20"/>
    </w:rPr>
  </w:style>
  <w:style w:type="character" w:customStyle="1" w:styleId="paragraphChar">
    <w:name w:val="paragraph Char"/>
    <w:aliases w:val="a Char"/>
    <w:link w:val="paragraph"/>
    <w:rsid w:val="00585DB2"/>
    <w:rPr>
      <w:rFonts w:ascii="Times New Roman" w:eastAsia="Times New Roman" w:hAnsi="Times New Roman" w:cs="Times New Roman"/>
      <w:szCs w:val="20"/>
      <w:lang w:eastAsia="en-AU"/>
    </w:rPr>
  </w:style>
  <w:style w:type="paragraph" w:customStyle="1" w:styleId="ItemHead">
    <w:name w:val="ItemHead"/>
    <w:aliases w:val="ih"/>
    <w:basedOn w:val="Normal"/>
    <w:next w:val="Normal"/>
    <w:rsid w:val="00585DB2"/>
    <w:pPr>
      <w:keepNext/>
      <w:keepLines/>
      <w:spacing w:before="220"/>
      <w:ind w:left="709" w:hanging="709"/>
    </w:pPr>
    <w:rPr>
      <w:rFonts w:ascii="Arial" w:eastAsia="Times New Roman" w:hAnsi="Arial"/>
      <w:b/>
      <w:kern w:val="28"/>
      <w:sz w:val="24"/>
      <w:szCs w:val="20"/>
    </w:rPr>
  </w:style>
  <w:style w:type="paragraph" w:customStyle="1" w:styleId="SubitemHead">
    <w:name w:val="SubitemHead"/>
    <w:aliases w:val="issh"/>
    <w:basedOn w:val="Normal"/>
    <w:rsid w:val="00585DB2"/>
    <w:pPr>
      <w:keepNext/>
      <w:keepLines/>
      <w:spacing w:before="220"/>
      <w:ind w:left="709"/>
    </w:pPr>
    <w:rPr>
      <w:rFonts w:ascii="Arial" w:eastAsia="Times New Roman" w:hAnsi="Arial"/>
      <w:i/>
      <w:kern w:val="28"/>
      <w:szCs w:val="20"/>
    </w:rPr>
  </w:style>
  <w:style w:type="character" w:styleId="CommentReference">
    <w:name w:val="annotation reference"/>
    <w:basedOn w:val="DefaultParagraphFont"/>
    <w:uiPriority w:val="99"/>
    <w:semiHidden/>
    <w:unhideWhenUsed/>
    <w:rsid w:val="00860283"/>
    <w:rPr>
      <w:sz w:val="16"/>
      <w:szCs w:val="16"/>
    </w:rPr>
  </w:style>
  <w:style w:type="paragraph" w:styleId="CommentText">
    <w:name w:val="annotation text"/>
    <w:basedOn w:val="Normal"/>
    <w:link w:val="CommentTextChar"/>
    <w:uiPriority w:val="99"/>
    <w:unhideWhenUsed/>
    <w:rsid w:val="00860283"/>
    <w:rPr>
      <w:sz w:val="20"/>
      <w:szCs w:val="20"/>
    </w:rPr>
  </w:style>
  <w:style w:type="character" w:customStyle="1" w:styleId="CommentTextChar">
    <w:name w:val="Comment Text Char"/>
    <w:basedOn w:val="DefaultParagraphFont"/>
    <w:link w:val="CommentText"/>
    <w:uiPriority w:val="99"/>
    <w:rsid w:val="00860283"/>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60283"/>
    <w:rPr>
      <w:b/>
      <w:bCs/>
    </w:rPr>
  </w:style>
  <w:style w:type="character" w:customStyle="1" w:styleId="CommentSubjectChar">
    <w:name w:val="Comment Subject Char"/>
    <w:basedOn w:val="CommentTextChar"/>
    <w:link w:val="CommentSubject"/>
    <w:uiPriority w:val="99"/>
    <w:semiHidden/>
    <w:rsid w:val="00860283"/>
    <w:rPr>
      <w:rFonts w:ascii="Calibri" w:hAnsi="Calibri" w:cs="Times New Roman"/>
      <w:b/>
      <w:bCs/>
      <w:sz w:val="20"/>
      <w:szCs w:val="20"/>
      <w:lang w:eastAsia="en-AU"/>
    </w:rPr>
  </w:style>
  <w:style w:type="paragraph" w:styleId="Header">
    <w:name w:val="header"/>
    <w:basedOn w:val="Normal"/>
    <w:link w:val="HeaderChar"/>
    <w:uiPriority w:val="99"/>
    <w:unhideWhenUsed/>
    <w:rsid w:val="00A50CBC"/>
    <w:pPr>
      <w:tabs>
        <w:tab w:val="center" w:pos="4513"/>
        <w:tab w:val="right" w:pos="9026"/>
      </w:tabs>
    </w:pPr>
    <w:rPr>
      <w:rFonts w:ascii="Arial" w:eastAsia="Calibri" w:hAnsi="Arial"/>
      <w:lang w:eastAsia="en-US"/>
    </w:rPr>
  </w:style>
  <w:style w:type="character" w:customStyle="1" w:styleId="HeaderChar">
    <w:name w:val="Header Char"/>
    <w:basedOn w:val="DefaultParagraphFont"/>
    <w:link w:val="Header"/>
    <w:uiPriority w:val="99"/>
    <w:rsid w:val="00A50CBC"/>
    <w:rPr>
      <w:rFonts w:ascii="Arial" w:eastAsia="Calibri" w:hAnsi="Arial" w:cs="Times New Roman"/>
    </w:rPr>
  </w:style>
  <w:style w:type="numbering" w:customStyle="1" w:styleId="BulletList">
    <w:name w:val="Bullet List"/>
    <w:uiPriority w:val="99"/>
    <w:rsid w:val="0022791A"/>
    <w:pPr>
      <w:numPr>
        <w:numId w:val="3"/>
      </w:numPr>
    </w:pPr>
  </w:style>
  <w:style w:type="paragraph" w:styleId="ListBullet">
    <w:name w:val="List Bullet"/>
    <w:basedOn w:val="Normal"/>
    <w:uiPriority w:val="99"/>
    <w:unhideWhenUsed/>
    <w:qFormat/>
    <w:rsid w:val="0022791A"/>
    <w:pPr>
      <w:numPr>
        <w:numId w:val="4"/>
      </w:numPr>
      <w:spacing w:after="200" w:line="276" w:lineRule="auto"/>
    </w:pPr>
    <w:rPr>
      <w:rFonts w:ascii="Arial" w:eastAsia="Calibri" w:hAnsi="Arial"/>
      <w:lang w:eastAsia="en-US"/>
    </w:rPr>
  </w:style>
  <w:style w:type="paragraph" w:styleId="ListBullet2">
    <w:name w:val="List Bullet 2"/>
    <w:basedOn w:val="Normal"/>
    <w:uiPriority w:val="99"/>
    <w:unhideWhenUsed/>
    <w:rsid w:val="0022791A"/>
    <w:pPr>
      <w:numPr>
        <w:ilvl w:val="1"/>
        <w:numId w:val="4"/>
      </w:numPr>
      <w:spacing w:after="200" w:line="276" w:lineRule="auto"/>
    </w:pPr>
    <w:rPr>
      <w:rFonts w:ascii="Arial" w:eastAsia="Calibri" w:hAnsi="Arial"/>
      <w:lang w:eastAsia="en-US"/>
    </w:rPr>
  </w:style>
  <w:style w:type="paragraph" w:styleId="ListBullet3">
    <w:name w:val="List Bullet 3"/>
    <w:basedOn w:val="Normal"/>
    <w:uiPriority w:val="99"/>
    <w:unhideWhenUsed/>
    <w:rsid w:val="0022791A"/>
    <w:pPr>
      <w:numPr>
        <w:ilvl w:val="2"/>
        <w:numId w:val="4"/>
      </w:numPr>
      <w:spacing w:after="200" w:line="276" w:lineRule="auto"/>
    </w:pPr>
    <w:rPr>
      <w:rFonts w:ascii="Arial" w:eastAsia="Calibri" w:hAnsi="Arial"/>
      <w:lang w:eastAsia="en-US"/>
    </w:rPr>
  </w:style>
  <w:style w:type="paragraph" w:styleId="ListBullet4">
    <w:name w:val="List Bullet 4"/>
    <w:basedOn w:val="Normal"/>
    <w:uiPriority w:val="99"/>
    <w:unhideWhenUsed/>
    <w:rsid w:val="0022791A"/>
    <w:pPr>
      <w:numPr>
        <w:ilvl w:val="3"/>
        <w:numId w:val="4"/>
      </w:numPr>
      <w:spacing w:after="200" w:line="276" w:lineRule="auto"/>
    </w:pPr>
    <w:rPr>
      <w:rFonts w:ascii="Arial" w:eastAsia="Calibri" w:hAnsi="Arial"/>
      <w:lang w:eastAsia="en-US"/>
    </w:rPr>
  </w:style>
  <w:style w:type="paragraph" w:styleId="ListBullet5">
    <w:name w:val="List Bullet 5"/>
    <w:basedOn w:val="Normal"/>
    <w:uiPriority w:val="99"/>
    <w:unhideWhenUsed/>
    <w:rsid w:val="0022791A"/>
    <w:pPr>
      <w:numPr>
        <w:ilvl w:val="4"/>
        <w:numId w:val="4"/>
      </w:numPr>
      <w:spacing w:after="200" w:line="276" w:lineRule="auto"/>
    </w:pPr>
    <w:rPr>
      <w:rFonts w:ascii="Arial" w:eastAsia="Calibri" w:hAnsi="Arial"/>
      <w:lang w:eastAsia="en-US"/>
    </w:rPr>
  </w:style>
  <w:style w:type="paragraph" w:styleId="Revision">
    <w:name w:val="Revision"/>
    <w:hidden/>
    <w:uiPriority w:val="99"/>
    <w:semiHidden/>
    <w:rsid w:val="005806C3"/>
    <w:pPr>
      <w:spacing w:after="0" w:line="240" w:lineRule="auto"/>
    </w:pPr>
    <w:rPr>
      <w:rFonts w:ascii="Calibri" w:hAnsi="Calibri" w:cs="Times New Roman"/>
      <w:lang w:eastAsia="en-AU"/>
    </w:rPr>
  </w:style>
  <w:style w:type="paragraph" w:styleId="Footer">
    <w:name w:val="footer"/>
    <w:basedOn w:val="Normal"/>
    <w:link w:val="FooterChar"/>
    <w:uiPriority w:val="99"/>
    <w:unhideWhenUsed/>
    <w:rsid w:val="0069229F"/>
    <w:pPr>
      <w:tabs>
        <w:tab w:val="center" w:pos="4680"/>
        <w:tab w:val="right" w:pos="9360"/>
      </w:tabs>
    </w:pPr>
  </w:style>
  <w:style w:type="character" w:customStyle="1" w:styleId="FooterChar">
    <w:name w:val="Footer Char"/>
    <w:basedOn w:val="DefaultParagraphFont"/>
    <w:link w:val="Footer"/>
    <w:uiPriority w:val="99"/>
    <w:rsid w:val="0069229F"/>
    <w:rPr>
      <w:rFonts w:ascii="Calibri" w:hAnsi="Calibri" w:cs="Times New Roman"/>
      <w:lang w:eastAsia="en-AU"/>
    </w:rPr>
  </w:style>
  <w:style w:type="character" w:customStyle="1" w:styleId="subsectionChar">
    <w:name w:val="subsection Char"/>
    <w:aliases w:val="ss Char"/>
    <w:basedOn w:val="DefaultParagraphFont"/>
    <w:link w:val="subsection"/>
    <w:locked/>
    <w:rsid w:val="00992ED9"/>
  </w:style>
  <w:style w:type="paragraph" w:customStyle="1" w:styleId="subsection">
    <w:name w:val="subsection"/>
    <w:aliases w:val="ss,Subsection"/>
    <w:basedOn w:val="Normal"/>
    <w:link w:val="subsectionChar"/>
    <w:rsid w:val="00992ED9"/>
    <w:pPr>
      <w:spacing w:before="180"/>
      <w:ind w:left="1134" w:hanging="1134"/>
    </w:pPr>
    <w:rPr>
      <w:rFonts w:asciiTheme="minorHAnsi" w:hAnsiTheme="minorHAnsi" w:cstheme="minorBidi"/>
      <w:lang w:eastAsia="en-US"/>
    </w:rPr>
  </w:style>
  <w:style w:type="character" w:customStyle="1" w:styleId="Advisorytext">
    <w:name w:val="Advisory text"/>
    <w:basedOn w:val="DefaultParagraphFont"/>
    <w:uiPriority w:val="99"/>
    <w:rsid w:val="00FB0AFC"/>
    <w:rPr>
      <w:color w:val="FF0000"/>
    </w:rPr>
  </w:style>
  <w:style w:type="paragraph" w:customStyle="1" w:styleId="ActHead3">
    <w:name w:val="ActHead 3"/>
    <w:aliases w:val="d"/>
    <w:basedOn w:val="Normal"/>
    <w:next w:val="Normal"/>
    <w:qFormat/>
    <w:rsid w:val="000C576E"/>
    <w:pPr>
      <w:keepNext/>
      <w:keepLines/>
      <w:spacing w:before="240"/>
      <w:ind w:left="1134" w:hanging="1134"/>
      <w:outlineLvl w:val="2"/>
    </w:pPr>
    <w:rPr>
      <w:rFonts w:ascii="Times New Roman" w:eastAsia="Times New Roman" w:hAnsi="Times New Roman"/>
      <w:b/>
      <w:kern w:val="28"/>
      <w:sz w:val="28"/>
      <w:szCs w:val="20"/>
    </w:rPr>
  </w:style>
  <w:style w:type="character" w:customStyle="1" w:styleId="CharDivNo">
    <w:name w:val="CharDivNo"/>
    <w:basedOn w:val="DefaultParagraphFont"/>
    <w:uiPriority w:val="1"/>
    <w:qFormat/>
    <w:rsid w:val="000C576E"/>
  </w:style>
  <w:style w:type="character" w:customStyle="1" w:styleId="CharDivText">
    <w:name w:val="CharDivText"/>
    <w:basedOn w:val="DefaultParagraphFont"/>
    <w:uiPriority w:val="1"/>
    <w:qFormat/>
    <w:rsid w:val="000C576E"/>
  </w:style>
  <w:style w:type="paragraph" w:customStyle="1" w:styleId="notedraft">
    <w:name w:val="note(draft)"/>
    <w:aliases w:val="nd"/>
    <w:basedOn w:val="Normal"/>
    <w:rsid w:val="00A25F8D"/>
    <w:pPr>
      <w:spacing w:before="240"/>
      <w:ind w:left="284" w:hanging="284"/>
    </w:pPr>
    <w:rPr>
      <w:rFonts w:ascii="Times New Roman" w:eastAsia="Times New Roman" w:hAnsi="Times New Roman"/>
      <w:i/>
      <w:sz w:val="24"/>
      <w:szCs w:val="20"/>
    </w:rPr>
  </w:style>
  <w:style w:type="character" w:customStyle="1" w:styleId="ListParagraphChar">
    <w:name w:val="List Paragraph Char"/>
    <w:basedOn w:val="DefaultParagraphFont"/>
    <w:link w:val="ListParagraph"/>
    <w:uiPriority w:val="34"/>
    <w:locked/>
    <w:rsid w:val="001B6076"/>
    <w:rPr>
      <w:rFonts w:ascii="Calibri" w:hAnsi="Calibri" w:cs="Times New Roman"/>
      <w:lang w:eastAsia="en-AU"/>
    </w:rPr>
  </w:style>
  <w:style w:type="paragraph" w:customStyle="1" w:styleId="ActHead5">
    <w:name w:val="ActHead 5"/>
    <w:aliases w:val="s"/>
    <w:basedOn w:val="Normal"/>
    <w:next w:val="subsection"/>
    <w:link w:val="ActHead5Char"/>
    <w:qFormat/>
    <w:rsid w:val="00290F1E"/>
    <w:pPr>
      <w:keepNext/>
      <w:keepLines/>
      <w:spacing w:before="280"/>
      <w:ind w:left="1134" w:hanging="1134"/>
      <w:outlineLvl w:val="4"/>
    </w:pPr>
    <w:rPr>
      <w:rFonts w:ascii="Times New Roman" w:eastAsia="Times New Roman" w:hAnsi="Times New Roman"/>
      <w:b/>
      <w:kern w:val="28"/>
      <w:sz w:val="24"/>
      <w:szCs w:val="20"/>
    </w:rPr>
  </w:style>
  <w:style w:type="character" w:customStyle="1" w:styleId="ActHead5Char">
    <w:name w:val="ActHead 5 Char"/>
    <w:aliases w:val="s Char"/>
    <w:link w:val="ActHead5"/>
    <w:rsid w:val="00290F1E"/>
    <w:rPr>
      <w:rFonts w:ascii="Times New Roman" w:eastAsia="Times New Roman" w:hAnsi="Times New Roman" w:cs="Times New Roman"/>
      <w:b/>
      <w:kern w:val="28"/>
      <w:sz w:val="24"/>
      <w:szCs w:val="20"/>
      <w:lang w:eastAsia="en-AU"/>
    </w:rPr>
  </w:style>
  <w:style w:type="paragraph" w:customStyle="1" w:styleId="Tabletext">
    <w:name w:val="Tabletext"/>
    <w:aliases w:val="tt"/>
    <w:basedOn w:val="Normal"/>
    <w:rsid w:val="00EC1273"/>
    <w:pPr>
      <w:spacing w:before="60" w:line="240" w:lineRule="atLeast"/>
    </w:pPr>
    <w:rPr>
      <w:rFonts w:ascii="Times New Roman" w:eastAsia="Times New Roman" w:hAnsi="Times New Roman"/>
      <w:sz w:val="20"/>
      <w:szCs w:val="20"/>
    </w:rPr>
  </w:style>
  <w:style w:type="character" w:styleId="Hyperlink">
    <w:name w:val="Hyperlink"/>
    <w:basedOn w:val="DefaultParagraphFont"/>
    <w:uiPriority w:val="99"/>
    <w:unhideWhenUsed/>
    <w:rsid w:val="009F3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720">
      <w:bodyDiv w:val="1"/>
      <w:marLeft w:val="0"/>
      <w:marRight w:val="0"/>
      <w:marTop w:val="0"/>
      <w:marBottom w:val="0"/>
      <w:divBdr>
        <w:top w:val="none" w:sz="0" w:space="0" w:color="auto"/>
        <w:left w:val="none" w:sz="0" w:space="0" w:color="auto"/>
        <w:bottom w:val="none" w:sz="0" w:space="0" w:color="auto"/>
        <w:right w:val="none" w:sz="0" w:space="0" w:color="auto"/>
      </w:divBdr>
    </w:div>
    <w:div w:id="46996254">
      <w:bodyDiv w:val="1"/>
      <w:marLeft w:val="0"/>
      <w:marRight w:val="0"/>
      <w:marTop w:val="0"/>
      <w:marBottom w:val="0"/>
      <w:divBdr>
        <w:top w:val="none" w:sz="0" w:space="0" w:color="auto"/>
        <w:left w:val="none" w:sz="0" w:space="0" w:color="auto"/>
        <w:bottom w:val="none" w:sz="0" w:space="0" w:color="auto"/>
        <w:right w:val="none" w:sz="0" w:space="0" w:color="auto"/>
      </w:divBdr>
    </w:div>
    <w:div w:id="106199544">
      <w:bodyDiv w:val="1"/>
      <w:marLeft w:val="0"/>
      <w:marRight w:val="0"/>
      <w:marTop w:val="0"/>
      <w:marBottom w:val="0"/>
      <w:divBdr>
        <w:top w:val="none" w:sz="0" w:space="0" w:color="auto"/>
        <w:left w:val="none" w:sz="0" w:space="0" w:color="auto"/>
        <w:bottom w:val="none" w:sz="0" w:space="0" w:color="auto"/>
        <w:right w:val="none" w:sz="0" w:space="0" w:color="auto"/>
      </w:divBdr>
    </w:div>
    <w:div w:id="143473902">
      <w:bodyDiv w:val="1"/>
      <w:marLeft w:val="0"/>
      <w:marRight w:val="0"/>
      <w:marTop w:val="0"/>
      <w:marBottom w:val="0"/>
      <w:divBdr>
        <w:top w:val="none" w:sz="0" w:space="0" w:color="auto"/>
        <w:left w:val="none" w:sz="0" w:space="0" w:color="auto"/>
        <w:bottom w:val="none" w:sz="0" w:space="0" w:color="auto"/>
        <w:right w:val="none" w:sz="0" w:space="0" w:color="auto"/>
      </w:divBdr>
    </w:div>
    <w:div w:id="187178646">
      <w:bodyDiv w:val="1"/>
      <w:marLeft w:val="0"/>
      <w:marRight w:val="0"/>
      <w:marTop w:val="0"/>
      <w:marBottom w:val="0"/>
      <w:divBdr>
        <w:top w:val="none" w:sz="0" w:space="0" w:color="auto"/>
        <w:left w:val="none" w:sz="0" w:space="0" w:color="auto"/>
        <w:bottom w:val="none" w:sz="0" w:space="0" w:color="auto"/>
        <w:right w:val="none" w:sz="0" w:space="0" w:color="auto"/>
      </w:divBdr>
    </w:div>
    <w:div w:id="210729844">
      <w:bodyDiv w:val="1"/>
      <w:marLeft w:val="0"/>
      <w:marRight w:val="0"/>
      <w:marTop w:val="0"/>
      <w:marBottom w:val="0"/>
      <w:divBdr>
        <w:top w:val="none" w:sz="0" w:space="0" w:color="auto"/>
        <w:left w:val="none" w:sz="0" w:space="0" w:color="auto"/>
        <w:bottom w:val="none" w:sz="0" w:space="0" w:color="auto"/>
        <w:right w:val="none" w:sz="0" w:space="0" w:color="auto"/>
      </w:divBdr>
    </w:div>
    <w:div w:id="474225696">
      <w:bodyDiv w:val="1"/>
      <w:marLeft w:val="0"/>
      <w:marRight w:val="0"/>
      <w:marTop w:val="0"/>
      <w:marBottom w:val="0"/>
      <w:divBdr>
        <w:top w:val="none" w:sz="0" w:space="0" w:color="auto"/>
        <w:left w:val="none" w:sz="0" w:space="0" w:color="auto"/>
        <w:bottom w:val="none" w:sz="0" w:space="0" w:color="auto"/>
        <w:right w:val="none" w:sz="0" w:space="0" w:color="auto"/>
      </w:divBdr>
    </w:div>
    <w:div w:id="710958710">
      <w:bodyDiv w:val="1"/>
      <w:marLeft w:val="0"/>
      <w:marRight w:val="0"/>
      <w:marTop w:val="0"/>
      <w:marBottom w:val="0"/>
      <w:divBdr>
        <w:top w:val="none" w:sz="0" w:space="0" w:color="auto"/>
        <w:left w:val="none" w:sz="0" w:space="0" w:color="auto"/>
        <w:bottom w:val="none" w:sz="0" w:space="0" w:color="auto"/>
        <w:right w:val="none" w:sz="0" w:space="0" w:color="auto"/>
      </w:divBdr>
    </w:div>
    <w:div w:id="801579208">
      <w:bodyDiv w:val="1"/>
      <w:marLeft w:val="0"/>
      <w:marRight w:val="0"/>
      <w:marTop w:val="0"/>
      <w:marBottom w:val="0"/>
      <w:divBdr>
        <w:top w:val="none" w:sz="0" w:space="0" w:color="auto"/>
        <w:left w:val="none" w:sz="0" w:space="0" w:color="auto"/>
        <w:bottom w:val="none" w:sz="0" w:space="0" w:color="auto"/>
        <w:right w:val="none" w:sz="0" w:space="0" w:color="auto"/>
      </w:divBdr>
    </w:div>
    <w:div w:id="1006251282">
      <w:bodyDiv w:val="1"/>
      <w:marLeft w:val="0"/>
      <w:marRight w:val="0"/>
      <w:marTop w:val="0"/>
      <w:marBottom w:val="0"/>
      <w:divBdr>
        <w:top w:val="none" w:sz="0" w:space="0" w:color="auto"/>
        <w:left w:val="none" w:sz="0" w:space="0" w:color="auto"/>
        <w:bottom w:val="none" w:sz="0" w:space="0" w:color="auto"/>
        <w:right w:val="none" w:sz="0" w:space="0" w:color="auto"/>
      </w:divBdr>
    </w:div>
    <w:div w:id="1200902004">
      <w:bodyDiv w:val="1"/>
      <w:marLeft w:val="0"/>
      <w:marRight w:val="0"/>
      <w:marTop w:val="0"/>
      <w:marBottom w:val="0"/>
      <w:divBdr>
        <w:top w:val="none" w:sz="0" w:space="0" w:color="auto"/>
        <w:left w:val="none" w:sz="0" w:space="0" w:color="auto"/>
        <w:bottom w:val="none" w:sz="0" w:space="0" w:color="auto"/>
        <w:right w:val="none" w:sz="0" w:space="0" w:color="auto"/>
      </w:divBdr>
    </w:div>
    <w:div w:id="1377438022">
      <w:bodyDiv w:val="1"/>
      <w:marLeft w:val="0"/>
      <w:marRight w:val="0"/>
      <w:marTop w:val="0"/>
      <w:marBottom w:val="0"/>
      <w:divBdr>
        <w:top w:val="none" w:sz="0" w:space="0" w:color="auto"/>
        <w:left w:val="none" w:sz="0" w:space="0" w:color="auto"/>
        <w:bottom w:val="none" w:sz="0" w:space="0" w:color="auto"/>
        <w:right w:val="none" w:sz="0" w:space="0" w:color="auto"/>
      </w:divBdr>
    </w:div>
    <w:div w:id="1638678051">
      <w:bodyDiv w:val="1"/>
      <w:marLeft w:val="0"/>
      <w:marRight w:val="0"/>
      <w:marTop w:val="0"/>
      <w:marBottom w:val="0"/>
      <w:divBdr>
        <w:top w:val="none" w:sz="0" w:space="0" w:color="auto"/>
        <w:left w:val="none" w:sz="0" w:space="0" w:color="auto"/>
        <w:bottom w:val="none" w:sz="0" w:space="0" w:color="auto"/>
        <w:right w:val="none" w:sz="0" w:space="0" w:color="auto"/>
      </w:divBdr>
    </w:div>
    <w:div w:id="1811552684">
      <w:bodyDiv w:val="1"/>
      <w:marLeft w:val="0"/>
      <w:marRight w:val="0"/>
      <w:marTop w:val="0"/>
      <w:marBottom w:val="0"/>
      <w:divBdr>
        <w:top w:val="none" w:sz="0" w:space="0" w:color="auto"/>
        <w:left w:val="none" w:sz="0" w:space="0" w:color="auto"/>
        <w:bottom w:val="none" w:sz="0" w:space="0" w:color="auto"/>
        <w:right w:val="none" w:sz="0" w:space="0" w:color="auto"/>
      </w:divBdr>
    </w:div>
    <w:div w:id="1917745398">
      <w:bodyDiv w:val="1"/>
      <w:marLeft w:val="0"/>
      <w:marRight w:val="0"/>
      <w:marTop w:val="0"/>
      <w:marBottom w:val="0"/>
      <w:divBdr>
        <w:top w:val="none" w:sz="0" w:space="0" w:color="auto"/>
        <w:left w:val="none" w:sz="0" w:space="0" w:color="auto"/>
        <w:bottom w:val="none" w:sz="0" w:space="0" w:color="auto"/>
        <w:right w:val="none" w:sz="0" w:space="0" w:color="auto"/>
      </w:divBdr>
    </w:div>
    <w:div w:id="19543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zone.unep.org/treaties/montreal-protoco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DB2F60F8C5662C4F8E8F813B33978036" ma:contentTypeVersion="8" ma:contentTypeDescription="Create a new Word Document" ma:contentTypeScope="" ma:versionID="d682cfe8b57a2e63f1c9ad2e1904f1b7">
  <xsd:schema xmlns:xsd="http://www.w3.org/2001/XMLSchema" xmlns:xs="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1201fbac-4e05-4e09-943f-b1daffa0ea6b" xsi:nil="true"/>
    <DocumentDescription xmlns="1201fbac-4e05-4e09-943f-b1daffa0ea6b" xsi:nil="true"/>
    <Approval xmlns="1201fbac-4e05-4e09-943f-b1daffa0ea6b" xsi:nil="true"/>
    <Function xmlns="1201fbac-4e05-4e09-943f-b1daffa0ea6b">Regulation</Function>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F725-AF75-447A-B385-FD65C6B7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A0A21-22AA-4FB3-83D4-4E929E64B815}">
  <ds:schemaRefs>
    <ds:schemaRef ds:uri="http://schemas.microsoft.com/sharepoint/v3/contenttype/forms"/>
  </ds:schemaRefs>
</ds:datastoreItem>
</file>

<file path=customXml/itemProps3.xml><?xml version="1.0" encoding="utf-8"?>
<ds:datastoreItem xmlns:ds="http://schemas.openxmlformats.org/officeDocument/2006/customXml" ds:itemID="{7FC18E3F-D3B2-4BB8-AA27-86BE1737823A}">
  <ds:schemaRefs>
    <ds:schemaRef ds:uri="http://schemas.microsoft.com/office/infopath/2007/PartnerControls"/>
    <ds:schemaRef ds:uri="http://purl.org/dc/terms/"/>
    <ds:schemaRef ds:uri="http://schemas.microsoft.com/office/2006/metadata/properties"/>
    <ds:schemaRef ds:uri="1201fbac-4e05-4e09-943f-b1daffa0ea6b"/>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0F5998-DCB7-4224-85FD-FA3C5EE4F32E}">
  <ds:schemaRefs>
    <ds:schemaRef ds:uri="http://schemas.microsoft.com/office/2006/metadata/customXsn"/>
  </ds:schemaRefs>
</ds:datastoreItem>
</file>

<file path=customXml/itemProps5.xml><?xml version="1.0" encoding="utf-8"?>
<ds:datastoreItem xmlns:ds="http://schemas.openxmlformats.org/officeDocument/2006/customXml" ds:itemID="{FAB809E7-CA55-4A64-9A52-F95F9B0F063F}">
  <ds:schemaRefs>
    <ds:schemaRef ds:uri="http://schemas.microsoft.com/sharepoint/events"/>
  </ds:schemaRefs>
</ds:datastoreItem>
</file>

<file path=customXml/itemProps6.xml><?xml version="1.0" encoding="utf-8"?>
<ds:datastoreItem xmlns:ds="http://schemas.openxmlformats.org/officeDocument/2006/customXml" ds:itemID="{A5F1DC4F-B2A6-455C-8CFD-707A0594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MS20-000444 - Att D - Explanatory Statement</vt:lpstr>
    </vt:vector>
  </TitlesOfParts>
  <Company>The Department of the Environment</Company>
  <LinksUpToDate>false</LinksUpToDate>
  <CharactersWithSpaces>21605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MS20-000444 - Att D - Explanatory Statement</dc:title>
  <dc:subject/>
  <dc:creator>Hoogstad, James</dc:creator>
  <cp:keywords/>
  <dc:description/>
  <cp:lastModifiedBy>Ball, Katie</cp:lastModifiedBy>
  <cp:revision>2</cp:revision>
  <cp:lastPrinted>2018-11-16T01:40:00Z</cp:lastPrinted>
  <dcterms:created xsi:type="dcterms:W3CDTF">2020-08-13T06:42:00Z</dcterms:created>
  <dcterms:modified xsi:type="dcterms:W3CDTF">2020-08-13T06:42:00Z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0x01010087E80B6A94CF17418D78389AE32387B50100DB2F60F8C5662C4F8E8F813B33978036</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{92b54716-e742-46bf-bd9b-7a785313791b}</vt:lpwstr>
  </property>
  <property fmtid="{D5CDD505-2E9C-101B-9397-08002B2CF9AE}" pid="6" name="RecordPoint_ActiveItemUniqueId">
    <vt:lpwstr>{a7a66857-a2ee-4c95-9776-c02dcf2ff3c1}</vt:lpwstr>
  </property>
  <property fmtid="{D5CDD505-2E9C-101B-9397-08002B2CF9AE}" pid="7" name="RecordPoint_ActiveItemWebId">
    <vt:lpwstr>{7f9972d9-efeb-4043-bafd-239e7b31aa66}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TitusGUID">
    <vt:lpwstr>273cf3a2-638d-4fcd-b299-d19ae324f33e</vt:lpwstr>
  </property>
</Properties>
</file>