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02C7" w14:textId="77777777" w:rsidR="00995E9B" w:rsidRPr="0055077A" w:rsidRDefault="00995E9B" w:rsidP="00995E9B">
      <w:pPr>
        <w:jc w:val="center"/>
        <w:rPr>
          <w:b/>
          <w:szCs w:val="24"/>
        </w:rPr>
      </w:pPr>
      <w:r w:rsidRPr="0055077A">
        <w:rPr>
          <w:b/>
          <w:szCs w:val="24"/>
        </w:rPr>
        <w:t>EXPLANATORY STATEMENT</w:t>
      </w:r>
    </w:p>
    <w:p w14:paraId="146E787E" w14:textId="77777777" w:rsidR="00995E9B" w:rsidRPr="0055077A" w:rsidRDefault="00995E9B" w:rsidP="00995E9B">
      <w:pPr>
        <w:spacing w:before="240"/>
        <w:jc w:val="center"/>
        <w:rPr>
          <w:b/>
          <w:i/>
          <w:szCs w:val="24"/>
        </w:rPr>
      </w:pPr>
      <w:r w:rsidRPr="0055077A">
        <w:rPr>
          <w:b/>
          <w:i/>
          <w:szCs w:val="24"/>
        </w:rPr>
        <w:t>NATIONAL HEALTH ACT 1953</w:t>
      </w:r>
    </w:p>
    <w:p w14:paraId="6D113856" w14:textId="5C874C6B" w:rsidR="00995E9B" w:rsidRPr="0055077A" w:rsidRDefault="00995E9B" w:rsidP="00995E9B">
      <w:pPr>
        <w:spacing w:before="240"/>
        <w:jc w:val="center"/>
        <w:rPr>
          <w:b/>
          <w:i/>
          <w:szCs w:val="24"/>
        </w:rPr>
      </w:pPr>
      <w:r w:rsidRPr="0055077A">
        <w:rPr>
          <w:b/>
          <w:i/>
          <w:szCs w:val="24"/>
        </w:rPr>
        <w:t>NATIONAL HEALTH (CHEMOTHERAPY PRESCRIBING) SPECIAL ARRANGEMENT 2020</w:t>
      </w:r>
    </w:p>
    <w:p w14:paraId="48AB2EC8" w14:textId="6E1477D4" w:rsidR="00995E9B" w:rsidRPr="0055077A" w:rsidRDefault="00995E9B" w:rsidP="00995E9B">
      <w:pPr>
        <w:spacing w:before="120"/>
        <w:jc w:val="center"/>
        <w:rPr>
          <w:b/>
          <w:szCs w:val="24"/>
        </w:rPr>
      </w:pPr>
      <w:r w:rsidRPr="0055077A">
        <w:rPr>
          <w:b/>
          <w:szCs w:val="24"/>
        </w:rPr>
        <w:t xml:space="preserve">PB </w:t>
      </w:r>
      <w:r w:rsidR="001912E8" w:rsidRPr="0055077A">
        <w:rPr>
          <w:b/>
          <w:szCs w:val="24"/>
        </w:rPr>
        <w:t>52</w:t>
      </w:r>
      <w:r w:rsidRPr="0055077A">
        <w:rPr>
          <w:b/>
          <w:szCs w:val="24"/>
        </w:rPr>
        <w:t xml:space="preserve"> of </w:t>
      </w:r>
      <w:r w:rsidR="000D40C1" w:rsidRPr="0055077A">
        <w:rPr>
          <w:b/>
          <w:szCs w:val="24"/>
        </w:rPr>
        <w:t>2020</w:t>
      </w:r>
    </w:p>
    <w:p w14:paraId="7CF24687" w14:textId="77777777" w:rsidR="00B2095E" w:rsidRPr="0055077A" w:rsidRDefault="00B2095E" w:rsidP="006D0FE2">
      <w:pPr>
        <w:jc w:val="center"/>
        <w:rPr>
          <w:szCs w:val="24"/>
        </w:rPr>
      </w:pPr>
    </w:p>
    <w:p w14:paraId="22A098AF" w14:textId="77777777" w:rsidR="00995E9B" w:rsidRPr="0055077A" w:rsidRDefault="00995E9B" w:rsidP="00995E9B">
      <w:pPr>
        <w:spacing w:before="120"/>
        <w:rPr>
          <w:b/>
          <w:szCs w:val="24"/>
        </w:rPr>
      </w:pPr>
      <w:r w:rsidRPr="0055077A">
        <w:rPr>
          <w:b/>
          <w:szCs w:val="24"/>
        </w:rPr>
        <w:t>Authority</w:t>
      </w:r>
    </w:p>
    <w:p w14:paraId="060E2BA6" w14:textId="52335EC2" w:rsidR="00995E9B" w:rsidRPr="0055077A" w:rsidRDefault="00995E9B" w:rsidP="00995E9B">
      <w:pPr>
        <w:spacing w:before="120"/>
        <w:jc w:val="both"/>
        <w:rPr>
          <w:szCs w:val="24"/>
        </w:rPr>
      </w:pPr>
      <w:r w:rsidRPr="0055077A">
        <w:rPr>
          <w:szCs w:val="24"/>
        </w:rPr>
        <w:t xml:space="preserve">Subsection 100(1) of the </w:t>
      </w:r>
      <w:r w:rsidRPr="0055077A">
        <w:rPr>
          <w:i/>
          <w:szCs w:val="24"/>
        </w:rPr>
        <w:t>National Health Act 1953</w:t>
      </w:r>
      <w:r w:rsidRPr="0055077A">
        <w:rPr>
          <w:szCs w:val="24"/>
        </w:rPr>
        <w:t xml:space="preserve"> (the Act) enables the Minister to make special arrangements for</w:t>
      </w:r>
      <w:r w:rsidR="006662CA" w:rsidRPr="0055077A">
        <w:rPr>
          <w:szCs w:val="24"/>
        </w:rPr>
        <w:t xml:space="preserve"> providing an adequate</w:t>
      </w:r>
      <w:r w:rsidRPr="0055077A">
        <w:rPr>
          <w:szCs w:val="24"/>
        </w:rPr>
        <w:t xml:space="preserve"> supply of pharmaceutical benefits.  </w:t>
      </w:r>
    </w:p>
    <w:p w14:paraId="68AD2A03" w14:textId="77777777" w:rsidR="00995E9B" w:rsidRPr="0055077A" w:rsidRDefault="00995E9B" w:rsidP="00995E9B">
      <w:pPr>
        <w:spacing w:before="120"/>
        <w:jc w:val="both"/>
        <w:rPr>
          <w:szCs w:val="24"/>
        </w:rPr>
      </w:pPr>
      <w:r w:rsidRPr="0055077A">
        <w:rPr>
          <w:szCs w:val="24"/>
        </w:rPr>
        <w:t>Subsection 100(3) of the Act provides that Part VII of the Act, and instruments made for the purposes of Part VII, have effect subject to a special arrangement made under subsection 100(1).</w:t>
      </w:r>
    </w:p>
    <w:p w14:paraId="00CCA7B7" w14:textId="77777777" w:rsidR="00995E9B" w:rsidRPr="0055077A" w:rsidRDefault="00995E9B" w:rsidP="00995E9B">
      <w:pPr>
        <w:spacing w:before="240"/>
        <w:rPr>
          <w:b/>
          <w:szCs w:val="24"/>
        </w:rPr>
      </w:pPr>
      <w:r w:rsidRPr="0055077A">
        <w:rPr>
          <w:b/>
          <w:szCs w:val="24"/>
        </w:rPr>
        <w:t>Purpose</w:t>
      </w:r>
    </w:p>
    <w:p w14:paraId="464AC75C" w14:textId="73BC05E5" w:rsidR="00995E9B" w:rsidRPr="0055077A" w:rsidRDefault="00F046F9" w:rsidP="00995E9B">
      <w:pPr>
        <w:spacing w:before="120"/>
        <w:jc w:val="both"/>
        <w:rPr>
          <w:szCs w:val="24"/>
        </w:rPr>
      </w:pPr>
      <w:r w:rsidRPr="0055077A">
        <w:rPr>
          <w:szCs w:val="24"/>
        </w:rPr>
        <w:t xml:space="preserve">The purpose of the </w:t>
      </w:r>
      <w:r w:rsidRPr="0055077A">
        <w:rPr>
          <w:i/>
          <w:szCs w:val="24"/>
        </w:rPr>
        <w:t xml:space="preserve">National Health (Chemotherapy Prescribing) Special Arrangement 2020 </w:t>
      </w:r>
      <w:r w:rsidRPr="0055077A">
        <w:rPr>
          <w:szCs w:val="24"/>
        </w:rPr>
        <w:t>(thi</w:t>
      </w:r>
      <w:r w:rsidR="00995E9B" w:rsidRPr="0055077A">
        <w:rPr>
          <w:szCs w:val="24"/>
        </w:rPr>
        <w:t xml:space="preserve">s </w:t>
      </w:r>
      <w:r w:rsidR="00115FF8" w:rsidRPr="0055077A">
        <w:rPr>
          <w:szCs w:val="24"/>
        </w:rPr>
        <w:t>Special Arrangement</w:t>
      </w:r>
      <w:r w:rsidRPr="0055077A">
        <w:rPr>
          <w:szCs w:val="24"/>
        </w:rPr>
        <w:t>)</w:t>
      </w:r>
      <w:r w:rsidR="00995E9B" w:rsidRPr="0055077A">
        <w:rPr>
          <w:szCs w:val="24"/>
        </w:rPr>
        <w:t xml:space="preserve">, made under subsection </w:t>
      </w:r>
      <w:r w:rsidRPr="0055077A">
        <w:rPr>
          <w:szCs w:val="24"/>
        </w:rPr>
        <w:t>100(1</w:t>
      </w:r>
      <w:r w:rsidR="00995E9B" w:rsidRPr="0055077A">
        <w:rPr>
          <w:szCs w:val="24"/>
        </w:rPr>
        <w:t>) of the Act, is to</w:t>
      </w:r>
      <w:r w:rsidRPr="0055077A">
        <w:rPr>
          <w:szCs w:val="24"/>
        </w:rPr>
        <w:t xml:space="preserve"> make a special arrangement to make the supply of certain pharmaceutical benefits to patients who have been prescribed certain pharmaceutical benefits for the purposes of chemotherapy more efficient and convenient. </w:t>
      </w:r>
      <w:r w:rsidR="00995E9B" w:rsidRPr="0055077A">
        <w:rPr>
          <w:szCs w:val="24"/>
        </w:rPr>
        <w:t xml:space="preserve"> </w:t>
      </w:r>
    </w:p>
    <w:p w14:paraId="06FA7B54" w14:textId="6C522DC2" w:rsidR="00F046F9" w:rsidRPr="0055077A" w:rsidRDefault="00F046F9" w:rsidP="00F046F9">
      <w:pPr>
        <w:spacing w:before="120"/>
        <w:jc w:val="both"/>
        <w:rPr>
          <w:szCs w:val="24"/>
        </w:rPr>
      </w:pPr>
      <w:r w:rsidRPr="0055077A">
        <w:rPr>
          <w:szCs w:val="24"/>
        </w:rPr>
        <w:t xml:space="preserve">This </w:t>
      </w:r>
      <w:r w:rsidR="00115FF8" w:rsidRPr="0055077A">
        <w:rPr>
          <w:szCs w:val="24"/>
        </w:rPr>
        <w:t xml:space="preserve">Special Arrangement </w:t>
      </w:r>
      <w:r w:rsidRPr="0055077A">
        <w:rPr>
          <w:szCs w:val="24"/>
        </w:rPr>
        <w:t xml:space="preserve">modifies arrangements for prescribing the supply of pharmaceutical benefits available for general supply, to enable them to be prescribed using a medication chart also used to prescribe the person an infusion or related chemotherapy benefit under the </w:t>
      </w:r>
      <w:r w:rsidRPr="0055077A">
        <w:rPr>
          <w:i/>
          <w:szCs w:val="24"/>
        </w:rPr>
        <w:t>National Health (Efficient Funding of Chemotherapy) Special Arrangement 2011</w:t>
      </w:r>
      <w:r w:rsidR="00F94D53" w:rsidRPr="0055077A">
        <w:rPr>
          <w:szCs w:val="24"/>
        </w:rPr>
        <w:t xml:space="preserve"> (the EFC Special Arrangement).</w:t>
      </w:r>
    </w:p>
    <w:p w14:paraId="100424C6" w14:textId="54FE13B5" w:rsidR="00CA60C5" w:rsidRPr="0055077A" w:rsidRDefault="00F046F9" w:rsidP="00F046F9">
      <w:pPr>
        <w:spacing w:before="120"/>
        <w:jc w:val="both"/>
        <w:rPr>
          <w:szCs w:val="24"/>
        </w:rPr>
      </w:pPr>
      <w:r w:rsidRPr="0055077A">
        <w:rPr>
          <w:szCs w:val="24"/>
        </w:rPr>
        <w:t>The</w:t>
      </w:r>
      <w:r w:rsidR="00F94D53" w:rsidRPr="0055077A">
        <w:rPr>
          <w:szCs w:val="24"/>
        </w:rPr>
        <w:t xml:space="preserve"> EFC Special Arrangement</w:t>
      </w:r>
      <w:r w:rsidRPr="0055077A">
        <w:rPr>
          <w:szCs w:val="24"/>
        </w:rPr>
        <w:t xml:space="preserve"> </w:t>
      </w:r>
      <w:r w:rsidR="006662CA" w:rsidRPr="0055077A">
        <w:rPr>
          <w:szCs w:val="24"/>
        </w:rPr>
        <w:t xml:space="preserve">deals with supply under </w:t>
      </w:r>
      <w:r w:rsidRPr="0055077A">
        <w:rPr>
          <w:szCs w:val="24"/>
        </w:rPr>
        <w:t>the Pharmaceutical Benefits Scheme (PBS) of infused chemotherapy medicines to eligible patients being treated in, at or from approved public and private hospitals</w:t>
      </w:r>
      <w:r w:rsidR="00C03EA8" w:rsidRPr="0055077A">
        <w:rPr>
          <w:szCs w:val="24"/>
        </w:rPr>
        <w:t xml:space="preserve">. </w:t>
      </w:r>
      <w:r w:rsidRPr="0055077A">
        <w:rPr>
          <w:szCs w:val="24"/>
        </w:rPr>
        <w:t>The</w:t>
      </w:r>
      <w:r w:rsidR="00F94D53" w:rsidRPr="0055077A">
        <w:rPr>
          <w:szCs w:val="24"/>
        </w:rPr>
        <w:t xml:space="preserve"> EFC Special Arrangement </w:t>
      </w:r>
      <w:r w:rsidRPr="0055077A">
        <w:rPr>
          <w:szCs w:val="24"/>
        </w:rPr>
        <w:t>also</w:t>
      </w:r>
      <w:r w:rsidR="006662CA" w:rsidRPr="0055077A">
        <w:rPr>
          <w:szCs w:val="24"/>
        </w:rPr>
        <w:t xml:space="preserve"> deals with </w:t>
      </w:r>
      <w:r w:rsidRPr="0055077A">
        <w:rPr>
          <w:szCs w:val="24"/>
        </w:rPr>
        <w:t>the supply of PBS medicines associated with the side-effects of cancer and cancer treatment (‘related pharmaceutical benefits’) at certain public hospitals.</w:t>
      </w:r>
      <w:r w:rsidR="00CA60C5" w:rsidRPr="0055077A">
        <w:rPr>
          <w:szCs w:val="24"/>
        </w:rPr>
        <w:t xml:space="preserve"> </w:t>
      </w:r>
    </w:p>
    <w:p w14:paraId="373DA7F4" w14:textId="63E40E6A" w:rsidR="004942DC" w:rsidRPr="0055077A" w:rsidRDefault="004942DC" w:rsidP="00F046F9">
      <w:pPr>
        <w:spacing w:before="120"/>
        <w:jc w:val="both"/>
        <w:rPr>
          <w:szCs w:val="24"/>
        </w:rPr>
      </w:pPr>
      <w:r w:rsidRPr="0055077A">
        <w:rPr>
          <w:szCs w:val="24"/>
        </w:rPr>
        <w:t xml:space="preserve">The EFC Special Arrangement is being amended to allow prescriptions for both infused chemotherapy medicines and related pharmaceutical benefits to be written using a 'chemotherapy medication chart'. Chemotherapy medication charts are not required to be in one of the standard approved forms for medication charts used to write PBS prescriptions. </w:t>
      </w:r>
    </w:p>
    <w:p w14:paraId="4C5E9C17" w14:textId="5252205D" w:rsidR="00C03EA8" w:rsidRPr="0055077A" w:rsidRDefault="00367870" w:rsidP="00F046F9">
      <w:pPr>
        <w:spacing w:before="120"/>
        <w:jc w:val="both"/>
        <w:rPr>
          <w:szCs w:val="24"/>
        </w:rPr>
      </w:pPr>
      <w:r w:rsidRPr="0055077A">
        <w:rPr>
          <w:szCs w:val="24"/>
        </w:rPr>
        <w:t xml:space="preserve">This </w:t>
      </w:r>
      <w:r w:rsidR="00115FF8" w:rsidRPr="0055077A">
        <w:rPr>
          <w:szCs w:val="24"/>
        </w:rPr>
        <w:t>Special Arrangement</w:t>
      </w:r>
      <w:r w:rsidRPr="0055077A">
        <w:rPr>
          <w:szCs w:val="24"/>
        </w:rPr>
        <w:t xml:space="preserve"> will </w:t>
      </w:r>
      <w:r w:rsidR="00C03EA8" w:rsidRPr="0055077A">
        <w:rPr>
          <w:szCs w:val="24"/>
        </w:rPr>
        <w:t>enable prescription</w:t>
      </w:r>
      <w:r w:rsidR="004942DC" w:rsidRPr="0055077A">
        <w:rPr>
          <w:szCs w:val="24"/>
        </w:rPr>
        <w:t xml:space="preserve">s for pharmaceutical benefits available for general supply to be written on a chemotherapy </w:t>
      </w:r>
      <w:r w:rsidR="00C03EA8" w:rsidRPr="0055077A">
        <w:rPr>
          <w:szCs w:val="24"/>
        </w:rPr>
        <w:t xml:space="preserve">medication chart </w:t>
      </w:r>
      <w:r w:rsidR="004942DC" w:rsidRPr="0055077A">
        <w:rPr>
          <w:szCs w:val="24"/>
        </w:rPr>
        <w:t>that is also being used to prescribe a chemotherapy infusion or related pharmaceutical benefit</w:t>
      </w:r>
      <w:r w:rsidR="00C03EA8" w:rsidRPr="0055077A">
        <w:rPr>
          <w:szCs w:val="24"/>
        </w:rPr>
        <w:t xml:space="preserve">. </w:t>
      </w:r>
      <w:r w:rsidR="00E16840" w:rsidRPr="0055077A">
        <w:rPr>
          <w:szCs w:val="24"/>
        </w:rPr>
        <w:t>Th</w:t>
      </w:r>
      <w:r w:rsidR="004942DC" w:rsidRPr="0055077A">
        <w:rPr>
          <w:szCs w:val="24"/>
        </w:rPr>
        <w:t xml:space="preserve">is </w:t>
      </w:r>
      <w:r w:rsidR="00115FF8" w:rsidRPr="0055077A">
        <w:rPr>
          <w:szCs w:val="24"/>
        </w:rPr>
        <w:t xml:space="preserve">Special Arrangement </w:t>
      </w:r>
      <w:r w:rsidR="004942DC" w:rsidRPr="0055077A">
        <w:rPr>
          <w:szCs w:val="24"/>
        </w:rPr>
        <w:t xml:space="preserve">will enable these prescriptions to be written </w:t>
      </w:r>
      <w:r w:rsidR="00E16840" w:rsidRPr="0055077A">
        <w:rPr>
          <w:szCs w:val="24"/>
        </w:rPr>
        <w:t xml:space="preserve">via </w:t>
      </w:r>
      <w:r w:rsidR="004942DC" w:rsidRPr="0055077A">
        <w:rPr>
          <w:szCs w:val="24"/>
        </w:rPr>
        <w:t xml:space="preserve">an </w:t>
      </w:r>
      <w:r w:rsidR="00E16840" w:rsidRPr="0055077A">
        <w:rPr>
          <w:szCs w:val="24"/>
        </w:rPr>
        <w:t>electronic chemotherapy medication chart, w</w:t>
      </w:r>
      <w:r w:rsidR="002B5A06" w:rsidRPr="0055077A">
        <w:rPr>
          <w:szCs w:val="24"/>
        </w:rPr>
        <w:t>i</w:t>
      </w:r>
      <w:r w:rsidR="00E16840" w:rsidRPr="0055077A">
        <w:rPr>
          <w:szCs w:val="24"/>
        </w:rPr>
        <w:t xml:space="preserve">thout the requirement for the original paper prescription, to reduce contact with vulnerable patients.  </w:t>
      </w:r>
    </w:p>
    <w:p w14:paraId="5D8D9A36" w14:textId="26029082" w:rsidR="00995E9B" w:rsidRPr="0055077A" w:rsidRDefault="00995E9B" w:rsidP="001958DA">
      <w:pPr>
        <w:spacing w:before="120"/>
        <w:jc w:val="both"/>
        <w:rPr>
          <w:szCs w:val="24"/>
        </w:rPr>
      </w:pPr>
      <w:r w:rsidRPr="0055077A">
        <w:rPr>
          <w:szCs w:val="24"/>
        </w:rPr>
        <w:t xml:space="preserve">A description of this </w:t>
      </w:r>
      <w:r w:rsidR="00115FF8" w:rsidRPr="0055077A">
        <w:rPr>
          <w:szCs w:val="24"/>
        </w:rPr>
        <w:t>Speci</w:t>
      </w:r>
      <w:r w:rsidR="00413EF2" w:rsidRPr="0055077A">
        <w:rPr>
          <w:szCs w:val="24"/>
        </w:rPr>
        <w:t>a</w:t>
      </w:r>
      <w:r w:rsidR="00115FF8" w:rsidRPr="0055077A">
        <w:rPr>
          <w:szCs w:val="24"/>
        </w:rPr>
        <w:t xml:space="preserve">l Arrangement </w:t>
      </w:r>
      <w:r w:rsidRPr="0055077A">
        <w:rPr>
          <w:szCs w:val="24"/>
        </w:rPr>
        <w:t>is contained in the Attachment.</w:t>
      </w:r>
    </w:p>
    <w:p w14:paraId="352CA8DA" w14:textId="77777777" w:rsidR="00D566D1" w:rsidRPr="0055077A" w:rsidRDefault="00D566D1" w:rsidP="00995E9B">
      <w:pPr>
        <w:spacing w:before="240"/>
        <w:rPr>
          <w:b/>
          <w:szCs w:val="24"/>
        </w:rPr>
      </w:pPr>
    </w:p>
    <w:p w14:paraId="42B9A018" w14:textId="77777777" w:rsidR="00D566D1" w:rsidRPr="0055077A" w:rsidRDefault="00D566D1" w:rsidP="00995E9B">
      <w:pPr>
        <w:spacing w:before="240"/>
        <w:rPr>
          <w:b/>
          <w:szCs w:val="24"/>
        </w:rPr>
      </w:pPr>
    </w:p>
    <w:p w14:paraId="1C61FEE2" w14:textId="1A9434C8" w:rsidR="00995E9B" w:rsidRPr="0055077A" w:rsidRDefault="00995E9B" w:rsidP="00995E9B">
      <w:pPr>
        <w:spacing w:before="240"/>
        <w:rPr>
          <w:b/>
          <w:szCs w:val="24"/>
        </w:rPr>
      </w:pPr>
      <w:r w:rsidRPr="0055077A">
        <w:rPr>
          <w:b/>
          <w:szCs w:val="24"/>
        </w:rPr>
        <w:lastRenderedPageBreak/>
        <w:t>Consultations</w:t>
      </w:r>
    </w:p>
    <w:p w14:paraId="767BE1D7" w14:textId="77777777" w:rsidR="00995E9B" w:rsidRPr="0055077A" w:rsidRDefault="00995E9B" w:rsidP="00995E9B">
      <w:pPr>
        <w:jc w:val="both"/>
        <w:rPr>
          <w:szCs w:val="24"/>
        </w:rPr>
      </w:pPr>
    </w:p>
    <w:p w14:paraId="0993E8B9" w14:textId="1BAA191F" w:rsidR="00995E9B" w:rsidRPr="0055077A" w:rsidRDefault="00995E9B" w:rsidP="00995E9B">
      <w:pPr>
        <w:jc w:val="both"/>
        <w:rPr>
          <w:szCs w:val="24"/>
        </w:rPr>
      </w:pPr>
      <w:r w:rsidRPr="0055077A">
        <w:rPr>
          <w:szCs w:val="24"/>
        </w:rPr>
        <w:t xml:space="preserve">Chemotherapy Compounders </w:t>
      </w:r>
      <w:r w:rsidR="001C3C64" w:rsidRPr="0055077A">
        <w:rPr>
          <w:szCs w:val="24"/>
        </w:rPr>
        <w:t xml:space="preserve">have formed part of ongoing discussions in relation to this </w:t>
      </w:r>
      <w:r w:rsidR="00115FF8" w:rsidRPr="0055077A">
        <w:rPr>
          <w:szCs w:val="24"/>
        </w:rPr>
        <w:t xml:space="preserve">Special Arrangement </w:t>
      </w:r>
      <w:r w:rsidR="001C3C64" w:rsidRPr="0055077A">
        <w:rPr>
          <w:szCs w:val="24"/>
        </w:rPr>
        <w:t>and other amendments relating to the prescriptions and supply of chemotherapy medications</w:t>
      </w:r>
      <w:r w:rsidR="005849B7" w:rsidRPr="0055077A">
        <w:rPr>
          <w:szCs w:val="24"/>
        </w:rPr>
        <w:t>, particularly as it may impact on vulnerable patients during the COVID-19 crisis</w:t>
      </w:r>
      <w:r w:rsidR="00CA60C5" w:rsidRPr="0055077A">
        <w:rPr>
          <w:szCs w:val="24"/>
        </w:rPr>
        <w:t xml:space="preserve">. </w:t>
      </w:r>
      <w:r w:rsidRPr="0055077A">
        <w:rPr>
          <w:szCs w:val="24"/>
        </w:rPr>
        <w:t>Consultation also occurred with Services Australia and with relevant areas within the Department of Health.</w:t>
      </w:r>
    </w:p>
    <w:p w14:paraId="0A53BF2D" w14:textId="68160C17" w:rsidR="00995E9B" w:rsidRPr="0055077A" w:rsidRDefault="00995E9B" w:rsidP="00995E9B">
      <w:pPr>
        <w:spacing w:before="120"/>
        <w:jc w:val="both"/>
        <w:rPr>
          <w:szCs w:val="24"/>
        </w:rPr>
      </w:pPr>
      <w:r w:rsidRPr="0055077A">
        <w:rPr>
          <w:szCs w:val="24"/>
        </w:rPr>
        <w:t xml:space="preserve">This </w:t>
      </w:r>
      <w:r w:rsidR="00115FF8" w:rsidRPr="0055077A">
        <w:rPr>
          <w:szCs w:val="24"/>
        </w:rPr>
        <w:t xml:space="preserve">Special Arrangement </w:t>
      </w:r>
      <w:r w:rsidRPr="0055077A">
        <w:rPr>
          <w:szCs w:val="24"/>
        </w:rPr>
        <w:t xml:space="preserve">commences </w:t>
      </w:r>
      <w:r w:rsidR="00CA60C5" w:rsidRPr="0055077A">
        <w:rPr>
          <w:szCs w:val="24"/>
        </w:rPr>
        <w:t xml:space="preserve">at the same time as the commencement of the </w:t>
      </w:r>
      <w:r w:rsidR="00CA60C5" w:rsidRPr="0055077A">
        <w:rPr>
          <w:i/>
          <w:szCs w:val="24"/>
        </w:rPr>
        <w:t>National Health (Efficient Funding of Chemotherapy) Amendment (COVID-19 Simplified Prescribing) Special Arrangement 2020</w:t>
      </w:r>
      <w:r w:rsidRPr="0055077A">
        <w:rPr>
          <w:szCs w:val="24"/>
        </w:rPr>
        <w:t>.</w:t>
      </w:r>
    </w:p>
    <w:p w14:paraId="49D9DD24" w14:textId="2C0C235C" w:rsidR="00995E9B" w:rsidRPr="0055077A" w:rsidRDefault="00995E9B" w:rsidP="00995E9B">
      <w:pPr>
        <w:spacing w:before="120"/>
        <w:jc w:val="both"/>
        <w:rPr>
          <w:szCs w:val="24"/>
        </w:rPr>
      </w:pPr>
      <w:r w:rsidRPr="0055077A">
        <w:rPr>
          <w:szCs w:val="24"/>
        </w:rPr>
        <w:t xml:space="preserve">This </w:t>
      </w:r>
      <w:r w:rsidR="00115FF8" w:rsidRPr="0055077A">
        <w:rPr>
          <w:szCs w:val="24"/>
        </w:rPr>
        <w:t>Special Arrangement</w:t>
      </w:r>
      <w:r w:rsidRPr="0055077A">
        <w:rPr>
          <w:szCs w:val="24"/>
        </w:rPr>
        <w:t xml:space="preserve"> is a legislative instrument for the purposes of the </w:t>
      </w:r>
      <w:r w:rsidRPr="0055077A">
        <w:rPr>
          <w:i/>
          <w:szCs w:val="24"/>
        </w:rPr>
        <w:t>Legislation Act 2003</w:t>
      </w:r>
      <w:r w:rsidRPr="0055077A">
        <w:rPr>
          <w:szCs w:val="24"/>
        </w:rPr>
        <w:t>.</w:t>
      </w:r>
    </w:p>
    <w:p w14:paraId="38C0D08D" w14:textId="3ED20097" w:rsidR="00702AF5" w:rsidRPr="0055077A" w:rsidRDefault="00702AF5" w:rsidP="00287127">
      <w:pPr>
        <w:tabs>
          <w:tab w:val="left" w:pos="4536"/>
          <w:tab w:val="left" w:pos="5670"/>
        </w:tabs>
        <w:rPr>
          <w:szCs w:val="24"/>
        </w:rPr>
        <w:sectPr w:rsidR="00702AF5" w:rsidRPr="0055077A" w:rsidSect="00DB6405">
          <w:headerReference w:type="even" r:id="rId8"/>
          <w:headerReference w:type="default" r:id="rId9"/>
          <w:footerReference w:type="default" r:id="rId10"/>
          <w:headerReference w:type="first" r:id="rId11"/>
          <w:pgSz w:w="11906" w:h="16838"/>
          <w:pgMar w:top="1440" w:right="1440" w:bottom="1440" w:left="1440" w:header="720" w:footer="720" w:gutter="0"/>
          <w:paperSrc w:first="7" w:other="7"/>
          <w:pgNumType w:start="1"/>
          <w:cols w:space="720"/>
          <w:docGrid w:linePitch="326"/>
        </w:sectPr>
      </w:pPr>
      <w:r w:rsidRPr="0055077A">
        <w:rPr>
          <w:szCs w:val="24"/>
        </w:rPr>
        <w:tab/>
      </w:r>
      <w:r w:rsidRPr="0055077A">
        <w:rPr>
          <w:szCs w:val="24"/>
        </w:rPr>
        <w:tab/>
      </w:r>
      <w:r w:rsidRPr="0055077A">
        <w:rPr>
          <w:szCs w:val="24"/>
        </w:rPr>
        <w:tab/>
      </w:r>
      <w:r w:rsidRPr="0055077A">
        <w:rPr>
          <w:szCs w:val="24"/>
        </w:rPr>
        <w:tab/>
      </w:r>
    </w:p>
    <w:p w14:paraId="2F1A3803" w14:textId="77777777" w:rsidR="005F04DC" w:rsidRPr="0055077A" w:rsidRDefault="005F04DC" w:rsidP="00BE6776">
      <w:pPr>
        <w:pStyle w:val="Subtitle"/>
      </w:pPr>
    </w:p>
    <w:p w14:paraId="414E58F7" w14:textId="77777777" w:rsidR="00904A97" w:rsidRPr="0055077A" w:rsidRDefault="00904A97" w:rsidP="00904A97">
      <w:pPr>
        <w:ind w:right="91"/>
        <w:jc w:val="right"/>
      </w:pPr>
      <w:r w:rsidRPr="0055077A">
        <w:rPr>
          <w:b/>
        </w:rPr>
        <w:t>ATTACHMENT</w:t>
      </w:r>
    </w:p>
    <w:p w14:paraId="75B7C263" w14:textId="77777777" w:rsidR="00904A97" w:rsidRPr="0055077A" w:rsidRDefault="00904A97" w:rsidP="00904A97">
      <w:pPr>
        <w:ind w:right="91"/>
        <w:jc w:val="right"/>
      </w:pPr>
    </w:p>
    <w:p w14:paraId="78F90E36" w14:textId="6612BD7F" w:rsidR="00995E9B" w:rsidRPr="0055077A" w:rsidRDefault="00995E9B" w:rsidP="00995E9B">
      <w:pPr>
        <w:spacing w:before="240"/>
        <w:jc w:val="center"/>
        <w:rPr>
          <w:b/>
          <w:i/>
          <w:szCs w:val="24"/>
        </w:rPr>
      </w:pPr>
      <w:r w:rsidRPr="0055077A">
        <w:rPr>
          <w:b/>
          <w:szCs w:val="24"/>
        </w:rPr>
        <w:t xml:space="preserve">DESCRIPTION OF </w:t>
      </w:r>
      <w:r w:rsidRPr="0055077A">
        <w:rPr>
          <w:b/>
          <w:i/>
          <w:szCs w:val="24"/>
        </w:rPr>
        <w:t>NATIONAL HEALTH (CHEMOTHERAPY PRESCRIBING) SPECIAL ARRANGEMENT 2020</w:t>
      </w:r>
    </w:p>
    <w:p w14:paraId="675C22A5" w14:textId="77777777" w:rsidR="00904A97" w:rsidRPr="0055077A" w:rsidRDefault="00904A97" w:rsidP="00904A97">
      <w:pPr>
        <w:ind w:right="91"/>
        <w:rPr>
          <w:szCs w:val="24"/>
        </w:rPr>
      </w:pPr>
    </w:p>
    <w:p w14:paraId="54AA0349" w14:textId="318EC511" w:rsidR="00904A97" w:rsidRPr="0055077A" w:rsidRDefault="00904A97" w:rsidP="00904A97">
      <w:pPr>
        <w:ind w:right="91"/>
        <w:rPr>
          <w:szCs w:val="24"/>
        </w:rPr>
      </w:pPr>
      <w:r w:rsidRPr="0055077A">
        <w:rPr>
          <w:szCs w:val="24"/>
          <w:u w:val="single"/>
        </w:rPr>
        <w:t xml:space="preserve">Section 1 - Name of </w:t>
      </w:r>
      <w:r w:rsidR="005F0655" w:rsidRPr="0055077A">
        <w:rPr>
          <w:szCs w:val="24"/>
          <w:u w:val="single"/>
        </w:rPr>
        <w:t>Special Arrangement</w:t>
      </w:r>
    </w:p>
    <w:p w14:paraId="194CDE37" w14:textId="77777777" w:rsidR="00904A97" w:rsidRPr="0055077A" w:rsidRDefault="00904A97" w:rsidP="00904A97">
      <w:pPr>
        <w:ind w:right="91"/>
        <w:rPr>
          <w:szCs w:val="24"/>
        </w:rPr>
      </w:pPr>
    </w:p>
    <w:p w14:paraId="34F59D87" w14:textId="7FEACE57" w:rsidR="00904A97" w:rsidRPr="0055077A" w:rsidRDefault="00904A97" w:rsidP="00904A97">
      <w:pPr>
        <w:ind w:right="91"/>
      </w:pPr>
      <w:r w:rsidRPr="0055077A">
        <w:rPr>
          <w:szCs w:val="24"/>
        </w:rPr>
        <w:t>This section</w:t>
      </w:r>
      <w:r w:rsidR="009841E0" w:rsidRPr="0055077A">
        <w:rPr>
          <w:szCs w:val="24"/>
        </w:rPr>
        <w:t xml:space="preserve"> pro</w:t>
      </w:r>
      <w:r w:rsidR="009841E0" w:rsidRPr="0055077A">
        <w:t>vides</w:t>
      </w:r>
      <w:r w:rsidRPr="0055077A">
        <w:t xml:space="preserve"> that the title of th</w:t>
      </w:r>
      <w:r w:rsidR="004C7E03" w:rsidRPr="0055077A">
        <w:t xml:space="preserve">is </w:t>
      </w:r>
      <w:r w:rsidR="00115FF8" w:rsidRPr="0055077A">
        <w:t>Special Arrangement</w:t>
      </w:r>
      <w:r w:rsidR="005F0655" w:rsidRPr="0055077A">
        <w:t xml:space="preserve"> is the </w:t>
      </w:r>
      <w:r w:rsidR="005F0655" w:rsidRPr="0055077A">
        <w:rPr>
          <w:i/>
        </w:rPr>
        <w:t>National Health (Chemotherapy Prescribing) Special Arrangement 2020</w:t>
      </w:r>
      <w:r w:rsidR="00412007" w:rsidRPr="0055077A">
        <w:t xml:space="preserve"> and that it may also be cited as PB </w:t>
      </w:r>
      <w:r w:rsidR="001912E8" w:rsidRPr="0055077A">
        <w:t>52</w:t>
      </w:r>
      <w:r w:rsidR="00412007" w:rsidRPr="0055077A">
        <w:t xml:space="preserve"> of 2020.</w:t>
      </w:r>
      <w:r w:rsidR="005F0655" w:rsidRPr="0055077A">
        <w:t xml:space="preserve"> </w:t>
      </w:r>
    </w:p>
    <w:p w14:paraId="4DA90AB3" w14:textId="77777777" w:rsidR="00904A97" w:rsidRPr="0055077A" w:rsidRDefault="00904A97" w:rsidP="00904A97">
      <w:pPr>
        <w:ind w:right="91"/>
      </w:pPr>
    </w:p>
    <w:p w14:paraId="690C59E1" w14:textId="77777777" w:rsidR="00904A97" w:rsidRPr="0055077A" w:rsidRDefault="00904A97" w:rsidP="00904A97">
      <w:pPr>
        <w:ind w:right="91"/>
        <w:rPr>
          <w:u w:val="single"/>
        </w:rPr>
      </w:pPr>
      <w:r w:rsidRPr="0055077A">
        <w:rPr>
          <w:u w:val="single"/>
        </w:rPr>
        <w:t>Section 2 - Commencement</w:t>
      </w:r>
    </w:p>
    <w:p w14:paraId="19E0F950" w14:textId="77777777" w:rsidR="00904A97" w:rsidRPr="0055077A" w:rsidRDefault="00904A97" w:rsidP="00904A97">
      <w:pPr>
        <w:ind w:right="91"/>
      </w:pPr>
      <w:r w:rsidRPr="0055077A">
        <w:t xml:space="preserve"> </w:t>
      </w:r>
    </w:p>
    <w:p w14:paraId="66C92D1B" w14:textId="5E951E8D" w:rsidR="00904A97" w:rsidRPr="0055077A" w:rsidRDefault="009841E0" w:rsidP="00904A97">
      <w:pPr>
        <w:ind w:right="91"/>
        <w:rPr>
          <w:szCs w:val="24"/>
        </w:rPr>
      </w:pPr>
      <w:r w:rsidRPr="0055077A">
        <w:rPr>
          <w:szCs w:val="24"/>
        </w:rPr>
        <w:t xml:space="preserve">This section </w:t>
      </w:r>
      <w:r w:rsidR="00904A97" w:rsidRPr="0055077A">
        <w:rPr>
          <w:szCs w:val="24"/>
        </w:rPr>
        <w:t>provid</w:t>
      </w:r>
      <w:r w:rsidRPr="0055077A">
        <w:rPr>
          <w:szCs w:val="24"/>
        </w:rPr>
        <w:t xml:space="preserve">es </w:t>
      </w:r>
      <w:r w:rsidR="004C7E03" w:rsidRPr="0055077A">
        <w:rPr>
          <w:szCs w:val="24"/>
        </w:rPr>
        <w:t xml:space="preserve">that this Instrument </w:t>
      </w:r>
      <w:r w:rsidR="00904A97" w:rsidRPr="0055077A">
        <w:rPr>
          <w:szCs w:val="24"/>
        </w:rPr>
        <w:t xml:space="preserve">to commence </w:t>
      </w:r>
      <w:r w:rsidR="004E0128" w:rsidRPr="0055077A">
        <w:rPr>
          <w:szCs w:val="24"/>
        </w:rPr>
        <w:t xml:space="preserve">at the same time as the commencement of the </w:t>
      </w:r>
      <w:r w:rsidR="004E0128" w:rsidRPr="0055077A">
        <w:rPr>
          <w:i/>
          <w:szCs w:val="24"/>
        </w:rPr>
        <w:t>National Health (Efficient Funding of Chemotherapy) Amendment (COVID-19 Simplified Prescribing) Special Arrangement 2020</w:t>
      </w:r>
      <w:r w:rsidR="004E0128" w:rsidRPr="0055077A">
        <w:rPr>
          <w:szCs w:val="24"/>
        </w:rPr>
        <w:t xml:space="preserve">, </w:t>
      </w:r>
      <w:r w:rsidR="00412007" w:rsidRPr="0055077A">
        <w:rPr>
          <w:szCs w:val="24"/>
        </w:rPr>
        <w:t>but will n</w:t>
      </w:r>
      <w:r w:rsidR="004E0128" w:rsidRPr="0055077A">
        <w:rPr>
          <w:szCs w:val="24"/>
        </w:rPr>
        <w:t xml:space="preserve">ot commence </w:t>
      </w:r>
      <w:r w:rsidR="00412007" w:rsidRPr="0055077A">
        <w:rPr>
          <w:szCs w:val="24"/>
        </w:rPr>
        <w:t xml:space="preserve">at all </w:t>
      </w:r>
      <w:r w:rsidR="004E0128" w:rsidRPr="0055077A">
        <w:rPr>
          <w:szCs w:val="24"/>
        </w:rPr>
        <w:t>if th</w:t>
      </w:r>
      <w:r w:rsidR="00412007" w:rsidRPr="0055077A">
        <w:rPr>
          <w:szCs w:val="24"/>
        </w:rPr>
        <w:t>at</w:t>
      </w:r>
      <w:r w:rsidR="004E0128" w:rsidRPr="0055077A">
        <w:rPr>
          <w:szCs w:val="24"/>
        </w:rPr>
        <w:t xml:space="preserve"> event does not occur. </w:t>
      </w:r>
    </w:p>
    <w:p w14:paraId="4ED443BE" w14:textId="77777777" w:rsidR="00904A97" w:rsidRPr="0055077A" w:rsidRDefault="00904A97" w:rsidP="00904A97">
      <w:pPr>
        <w:ind w:right="91"/>
      </w:pPr>
    </w:p>
    <w:p w14:paraId="4037AF2F" w14:textId="77777777" w:rsidR="00904A97" w:rsidRPr="0055077A" w:rsidRDefault="00904A97" w:rsidP="00904A97">
      <w:pPr>
        <w:ind w:right="91"/>
      </w:pPr>
      <w:r w:rsidRPr="0055077A">
        <w:rPr>
          <w:u w:val="single"/>
        </w:rPr>
        <w:t>Section 3 - Authority</w:t>
      </w:r>
    </w:p>
    <w:p w14:paraId="33486BC7" w14:textId="77777777" w:rsidR="00904A97" w:rsidRPr="0055077A" w:rsidRDefault="00904A97" w:rsidP="00904A97">
      <w:pPr>
        <w:ind w:right="91"/>
      </w:pPr>
    </w:p>
    <w:p w14:paraId="7C5B72A1" w14:textId="3AC79CDA" w:rsidR="00904A97" w:rsidRPr="0055077A" w:rsidRDefault="00904A97" w:rsidP="00904A97">
      <w:pPr>
        <w:ind w:right="91"/>
        <w:rPr>
          <w:szCs w:val="24"/>
        </w:rPr>
      </w:pPr>
      <w:r w:rsidRPr="0055077A">
        <w:t>This section provid</w:t>
      </w:r>
      <w:r w:rsidR="009841E0" w:rsidRPr="0055077A">
        <w:t>es</w:t>
      </w:r>
      <w:r w:rsidR="004E0128" w:rsidRPr="0055077A">
        <w:t xml:space="preserve"> that this Instrument is made under subsection 100(1) of the </w:t>
      </w:r>
      <w:r w:rsidRPr="0055077A">
        <w:rPr>
          <w:i/>
          <w:szCs w:val="24"/>
        </w:rPr>
        <w:t>National Health Act 1953</w:t>
      </w:r>
      <w:r w:rsidRPr="0055077A">
        <w:rPr>
          <w:szCs w:val="24"/>
        </w:rPr>
        <w:t xml:space="preserve"> (</w:t>
      </w:r>
      <w:r w:rsidR="00EE15B7" w:rsidRPr="0055077A">
        <w:rPr>
          <w:szCs w:val="24"/>
        </w:rPr>
        <w:t>the</w:t>
      </w:r>
      <w:r w:rsidRPr="0055077A">
        <w:rPr>
          <w:szCs w:val="24"/>
        </w:rPr>
        <w:t xml:space="preserve"> Act).</w:t>
      </w:r>
    </w:p>
    <w:p w14:paraId="5B497350" w14:textId="77777777" w:rsidR="00904A97" w:rsidRPr="0055077A" w:rsidRDefault="00904A97" w:rsidP="00904A97">
      <w:pPr>
        <w:ind w:right="91"/>
      </w:pPr>
    </w:p>
    <w:p w14:paraId="2BD9A266" w14:textId="46836F90" w:rsidR="00904A97" w:rsidRPr="0055077A" w:rsidRDefault="00904A97" w:rsidP="00904A97">
      <w:pPr>
        <w:keepNext/>
        <w:ind w:right="748"/>
        <w:rPr>
          <w:u w:val="single"/>
        </w:rPr>
      </w:pPr>
      <w:r w:rsidRPr="0055077A">
        <w:rPr>
          <w:u w:val="single"/>
        </w:rPr>
        <w:t xml:space="preserve">Section 4 </w:t>
      </w:r>
      <w:r w:rsidR="007D18A1" w:rsidRPr="0055077A">
        <w:rPr>
          <w:u w:val="single"/>
        </w:rPr>
        <w:t>–</w:t>
      </w:r>
      <w:r w:rsidRPr="0055077A">
        <w:rPr>
          <w:u w:val="single"/>
        </w:rPr>
        <w:t xml:space="preserve"> S</w:t>
      </w:r>
      <w:r w:rsidR="007D18A1" w:rsidRPr="0055077A">
        <w:rPr>
          <w:u w:val="single"/>
        </w:rPr>
        <w:t xml:space="preserve">implified outline of this </w:t>
      </w:r>
      <w:r w:rsidR="00B5708A" w:rsidRPr="0055077A">
        <w:rPr>
          <w:u w:val="single"/>
        </w:rPr>
        <w:t>in</w:t>
      </w:r>
      <w:r w:rsidR="007D18A1" w:rsidRPr="0055077A">
        <w:rPr>
          <w:u w:val="single"/>
        </w:rPr>
        <w:t>strument</w:t>
      </w:r>
    </w:p>
    <w:p w14:paraId="5737F0D4" w14:textId="77777777" w:rsidR="00904A97" w:rsidRPr="0055077A" w:rsidRDefault="00904A97" w:rsidP="00904A97">
      <w:pPr>
        <w:keepNext/>
        <w:ind w:right="748"/>
      </w:pPr>
    </w:p>
    <w:p w14:paraId="56D0BEFB" w14:textId="75748CA5" w:rsidR="007D18A1" w:rsidRPr="0055077A" w:rsidRDefault="00904A97" w:rsidP="007D18A1">
      <w:pPr>
        <w:keepNext/>
      </w:pPr>
      <w:r w:rsidRPr="0055077A">
        <w:t xml:space="preserve">This section </w:t>
      </w:r>
      <w:r w:rsidR="009841E0" w:rsidRPr="0055077A">
        <w:t>provides</w:t>
      </w:r>
      <w:r w:rsidRPr="0055077A">
        <w:t xml:space="preserve"> that </w:t>
      </w:r>
      <w:r w:rsidR="007D18A1" w:rsidRPr="0055077A">
        <w:t xml:space="preserve">this </w:t>
      </w:r>
      <w:r w:rsidR="00412007" w:rsidRPr="0055077A">
        <w:t>I</w:t>
      </w:r>
      <w:r w:rsidR="007D18A1" w:rsidRPr="0055077A">
        <w:t xml:space="preserve">nstrument makes a special arrangement to make the supply of certain pharmaceutical benefits to patients who have been prescribed certain pharmaceutical benefits for the purposes of chemotherapy more efficient and convenient. </w:t>
      </w:r>
    </w:p>
    <w:p w14:paraId="213B95FA" w14:textId="77777777" w:rsidR="007D18A1" w:rsidRPr="0055077A" w:rsidRDefault="007D18A1" w:rsidP="007D18A1">
      <w:pPr>
        <w:keepNext/>
      </w:pPr>
    </w:p>
    <w:p w14:paraId="05F555CA" w14:textId="4E7A69E1" w:rsidR="007D18A1" w:rsidRPr="0055077A" w:rsidRDefault="007D18A1" w:rsidP="00DF60A4">
      <w:pPr>
        <w:keepNext/>
      </w:pPr>
      <w:r w:rsidRPr="0055077A">
        <w:t xml:space="preserve">The instrument modifies arrangements for prescribing the supply of pharmaceutical benefits available for general supply, to enable them to be prescribed using a medication chart also used to prescribe the person an infusion or related chemotherapy benefit under the </w:t>
      </w:r>
      <w:r w:rsidRPr="0055077A">
        <w:rPr>
          <w:i/>
        </w:rPr>
        <w:t>National Health (Efficient Funding of Chemotherapy) Special Arrangement 2011</w:t>
      </w:r>
      <w:r w:rsidRPr="0055077A">
        <w:t>.</w:t>
      </w:r>
    </w:p>
    <w:p w14:paraId="493CC4E3" w14:textId="77777777" w:rsidR="00DF60A4" w:rsidRPr="0055077A" w:rsidRDefault="00DF60A4" w:rsidP="00DF60A4">
      <w:pPr>
        <w:keepNext/>
      </w:pPr>
    </w:p>
    <w:p w14:paraId="2A579D62" w14:textId="02EE703B" w:rsidR="00DF60A4" w:rsidRPr="0055077A" w:rsidRDefault="00412007" w:rsidP="00DF60A4">
      <w:pPr>
        <w:jc w:val="both"/>
        <w:rPr>
          <w:szCs w:val="24"/>
        </w:rPr>
      </w:pPr>
      <w:r w:rsidRPr="0055077A">
        <w:rPr>
          <w:szCs w:val="24"/>
        </w:rPr>
        <w:t>A note to section 4 provides that s</w:t>
      </w:r>
      <w:r w:rsidR="00DF60A4" w:rsidRPr="0055077A">
        <w:rPr>
          <w:szCs w:val="24"/>
        </w:rPr>
        <w:t xml:space="preserve">ubsection 100(3) of the Act provides that Part VII of the Act, and </w:t>
      </w:r>
      <w:r w:rsidR="00102BB3" w:rsidRPr="0055077A">
        <w:rPr>
          <w:szCs w:val="24"/>
        </w:rPr>
        <w:t xml:space="preserve">regulations or other </w:t>
      </w:r>
      <w:r w:rsidR="00DF60A4" w:rsidRPr="0055077A">
        <w:rPr>
          <w:szCs w:val="24"/>
        </w:rPr>
        <w:t xml:space="preserve">instruments made for the purposes of Part VII, have effect subject to </w:t>
      </w:r>
      <w:r w:rsidR="00102BB3" w:rsidRPr="0055077A">
        <w:rPr>
          <w:szCs w:val="24"/>
        </w:rPr>
        <w:t>this Instrument</w:t>
      </w:r>
      <w:r w:rsidR="00DF60A4" w:rsidRPr="0055077A">
        <w:rPr>
          <w:szCs w:val="24"/>
        </w:rPr>
        <w:t>.</w:t>
      </w:r>
    </w:p>
    <w:p w14:paraId="74119546" w14:textId="77777777" w:rsidR="00904A97" w:rsidRPr="0055077A" w:rsidRDefault="00904A97" w:rsidP="00904A97">
      <w:pPr>
        <w:ind w:right="91"/>
        <w:rPr>
          <w:u w:val="single"/>
        </w:rPr>
      </w:pPr>
    </w:p>
    <w:p w14:paraId="6198A36D" w14:textId="7DBD9AFE" w:rsidR="00904A97" w:rsidRPr="0055077A" w:rsidRDefault="00904A97" w:rsidP="00904A97">
      <w:pPr>
        <w:ind w:right="91"/>
      </w:pPr>
      <w:r w:rsidRPr="0055077A">
        <w:rPr>
          <w:u w:val="single"/>
        </w:rPr>
        <w:t>S</w:t>
      </w:r>
      <w:r w:rsidR="00F56BED" w:rsidRPr="0055077A">
        <w:rPr>
          <w:u w:val="single"/>
        </w:rPr>
        <w:t>ection 5 – Definitions</w:t>
      </w:r>
    </w:p>
    <w:p w14:paraId="37C27653" w14:textId="77777777" w:rsidR="00904A97" w:rsidRPr="0055077A" w:rsidRDefault="00904A97" w:rsidP="00904A97">
      <w:pPr>
        <w:ind w:right="91"/>
        <w:rPr>
          <w:szCs w:val="24"/>
        </w:rPr>
      </w:pPr>
    </w:p>
    <w:p w14:paraId="3DCA3618" w14:textId="77777777" w:rsidR="00412007" w:rsidRPr="0055077A" w:rsidRDefault="00F56BED" w:rsidP="00904A97">
      <w:pPr>
        <w:rPr>
          <w:szCs w:val="24"/>
        </w:rPr>
      </w:pPr>
      <w:r w:rsidRPr="0055077A">
        <w:rPr>
          <w:szCs w:val="24"/>
        </w:rPr>
        <w:t xml:space="preserve">This section </w:t>
      </w:r>
      <w:r w:rsidR="00904A97" w:rsidRPr="0055077A">
        <w:rPr>
          <w:szCs w:val="24"/>
        </w:rPr>
        <w:t>provi</w:t>
      </w:r>
      <w:r w:rsidRPr="0055077A">
        <w:rPr>
          <w:szCs w:val="24"/>
        </w:rPr>
        <w:t>des for definitions used in this Instrument</w:t>
      </w:r>
      <w:r w:rsidR="00904A97" w:rsidRPr="0055077A">
        <w:rPr>
          <w:szCs w:val="24"/>
        </w:rPr>
        <w:t xml:space="preserve">. </w:t>
      </w:r>
    </w:p>
    <w:p w14:paraId="0B8109D3" w14:textId="77777777" w:rsidR="00412007" w:rsidRPr="0055077A" w:rsidRDefault="00412007" w:rsidP="00904A97">
      <w:pPr>
        <w:rPr>
          <w:szCs w:val="24"/>
        </w:rPr>
      </w:pPr>
    </w:p>
    <w:p w14:paraId="0057AA2D" w14:textId="27D0A842" w:rsidR="00412007" w:rsidRPr="0055077A" w:rsidRDefault="00412007" w:rsidP="00904A97">
      <w:r w:rsidRPr="0055077A">
        <w:rPr>
          <w:szCs w:val="24"/>
        </w:rPr>
        <w:t xml:space="preserve">A number of terms used in the this Instrument have the same meaning as in </w:t>
      </w:r>
      <w:r w:rsidR="008D03D2" w:rsidRPr="0055077A">
        <w:rPr>
          <w:szCs w:val="24"/>
        </w:rPr>
        <w:t xml:space="preserve">the </w:t>
      </w:r>
      <w:r w:rsidR="008D03D2" w:rsidRPr="0055077A">
        <w:rPr>
          <w:i/>
        </w:rPr>
        <w:t>National Health (Efficient Funding of Chemotherapy) Special Arrangement 2011</w:t>
      </w:r>
      <w:r w:rsidR="005E4F98" w:rsidRPr="0055077A">
        <w:t xml:space="preserve"> (the EFC Special Arrangement)</w:t>
      </w:r>
      <w:r w:rsidRPr="0055077A">
        <w:t xml:space="preserve"> including 'eligible private hospital patient', 'eligible public hospital patient', 'infusion' and 'related pharmaceutical benefit'</w:t>
      </w:r>
      <w:r w:rsidR="008D03D2" w:rsidRPr="0055077A">
        <w:t xml:space="preserve">. </w:t>
      </w:r>
      <w:r w:rsidR="005E4F98" w:rsidRPr="0055077A">
        <w:t xml:space="preserve">Under the EFC Special Arrangement, infusions are treatments that contain one or more chemotherapy pharmaceutical benefits listed in Part 1 </w:t>
      </w:r>
      <w:r w:rsidR="005E4F98" w:rsidRPr="0055077A">
        <w:lastRenderedPageBreak/>
        <w:t xml:space="preserve">of Schedule 1 of that instrument. Related pharmaceutical benefits are listed in Part 2 of Schedule 1 of the EFC Special Arrangement. </w:t>
      </w:r>
    </w:p>
    <w:p w14:paraId="15225EA2" w14:textId="1BAE0ACF" w:rsidR="00412007" w:rsidRPr="0055077A" w:rsidRDefault="00412007" w:rsidP="00904A97"/>
    <w:p w14:paraId="7EE176B2" w14:textId="46279976" w:rsidR="00412007" w:rsidRPr="0055077A" w:rsidRDefault="00412007" w:rsidP="00904A97">
      <w:r w:rsidRPr="0055077A">
        <w:t xml:space="preserve">The definition of 'authorised prescriber' ensures that only those classes of persons able to prescribe a pharmaceutical benefit under the </w:t>
      </w:r>
      <w:r w:rsidRPr="0055077A">
        <w:rPr>
          <w:i/>
        </w:rPr>
        <w:t>National Health (Listing of Pharmaceutical Benefits) Instrument 2012</w:t>
      </w:r>
      <w:r w:rsidRPr="0055077A">
        <w:t xml:space="preserve"> are able to prescribe the benefit under this Special Arrangement.</w:t>
      </w:r>
    </w:p>
    <w:p w14:paraId="7837160F" w14:textId="7E90EB43" w:rsidR="009073FE" w:rsidRPr="0055077A" w:rsidRDefault="009073FE" w:rsidP="00904A97"/>
    <w:p w14:paraId="189E619A" w14:textId="2B84B1AF" w:rsidR="009073FE" w:rsidRPr="0055077A" w:rsidRDefault="009073FE" w:rsidP="00904A97">
      <w:r w:rsidRPr="0055077A">
        <w:t xml:space="preserve">The reader is referred to section 8 of the Special Arrangement for the terms 'chemotherapy medication chart', 'chemotherapy medication chart prescription' and 'electronic chemotherapy medication chart prescription'. </w:t>
      </w:r>
    </w:p>
    <w:p w14:paraId="76B048B0" w14:textId="77777777" w:rsidR="00412007" w:rsidRPr="0055077A" w:rsidRDefault="00412007" w:rsidP="00904A97"/>
    <w:p w14:paraId="445E72DC" w14:textId="0E62930E" w:rsidR="00904A97" w:rsidRPr="0055077A" w:rsidRDefault="00577BEF" w:rsidP="00904A97">
      <w:pPr>
        <w:rPr>
          <w:szCs w:val="24"/>
        </w:rPr>
      </w:pPr>
      <w:r w:rsidRPr="0055077A">
        <w:rPr>
          <w:szCs w:val="24"/>
        </w:rPr>
        <w:t>Some terms used in this Instrument have the same meaning as in the Act.</w:t>
      </w:r>
    </w:p>
    <w:p w14:paraId="2A6CBA6F" w14:textId="73CAF25C" w:rsidR="00076837" w:rsidRPr="0055077A" w:rsidRDefault="00076837" w:rsidP="00904A97">
      <w:pPr>
        <w:rPr>
          <w:szCs w:val="24"/>
        </w:rPr>
      </w:pPr>
    </w:p>
    <w:p w14:paraId="4BC0A816" w14:textId="32BD1C1C" w:rsidR="00076837" w:rsidRPr="0055077A" w:rsidRDefault="00115FF8" w:rsidP="00904A97">
      <w:pPr>
        <w:rPr>
          <w:szCs w:val="24"/>
        </w:rPr>
      </w:pPr>
      <w:r w:rsidRPr="0055077A">
        <w:rPr>
          <w:szCs w:val="24"/>
        </w:rPr>
        <w:t>Subsec</w:t>
      </w:r>
      <w:r w:rsidR="000034EC" w:rsidRPr="0055077A">
        <w:rPr>
          <w:szCs w:val="24"/>
        </w:rPr>
        <w:t>ti</w:t>
      </w:r>
      <w:r w:rsidRPr="0055077A">
        <w:rPr>
          <w:szCs w:val="24"/>
        </w:rPr>
        <w:t>on 5(2) provides that i</w:t>
      </w:r>
      <w:r w:rsidR="00F34FC7" w:rsidRPr="0055077A">
        <w:rPr>
          <w:szCs w:val="24"/>
        </w:rPr>
        <w:t>n this Instrument, r</w:t>
      </w:r>
      <w:r w:rsidR="00076837" w:rsidRPr="0055077A">
        <w:rPr>
          <w:szCs w:val="24"/>
        </w:rPr>
        <w:t>eferences to the supply of an infusion or a</w:t>
      </w:r>
      <w:r w:rsidR="00F34FC7" w:rsidRPr="0055077A">
        <w:rPr>
          <w:szCs w:val="24"/>
        </w:rPr>
        <w:t xml:space="preserve"> related pharmaceutical benefit </w:t>
      </w:r>
      <w:r w:rsidR="00076837" w:rsidRPr="0055077A">
        <w:rPr>
          <w:szCs w:val="24"/>
        </w:rPr>
        <w:t xml:space="preserve">refer to supply under the </w:t>
      </w:r>
      <w:r w:rsidRPr="0055077A">
        <w:rPr>
          <w:szCs w:val="24"/>
        </w:rPr>
        <w:t>EFC Special Arrangement.</w:t>
      </w:r>
    </w:p>
    <w:p w14:paraId="1CC54DA6" w14:textId="77777777" w:rsidR="00577BEF" w:rsidRPr="0055077A" w:rsidRDefault="00577BEF" w:rsidP="00577BEF">
      <w:pPr>
        <w:ind w:right="91"/>
        <w:rPr>
          <w:u w:val="single"/>
        </w:rPr>
      </w:pPr>
    </w:p>
    <w:p w14:paraId="20762D15" w14:textId="294524A9" w:rsidR="00577BEF" w:rsidRPr="0055077A" w:rsidRDefault="00577BEF" w:rsidP="00577BEF">
      <w:pPr>
        <w:ind w:right="91"/>
      </w:pPr>
      <w:r w:rsidRPr="0055077A">
        <w:rPr>
          <w:u w:val="single"/>
        </w:rPr>
        <w:t>Section 6 – Pharmaceutical benefits covered by this Special Arrangement</w:t>
      </w:r>
    </w:p>
    <w:p w14:paraId="70AC46C8" w14:textId="77777777" w:rsidR="00577BEF" w:rsidRPr="0055077A" w:rsidRDefault="00577BEF" w:rsidP="00577BEF">
      <w:pPr>
        <w:ind w:right="91"/>
        <w:rPr>
          <w:szCs w:val="24"/>
        </w:rPr>
      </w:pPr>
    </w:p>
    <w:p w14:paraId="52E75167" w14:textId="1BEC3DDC" w:rsidR="00AB4177" w:rsidRPr="0055077A" w:rsidRDefault="00577BEF" w:rsidP="00577BEF">
      <w:pPr>
        <w:rPr>
          <w:szCs w:val="24"/>
        </w:rPr>
      </w:pPr>
      <w:r w:rsidRPr="0055077A">
        <w:rPr>
          <w:szCs w:val="24"/>
        </w:rPr>
        <w:t xml:space="preserve">This section provides that this </w:t>
      </w:r>
      <w:r w:rsidR="000034EC" w:rsidRPr="0055077A">
        <w:rPr>
          <w:szCs w:val="24"/>
        </w:rPr>
        <w:t>Special Arrangement</w:t>
      </w:r>
      <w:r w:rsidRPr="0055077A">
        <w:rPr>
          <w:szCs w:val="24"/>
        </w:rPr>
        <w:t xml:space="preserve"> applies to a pharmaceutical benefit that is generally available for supply under Part VII of the Act. </w:t>
      </w:r>
    </w:p>
    <w:p w14:paraId="3D6C5548" w14:textId="77777777" w:rsidR="00AB4177" w:rsidRPr="0055077A" w:rsidRDefault="00AB4177" w:rsidP="00577BEF">
      <w:pPr>
        <w:rPr>
          <w:szCs w:val="24"/>
        </w:rPr>
      </w:pPr>
    </w:p>
    <w:p w14:paraId="1B546858" w14:textId="510DD2AC" w:rsidR="00AB4177" w:rsidRPr="0055077A" w:rsidRDefault="006A2096" w:rsidP="00577BEF">
      <w:pPr>
        <w:rPr>
          <w:szCs w:val="24"/>
        </w:rPr>
      </w:pPr>
      <w:r w:rsidRPr="0055077A">
        <w:rPr>
          <w:szCs w:val="24"/>
        </w:rPr>
        <w:t xml:space="preserve">Specific circumstances in which a pharmaceutical benefit </w:t>
      </w:r>
      <w:r w:rsidR="00757FE9" w:rsidRPr="0055077A">
        <w:rPr>
          <w:szCs w:val="24"/>
        </w:rPr>
        <w:t>is generally available for supply under Part VII of the Act are set out</w:t>
      </w:r>
      <w:r w:rsidR="00AB4177" w:rsidRPr="0055077A">
        <w:rPr>
          <w:szCs w:val="24"/>
        </w:rPr>
        <w:t xml:space="preserve">. This is where the pharmaceutical benefit does not contain a drug that is subject to a declaration under subsection 85(2A) of the Act (where it is only available under special arrangements), where it is not subject to a determination under paragraph 85(8)(a) of the Act (where there is a legislative instrument determining it can only be supplied under special arrangements) or where </w:t>
      </w:r>
      <w:r w:rsidR="000034EC" w:rsidRPr="0055077A">
        <w:rPr>
          <w:szCs w:val="24"/>
        </w:rPr>
        <w:t xml:space="preserve">the Minister has determined that, in certain circumstances, </w:t>
      </w:r>
      <w:r w:rsidR="00AB4177" w:rsidRPr="0055077A">
        <w:rPr>
          <w:szCs w:val="24"/>
        </w:rPr>
        <w:t xml:space="preserve">it can only be supplied </w:t>
      </w:r>
      <w:r w:rsidR="000034EC" w:rsidRPr="0055077A">
        <w:rPr>
          <w:szCs w:val="24"/>
        </w:rPr>
        <w:t>under special arrangements</w:t>
      </w:r>
      <w:r w:rsidR="00757FE9" w:rsidRPr="0055077A">
        <w:rPr>
          <w:szCs w:val="24"/>
        </w:rPr>
        <w:t xml:space="preserve">. </w:t>
      </w:r>
    </w:p>
    <w:p w14:paraId="69AFBEA7" w14:textId="77777777" w:rsidR="00AB4177" w:rsidRPr="0055077A" w:rsidRDefault="00AB4177" w:rsidP="00577BEF">
      <w:pPr>
        <w:rPr>
          <w:szCs w:val="24"/>
        </w:rPr>
      </w:pPr>
    </w:p>
    <w:p w14:paraId="4089E3D4" w14:textId="1460667D" w:rsidR="00DA6230" w:rsidRPr="0055077A" w:rsidRDefault="000034EC" w:rsidP="00577BEF">
      <w:pPr>
        <w:rPr>
          <w:szCs w:val="24"/>
        </w:rPr>
      </w:pPr>
      <w:r w:rsidRPr="0055077A">
        <w:rPr>
          <w:szCs w:val="24"/>
        </w:rPr>
        <w:t xml:space="preserve">Section 6 also makes clear that this Special Arrangement </w:t>
      </w:r>
      <w:r w:rsidR="00757FE9" w:rsidRPr="0055077A">
        <w:rPr>
          <w:szCs w:val="24"/>
        </w:rPr>
        <w:t>does not apply to a pharmaceutical benefit that can only be supplied under Part VII of the Act in accordance with another</w:t>
      </w:r>
      <w:r w:rsidRPr="0055077A">
        <w:rPr>
          <w:szCs w:val="24"/>
        </w:rPr>
        <w:t xml:space="preserve"> s</w:t>
      </w:r>
      <w:r w:rsidR="00757FE9" w:rsidRPr="0055077A">
        <w:rPr>
          <w:szCs w:val="24"/>
        </w:rPr>
        <w:t xml:space="preserve">pecial </w:t>
      </w:r>
      <w:r w:rsidRPr="0055077A">
        <w:rPr>
          <w:szCs w:val="24"/>
        </w:rPr>
        <w:t>a</w:t>
      </w:r>
      <w:r w:rsidR="00757FE9" w:rsidRPr="0055077A">
        <w:rPr>
          <w:szCs w:val="24"/>
        </w:rPr>
        <w:t xml:space="preserve">rrangement under section 100 of the Act. </w:t>
      </w:r>
      <w:r w:rsidR="006A2096" w:rsidRPr="0055077A">
        <w:rPr>
          <w:szCs w:val="24"/>
        </w:rPr>
        <w:t xml:space="preserve"> </w:t>
      </w:r>
    </w:p>
    <w:p w14:paraId="1B609C8C" w14:textId="7525982F" w:rsidR="00577BEF" w:rsidRPr="0055077A" w:rsidRDefault="00577BEF" w:rsidP="00904A97">
      <w:pPr>
        <w:rPr>
          <w:szCs w:val="24"/>
        </w:rPr>
      </w:pPr>
    </w:p>
    <w:p w14:paraId="37AEA720" w14:textId="26F1D786" w:rsidR="00DA6230" w:rsidRPr="0055077A" w:rsidRDefault="00DA6230" w:rsidP="00DA6230">
      <w:pPr>
        <w:ind w:right="91"/>
      </w:pPr>
      <w:r w:rsidRPr="0055077A">
        <w:rPr>
          <w:u w:val="single"/>
        </w:rPr>
        <w:t>Section 7 – Application of Part VII of the Act</w:t>
      </w:r>
    </w:p>
    <w:p w14:paraId="424E4DFE" w14:textId="77777777" w:rsidR="00DA6230" w:rsidRPr="0055077A" w:rsidRDefault="00DA6230" w:rsidP="00DA6230">
      <w:pPr>
        <w:ind w:right="91"/>
        <w:rPr>
          <w:szCs w:val="24"/>
        </w:rPr>
      </w:pPr>
    </w:p>
    <w:p w14:paraId="5112DB2B" w14:textId="3BE4BF5E" w:rsidR="00DA6230" w:rsidRPr="0055077A" w:rsidRDefault="00DA6230" w:rsidP="00DA6230">
      <w:pPr>
        <w:rPr>
          <w:szCs w:val="24"/>
        </w:rPr>
      </w:pPr>
      <w:r w:rsidRPr="0055077A">
        <w:rPr>
          <w:szCs w:val="24"/>
        </w:rPr>
        <w:t xml:space="preserve">This section provides that each pharmaceutical benefit supplied in accordance with this </w:t>
      </w:r>
      <w:r w:rsidR="000034EC" w:rsidRPr="0055077A">
        <w:rPr>
          <w:szCs w:val="24"/>
        </w:rPr>
        <w:t xml:space="preserve">Special </w:t>
      </w:r>
      <w:r w:rsidR="001912E8" w:rsidRPr="0055077A">
        <w:rPr>
          <w:szCs w:val="24"/>
        </w:rPr>
        <w:t>Arrangement</w:t>
      </w:r>
      <w:r w:rsidR="000034EC" w:rsidRPr="0055077A">
        <w:rPr>
          <w:szCs w:val="24"/>
        </w:rPr>
        <w:t xml:space="preserve"> </w:t>
      </w:r>
      <w:r w:rsidRPr="0055077A">
        <w:rPr>
          <w:szCs w:val="24"/>
        </w:rPr>
        <w:t>is supplie</w:t>
      </w:r>
      <w:r w:rsidR="00B5708A" w:rsidRPr="0055077A">
        <w:rPr>
          <w:szCs w:val="24"/>
        </w:rPr>
        <w:t>d</w:t>
      </w:r>
      <w:r w:rsidRPr="0055077A">
        <w:rPr>
          <w:szCs w:val="24"/>
        </w:rPr>
        <w:t xml:space="preserve"> under Part VII of the Act</w:t>
      </w:r>
      <w:r w:rsidR="000034EC" w:rsidRPr="0055077A">
        <w:rPr>
          <w:szCs w:val="24"/>
        </w:rPr>
        <w:t xml:space="preserve">, </w:t>
      </w:r>
      <w:r w:rsidR="00502237" w:rsidRPr="0055077A">
        <w:rPr>
          <w:szCs w:val="24"/>
        </w:rPr>
        <w:t xml:space="preserve">which </w:t>
      </w:r>
      <w:r w:rsidR="000034EC" w:rsidRPr="0055077A">
        <w:rPr>
          <w:szCs w:val="24"/>
        </w:rPr>
        <w:t xml:space="preserve">deals with </w:t>
      </w:r>
      <w:r w:rsidR="00502237" w:rsidRPr="0055077A">
        <w:rPr>
          <w:szCs w:val="24"/>
        </w:rPr>
        <w:t>supply of pharmaceutical benefits</w:t>
      </w:r>
      <w:r w:rsidR="00472F0A" w:rsidRPr="0055077A">
        <w:rPr>
          <w:szCs w:val="24"/>
        </w:rPr>
        <w:t xml:space="preserve">. This section </w:t>
      </w:r>
      <w:r w:rsidR="00B5708A" w:rsidRPr="0055077A">
        <w:rPr>
          <w:szCs w:val="24"/>
        </w:rPr>
        <w:t xml:space="preserve">also provides that a provision of Part VII, or of regulations or other instruments made for that Part, applies subject to this </w:t>
      </w:r>
      <w:r w:rsidR="000034EC" w:rsidRPr="0055077A">
        <w:rPr>
          <w:szCs w:val="24"/>
        </w:rPr>
        <w:t>Special Arrangement</w:t>
      </w:r>
      <w:r w:rsidR="00B5708A" w:rsidRPr="0055077A">
        <w:rPr>
          <w:szCs w:val="24"/>
        </w:rPr>
        <w:t>.</w:t>
      </w:r>
    </w:p>
    <w:p w14:paraId="3E4C4034" w14:textId="77777777" w:rsidR="00577BEF" w:rsidRPr="0055077A" w:rsidRDefault="00577BEF" w:rsidP="00904A97">
      <w:pPr>
        <w:rPr>
          <w:szCs w:val="24"/>
        </w:rPr>
      </w:pPr>
    </w:p>
    <w:p w14:paraId="19465979" w14:textId="773064C9" w:rsidR="00B5708A" w:rsidRPr="0055077A" w:rsidRDefault="00B5708A" w:rsidP="00B5708A">
      <w:pPr>
        <w:ind w:right="91"/>
      </w:pPr>
      <w:r w:rsidRPr="0055077A">
        <w:rPr>
          <w:u w:val="single"/>
        </w:rPr>
        <w:t>Section 8 – Method of prescribing pharmaceutical benefits</w:t>
      </w:r>
    </w:p>
    <w:p w14:paraId="3AE32C15" w14:textId="77777777" w:rsidR="00B5708A" w:rsidRPr="0055077A" w:rsidRDefault="00B5708A" w:rsidP="00B5708A">
      <w:pPr>
        <w:ind w:right="91"/>
        <w:rPr>
          <w:szCs w:val="24"/>
        </w:rPr>
      </w:pPr>
    </w:p>
    <w:p w14:paraId="2071951D" w14:textId="5AFBA9CB" w:rsidR="00B5708A" w:rsidRPr="0055077A" w:rsidRDefault="00EE260F" w:rsidP="00B5708A">
      <w:pPr>
        <w:rPr>
          <w:szCs w:val="24"/>
        </w:rPr>
      </w:pPr>
      <w:r w:rsidRPr="0055077A">
        <w:rPr>
          <w:szCs w:val="24"/>
        </w:rPr>
        <w:t>Subsection 8(1)</w:t>
      </w:r>
      <w:r w:rsidR="00B5708A" w:rsidRPr="0055077A">
        <w:rPr>
          <w:szCs w:val="24"/>
        </w:rPr>
        <w:t xml:space="preserve"> provides </w:t>
      </w:r>
      <w:r w:rsidR="005E4ACC" w:rsidRPr="0055077A">
        <w:rPr>
          <w:szCs w:val="24"/>
        </w:rPr>
        <w:t xml:space="preserve">that </w:t>
      </w:r>
      <w:r w:rsidR="00B5708A" w:rsidRPr="0055077A">
        <w:rPr>
          <w:szCs w:val="24"/>
        </w:rPr>
        <w:t xml:space="preserve">an authorised prescriber for a pharmaceutical benefit may </w:t>
      </w:r>
      <w:r w:rsidR="005E4ACC" w:rsidRPr="0055077A">
        <w:rPr>
          <w:szCs w:val="24"/>
        </w:rPr>
        <w:t xml:space="preserve">only </w:t>
      </w:r>
      <w:r w:rsidR="00B5708A" w:rsidRPr="0055077A">
        <w:rPr>
          <w:szCs w:val="24"/>
        </w:rPr>
        <w:t xml:space="preserve">write a prescription for a pharmaceutical benefit under this </w:t>
      </w:r>
      <w:r w:rsidRPr="0055077A">
        <w:rPr>
          <w:szCs w:val="24"/>
        </w:rPr>
        <w:t xml:space="preserve">Special Arrangement </w:t>
      </w:r>
      <w:r w:rsidR="005E4ACC" w:rsidRPr="0055077A">
        <w:rPr>
          <w:szCs w:val="24"/>
        </w:rPr>
        <w:t xml:space="preserve">(a </w:t>
      </w:r>
      <w:r w:rsidRPr="0055077A">
        <w:rPr>
          <w:szCs w:val="24"/>
        </w:rPr>
        <w:t>'</w:t>
      </w:r>
      <w:r w:rsidR="005E4ACC" w:rsidRPr="0055077A">
        <w:rPr>
          <w:szCs w:val="24"/>
        </w:rPr>
        <w:t>chemotherapy medication chart prescription</w:t>
      </w:r>
      <w:r w:rsidRPr="0055077A">
        <w:rPr>
          <w:szCs w:val="24"/>
        </w:rPr>
        <w:t>'</w:t>
      </w:r>
      <w:r w:rsidR="005E4ACC" w:rsidRPr="0055077A">
        <w:rPr>
          <w:szCs w:val="24"/>
        </w:rPr>
        <w:t>)</w:t>
      </w:r>
      <w:r w:rsidR="00B5708A" w:rsidRPr="0055077A">
        <w:rPr>
          <w:szCs w:val="24"/>
        </w:rPr>
        <w:t>:</w:t>
      </w:r>
    </w:p>
    <w:p w14:paraId="6BCF3114" w14:textId="77777777" w:rsidR="00127703" w:rsidRPr="0055077A" w:rsidRDefault="00787DAE" w:rsidP="00127703">
      <w:pPr>
        <w:pStyle w:val="ListParagraph"/>
        <w:numPr>
          <w:ilvl w:val="0"/>
          <w:numId w:val="31"/>
        </w:numPr>
        <w:rPr>
          <w:szCs w:val="24"/>
        </w:rPr>
      </w:pPr>
      <w:r w:rsidRPr="0055077A">
        <w:rPr>
          <w:szCs w:val="24"/>
        </w:rPr>
        <w:t>f</w:t>
      </w:r>
      <w:r w:rsidR="00B5708A" w:rsidRPr="0055077A">
        <w:rPr>
          <w:szCs w:val="24"/>
        </w:rPr>
        <w:t>or an eligible public hospital patient</w:t>
      </w:r>
      <w:r w:rsidR="005E4ACC" w:rsidRPr="0055077A">
        <w:rPr>
          <w:szCs w:val="24"/>
        </w:rPr>
        <w:t>, by completing a section of a medication chart that also directs the supply of an infusion or a related pharmaceutical benefit to the patient</w:t>
      </w:r>
      <w:r w:rsidR="00B5708A" w:rsidRPr="0055077A">
        <w:rPr>
          <w:szCs w:val="24"/>
        </w:rPr>
        <w:t>;</w:t>
      </w:r>
      <w:r w:rsidRPr="0055077A">
        <w:rPr>
          <w:szCs w:val="24"/>
        </w:rPr>
        <w:t xml:space="preserve"> or</w:t>
      </w:r>
    </w:p>
    <w:p w14:paraId="1A81FB86" w14:textId="12368159" w:rsidR="00B5708A" w:rsidRPr="0055077A" w:rsidRDefault="00787DAE" w:rsidP="00127703">
      <w:pPr>
        <w:pStyle w:val="ListParagraph"/>
        <w:numPr>
          <w:ilvl w:val="0"/>
          <w:numId w:val="31"/>
        </w:numPr>
        <w:rPr>
          <w:szCs w:val="24"/>
        </w:rPr>
      </w:pPr>
      <w:r w:rsidRPr="0055077A">
        <w:rPr>
          <w:szCs w:val="24"/>
        </w:rPr>
        <w:lastRenderedPageBreak/>
        <w:t>f</w:t>
      </w:r>
      <w:r w:rsidR="00B5708A" w:rsidRPr="0055077A">
        <w:rPr>
          <w:szCs w:val="24"/>
        </w:rPr>
        <w:t>or an el</w:t>
      </w:r>
      <w:r w:rsidR="005E4ACC" w:rsidRPr="0055077A">
        <w:rPr>
          <w:szCs w:val="24"/>
        </w:rPr>
        <w:t>igible private hospital patient, by completing a section of a medication chart that also directs the supply of an infusion to the patient.</w:t>
      </w:r>
      <w:r w:rsidR="00B5708A" w:rsidRPr="0055077A">
        <w:rPr>
          <w:szCs w:val="24"/>
        </w:rPr>
        <w:t xml:space="preserve"> </w:t>
      </w:r>
    </w:p>
    <w:p w14:paraId="38DF9DBD" w14:textId="77777777" w:rsidR="0055394B" w:rsidRPr="0055077A" w:rsidRDefault="0055394B" w:rsidP="00B5708A">
      <w:pPr>
        <w:rPr>
          <w:szCs w:val="24"/>
        </w:rPr>
      </w:pPr>
    </w:p>
    <w:p w14:paraId="7C6FB7E4" w14:textId="3FAE7840" w:rsidR="00EE260F" w:rsidRPr="0055077A" w:rsidRDefault="005E4ACC" w:rsidP="00B5708A">
      <w:r w:rsidRPr="0055077A">
        <w:rPr>
          <w:szCs w:val="24"/>
        </w:rPr>
        <w:t xml:space="preserve">This enables prescriptions for pharmaceutical benefits to be written </w:t>
      </w:r>
      <w:r w:rsidR="00EE260F" w:rsidRPr="0055077A">
        <w:rPr>
          <w:szCs w:val="24"/>
        </w:rPr>
        <w:t xml:space="preserve">under this Special Arrangement </w:t>
      </w:r>
      <w:r w:rsidRPr="0055077A">
        <w:rPr>
          <w:szCs w:val="24"/>
        </w:rPr>
        <w:t xml:space="preserve">by the completion of part of a medication chart that directs the supply of an infusion or related </w:t>
      </w:r>
      <w:r w:rsidR="001912E8" w:rsidRPr="0055077A">
        <w:rPr>
          <w:szCs w:val="24"/>
        </w:rPr>
        <w:t>pharmaceutical</w:t>
      </w:r>
      <w:r w:rsidRPr="0055077A">
        <w:rPr>
          <w:szCs w:val="24"/>
        </w:rPr>
        <w:t xml:space="preserve"> benefit (in accordance with the </w:t>
      </w:r>
      <w:r w:rsidR="00EE260F" w:rsidRPr="0055077A">
        <w:rPr>
          <w:szCs w:val="24"/>
        </w:rPr>
        <w:t xml:space="preserve">EFC Special Arrangement) </w:t>
      </w:r>
      <w:r w:rsidR="004B4B5F" w:rsidRPr="0055077A">
        <w:t>and</w:t>
      </w:r>
      <w:r w:rsidR="00EE260F" w:rsidRPr="0055077A">
        <w:t xml:space="preserve">, as provided for in subsection 8(2), a medication chart used to write a chemotherapy medication chart prescription is not required to be in a form approved under the </w:t>
      </w:r>
      <w:r w:rsidR="00EE260F" w:rsidRPr="0055077A">
        <w:rPr>
          <w:i/>
        </w:rPr>
        <w:t xml:space="preserve">National Health (Pharmaceutical Benefits) Regulations 2017 </w:t>
      </w:r>
      <w:r w:rsidR="00EE260F" w:rsidRPr="0055077A">
        <w:t>(the Regulations).</w:t>
      </w:r>
    </w:p>
    <w:p w14:paraId="37D459AB" w14:textId="77777777" w:rsidR="00EE260F" w:rsidRPr="0055077A" w:rsidRDefault="00EE260F" w:rsidP="00B5708A"/>
    <w:p w14:paraId="3300DE32" w14:textId="04DC407F" w:rsidR="00EE260F" w:rsidRPr="0055077A" w:rsidRDefault="00EE260F" w:rsidP="00B5708A">
      <w:r w:rsidRPr="0055077A">
        <w:t xml:space="preserve">Subsection 8(3) makes provision for prescriptions written using chemotherapy medication chart prescriptions in an electronic medication chart system, being a software system that is used for prescribing and recording the administration of medicines to persons receiving treatment at or from a public or private hospital. </w:t>
      </w:r>
    </w:p>
    <w:p w14:paraId="33A18814" w14:textId="77777777" w:rsidR="005E4ACC" w:rsidRPr="0055077A" w:rsidRDefault="005E4ACC" w:rsidP="00B5708A">
      <w:pPr>
        <w:rPr>
          <w:szCs w:val="24"/>
        </w:rPr>
      </w:pPr>
    </w:p>
    <w:p w14:paraId="2A065B9D" w14:textId="519D0742" w:rsidR="00FF04A1" w:rsidRPr="0055077A" w:rsidRDefault="00986253" w:rsidP="00FF04A1">
      <w:pPr>
        <w:rPr>
          <w:szCs w:val="24"/>
        </w:rPr>
      </w:pPr>
      <w:r w:rsidRPr="0055077A">
        <w:rPr>
          <w:szCs w:val="24"/>
        </w:rPr>
        <w:t xml:space="preserve">For these 'electronic chemotherapy medication chart prescriptions', </w:t>
      </w:r>
      <w:r w:rsidR="008B7BEA" w:rsidRPr="0055077A">
        <w:rPr>
          <w:szCs w:val="24"/>
        </w:rPr>
        <w:t>t</w:t>
      </w:r>
      <w:r w:rsidR="00FF04A1" w:rsidRPr="0055077A">
        <w:rPr>
          <w:szCs w:val="24"/>
        </w:rPr>
        <w:t>he requirement for including a signature under the Regulations does not apply, but the authorised prescriber must electronically approve the electronic chemotherapy medication chart prescription in the electronic medication chart system, and include the authority approval number (if any) for the prescription.</w:t>
      </w:r>
      <w:r w:rsidR="00A867A5" w:rsidRPr="0055077A">
        <w:rPr>
          <w:szCs w:val="24"/>
        </w:rPr>
        <w:t xml:space="preserve"> Electronic chemotherapy medication chart prescriptions are not required to meet the </w:t>
      </w:r>
      <w:r w:rsidR="001912E8" w:rsidRPr="0055077A">
        <w:rPr>
          <w:szCs w:val="24"/>
        </w:rPr>
        <w:t>requirements</w:t>
      </w:r>
      <w:r w:rsidR="00A867A5" w:rsidRPr="0055077A">
        <w:rPr>
          <w:szCs w:val="24"/>
        </w:rPr>
        <w:t xml:space="preserve"> in the Regulations for other electronic prescriptions. </w:t>
      </w:r>
    </w:p>
    <w:p w14:paraId="5A48B998" w14:textId="77777777" w:rsidR="00FF04A1" w:rsidRPr="0055077A" w:rsidRDefault="00FF04A1" w:rsidP="00FF04A1">
      <w:pPr>
        <w:rPr>
          <w:szCs w:val="24"/>
        </w:rPr>
      </w:pPr>
    </w:p>
    <w:p w14:paraId="287B0253" w14:textId="171690C6" w:rsidR="00FF04A1" w:rsidRPr="0055077A" w:rsidRDefault="00E6030A" w:rsidP="00FF04A1">
      <w:pPr>
        <w:rPr>
          <w:szCs w:val="24"/>
        </w:rPr>
      </w:pPr>
      <w:r w:rsidRPr="0055077A">
        <w:rPr>
          <w:szCs w:val="24"/>
        </w:rPr>
        <w:t>Sub</w:t>
      </w:r>
      <w:r w:rsidR="001912E8" w:rsidRPr="0055077A">
        <w:rPr>
          <w:szCs w:val="24"/>
        </w:rPr>
        <w:t>s</w:t>
      </w:r>
      <w:r w:rsidRPr="0055077A">
        <w:rPr>
          <w:szCs w:val="24"/>
        </w:rPr>
        <w:t>ection 8(4) provides that a</w:t>
      </w:r>
      <w:r w:rsidR="00FF04A1" w:rsidRPr="0055077A">
        <w:rPr>
          <w:szCs w:val="24"/>
        </w:rPr>
        <w:t xml:space="preserve"> prescription written in accordance with this section is taken to be written in accordance with section</w:t>
      </w:r>
      <w:r w:rsidR="00A52E2B" w:rsidRPr="0055077A">
        <w:rPr>
          <w:szCs w:val="24"/>
        </w:rPr>
        <w:t xml:space="preserve"> 41 of the Regulations, so the</w:t>
      </w:r>
      <w:r w:rsidR="00FF04A1" w:rsidRPr="0055077A">
        <w:rPr>
          <w:szCs w:val="24"/>
        </w:rPr>
        <w:t xml:space="preserve"> requirement</w:t>
      </w:r>
      <w:r w:rsidR="00A52E2B" w:rsidRPr="0055077A">
        <w:rPr>
          <w:szCs w:val="24"/>
        </w:rPr>
        <w:t xml:space="preserve"> of the Regulations</w:t>
      </w:r>
      <w:r w:rsidR="00FF04A1" w:rsidRPr="0055077A">
        <w:rPr>
          <w:szCs w:val="24"/>
        </w:rPr>
        <w:t xml:space="preserve"> </w:t>
      </w:r>
      <w:r w:rsidR="00986253" w:rsidRPr="0055077A">
        <w:rPr>
          <w:szCs w:val="24"/>
        </w:rPr>
        <w:t>that a prescription be written in accordance with section 40 or section 41 of the Regulations is</w:t>
      </w:r>
      <w:r w:rsidR="00FF04A1" w:rsidRPr="0055077A">
        <w:rPr>
          <w:szCs w:val="24"/>
        </w:rPr>
        <w:t xml:space="preserve"> met for prescriptions </w:t>
      </w:r>
      <w:r w:rsidR="00A52E2B" w:rsidRPr="0055077A">
        <w:rPr>
          <w:szCs w:val="24"/>
        </w:rPr>
        <w:t xml:space="preserve">written </w:t>
      </w:r>
      <w:r w:rsidR="00FF04A1" w:rsidRPr="0055077A">
        <w:rPr>
          <w:szCs w:val="24"/>
        </w:rPr>
        <w:t xml:space="preserve">in accordance with this </w:t>
      </w:r>
      <w:r w:rsidR="00986253" w:rsidRPr="0055077A">
        <w:rPr>
          <w:szCs w:val="24"/>
        </w:rPr>
        <w:t>Special Arrangement</w:t>
      </w:r>
      <w:r w:rsidR="00FF04A1" w:rsidRPr="0055077A">
        <w:rPr>
          <w:szCs w:val="24"/>
        </w:rPr>
        <w:t xml:space="preserve">. </w:t>
      </w:r>
      <w:r w:rsidRPr="0055077A">
        <w:rPr>
          <w:szCs w:val="24"/>
        </w:rPr>
        <w:t>The subsection also provides that references in Parts 4 and 5 of the Regulations, which deal with the prescription and supply of pharmaceutical benefits, apply as if a reference to a medication chart prescription in the Regulations (being a prescription on an approved form of medication chart) includes a reference to a chemotherapy medication chart prescription.</w:t>
      </w:r>
      <w:r w:rsidR="00ED347E" w:rsidRPr="0055077A">
        <w:rPr>
          <w:szCs w:val="24"/>
        </w:rPr>
        <w:t xml:space="preserve"> </w:t>
      </w:r>
    </w:p>
    <w:p w14:paraId="65BBBD6C" w14:textId="77777777" w:rsidR="00EE260F" w:rsidRPr="0055077A" w:rsidRDefault="00EE260F" w:rsidP="00EE260F"/>
    <w:p w14:paraId="5FBFBE2F" w14:textId="2EE0901B" w:rsidR="00480CFA" w:rsidRPr="0055077A" w:rsidRDefault="00A867A5" w:rsidP="00EE260F">
      <w:r w:rsidRPr="0055077A">
        <w:t>The Special Arrangement makes it easier and more convenient to prescribe</w:t>
      </w:r>
      <w:r w:rsidR="00480CFA" w:rsidRPr="0055077A">
        <w:t xml:space="preserve"> a</w:t>
      </w:r>
      <w:r w:rsidRPr="0055077A">
        <w:t xml:space="preserve"> general supply pharmaceutical benefit to </w:t>
      </w:r>
      <w:r w:rsidR="00480CFA" w:rsidRPr="0055077A">
        <w:t xml:space="preserve">a </w:t>
      </w:r>
      <w:r w:rsidRPr="0055077A">
        <w:t xml:space="preserve">patient who </w:t>
      </w:r>
      <w:r w:rsidR="00480CFA" w:rsidRPr="0055077A">
        <w:t>is</w:t>
      </w:r>
      <w:r w:rsidRPr="0055077A">
        <w:t xml:space="preserve"> also being prescribed</w:t>
      </w:r>
      <w:r w:rsidR="00480CFA" w:rsidRPr="0055077A">
        <w:t xml:space="preserve"> an infusion or related pharmaceutical benefit under the EFC Special Arrangement using the same medication chart. Facilitating the use of electronic medication chart prescribing for these patients without the need to comply with the requirements of the Regulations will also assist in reducing the need for paper prescribing.  </w:t>
      </w:r>
    </w:p>
    <w:p w14:paraId="1662EAA0" w14:textId="77777777" w:rsidR="00B5708A" w:rsidRPr="0055077A" w:rsidRDefault="00B5708A" w:rsidP="00B5708A">
      <w:pPr>
        <w:rPr>
          <w:szCs w:val="24"/>
        </w:rPr>
      </w:pPr>
    </w:p>
    <w:p w14:paraId="213421B5" w14:textId="3A8A5A16" w:rsidR="00B5708A" w:rsidRPr="0055077A" w:rsidRDefault="00B5708A" w:rsidP="00B5708A">
      <w:pPr>
        <w:ind w:right="91"/>
      </w:pPr>
      <w:r w:rsidRPr="0055077A">
        <w:rPr>
          <w:u w:val="single"/>
        </w:rPr>
        <w:t>Section 9 – Authority required procedures for electronic chemotherapy medication charts</w:t>
      </w:r>
    </w:p>
    <w:p w14:paraId="67FDF252" w14:textId="77777777" w:rsidR="00B5708A" w:rsidRPr="0055077A" w:rsidRDefault="00B5708A" w:rsidP="00B5708A">
      <w:pPr>
        <w:ind w:right="91"/>
        <w:rPr>
          <w:szCs w:val="24"/>
        </w:rPr>
      </w:pPr>
    </w:p>
    <w:p w14:paraId="078C4781" w14:textId="66671DA0" w:rsidR="00ED347E" w:rsidRPr="0055077A" w:rsidRDefault="00ED347E" w:rsidP="00ED347E">
      <w:pPr>
        <w:rPr>
          <w:szCs w:val="24"/>
        </w:rPr>
      </w:pPr>
      <w:r w:rsidRPr="0055077A">
        <w:rPr>
          <w:szCs w:val="24"/>
        </w:rPr>
        <w:t xml:space="preserve">Section 9 of this Special Arrangement modifies the application of sections 11 to 15 of </w:t>
      </w:r>
      <w:r w:rsidR="00D00FA5" w:rsidRPr="0055077A">
        <w:rPr>
          <w:szCs w:val="24"/>
        </w:rPr>
        <w:t xml:space="preserve">the </w:t>
      </w:r>
      <w:r w:rsidR="00D00FA5" w:rsidRPr="0055077A">
        <w:rPr>
          <w:i/>
          <w:szCs w:val="24"/>
        </w:rPr>
        <w:t xml:space="preserve">National Health (Listing of Pharmaceutical Benefits) Instrument 2012 </w:t>
      </w:r>
      <w:r w:rsidRPr="0055077A">
        <w:rPr>
          <w:szCs w:val="24"/>
        </w:rPr>
        <w:t xml:space="preserve">for prescriptions that would be authority prescriptions. </w:t>
      </w:r>
    </w:p>
    <w:p w14:paraId="0AF229B5" w14:textId="77777777" w:rsidR="00ED347E" w:rsidRPr="0055077A" w:rsidRDefault="00ED347E" w:rsidP="00ED347E">
      <w:pPr>
        <w:rPr>
          <w:szCs w:val="24"/>
        </w:rPr>
      </w:pPr>
    </w:p>
    <w:p w14:paraId="7823F703" w14:textId="47BE174C" w:rsidR="00D00FA5" w:rsidRPr="0055077A" w:rsidRDefault="00ED347E" w:rsidP="00ED347E">
      <w:pPr>
        <w:rPr>
          <w:szCs w:val="24"/>
        </w:rPr>
      </w:pPr>
      <w:r w:rsidRPr="0055077A">
        <w:rPr>
          <w:szCs w:val="24"/>
        </w:rPr>
        <w:t>Subsec</w:t>
      </w:r>
      <w:r w:rsidR="00C379F5" w:rsidRPr="0055077A">
        <w:rPr>
          <w:szCs w:val="24"/>
        </w:rPr>
        <w:t>tion</w:t>
      </w:r>
      <w:r w:rsidRPr="0055077A">
        <w:rPr>
          <w:szCs w:val="24"/>
        </w:rPr>
        <w:t xml:space="preserve"> 9(2) provides that </w:t>
      </w:r>
      <w:r w:rsidR="00DD460D" w:rsidRPr="0055077A">
        <w:rPr>
          <w:szCs w:val="24"/>
        </w:rPr>
        <w:t xml:space="preserve">references </w:t>
      </w:r>
      <w:r w:rsidRPr="0055077A">
        <w:rPr>
          <w:szCs w:val="24"/>
        </w:rPr>
        <w:t xml:space="preserve">in sections 11 to 15 </w:t>
      </w:r>
      <w:r w:rsidR="00DD460D" w:rsidRPr="0055077A">
        <w:rPr>
          <w:szCs w:val="24"/>
        </w:rPr>
        <w:t>to medication chart prescriptions includ</w:t>
      </w:r>
      <w:r w:rsidRPr="0055077A">
        <w:rPr>
          <w:szCs w:val="24"/>
        </w:rPr>
        <w:t xml:space="preserve">e a reference to a </w:t>
      </w:r>
      <w:r w:rsidR="00DD460D" w:rsidRPr="0055077A">
        <w:rPr>
          <w:szCs w:val="24"/>
        </w:rPr>
        <w:t>chemotherapy medication chart prescription</w:t>
      </w:r>
      <w:r w:rsidR="00D00FA5" w:rsidRPr="0055077A">
        <w:rPr>
          <w:szCs w:val="24"/>
        </w:rPr>
        <w:t xml:space="preserve">. </w:t>
      </w:r>
      <w:r w:rsidRPr="0055077A">
        <w:rPr>
          <w:szCs w:val="24"/>
        </w:rPr>
        <w:t xml:space="preserve">This provides for authority procedures for paper-based chemotherapy medication chart prescriptions. </w:t>
      </w:r>
    </w:p>
    <w:p w14:paraId="092D1637" w14:textId="5F2D532B" w:rsidR="001B1804" w:rsidRPr="0055077A" w:rsidRDefault="001B1804" w:rsidP="00B5708A">
      <w:pPr>
        <w:rPr>
          <w:szCs w:val="24"/>
        </w:rPr>
      </w:pPr>
    </w:p>
    <w:p w14:paraId="68DC83B1" w14:textId="07BBACB4" w:rsidR="001B1804" w:rsidRPr="0055077A" w:rsidRDefault="00DD460D" w:rsidP="00B5708A">
      <w:pPr>
        <w:rPr>
          <w:szCs w:val="24"/>
        </w:rPr>
      </w:pPr>
      <w:r w:rsidRPr="0055077A">
        <w:rPr>
          <w:szCs w:val="24"/>
        </w:rPr>
        <w:t>Subsections 9(4) to (</w:t>
      </w:r>
      <w:r w:rsidR="00ED347E" w:rsidRPr="0055077A">
        <w:rPr>
          <w:szCs w:val="24"/>
        </w:rPr>
        <w:t>5</w:t>
      </w:r>
      <w:r w:rsidRPr="0055077A">
        <w:rPr>
          <w:szCs w:val="24"/>
        </w:rPr>
        <w:t xml:space="preserve">) </w:t>
      </w:r>
      <w:r w:rsidR="00ED347E" w:rsidRPr="0055077A">
        <w:rPr>
          <w:szCs w:val="24"/>
        </w:rPr>
        <w:t>provide that a</w:t>
      </w:r>
      <w:r w:rsidRPr="0055077A">
        <w:rPr>
          <w:szCs w:val="24"/>
        </w:rPr>
        <w:t xml:space="preserve">n authorised prescriber may submit </w:t>
      </w:r>
      <w:r w:rsidR="00ED347E" w:rsidRPr="0055077A">
        <w:rPr>
          <w:szCs w:val="24"/>
        </w:rPr>
        <w:t>a copy of an</w:t>
      </w:r>
      <w:r w:rsidRPr="0055077A">
        <w:rPr>
          <w:szCs w:val="24"/>
        </w:rPr>
        <w:t xml:space="preserve"> </w:t>
      </w:r>
      <w:r w:rsidR="00FD6423" w:rsidRPr="0055077A">
        <w:rPr>
          <w:szCs w:val="24"/>
        </w:rPr>
        <w:t xml:space="preserve">electronic chemotherapy medication chart </w:t>
      </w:r>
      <w:r w:rsidRPr="0055077A">
        <w:rPr>
          <w:szCs w:val="24"/>
        </w:rPr>
        <w:t xml:space="preserve">prescription </w:t>
      </w:r>
      <w:r w:rsidR="00ED347E" w:rsidRPr="0055077A">
        <w:rPr>
          <w:szCs w:val="24"/>
        </w:rPr>
        <w:t xml:space="preserve">or details of the prescription </w:t>
      </w:r>
      <w:r w:rsidRPr="0055077A">
        <w:rPr>
          <w:szCs w:val="24"/>
        </w:rPr>
        <w:t xml:space="preserve">to the </w:t>
      </w:r>
      <w:r w:rsidRPr="0055077A">
        <w:rPr>
          <w:szCs w:val="24"/>
        </w:rPr>
        <w:lastRenderedPageBreak/>
        <w:t xml:space="preserve">Chief Executive Medicare, and </w:t>
      </w:r>
      <w:r w:rsidR="00ED347E" w:rsidRPr="0055077A">
        <w:rPr>
          <w:szCs w:val="24"/>
        </w:rPr>
        <w:t xml:space="preserve">specify what information must be provided where </w:t>
      </w:r>
      <w:r w:rsidRPr="0055077A">
        <w:rPr>
          <w:szCs w:val="24"/>
        </w:rPr>
        <w:t xml:space="preserve">details of the prescription </w:t>
      </w:r>
      <w:r w:rsidR="00ED347E" w:rsidRPr="0055077A">
        <w:rPr>
          <w:szCs w:val="24"/>
        </w:rPr>
        <w:t>are submitted</w:t>
      </w:r>
      <w:r w:rsidRPr="0055077A">
        <w:rPr>
          <w:szCs w:val="24"/>
        </w:rPr>
        <w:t xml:space="preserve">, to obtain the authority required. Subsections 9(6) to (8) set out how the Chief Executive Medicare may authorise the </w:t>
      </w:r>
      <w:r w:rsidR="00FD6423" w:rsidRPr="0055077A">
        <w:rPr>
          <w:szCs w:val="24"/>
        </w:rPr>
        <w:t xml:space="preserve">electronic chemotherapy medication chart </w:t>
      </w:r>
      <w:r w:rsidRPr="0055077A">
        <w:rPr>
          <w:szCs w:val="24"/>
        </w:rPr>
        <w:t xml:space="preserve">prescription, and requires the Chief Executive Medicare to tell the authorised prescriber the approval number allotted to the prescription, which the authorised prescriber must enter into the prescription. </w:t>
      </w:r>
    </w:p>
    <w:p w14:paraId="766929ED" w14:textId="77777777" w:rsidR="00904A97" w:rsidRPr="0055077A" w:rsidRDefault="00904A97" w:rsidP="00904A97">
      <w:pPr>
        <w:rPr>
          <w:szCs w:val="24"/>
        </w:rPr>
      </w:pPr>
    </w:p>
    <w:p w14:paraId="1A24F02D" w14:textId="7188F06A" w:rsidR="00B5708A" w:rsidRPr="0055077A" w:rsidRDefault="00B5708A" w:rsidP="00B5708A">
      <w:pPr>
        <w:ind w:right="91"/>
      </w:pPr>
      <w:r w:rsidRPr="0055077A">
        <w:rPr>
          <w:u w:val="single"/>
        </w:rPr>
        <w:t>Section 10 – Supply of pharmaceuticals under this Special Arrangement</w:t>
      </w:r>
    </w:p>
    <w:p w14:paraId="161EBA41" w14:textId="77777777" w:rsidR="00B5708A" w:rsidRPr="0055077A" w:rsidRDefault="00B5708A" w:rsidP="00B5708A">
      <w:pPr>
        <w:ind w:right="91"/>
        <w:rPr>
          <w:szCs w:val="24"/>
        </w:rPr>
      </w:pPr>
    </w:p>
    <w:p w14:paraId="19621AD8" w14:textId="7E6E4A55" w:rsidR="00C5639D" w:rsidRPr="0055077A" w:rsidRDefault="00B5708A" w:rsidP="00B5708A">
      <w:pPr>
        <w:rPr>
          <w:szCs w:val="24"/>
        </w:rPr>
      </w:pPr>
      <w:r w:rsidRPr="0055077A">
        <w:rPr>
          <w:szCs w:val="24"/>
        </w:rPr>
        <w:t>This section</w:t>
      </w:r>
      <w:r w:rsidR="00C838F7" w:rsidRPr="0055077A">
        <w:rPr>
          <w:szCs w:val="24"/>
        </w:rPr>
        <w:t xml:space="preserve"> sets out who may supply a pharmaceutical benefit under this</w:t>
      </w:r>
      <w:r w:rsidR="00C379F5" w:rsidRPr="0055077A">
        <w:rPr>
          <w:szCs w:val="24"/>
        </w:rPr>
        <w:t xml:space="preserve"> Special Arrangement</w:t>
      </w:r>
      <w:r w:rsidR="00C838F7" w:rsidRPr="0055077A">
        <w:rPr>
          <w:szCs w:val="24"/>
        </w:rPr>
        <w:t xml:space="preserve">, being a participating hospital authority to an eligible public hospital patient, an approved hospital authority for a private hospital to an eligible private hospital patient, or an approved pharmacist to an eligible public hospital patient or eligible private hospital patient. </w:t>
      </w:r>
      <w:r w:rsidR="00071C6A" w:rsidRPr="0055077A">
        <w:rPr>
          <w:szCs w:val="24"/>
        </w:rPr>
        <w:t>Subsection 10(2) provides that a</w:t>
      </w:r>
      <w:r w:rsidR="00C838F7" w:rsidRPr="0055077A">
        <w:rPr>
          <w:szCs w:val="24"/>
        </w:rPr>
        <w:t xml:space="preserve"> participating hospital authority may not supply a related pharmaceutical benefit</w:t>
      </w:r>
      <w:r w:rsidR="00C379F5" w:rsidRPr="0055077A">
        <w:rPr>
          <w:szCs w:val="24"/>
        </w:rPr>
        <w:t xml:space="preserve"> under this Special Arrangement</w:t>
      </w:r>
      <w:r w:rsidR="00C838F7" w:rsidRPr="0055077A">
        <w:rPr>
          <w:szCs w:val="24"/>
        </w:rPr>
        <w:t>.</w:t>
      </w:r>
      <w:r w:rsidR="00596464" w:rsidRPr="0055077A">
        <w:rPr>
          <w:szCs w:val="24"/>
        </w:rPr>
        <w:t xml:space="preserve"> </w:t>
      </w:r>
      <w:r w:rsidR="00C379F5" w:rsidRPr="0055077A">
        <w:rPr>
          <w:szCs w:val="24"/>
        </w:rPr>
        <w:t xml:space="preserve">Participating hospital authorities may supply related pharmaceutical benefits under the EFC Special Arrangement. </w:t>
      </w:r>
    </w:p>
    <w:p w14:paraId="2165A5CC" w14:textId="77777777" w:rsidR="00C5639D" w:rsidRPr="0055077A" w:rsidRDefault="00C5639D" w:rsidP="00B5708A">
      <w:pPr>
        <w:rPr>
          <w:szCs w:val="24"/>
        </w:rPr>
      </w:pPr>
    </w:p>
    <w:p w14:paraId="3A01A280" w14:textId="453537C6" w:rsidR="00564163" w:rsidRPr="0055077A" w:rsidRDefault="00C379F5" w:rsidP="00071C6A">
      <w:pPr>
        <w:rPr>
          <w:szCs w:val="24"/>
        </w:rPr>
      </w:pPr>
      <w:r w:rsidRPr="0055077A">
        <w:rPr>
          <w:szCs w:val="24"/>
        </w:rPr>
        <w:t xml:space="preserve">Subsection 10(3) </w:t>
      </w:r>
      <w:r w:rsidR="00071C6A" w:rsidRPr="0055077A">
        <w:rPr>
          <w:szCs w:val="24"/>
        </w:rPr>
        <w:t xml:space="preserve">provides for modifications to the application of </w:t>
      </w:r>
      <w:r w:rsidR="00C5639D" w:rsidRPr="0055077A">
        <w:rPr>
          <w:szCs w:val="24"/>
        </w:rPr>
        <w:t>subsections 45(2) to (7)</w:t>
      </w:r>
      <w:r w:rsidR="00071C6A" w:rsidRPr="0055077A">
        <w:rPr>
          <w:szCs w:val="24"/>
        </w:rPr>
        <w:t>, section 47 and section 49</w:t>
      </w:r>
      <w:r w:rsidR="00C5639D" w:rsidRPr="0055077A">
        <w:rPr>
          <w:szCs w:val="24"/>
        </w:rPr>
        <w:t xml:space="preserve"> of the Regulations</w:t>
      </w:r>
      <w:r w:rsidR="00071C6A" w:rsidRPr="0055077A">
        <w:rPr>
          <w:szCs w:val="24"/>
        </w:rPr>
        <w:t xml:space="preserve">. </w:t>
      </w:r>
      <w:r w:rsidR="00C5639D" w:rsidRPr="0055077A">
        <w:rPr>
          <w:szCs w:val="24"/>
        </w:rPr>
        <w:t xml:space="preserve">The modifications </w:t>
      </w:r>
      <w:r w:rsidR="00596464" w:rsidRPr="0055077A">
        <w:rPr>
          <w:szCs w:val="24"/>
        </w:rPr>
        <w:t>ensure that references to medication chart prescriptions</w:t>
      </w:r>
      <w:r w:rsidR="00C5639D" w:rsidRPr="0055077A">
        <w:rPr>
          <w:szCs w:val="24"/>
        </w:rPr>
        <w:t xml:space="preserve"> are to be read as including chemotherapy medication chart prescriptions and </w:t>
      </w:r>
      <w:r w:rsidR="00071C6A" w:rsidRPr="0055077A">
        <w:rPr>
          <w:szCs w:val="24"/>
        </w:rPr>
        <w:t xml:space="preserve">reference to </w:t>
      </w:r>
      <w:r w:rsidR="00596464" w:rsidRPr="0055077A">
        <w:rPr>
          <w:szCs w:val="24"/>
        </w:rPr>
        <w:t>persons receiving treatment</w:t>
      </w:r>
      <w:r w:rsidR="00C5639D" w:rsidRPr="0055077A">
        <w:rPr>
          <w:szCs w:val="24"/>
        </w:rPr>
        <w:t xml:space="preserve"> </w:t>
      </w:r>
      <w:r w:rsidR="00564163" w:rsidRPr="0055077A">
        <w:rPr>
          <w:szCs w:val="24"/>
        </w:rPr>
        <w:t xml:space="preserve">in or at a hospital </w:t>
      </w:r>
      <w:r w:rsidR="00C5639D" w:rsidRPr="0055077A">
        <w:rPr>
          <w:szCs w:val="24"/>
        </w:rPr>
        <w:t xml:space="preserve">includes </w:t>
      </w:r>
      <w:r w:rsidR="00564163" w:rsidRPr="0055077A">
        <w:rPr>
          <w:szCs w:val="24"/>
        </w:rPr>
        <w:t xml:space="preserve">reference to </w:t>
      </w:r>
      <w:r w:rsidR="00C5639D" w:rsidRPr="0055077A">
        <w:rPr>
          <w:szCs w:val="24"/>
        </w:rPr>
        <w:t>chemotherapy patients who may be receiving treatment from a hospital</w:t>
      </w:r>
      <w:r w:rsidR="00564163" w:rsidRPr="0055077A">
        <w:rPr>
          <w:szCs w:val="24"/>
        </w:rPr>
        <w:t>,</w:t>
      </w:r>
      <w:r w:rsidR="00C5639D" w:rsidRPr="0055077A">
        <w:rPr>
          <w:szCs w:val="24"/>
        </w:rPr>
        <w:t xml:space="preserve"> but not in or at that hospital. The</w:t>
      </w:r>
      <w:r w:rsidR="00596464" w:rsidRPr="0055077A">
        <w:rPr>
          <w:szCs w:val="24"/>
        </w:rPr>
        <w:t xml:space="preserve"> requirements </w:t>
      </w:r>
      <w:r w:rsidR="00FB450A" w:rsidRPr="0055077A">
        <w:rPr>
          <w:szCs w:val="24"/>
        </w:rPr>
        <w:t xml:space="preserve">in those sections </w:t>
      </w:r>
      <w:r w:rsidR="00C5639D" w:rsidRPr="0055077A">
        <w:rPr>
          <w:szCs w:val="24"/>
        </w:rPr>
        <w:t xml:space="preserve">relating to written signatures </w:t>
      </w:r>
      <w:r w:rsidR="00596464" w:rsidRPr="0055077A">
        <w:rPr>
          <w:szCs w:val="24"/>
        </w:rPr>
        <w:t>are appropriately modified for electronic chemotherapy medication chart prescription</w:t>
      </w:r>
      <w:r w:rsidR="00C5639D" w:rsidRPr="0055077A">
        <w:rPr>
          <w:szCs w:val="24"/>
        </w:rPr>
        <w:t>s</w:t>
      </w:r>
      <w:r w:rsidR="00490BA7" w:rsidRPr="0055077A">
        <w:rPr>
          <w:szCs w:val="24"/>
        </w:rPr>
        <w:t xml:space="preserve">. </w:t>
      </w:r>
    </w:p>
    <w:p w14:paraId="335DC6C3" w14:textId="77777777" w:rsidR="00564163" w:rsidRPr="0055077A" w:rsidRDefault="00564163" w:rsidP="00071C6A">
      <w:pPr>
        <w:rPr>
          <w:szCs w:val="24"/>
        </w:rPr>
      </w:pPr>
    </w:p>
    <w:p w14:paraId="33DC032A" w14:textId="42BE908C" w:rsidR="00B5708A" w:rsidRPr="0055077A" w:rsidRDefault="00564163" w:rsidP="00071C6A">
      <w:pPr>
        <w:rPr>
          <w:szCs w:val="24"/>
        </w:rPr>
      </w:pPr>
      <w:r w:rsidRPr="0055077A">
        <w:rPr>
          <w:szCs w:val="24"/>
        </w:rPr>
        <w:t>Subsection 10(4) provides that s</w:t>
      </w:r>
      <w:r w:rsidR="00490BA7" w:rsidRPr="0055077A">
        <w:rPr>
          <w:szCs w:val="24"/>
        </w:rPr>
        <w:t>ection 53 of the Regulations which relates to deferred supply authorisations does not apply to a supply of a pharmaceutical benefit under this Instrument.</w:t>
      </w:r>
    </w:p>
    <w:p w14:paraId="2E54775E" w14:textId="6CCD4495" w:rsidR="00B5708A" w:rsidRPr="0055077A" w:rsidRDefault="00B5708A" w:rsidP="00904A97">
      <w:pPr>
        <w:rPr>
          <w:szCs w:val="24"/>
        </w:rPr>
      </w:pPr>
    </w:p>
    <w:p w14:paraId="7EB9EB70" w14:textId="3A3DB103" w:rsidR="00B5708A" w:rsidRPr="0055077A" w:rsidRDefault="00B5708A" w:rsidP="00B5708A">
      <w:pPr>
        <w:ind w:right="91"/>
      </w:pPr>
      <w:r w:rsidRPr="0055077A">
        <w:rPr>
          <w:u w:val="single"/>
        </w:rPr>
        <w:t>Section 11 – Electronic chemotherapy medication chart prescription records</w:t>
      </w:r>
    </w:p>
    <w:p w14:paraId="3D8A1742" w14:textId="77777777" w:rsidR="00B5708A" w:rsidRPr="0055077A" w:rsidRDefault="00B5708A" w:rsidP="00B5708A">
      <w:pPr>
        <w:ind w:right="91"/>
        <w:rPr>
          <w:szCs w:val="24"/>
        </w:rPr>
      </w:pPr>
    </w:p>
    <w:p w14:paraId="6CCCC21C" w14:textId="23BC2167" w:rsidR="00C066A6" w:rsidRPr="0055077A" w:rsidRDefault="00B5708A" w:rsidP="00B5708A">
      <w:pPr>
        <w:rPr>
          <w:szCs w:val="24"/>
        </w:rPr>
      </w:pPr>
      <w:r w:rsidRPr="0055077A">
        <w:rPr>
          <w:szCs w:val="24"/>
        </w:rPr>
        <w:t xml:space="preserve">This section </w:t>
      </w:r>
      <w:r w:rsidR="00E54EFF" w:rsidRPr="0055077A">
        <w:rPr>
          <w:szCs w:val="24"/>
        </w:rPr>
        <w:t xml:space="preserve">sets out </w:t>
      </w:r>
      <w:r w:rsidR="00692D86" w:rsidRPr="0055077A">
        <w:rPr>
          <w:szCs w:val="24"/>
        </w:rPr>
        <w:t>the record-keeping requirements for electronic chemotherapy medication chart prescription</w:t>
      </w:r>
      <w:r w:rsidR="00C066A6" w:rsidRPr="0055077A">
        <w:rPr>
          <w:szCs w:val="24"/>
        </w:rPr>
        <w:t>s</w:t>
      </w:r>
      <w:r w:rsidR="00692D86" w:rsidRPr="0055077A">
        <w:rPr>
          <w:szCs w:val="24"/>
        </w:rPr>
        <w:t xml:space="preserve">. </w:t>
      </w:r>
    </w:p>
    <w:p w14:paraId="3858BF0C" w14:textId="77777777" w:rsidR="00C066A6" w:rsidRPr="0055077A" w:rsidRDefault="00C066A6" w:rsidP="00B5708A">
      <w:pPr>
        <w:rPr>
          <w:szCs w:val="24"/>
        </w:rPr>
      </w:pPr>
    </w:p>
    <w:p w14:paraId="75AB0448" w14:textId="2A4AB576" w:rsidR="00B5708A" w:rsidRPr="0055077A" w:rsidRDefault="001912E8" w:rsidP="00B5708A">
      <w:pPr>
        <w:rPr>
          <w:szCs w:val="24"/>
        </w:rPr>
      </w:pPr>
      <w:r w:rsidRPr="0055077A">
        <w:rPr>
          <w:szCs w:val="24"/>
        </w:rPr>
        <w:t>Subsection</w:t>
      </w:r>
      <w:r w:rsidR="00C066A6" w:rsidRPr="0055077A">
        <w:rPr>
          <w:szCs w:val="24"/>
        </w:rPr>
        <w:t xml:space="preserve"> 11(1) provides that an approved hospital authority or approved pharmacist who has supplied a pharmaceutical benefit under this Special </w:t>
      </w:r>
      <w:r w:rsidRPr="0055077A">
        <w:rPr>
          <w:szCs w:val="24"/>
        </w:rPr>
        <w:t>Arrangement</w:t>
      </w:r>
      <w:r w:rsidR="00C066A6" w:rsidRPr="0055077A">
        <w:rPr>
          <w:szCs w:val="24"/>
        </w:rPr>
        <w:t xml:space="preserve"> </w:t>
      </w:r>
      <w:r w:rsidR="00692D86" w:rsidRPr="0055077A">
        <w:rPr>
          <w:szCs w:val="24"/>
        </w:rPr>
        <w:t xml:space="preserve">must keep the chemotherapy medication chart, or a copy, including details required by </w:t>
      </w:r>
      <w:r w:rsidR="00C066A6" w:rsidRPr="0055077A">
        <w:rPr>
          <w:szCs w:val="24"/>
        </w:rPr>
        <w:t>section 45(2) of th</w:t>
      </w:r>
      <w:r w:rsidR="00692D86" w:rsidRPr="0055077A">
        <w:rPr>
          <w:szCs w:val="24"/>
        </w:rPr>
        <w:t xml:space="preserve">e Regulations or the electronic verification required by section 10 of this </w:t>
      </w:r>
      <w:r w:rsidR="00C066A6" w:rsidRPr="0055077A">
        <w:rPr>
          <w:szCs w:val="24"/>
        </w:rPr>
        <w:t xml:space="preserve">Special </w:t>
      </w:r>
      <w:r w:rsidRPr="0055077A">
        <w:rPr>
          <w:szCs w:val="24"/>
        </w:rPr>
        <w:t>Arrangement</w:t>
      </w:r>
      <w:r w:rsidR="00692D86" w:rsidRPr="0055077A">
        <w:rPr>
          <w:szCs w:val="24"/>
        </w:rPr>
        <w:t xml:space="preserve">. This must be kept for a period of at least 2 years from the date the pharmaceutical benefit is supplied. This ensures </w:t>
      </w:r>
      <w:r w:rsidR="00AB62F5" w:rsidRPr="0055077A">
        <w:rPr>
          <w:szCs w:val="24"/>
        </w:rPr>
        <w:t>documentation and evidence</w:t>
      </w:r>
      <w:r w:rsidR="005A30A6" w:rsidRPr="0055077A">
        <w:rPr>
          <w:szCs w:val="24"/>
        </w:rPr>
        <w:t xml:space="preserve"> is available</w:t>
      </w:r>
      <w:r w:rsidR="00AB62F5" w:rsidRPr="0055077A">
        <w:rPr>
          <w:szCs w:val="24"/>
        </w:rPr>
        <w:t xml:space="preserve"> if required. </w:t>
      </w:r>
      <w:r w:rsidR="00B5708A" w:rsidRPr="0055077A">
        <w:rPr>
          <w:szCs w:val="24"/>
        </w:rPr>
        <w:t xml:space="preserve"> </w:t>
      </w:r>
    </w:p>
    <w:p w14:paraId="19CCF3A7" w14:textId="2909E9F8" w:rsidR="00B5708A" w:rsidRPr="0055077A" w:rsidRDefault="00B5708A" w:rsidP="00904A97">
      <w:pPr>
        <w:rPr>
          <w:szCs w:val="24"/>
        </w:rPr>
      </w:pPr>
    </w:p>
    <w:p w14:paraId="04556AE1" w14:textId="43034152" w:rsidR="00B5708A" w:rsidRPr="0055077A" w:rsidRDefault="00B5708A" w:rsidP="00B5708A">
      <w:pPr>
        <w:ind w:right="91"/>
      </w:pPr>
      <w:r w:rsidRPr="0055077A">
        <w:rPr>
          <w:u w:val="single"/>
        </w:rPr>
        <w:t>Section 12 – Modified application of legislative instruments</w:t>
      </w:r>
    </w:p>
    <w:p w14:paraId="5BF1F202" w14:textId="77777777" w:rsidR="00B5708A" w:rsidRPr="0055077A" w:rsidRDefault="00B5708A" w:rsidP="00B5708A">
      <w:pPr>
        <w:ind w:right="91"/>
        <w:rPr>
          <w:szCs w:val="24"/>
        </w:rPr>
      </w:pPr>
    </w:p>
    <w:p w14:paraId="6BDE2060" w14:textId="13ED459A" w:rsidR="00B5708A" w:rsidRPr="0055077A" w:rsidRDefault="00B5708A" w:rsidP="00B5708A">
      <w:pPr>
        <w:rPr>
          <w:szCs w:val="24"/>
        </w:rPr>
      </w:pPr>
      <w:r w:rsidRPr="0055077A">
        <w:rPr>
          <w:szCs w:val="24"/>
        </w:rPr>
        <w:t>This section</w:t>
      </w:r>
      <w:r w:rsidR="007A10F9" w:rsidRPr="0055077A">
        <w:rPr>
          <w:szCs w:val="24"/>
        </w:rPr>
        <w:t xml:space="preserve"> ensures that references to medication chart prescriptions in</w:t>
      </w:r>
      <w:r w:rsidR="00836757" w:rsidRPr="0055077A">
        <w:rPr>
          <w:szCs w:val="24"/>
        </w:rPr>
        <w:t xml:space="preserve"> certain</w:t>
      </w:r>
      <w:r w:rsidR="007A10F9" w:rsidRPr="0055077A">
        <w:rPr>
          <w:szCs w:val="24"/>
        </w:rPr>
        <w:t xml:space="preserve"> other legislative instruments are read as including references to a chemotherapy medication chart prescription </w:t>
      </w:r>
      <w:r w:rsidR="000901D4" w:rsidRPr="0055077A">
        <w:rPr>
          <w:szCs w:val="24"/>
        </w:rPr>
        <w:t xml:space="preserve">or an electronic chemotherapy medication chart prescription </w:t>
      </w:r>
      <w:r w:rsidR="007A10F9" w:rsidRPr="0055077A">
        <w:rPr>
          <w:szCs w:val="24"/>
        </w:rPr>
        <w:t>as set out in this</w:t>
      </w:r>
      <w:r w:rsidR="00836757" w:rsidRPr="0055077A">
        <w:rPr>
          <w:szCs w:val="24"/>
        </w:rPr>
        <w:t xml:space="preserve"> Special Arrangement</w:t>
      </w:r>
      <w:r w:rsidR="007A10F9" w:rsidRPr="0055077A">
        <w:rPr>
          <w:szCs w:val="24"/>
        </w:rPr>
        <w:t xml:space="preserve">. </w:t>
      </w:r>
    </w:p>
    <w:p w14:paraId="7C6199DE" w14:textId="77777777" w:rsidR="00B5708A" w:rsidRPr="0055077A" w:rsidRDefault="00B5708A" w:rsidP="00904A97">
      <w:pPr>
        <w:rPr>
          <w:szCs w:val="24"/>
        </w:rPr>
      </w:pPr>
    </w:p>
    <w:p w14:paraId="0EDC3F79" w14:textId="77777777" w:rsidR="00904A97" w:rsidRPr="0055077A" w:rsidRDefault="00904A97" w:rsidP="00904A97">
      <w:pPr>
        <w:rPr>
          <w:szCs w:val="24"/>
        </w:rPr>
      </w:pPr>
    </w:p>
    <w:p w14:paraId="70D7B374" w14:textId="77777777" w:rsidR="007B7D82" w:rsidRPr="0055077A" w:rsidRDefault="007B7D82">
      <w:pPr>
        <w:spacing w:after="200" w:line="276" w:lineRule="auto"/>
        <w:rPr>
          <w:b/>
          <w:sz w:val="26"/>
          <w:szCs w:val="26"/>
        </w:rPr>
      </w:pPr>
      <w:r w:rsidRPr="0055077A">
        <w:rPr>
          <w:b/>
          <w:sz w:val="26"/>
          <w:szCs w:val="26"/>
        </w:rPr>
        <w:br w:type="page"/>
      </w:r>
    </w:p>
    <w:p w14:paraId="7FE97957" w14:textId="7C054291" w:rsidR="00F046F9" w:rsidRPr="0055077A" w:rsidRDefault="00F046F9" w:rsidP="00F046F9">
      <w:pPr>
        <w:jc w:val="center"/>
        <w:rPr>
          <w:b/>
          <w:sz w:val="26"/>
          <w:szCs w:val="26"/>
        </w:rPr>
      </w:pPr>
      <w:r w:rsidRPr="0055077A">
        <w:rPr>
          <w:b/>
          <w:sz w:val="26"/>
          <w:szCs w:val="26"/>
        </w:rPr>
        <w:lastRenderedPageBreak/>
        <w:t>Statement of Compatibility with Human Rights</w:t>
      </w:r>
    </w:p>
    <w:p w14:paraId="3AE10122" w14:textId="77777777" w:rsidR="00F046F9" w:rsidRPr="0055077A" w:rsidRDefault="00F046F9" w:rsidP="00F046F9">
      <w:pPr>
        <w:spacing w:before="120"/>
        <w:jc w:val="center"/>
        <w:rPr>
          <w:i/>
          <w:szCs w:val="24"/>
        </w:rPr>
      </w:pPr>
      <w:r w:rsidRPr="0055077A">
        <w:rPr>
          <w:i/>
          <w:szCs w:val="24"/>
        </w:rPr>
        <w:t>Prepared in accordance with Part 3 of the Human Rights (Parliamentary Scrutiny) Act 2011</w:t>
      </w:r>
    </w:p>
    <w:p w14:paraId="64F53903" w14:textId="4B9BAF9E" w:rsidR="00F046F9" w:rsidRPr="0055077A" w:rsidRDefault="00F046F9" w:rsidP="00F046F9">
      <w:pPr>
        <w:spacing w:before="240"/>
        <w:jc w:val="center"/>
        <w:rPr>
          <w:b/>
          <w:i/>
          <w:szCs w:val="24"/>
        </w:rPr>
      </w:pPr>
      <w:r w:rsidRPr="0055077A">
        <w:rPr>
          <w:b/>
          <w:i/>
          <w:szCs w:val="24"/>
        </w:rPr>
        <w:t>National Health (Chemotherapy Prescribing) Special Arrangement 2020</w:t>
      </w:r>
    </w:p>
    <w:p w14:paraId="2E9902C1" w14:textId="00E67F0C" w:rsidR="00F046F9" w:rsidRPr="0055077A" w:rsidRDefault="00F046F9" w:rsidP="00F046F9">
      <w:pPr>
        <w:spacing w:before="120"/>
        <w:jc w:val="center"/>
        <w:rPr>
          <w:b/>
          <w:szCs w:val="24"/>
        </w:rPr>
      </w:pPr>
      <w:r w:rsidRPr="0055077A">
        <w:rPr>
          <w:b/>
          <w:szCs w:val="24"/>
        </w:rPr>
        <w:t xml:space="preserve">(PB </w:t>
      </w:r>
      <w:r w:rsidR="00F863EC" w:rsidRPr="0055077A">
        <w:rPr>
          <w:b/>
          <w:szCs w:val="24"/>
        </w:rPr>
        <w:t>52</w:t>
      </w:r>
      <w:r w:rsidRPr="0055077A">
        <w:rPr>
          <w:b/>
          <w:szCs w:val="24"/>
        </w:rPr>
        <w:t xml:space="preserve"> of 20</w:t>
      </w:r>
      <w:r w:rsidR="00F863EC" w:rsidRPr="0055077A">
        <w:rPr>
          <w:b/>
          <w:szCs w:val="24"/>
        </w:rPr>
        <w:t>20</w:t>
      </w:r>
      <w:r w:rsidRPr="0055077A">
        <w:rPr>
          <w:b/>
          <w:szCs w:val="24"/>
        </w:rPr>
        <w:t>)</w:t>
      </w:r>
    </w:p>
    <w:p w14:paraId="0FAC93B9" w14:textId="77777777" w:rsidR="00F046F9" w:rsidRPr="0055077A" w:rsidRDefault="00F046F9" w:rsidP="00F046F9">
      <w:pPr>
        <w:spacing w:before="120"/>
        <w:jc w:val="center"/>
        <w:rPr>
          <w:b/>
          <w:szCs w:val="24"/>
        </w:rPr>
      </w:pPr>
    </w:p>
    <w:p w14:paraId="3F0B77B6" w14:textId="77777777" w:rsidR="00F046F9" w:rsidRPr="0055077A" w:rsidRDefault="00F046F9" w:rsidP="00F046F9">
      <w:pPr>
        <w:jc w:val="both"/>
        <w:rPr>
          <w:szCs w:val="24"/>
        </w:rPr>
      </w:pPr>
      <w:r w:rsidRPr="0055077A">
        <w:rPr>
          <w:szCs w:val="24"/>
        </w:rPr>
        <w:t xml:space="preserve">This Legislative Instrument is compatible with the human rights and freedoms recognised or declared in the international instruments listed in section 3 of the </w:t>
      </w:r>
      <w:r w:rsidRPr="0055077A">
        <w:rPr>
          <w:i/>
          <w:szCs w:val="24"/>
        </w:rPr>
        <w:t>Human Rights (Parliamentary Scrutiny) Act 2011</w:t>
      </w:r>
      <w:r w:rsidRPr="0055077A">
        <w:rPr>
          <w:szCs w:val="24"/>
        </w:rPr>
        <w:t>.</w:t>
      </w:r>
    </w:p>
    <w:p w14:paraId="35FC538A" w14:textId="77777777" w:rsidR="00F046F9" w:rsidRPr="0055077A" w:rsidRDefault="00F046F9" w:rsidP="00F046F9">
      <w:pPr>
        <w:rPr>
          <w:b/>
          <w:szCs w:val="24"/>
        </w:rPr>
      </w:pPr>
    </w:p>
    <w:p w14:paraId="2C1DA77B" w14:textId="77777777" w:rsidR="00F046F9" w:rsidRPr="0055077A" w:rsidRDefault="00F046F9" w:rsidP="003F3AE3">
      <w:pPr>
        <w:rPr>
          <w:b/>
          <w:szCs w:val="24"/>
        </w:rPr>
      </w:pPr>
      <w:r w:rsidRPr="0055077A">
        <w:rPr>
          <w:b/>
          <w:szCs w:val="24"/>
        </w:rPr>
        <w:t>Overview of the Legislative Instrument</w:t>
      </w:r>
    </w:p>
    <w:p w14:paraId="312EB94C" w14:textId="2CC1AA27" w:rsidR="00F046F9" w:rsidRPr="0055077A" w:rsidRDefault="00F046F9" w:rsidP="003F3AE3">
      <w:pPr>
        <w:jc w:val="both"/>
        <w:rPr>
          <w:szCs w:val="24"/>
        </w:rPr>
      </w:pPr>
      <w:r w:rsidRPr="0055077A">
        <w:rPr>
          <w:szCs w:val="24"/>
        </w:rPr>
        <w:t>The Legislative Instrument</w:t>
      </w:r>
      <w:r w:rsidR="00040FC6" w:rsidRPr="0055077A">
        <w:rPr>
          <w:szCs w:val="24"/>
        </w:rPr>
        <w:t xml:space="preserve"> is a special arrangement </w:t>
      </w:r>
      <w:r w:rsidRPr="0055077A">
        <w:rPr>
          <w:szCs w:val="24"/>
        </w:rPr>
        <w:t xml:space="preserve">made under subsection 100(1) of the </w:t>
      </w:r>
      <w:r w:rsidRPr="0055077A">
        <w:rPr>
          <w:i/>
          <w:szCs w:val="24"/>
        </w:rPr>
        <w:t>National Health Act 1953</w:t>
      </w:r>
      <w:r w:rsidRPr="0055077A">
        <w:rPr>
          <w:szCs w:val="24"/>
        </w:rPr>
        <w:t xml:space="preserve"> (the Act)</w:t>
      </w:r>
      <w:r w:rsidR="00040FC6" w:rsidRPr="0055077A">
        <w:rPr>
          <w:szCs w:val="24"/>
        </w:rPr>
        <w:t>. Its purpose</w:t>
      </w:r>
      <w:r w:rsidRPr="0055077A">
        <w:rPr>
          <w:szCs w:val="24"/>
        </w:rPr>
        <w:t xml:space="preserve"> is to make the supply of certain pharmaceutical benefits to patients who </w:t>
      </w:r>
      <w:r w:rsidR="00040FC6" w:rsidRPr="0055077A">
        <w:rPr>
          <w:szCs w:val="24"/>
        </w:rPr>
        <w:t xml:space="preserve">are </w:t>
      </w:r>
      <w:r w:rsidR="0049358A" w:rsidRPr="0055077A">
        <w:rPr>
          <w:szCs w:val="24"/>
        </w:rPr>
        <w:t xml:space="preserve">also </w:t>
      </w:r>
      <w:r w:rsidR="00040FC6" w:rsidRPr="0055077A">
        <w:rPr>
          <w:szCs w:val="24"/>
        </w:rPr>
        <w:t xml:space="preserve">being </w:t>
      </w:r>
      <w:r w:rsidRPr="0055077A">
        <w:rPr>
          <w:szCs w:val="24"/>
        </w:rPr>
        <w:t xml:space="preserve">prescribed pharmaceutical benefits for the purposes of chemotherapy </w:t>
      </w:r>
      <w:r w:rsidR="00040FC6" w:rsidRPr="0055077A">
        <w:rPr>
          <w:szCs w:val="24"/>
        </w:rPr>
        <w:t>under the</w:t>
      </w:r>
      <w:r w:rsidR="00040FC6" w:rsidRPr="0055077A">
        <w:rPr>
          <w:i/>
          <w:szCs w:val="24"/>
        </w:rPr>
        <w:t xml:space="preserve"> National Health (Efficient Funding of Chemotherapy) Special Arrangement 2011</w:t>
      </w:r>
      <w:r w:rsidR="00040FC6" w:rsidRPr="0055077A">
        <w:rPr>
          <w:szCs w:val="24"/>
        </w:rPr>
        <w:t xml:space="preserve"> </w:t>
      </w:r>
      <w:r w:rsidRPr="0055077A">
        <w:rPr>
          <w:szCs w:val="24"/>
        </w:rPr>
        <w:t xml:space="preserve">more efficient and convenient.  </w:t>
      </w:r>
    </w:p>
    <w:p w14:paraId="7620699C" w14:textId="77777777" w:rsidR="003F3AE3" w:rsidRPr="0055077A" w:rsidRDefault="003F3AE3" w:rsidP="003F3AE3">
      <w:pPr>
        <w:jc w:val="both"/>
        <w:rPr>
          <w:szCs w:val="24"/>
        </w:rPr>
      </w:pPr>
    </w:p>
    <w:p w14:paraId="0D1889D8" w14:textId="027DDF8E" w:rsidR="00774535" w:rsidRPr="0055077A" w:rsidRDefault="005A67A3" w:rsidP="003F3AE3">
      <w:pPr>
        <w:jc w:val="both"/>
        <w:rPr>
          <w:szCs w:val="24"/>
        </w:rPr>
      </w:pPr>
      <w:r w:rsidRPr="0055077A">
        <w:rPr>
          <w:szCs w:val="24"/>
        </w:rPr>
        <w:t xml:space="preserve">This Legislative Instrument modifies arrangements for prescribing the supply of pharmaceutical benefits available for general supply, to enable them to be prescribed using a medication chart also used to prescribe the person an infusion or related chemotherapy benefit under the </w:t>
      </w:r>
      <w:r w:rsidRPr="0055077A">
        <w:rPr>
          <w:i/>
          <w:szCs w:val="24"/>
        </w:rPr>
        <w:t>National Health (Efficient Funding of Chemotherapy) Special Arrangement 2011</w:t>
      </w:r>
      <w:r w:rsidRPr="0055077A">
        <w:rPr>
          <w:szCs w:val="24"/>
        </w:rPr>
        <w:t>.</w:t>
      </w:r>
      <w:r w:rsidR="00774535" w:rsidRPr="0055077A">
        <w:rPr>
          <w:szCs w:val="24"/>
        </w:rPr>
        <w:t xml:space="preserve"> </w:t>
      </w:r>
    </w:p>
    <w:p w14:paraId="31F6058E" w14:textId="77777777" w:rsidR="003F3AE3" w:rsidRPr="0055077A" w:rsidRDefault="003F3AE3" w:rsidP="003F3AE3">
      <w:pPr>
        <w:jc w:val="both"/>
        <w:rPr>
          <w:szCs w:val="24"/>
        </w:rPr>
      </w:pPr>
    </w:p>
    <w:p w14:paraId="32C23616" w14:textId="1CA976C8" w:rsidR="00F046F9" w:rsidRPr="0055077A" w:rsidRDefault="003F3AE3" w:rsidP="003F3AE3">
      <w:pPr>
        <w:jc w:val="both"/>
        <w:rPr>
          <w:szCs w:val="24"/>
        </w:rPr>
      </w:pPr>
      <w:r w:rsidRPr="0055077A">
        <w:rPr>
          <w:szCs w:val="24"/>
        </w:rPr>
        <w:t xml:space="preserve">This Instrument will enable prescription of pharmaceutical benefits and related pharmaceutical benefits via chemotherapy medication chart prescriptions normally used for infused chemotherapy medicines. This Instrument will also enable prescriptions for chemotherapy medicines via electronic chemotherapy medication chart prescriptions, without the requirement for the original paper prescription, to reduce contact with vulnerable patients.  </w:t>
      </w:r>
    </w:p>
    <w:p w14:paraId="04DE6853" w14:textId="77777777" w:rsidR="003F3AE3" w:rsidRPr="0055077A" w:rsidRDefault="003F3AE3" w:rsidP="003F3AE3">
      <w:pPr>
        <w:jc w:val="both"/>
        <w:rPr>
          <w:szCs w:val="24"/>
        </w:rPr>
      </w:pPr>
    </w:p>
    <w:p w14:paraId="5FA1AAF4" w14:textId="77777777" w:rsidR="00F046F9" w:rsidRPr="0055077A" w:rsidRDefault="00F046F9" w:rsidP="003F3AE3">
      <w:pPr>
        <w:rPr>
          <w:b/>
          <w:szCs w:val="24"/>
        </w:rPr>
      </w:pPr>
      <w:r w:rsidRPr="0055077A">
        <w:rPr>
          <w:b/>
          <w:szCs w:val="24"/>
        </w:rPr>
        <w:t>Human Rights Implications</w:t>
      </w:r>
    </w:p>
    <w:p w14:paraId="58283EFC" w14:textId="4C65577B" w:rsidR="00F046F9" w:rsidRPr="0055077A" w:rsidRDefault="00F046F9" w:rsidP="003F3AE3">
      <w:pPr>
        <w:jc w:val="both"/>
        <w:rPr>
          <w:szCs w:val="24"/>
        </w:rPr>
      </w:pPr>
      <w:r w:rsidRPr="0055077A">
        <w:rPr>
          <w:szCs w:val="24"/>
        </w:rPr>
        <w:t>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66D9EEE9" w14:textId="77777777" w:rsidR="001710D8" w:rsidRPr="0055077A" w:rsidRDefault="001710D8" w:rsidP="003F3AE3">
      <w:pPr>
        <w:jc w:val="both"/>
        <w:rPr>
          <w:szCs w:val="24"/>
        </w:rPr>
      </w:pPr>
    </w:p>
    <w:p w14:paraId="1B053C6A" w14:textId="2C3E9D9D" w:rsidR="00F046F9" w:rsidRPr="0055077A" w:rsidRDefault="00F046F9" w:rsidP="003F3AE3">
      <w:pPr>
        <w:jc w:val="both"/>
        <w:rPr>
          <w:szCs w:val="24"/>
        </w:rPr>
      </w:pPr>
      <w:r w:rsidRPr="0055077A">
        <w:rPr>
          <w:szCs w:val="24"/>
        </w:rPr>
        <w:t xml:space="preserve">The </w:t>
      </w:r>
      <w:r w:rsidR="005A67A3" w:rsidRPr="0055077A">
        <w:rPr>
          <w:szCs w:val="24"/>
        </w:rPr>
        <w:t>PBS</w:t>
      </w:r>
      <w:r w:rsidRPr="0055077A">
        <w:rPr>
          <w:szCs w:val="24"/>
        </w:rPr>
        <w:t xml:space="preserve"> is a benefit scheme which assists with the advancement of this human right by providing for subsidised access by patients to essential medicines.</w:t>
      </w:r>
      <w:r w:rsidR="001710D8" w:rsidRPr="0055077A">
        <w:rPr>
          <w:szCs w:val="24"/>
        </w:rPr>
        <w:t xml:space="preserve"> </w:t>
      </w:r>
      <w:r w:rsidR="00847219" w:rsidRPr="0055077A">
        <w:rPr>
          <w:szCs w:val="24"/>
        </w:rPr>
        <w:t xml:space="preserve">This Legislative Instrument makes </w:t>
      </w:r>
      <w:r w:rsidR="001710D8" w:rsidRPr="0055077A">
        <w:rPr>
          <w:szCs w:val="24"/>
        </w:rPr>
        <w:t>the supply of certain pharmaceutical benefits</w:t>
      </w:r>
      <w:r w:rsidR="008315C9" w:rsidRPr="0055077A">
        <w:rPr>
          <w:szCs w:val="24"/>
        </w:rPr>
        <w:t xml:space="preserve"> to patients</w:t>
      </w:r>
      <w:r w:rsidR="00847219" w:rsidRPr="0055077A">
        <w:rPr>
          <w:szCs w:val="24"/>
        </w:rPr>
        <w:t xml:space="preserve"> </w:t>
      </w:r>
      <w:r w:rsidR="00DF732C" w:rsidRPr="0055077A">
        <w:rPr>
          <w:szCs w:val="24"/>
        </w:rPr>
        <w:t xml:space="preserve">receiving </w:t>
      </w:r>
      <w:r w:rsidR="00847219" w:rsidRPr="0055077A">
        <w:rPr>
          <w:szCs w:val="24"/>
        </w:rPr>
        <w:t xml:space="preserve">chemotherapy </w:t>
      </w:r>
      <w:r w:rsidR="001710D8" w:rsidRPr="0055077A">
        <w:rPr>
          <w:szCs w:val="24"/>
        </w:rPr>
        <w:t>more efficient and</w:t>
      </w:r>
      <w:r w:rsidR="00252CF8" w:rsidRPr="0055077A">
        <w:rPr>
          <w:szCs w:val="24"/>
        </w:rPr>
        <w:t xml:space="preserve"> convenient, and reduces contact with vulnerable patients.</w:t>
      </w:r>
    </w:p>
    <w:p w14:paraId="32EB7371" w14:textId="77777777" w:rsidR="00F046F9" w:rsidRPr="0055077A" w:rsidRDefault="00F046F9" w:rsidP="003F3AE3">
      <w:pPr>
        <w:rPr>
          <w:b/>
          <w:szCs w:val="24"/>
        </w:rPr>
      </w:pPr>
    </w:p>
    <w:p w14:paraId="0DB89417" w14:textId="77777777" w:rsidR="00F046F9" w:rsidRPr="0055077A" w:rsidRDefault="00F046F9" w:rsidP="003F3AE3">
      <w:pPr>
        <w:rPr>
          <w:b/>
          <w:szCs w:val="24"/>
        </w:rPr>
      </w:pPr>
      <w:r w:rsidRPr="0055077A">
        <w:rPr>
          <w:b/>
          <w:szCs w:val="24"/>
        </w:rPr>
        <w:t>Conclusion</w:t>
      </w:r>
    </w:p>
    <w:p w14:paraId="7D15E841" w14:textId="77777777" w:rsidR="00F046F9" w:rsidRPr="0055077A" w:rsidRDefault="00F046F9" w:rsidP="003F3AE3">
      <w:pPr>
        <w:jc w:val="both"/>
        <w:rPr>
          <w:szCs w:val="24"/>
        </w:rPr>
      </w:pPr>
      <w:r w:rsidRPr="0055077A">
        <w:rPr>
          <w:szCs w:val="24"/>
        </w:rPr>
        <w:t>This Legislative Instrument is compatible with human rights because it advances the protection of human rights.</w:t>
      </w:r>
    </w:p>
    <w:p w14:paraId="4C7C04C4" w14:textId="77777777" w:rsidR="00F046F9" w:rsidRPr="0055077A" w:rsidRDefault="00F046F9" w:rsidP="00F046F9">
      <w:pPr>
        <w:jc w:val="center"/>
        <w:rPr>
          <w:b/>
          <w:szCs w:val="24"/>
        </w:rPr>
      </w:pPr>
    </w:p>
    <w:p w14:paraId="4CCFB67C" w14:textId="77777777" w:rsidR="00F046F9" w:rsidRPr="0055077A" w:rsidRDefault="00F046F9" w:rsidP="00F046F9">
      <w:pPr>
        <w:jc w:val="center"/>
        <w:rPr>
          <w:b/>
          <w:szCs w:val="24"/>
        </w:rPr>
      </w:pPr>
    </w:p>
    <w:p w14:paraId="5F82C6AD" w14:textId="43914B56" w:rsidR="00F046F9" w:rsidRPr="0055077A" w:rsidRDefault="00745312" w:rsidP="00F046F9">
      <w:pPr>
        <w:spacing w:before="240"/>
        <w:jc w:val="center"/>
        <w:rPr>
          <w:b/>
          <w:szCs w:val="24"/>
        </w:rPr>
      </w:pPr>
      <w:r w:rsidRPr="0055077A">
        <w:rPr>
          <w:b/>
          <w:szCs w:val="24"/>
        </w:rPr>
        <w:t>Adriana Platona</w:t>
      </w:r>
    </w:p>
    <w:p w14:paraId="370CC745" w14:textId="73F92A1A" w:rsidR="00F046F9" w:rsidRPr="0055077A" w:rsidRDefault="00F046F9" w:rsidP="00F046F9">
      <w:pPr>
        <w:jc w:val="center"/>
        <w:rPr>
          <w:b/>
          <w:szCs w:val="24"/>
        </w:rPr>
      </w:pPr>
      <w:r w:rsidRPr="0055077A">
        <w:rPr>
          <w:b/>
          <w:szCs w:val="24"/>
        </w:rPr>
        <w:t>First Assistant Secretary</w:t>
      </w:r>
    </w:p>
    <w:p w14:paraId="0045758A" w14:textId="77777777" w:rsidR="00F046F9" w:rsidRPr="0055077A" w:rsidRDefault="00F046F9" w:rsidP="00F046F9">
      <w:pPr>
        <w:jc w:val="center"/>
        <w:rPr>
          <w:b/>
          <w:szCs w:val="24"/>
        </w:rPr>
      </w:pPr>
      <w:r w:rsidRPr="0055077A">
        <w:rPr>
          <w:b/>
          <w:szCs w:val="24"/>
        </w:rPr>
        <w:t>Technology Assessment and Access Division</w:t>
      </w:r>
    </w:p>
    <w:p w14:paraId="2F1A38A8" w14:textId="7D8F1A67" w:rsidR="00445A6D" w:rsidRPr="00A00ACC" w:rsidRDefault="00F046F9" w:rsidP="00F046F9">
      <w:pPr>
        <w:jc w:val="center"/>
        <w:rPr>
          <w:b/>
          <w:szCs w:val="24"/>
        </w:rPr>
      </w:pPr>
      <w:r w:rsidRPr="0055077A">
        <w:rPr>
          <w:b/>
          <w:szCs w:val="24"/>
        </w:rPr>
        <w:t>Department of Health</w:t>
      </w:r>
      <w:bookmarkStart w:id="0" w:name="_GoBack"/>
      <w:bookmarkEnd w:id="0"/>
    </w:p>
    <w:sectPr w:rsidR="00445A6D" w:rsidRPr="00A00ACC" w:rsidSect="00DB6405">
      <w:pgSz w:w="11906" w:h="16838"/>
      <w:pgMar w:top="1440" w:right="1440" w:bottom="1440" w:left="1440" w:header="720" w:footer="720" w:gutter="0"/>
      <w:paperSrc w:first="7" w:other="7"/>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847D7" w16cid:durableId="1F2EC72C"/>
  <w16cid:commentId w16cid:paraId="080DCC91" w16cid:durableId="1F2ED1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8049E" w14:textId="77777777" w:rsidR="000F1314" w:rsidRDefault="000F1314">
      <w:r>
        <w:separator/>
      </w:r>
    </w:p>
  </w:endnote>
  <w:endnote w:type="continuationSeparator" w:id="0">
    <w:p w14:paraId="7F0D06A8" w14:textId="77777777" w:rsidR="000F1314" w:rsidRDefault="000F1314">
      <w:r>
        <w:continuationSeparator/>
      </w:r>
    </w:p>
  </w:endnote>
  <w:endnote w:type="continuationNotice" w:id="1">
    <w:p w14:paraId="795E5495" w14:textId="77777777" w:rsidR="000F1314" w:rsidRDefault="000F1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575706"/>
      <w:docPartObj>
        <w:docPartGallery w:val="Page Numbers (Bottom of Page)"/>
        <w:docPartUnique/>
      </w:docPartObj>
    </w:sdtPr>
    <w:sdtEndPr>
      <w:rPr>
        <w:noProof/>
      </w:rPr>
    </w:sdtEndPr>
    <w:sdtContent>
      <w:p w14:paraId="77FB6F95" w14:textId="4A59CE39" w:rsidR="00040FC6" w:rsidRDefault="00040FC6">
        <w:pPr>
          <w:pStyle w:val="Footer"/>
          <w:jc w:val="center"/>
        </w:pPr>
        <w:r>
          <w:fldChar w:fldCharType="begin"/>
        </w:r>
        <w:r>
          <w:instrText xml:space="preserve"> PAGE   \* MERGEFORMAT </w:instrText>
        </w:r>
        <w:r>
          <w:fldChar w:fldCharType="separate"/>
        </w:r>
        <w:r w:rsidR="0055077A">
          <w:rPr>
            <w:noProof/>
          </w:rPr>
          <w:t>1</w:t>
        </w:r>
        <w:r>
          <w:rPr>
            <w:noProof/>
          </w:rPr>
          <w:fldChar w:fldCharType="end"/>
        </w:r>
      </w:p>
    </w:sdtContent>
  </w:sdt>
  <w:p w14:paraId="595C04EA" w14:textId="77777777" w:rsidR="00040FC6" w:rsidRDefault="0004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730D0" w14:textId="77777777" w:rsidR="000F1314" w:rsidRDefault="000F1314">
      <w:r>
        <w:separator/>
      </w:r>
    </w:p>
  </w:footnote>
  <w:footnote w:type="continuationSeparator" w:id="0">
    <w:p w14:paraId="4343F2B7" w14:textId="77777777" w:rsidR="000F1314" w:rsidRDefault="000F1314">
      <w:r>
        <w:continuationSeparator/>
      </w:r>
    </w:p>
  </w:footnote>
  <w:footnote w:type="continuationNotice" w:id="1">
    <w:p w14:paraId="7D4F325E" w14:textId="77777777" w:rsidR="000F1314" w:rsidRDefault="000F13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38AD" w14:textId="77777777" w:rsidR="00040FC6" w:rsidRDefault="00040FC6"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040FC6" w:rsidRDefault="0004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7415" w14:textId="4F862B62" w:rsidR="00040FC6" w:rsidRDefault="00040FC6">
    <w:pPr>
      <w:pStyle w:val="Header"/>
      <w:jc w:val="center"/>
    </w:pPr>
  </w:p>
  <w:p w14:paraId="2F1A38B0" w14:textId="77777777" w:rsidR="00040FC6" w:rsidRDefault="00040FC6" w:rsidP="004B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38B1" w14:textId="77777777" w:rsidR="00040FC6" w:rsidRDefault="00040FC6">
    <w:pPr>
      <w:pStyle w:val="Header"/>
      <w:jc w:val="center"/>
    </w:pPr>
  </w:p>
  <w:p w14:paraId="2F1A38B2" w14:textId="77777777" w:rsidR="00040FC6" w:rsidRDefault="0004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828"/>
    <w:multiLevelType w:val="hybridMultilevel"/>
    <w:tmpl w:val="30269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D2AC7"/>
    <w:multiLevelType w:val="hybridMultilevel"/>
    <w:tmpl w:val="7D1E5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054EE1"/>
    <w:multiLevelType w:val="hybridMultilevel"/>
    <w:tmpl w:val="81ECA096"/>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85456CC"/>
    <w:multiLevelType w:val="hybridMultilevel"/>
    <w:tmpl w:val="5106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FB4D70"/>
    <w:multiLevelType w:val="hybridMultilevel"/>
    <w:tmpl w:val="4106FB5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397E20"/>
    <w:multiLevelType w:val="hybridMultilevel"/>
    <w:tmpl w:val="CDF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A21708"/>
    <w:multiLevelType w:val="hybridMultilevel"/>
    <w:tmpl w:val="F28E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00D36"/>
    <w:multiLevelType w:val="hybridMultilevel"/>
    <w:tmpl w:val="7DC6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15:restartNumberingAfterBreak="0">
    <w:nsid w:val="43957C64"/>
    <w:multiLevelType w:val="hybridMultilevel"/>
    <w:tmpl w:val="4CE20DDA"/>
    <w:lvl w:ilvl="0" w:tplc="58D6864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983E36"/>
    <w:multiLevelType w:val="hybridMultilevel"/>
    <w:tmpl w:val="D2BE4E6C"/>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1264E7"/>
    <w:multiLevelType w:val="hybridMultilevel"/>
    <w:tmpl w:val="672A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4B5662D"/>
    <w:multiLevelType w:val="hybridMultilevel"/>
    <w:tmpl w:val="4106FB5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212452"/>
    <w:multiLevelType w:val="hybridMultilevel"/>
    <w:tmpl w:val="12768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637AFD"/>
    <w:multiLevelType w:val="hybridMultilevel"/>
    <w:tmpl w:val="2FD0A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1C2C36"/>
    <w:multiLevelType w:val="hybridMultilevel"/>
    <w:tmpl w:val="B0C29D7E"/>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E1D5046"/>
    <w:multiLevelType w:val="hybridMultilevel"/>
    <w:tmpl w:val="BD26CA08"/>
    <w:lvl w:ilvl="0" w:tplc="58D6864A">
      <w:numFmt w:val="bullet"/>
      <w:lvlText w:val="·"/>
      <w:lvlJc w:val="left"/>
      <w:pPr>
        <w:ind w:left="1335" w:hanging="615"/>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65C57CB6"/>
    <w:multiLevelType w:val="hybridMultilevel"/>
    <w:tmpl w:val="4A9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2D5A04"/>
    <w:multiLevelType w:val="hybridMultilevel"/>
    <w:tmpl w:val="05F60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ABB654A"/>
    <w:multiLevelType w:val="hybridMultilevel"/>
    <w:tmpl w:val="34CE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007DDD"/>
    <w:multiLevelType w:val="hybridMultilevel"/>
    <w:tmpl w:val="54F6EC12"/>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54A6844"/>
    <w:multiLevelType w:val="hybridMultilevel"/>
    <w:tmpl w:val="E0ACBFDA"/>
    <w:lvl w:ilvl="0" w:tplc="AE0EC7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0E6B29"/>
    <w:multiLevelType w:val="hybridMultilevel"/>
    <w:tmpl w:val="92F681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DB2C82"/>
    <w:multiLevelType w:val="hybridMultilevel"/>
    <w:tmpl w:val="55F07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036FB1"/>
    <w:multiLevelType w:val="hybridMultilevel"/>
    <w:tmpl w:val="3ABE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4"/>
  </w:num>
  <w:num w:numId="4">
    <w:abstractNumId w:val="18"/>
  </w:num>
  <w:num w:numId="5">
    <w:abstractNumId w:val="8"/>
  </w:num>
  <w:num w:numId="6">
    <w:abstractNumId w:val="25"/>
  </w:num>
  <w:num w:numId="7">
    <w:abstractNumId w:val="6"/>
  </w:num>
  <w:num w:numId="8">
    <w:abstractNumId w:val="22"/>
  </w:num>
  <w:num w:numId="9">
    <w:abstractNumId w:val="27"/>
  </w:num>
  <w:num w:numId="10">
    <w:abstractNumId w:val="29"/>
  </w:num>
  <w:num w:numId="11">
    <w:abstractNumId w:val="7"/>
  </w:num>
  <w:num w:numId="12">
    <w:abstractNumId w:val="28"/>
  </w:num>
  <w:num w:numId="13">
    <w:abstractNumId w:val="12"/>
  </w:num>
  <w:num w:numId="14">
    <w:abstractNumId w:val="11"/>
  </w:num>
  <w:num w:numId="15">
    <w:abstractNumId w:val="20"/>
  </w:num>
  <w:num w:numId="16">
    <w:abstractNumId w:val="24"/>
  </w:num>
  <w:num w:numId="17">
    <w:abstractNumId w:val="0"/>
  </w:num>
  <w:num w:numId="18">
    <w:abstractNumId w:val="31"/>
  </w:num>
  <w:num w:numId="19">
    <w:abstractNumId w:val="3"/>
  </w:num>
  <w:num w:numId="20">
    <w:abstractNumId w:val="9"/>
  </w:num>
  <w:num w:numId="21">
    <w:abstractNumId w:val="21"/>
  </w:num>
  <w:num w:numId="22">
    <w:abstractNumId w:val="16"/>
  </w:num>
  <w:num w:numId="23">
    <w:abstractNumId w:val="13"/>
  </w:num>
  <w:num w:numId="24">
    <w:abstractNumId w:val="30"/>
  </w:num>
  <w:num w:numId="25">
    <w:abstractNumId w:val="15"/>
  </w:num>
  <w:num w:numId="26">
    <w:abstractNumId w:val="17"/>
  </w:num>
  <w:num w:numId="27">
    <w:abstractNumId w:val="4"/>
  </w:num>
  <w:num w:numId="28">
    <w:abstractNumId w:val="10"/>
  </w:num>
  <w:num w:numId="29">
    <w:abstractNumId w:val="2"/>
  </w:num>
  <w:num w:numId="30">
    <w:abstractNumId w:val="19"/>
  </w:num>
  <w:num w:numId="31">
    <w:abstractNumId w:val="1"/>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A18"/>
    <w:rsid w:val="000034EC"/>
    <w:rsid w:val="00004E44"/>
    <w:rsid w:val="0000546D"/>
    <w:rsid w:val="00005906"/>
    <w:rsid w:val="00005F93"/>
    <w:rsid w:val="000060CE"/>
    <w:rsid w:val="00006526"/>
    <w:rsid w:val="000066D0"/>
    <w:rsid w:val="000074CB"/>
    <w:rsid w:val="00010395"/>
    <w:rsid w:val="000118AD"/>
    <w:rsid w:val="00014B38"/>
    <w:rsid w:val="000151FF"/>
    <w:rsid w:val="00017B9A"/>
    <w:rsid w:val="000201DC"/>
    <w:rsid w:val="00020512"/>
    <w:rsid w:val="00020D83"/>
    <w:rsid w:val="00021BD3"/>
    <w:rsid w:val="00022FDD"/>
    <w:rsid w:val="000237F0"/>
    <w:rsid w:val="00025F16"/>
    <w:rsid w:val="000269EF"/>
    <w:rsid w:val="00026DA9"/>
    <w:rsid w:val="0002704E"/>
    <w:rsid w:val="0002786C"/>
    <w:rsid w:val="00031201"/>
    <w:rsid w:val="00031FA9"/>
    <w:rsid w:val="000325D0"/>
    <w:rsid w:val="000330A5"/>
    <w:rsid w:val="00033818"/>
    <w:rsid w:val="00033F16"/>
    <w:rsid w:val="00037A1D"/>
    <w:rsid w:val="000407C2"/>
    <w:rsid w:val="00040FC6"/>
    <w:rsid w:val="0004154D"/>
    <w:rsid w:val="000419E1"/>
    <w:rsid w:val="00041E67"/>
    <w:rsid w:val="0004236F"/>
    <w:rsid w:val="000433EE"/>
    <w:rsid w:val="00044A2A"/>
    <w:rsid w:val="00046206"/>
    <w:rsid w:val="000462E0"/>
    <w:rsid w:val="00047A15"/>
    <w:rsid w:val="000509BA"/>
    <w:rsid w:val="00051421"/>
    <w:rsid w:val="00052061"/>
    <w:rsid w:val="0005224B"/>
    <w:rsid w:val="00052794"/>
    <w:rsid w:val="000529AB"/>
    <w:rsid w:val="0005322F"/>
    <w:rsid w:val="0005445A"/>
    <w:rsid w:val="00054882"/>
    <w:rsid w:val="00054C12"/>
    <w:rsid w:val="0005533C"/>
    <w:rsid w:val="00056406"/>
    <w:rsid w:val="00060E00"/>
    <w:rsid w:val="00060EAF"/>
    <w:rsid w:val="000617C6"/>
    <w:rsid w:val="00062A7D"/>
    <w:rsid w:val="000631E4"/>
    <w:rsid w:val="000643E5"/>
    <w:rsid w:val="00064BA4"/>
    <w:rsid w:val="000665BC"/>
    <w:rsid w:val="000666F0"/>
    <w:rsid w:val="00070895"/>
    <w:rsid w:val="000710DD"/>
    <w:rsid w:val="00071C6A"/>
    <w:rsid w:val="000727E0"/>
    <w:rsid w:val="00073B43"/>
    <w:rsid w:val="0007640A"/>
    <w:rsid w:val="00076837"/>
    <w:rsid w:val="00077D68"/>
    <w:rsid w:val="00080E28"/>
    <w:rsid w:val="000856F3"/>
    <w:rsid w:val="000858F8"/>
    <w:rsid w:val="000875AE"/>
    <w:rsid w:val="000901D4"/>
    <w:rsid w:val="00090202"/>
    <w:rsid w:val="000902EB"/>
    <w:rsid w:val="00092BC8"/>
    <w:rsid w:val="00093E83"/>
    <w:rsid w:val="000945D2"/>
    <w:rsid w:val="000962CE"/>
    <w:rsid w:val="000969EF"/>
    <w:rsid w:val="000A11A7"/>
    <w:rsid w:val="000A1F07"/>
    <w:rsid w:val="000A31F2"/>
    <w:rsid w:val="000A45BE"/>
    <w:rsid w:val="000A4ADA"/>
    <w:rsid w:val="000A53FB"/>
    <w:rsid w:val="000A75F7"/>
    <w:rsid w:val="000B0ED6"/>
    <w:rsid w:val="000B1523"/>
    <w:rsid w:val="000B20B4"/>
    <w:rsid w:val="000B3452"/>
    <w:rsid w:val="000B450B"/>
    <w:rsid w:val="000B4F9C"/>
    <w:rsid w:val="000B50B8"/>
    <w:rsid w:val="000B53E7"/>
    <w:rsid w:val="000B6BB0"/>
    <w:rsid w:val="000B6E79"/>
    <w:rsid w:val="000B721F"/>
    <w:rsid w:val="000C0C37"/>
    <w:rsid w:val="000C3EDB"/>
    <w:rsid w:val="000C47AF"/>
    <w:rsid w:val="000C548C"/>
    <w:rsid w:val="000C587F"/>
    <w:rsid w:val="000C6530"/>
    <w:rsid w:val="000C6797"/>
    <w:rsid w:val="000C6FF8"/>
    <w:rsid w:val="000D0827"/>
    <w:rsid w:val="000D39A2"/>
    <w:rsid w:val="000D40C1"/>
    <w:rsid w:val="000D48B1"/>
    <w:rsid w:val="000D4BEF"/>
    <w:rsid w:val="000D6400"/>
    <w:rsid w:val="000D7803"/>
    <w:rsid w:val="000D7A7C"/>
    <w:rsid w:val="000D7AE8"/>
    <w:rsid w:val="000E1410"/>
    <w:rsid w:val="000E1ACD"/>
    <w:rsid w:val="000E2291"/>
    <w:rsid w:val="000E22EB"/>
    <w:rsid w:val="000E34EF"/>
    <w:rsid w:val="000E505E"/>
    <w:rsid w:val="000E62B2"/>
    <w:rsid w:val="000E6702"/>
    <w:rsid w:val="000F1314"/>
    <w:rsid w:val="000F1714"/>
    <w:rsid w:val="000F249E"/>
    <w:rsid w:val="000F25DC"/>
    <w:rsid w:val="000F2CF6"/>
    <w:rsid w:val="000F3D69"/>
    <w:rsid w:val="000F5054"/>
    <w:rsid w:val="000F5E76"/>
    <w:rsid w:val="000F7206"/>
    <w:rsid w:val="000F734C"/>
    <w:rsid w:val="00100B79"/>
    <w:rsid w:val="00101A95"/>
    <w:rsid w:val="00101D91"/>
    <w:rsid w:val="00102BB3"/>
    <w:rsid w:val="0010312E"/>
    <w:rsid w:val="00103F18"/>
    <w:rsid w:val="001043DD"/>
    <w:rsid w:val="001073E2"/>
    <w:rsid w:val="00107404"/>
    <w:rsid w:val="00107FBC"/>
    <w:rsid w:val="001143C3"/>
    <w:rsid w:val="00115FF8"/>
    <w:rsid w:val="001179C5"/>
    <w:rsid w:val="00120125"/>
    <w:rsid w:val="001239BE"/>
    <w:rsid w:val="00124440"/>
    <w:rsid w:val="0012464A"/>
    <w:rsid w:val="00125DDD"/>
    <w:rsid w:val="00127703"/>
    <w:rsid w:val="001300C4"/>
    <w:rsid w:val="0013024A"/>
    <w:rsid w:val="00130653"/>
    <w:rsid w:val="001309B4"/>
    <w:rsid w:val="00132930"/>
    <w:rsid w:val="00132DD2"/>
    <w:rsid w:val="001339D0"/>
    <w:rsid w:val="001339D5"/>
    <w:rsid w:val="00134A81"/>
    <w:rsid w:val="00134B27"/>
    <w:rsid w:val="00137B72"/>
    <w:rsid w:val="00140901"/>
    <w:rsid w:val="00141DCF"/>
    <w:rsid w:val="00141E8C"/>
    <w:rsid w:val="00142619"/>
    <w:rsid w:val="00142C17"/>
    <w:rsid w:val="00143E0F"/>
    <w:rsid w:val="00144BB7"/>
    <w:rsid w:val="0014594B"/>
    <w:rsid w:val="00145F61"/>
    <w:rsid w:val="001471FB"/>
    <w:rsid w:val="0014793E"/>
    <w:rsid w:val="00151565"/>
    <w:rsid w:val="00151812"/>
    <w:rsid w:val="00154DC5"/>
    <w:rsid w:val="00154FC4"/>
    <w:rsid w:val="0015521F"/>
    <w:rsid w:val="001561B8"/>
    <w:rsid w:val="00156D7C"/>
    <w:rsid w:val="0015782F"/>
    <w:rsid w:val="00160A4E"/>
    <w:rsid w:val="00161152"/>
    <w:rsid w:val="001619C7"/>
    <w:rsid w:val="0016200A"/>
    <w:rsid w:val="001623E2"/>
    <w:rsid w:val="00162C3E"/>
    <w:rsid w:val="001641C0"/>
    <w:rsid w:val="001664F5"/>
    <w:rsid w:val="0016690A"/>
    <w:rsid w:val="00167999"/>
    <w:rsid w:val="00170785"/>
    <w:rsid w:val="001710D8"/>
    <w:rsid w:val="00171693"/>
    <w:rsid w:val="0017187F"/>
    <w:rsid w:val="0017258F"/>
    <w:rsid w:val="001753EC"/>
    <w:rsid w:val="001755E9"/>
    <w:rsid w:val="001759C3"/>
    <w:rsid w:val="00175D33"/>
    <w:rsid w:val="001770D9"/>
    <w:rsid w:val="0018012F"/>
    <w:rsid w:val="00181BCF"/>
    <w:rsid w:val="00182B1A"/>
    <w:rsid w:val="00182CC0"/>
    <w:rsid w:val="0018451D"/>
    <w:rsid w:val="00184F74"/>
    <w:rsid w:val="00185238"/>
    <w:rsid w:val="001867EA"/>
    <w:rsid w:val="0018711C"/>
    <w:rsid w:val="00187C1B"/>
    <w:rsid w:val="00190B6A"/>
    <w:rsid w:val="001912E8"/>
    <w:rsid w:val="0019289B"/>
    <w:rsid w:val="0019464A"/>
    <w:rsid w:val="0019475A"/>
    <w:rsid w:val="001958DA"/>
    <w:rsid w:val="00195A6A"/>
    <w:rsid w:val="00197183"/>
    <w:rsid w:val="001978CE"/>
    <w:rsid w:val="00197F34"/>
    <w:rsid w:val="001A0CB8"/>
    <w:rsid w:val="001A300C"/>
    <w:rsid w:val="001A4BE2"/>
    <w:rsid w:val="001A56BD"/>
    <w:rsid w:val="001A61D8"/>
    <w:rsid w:val="001A7440"/>
    <w:rsid w:val="001B1804"/>
    <w:rsid w:val="001B1FC7"/>
    <w:rsid w:val="001B5232"/>
    <w:rsid w:val="001B5D92"/>
    <w:rsid w:val="001B73BA"/>
    <w:rsid w:val="001C03B3"/>
    <w:rsid w:val="001C2338"/>
    <w:rsid w:val="001C3A1C"/>
    <w:rsid w:val="001C3C64"/>
    <w:rsid w:val="001C6713"/>
    <w:rsid w:val="001C7677"/>
    <w:rsid w:val="001C78CA"/>
    <w:rsid w:val="001C7E32"/>
    <w:rsid w:val="001D0011"/>
    <w:rsid w:val="001D028D"/>
    <w:rsid w:val="001D1E6B"/>
    <w:rsid w:val="001D2199"/>
    <w:rsid w:val="001D32CB"/>
    <w:rsid w:val="001D5397"/>
    <w:rsid w:val="001D778A"/>
    <w:rsid w:val="001D7D62"/>
    <w:rsid w:val="001E1942"/>
    <w:rsid w:val="001E302E"/>
    <w:rsid w:val="001E3B02"/>
    <w:rsid w:val="001E4DAF"/>
    <w:rsid w:val="001E5140"/>
    <w:rsid w:val="001E5383"/>
    <w:rsid w:val="001E5BB1"/>
    <w:rsid w:val="001E5BD6"/>
    <w:rsid w:val="001E5DE7"/>
    <w:rsid w:val="001E6372"/>
    <w:rsid w:val="001E7292"/>
    <w:rsid w:val="001E7363"/>
    <w:rsid w:val="001E7C25"/>
    <w:rsid w:val="001F09E4"/>
    <w:rsid w:val="001F0ECC"/>
    <w:rsid w:val="001F1809"/>
    <w:rsid w:val="001F2244"/>
    <w:rsid w:val="001F3947"/>
    <w:rsid w:val="001F508A"/>
    <w:rsid w:val="001F5286"/>
    <w:rsid w:val="001F6C88"/>
    <w:rsid w:val="00200766"/>
    <w:rsid w:val="002019AA"/>
    <w:rsid w:val="00202B59"/>
    <w:rsid w:val="00203952"/>
    <w:rsid w:val="00203EFA"/>
    <w:rsid w:val="002041FD"/>
    <w:rsid w:val="00204255"/>
    <w:rsid w:val="0020694C"/>
    <w:rsid w:val="00210419"/>
    <w:rsid w:val="00210C1C"/>
    <w:rsid w:val="00211009"/>
    <w:rsid w:val="00211327"/>
    <w:rsid w:val="002122D4"/>
    <w:rsid w:val="00213177"/>
    <w:rsid w:val="00213E3C"/>
    <w:rsid w:val="00214C00"/>
    <w:rsid w:val="0021501B"/>
    <w:rsid w:val="00215451"/>
    <w:rsid w:val="00217EBF"/>
    <w:rsid w:val="00217F27"/>
    <w:rsid w:val="0022126E"/>
    <w:rsid w:val="00221C4B"/>
    <w:rsid w:val="00222524"/>
    <w:rsid w:val="00222AB8"/>
    <w:rsid w:val="00222BF3"/>
    <w:rsid w:val="00223F48"/>
    <w:rsid w:val="002246FB"/>
    <w:rsid w:val="00224F0A"/>
    <w:rsid w:val="00227B5D"/>
    <w:rsid w:val="002303FE"/>
    <w:rsid w:val="00230DF3"/>
    <w:rsid w:val="00232082"/>
    <w:rsid w:val="00232119"/>
    <w:rsid w:val="002326AF"/>
    <w:rsid w:val="00234312"/>
    <w:rsid w:val="00234BDC"/>
    <w:rsid w:val="002378E5"/>
    <w:rsid w:val="00241718"/>
    <w:rsid w:val="00241E0B"/>
    <w:rsid w:val="00242079"/>
    <w:rsid w:val="00242832"/>
    <w:rsid w:val="002444E8"/>
    <w:rsid w:val="0024463B"/>
    <w:rsid w:val="00245731"/>
    <w:rsid w:val="00245737"/>
    <w:rsid w:val="00245B7B"/>
    <w:rsid w:val="00246670"/>
    <w:rsid w:val="00250061"/>
    <w:rsid w:val="00250642"/>
    <w:rsid w:val="00251F50"/>
    <w:rsid w:val="00252614"/>
    <w:rsid w:val="0025279E"/>
    <w:rsid w:val="00252CF8"/>
    <w:rsid w:val="00253417"/>
    <w:rsid w:val="00253C7D"/>
    <w:rsid w:val="00253CE5"/>
    <w:rsid w:val="00253E30"/>
    <w:rsid w:val="00254E64"/>
    <w:rsid w:val="00256316"/>
    <w:rsid w:val="002626B1"/>
    <w:rsid w:val="00263279"/>
    <w:rsid w:val="0026348A"/>
    <w:rsid w:val="002643D8"/>
    <w:rsid w:val="002643FC"/>
    <w:rsid w:val="0026457B"/>
    <w:rsid w:val="00264650"/>
    <w:rsid w:val="00264940"/>
    <w:rsid w:val="00264972"/>
    <w:rsid w:val="0026727D"/>
    <w:rsid w:val="002705B8"/>
    <w:rsid w:val="002706E4"/>
    <w:rsid w:val="00271E50"/>
    <w:rsid w:val="002722C3"/>
    <w:rsid w:val="0027471B"/>
    <w:rsid w:val="00274AF7"/>
    <w:rsid w:val="0027552B"/>
    <w:rsid w:val="00275B7A"/>
    <w:rsid w:val="0027610D"/>
    <w:rsid w:val="00283919"/>
    <w:rsid w:val="00284013"/>
    <w:rsid w:val="00285548"/>
    <w:rsid w:val="00287127"/>
    <w:rsid w:val="00287B08"/>
    <w:rsid w:val="00292DB5"/>
    <w:rsid w:val="00293770"/>
    <w:rsid w:val="00294F22"/>
    <w:rsid w:val="002951EE"/>
    <w:rsid w:val="0029643F"/>
    <w:rsid w:val="002A122A"/>
    <w:rsid w:val="002A3809"/>
    <w:rsid w:val="002A39F4"/>
    <w:rsid w:val="002A56D1"/>
    <w:rsid w:val="002A6B78"/>
    <w:rsid w:val="002A6CF1"/>
    <w:rsid w:val="002A7D20"/>
    <w:rsid w:val="002B2E14"/>
    <w:rsid w:val="002B2E78"/>
    <w:rsid w:val="002B3258"/>
    <w:rsid w:val="002B3DD6"/>
    <w:rsid w:val="002B4117"/>
    <w:rsid w:val="002B49DE"/>
    <w:rsid w:val="002B53D3"/>
    <w:rsid w:val="002B5A06"/>
    <w:rsid w:val="002B5A16"/>
    <w:rsid w:val="002B601E"/>
    <w:rsid w:val="002B6E0D"/>
    <w:rsid w:val="002B71C3"/>
    <w:rsid w:val="002C03AD"/>
    <w:rsid w:val="002C2167"/>
    <w:rsid w:val="002C5DCD"/>
    <w:rsid w:val="002C7373"/>
    <w:rsid w:val="002C7B11"/>
    <w:rsid w:val="002C7E64"/>
    <w:rsid w:val="002D05C2"/>
    <w:rsid w:val="002D2707"/>
    <w:rsid w:val="002D2A4E"/>
    <w:rsid w:val="002D31E9"/>
    <w:rsid w:val="002D3AD5"/>
    <w:rsid w:val="002D3C09"/>
    <w:rsid w:val="002D4D03"/>
    <w:rsid w:val="002D5C6E"/>
    <w:rsid w:val="002D6A3B"/>
    <w:rsid w:val="002D705A"/>
    <w:rsid w:val="002E17F1"/>
    <w:rsid w:val="002E1FF7"/>
    <w:rsid w:val="002E216E"/>
    <w:rsid w:val="002E3493"/>
    <w:rsid w:val="002E3A31"/>
    <w:rsid w:val="002E4139"/>
    <w:rsid w:val="002F0434"/>
    <w:rsid w:val="002F0882"/>
    <w:rsid w:val="002F126D"/>
    <w:rsid w:val="002F24EC"/>
    <w:rsid w:val="002F2D42"/>
    <w:rsid w:val="002F449C"/>
    <w:rsid w:val="002F5FB9"/>
    <w:rsid w:val="002F6EFD"/>
    <w:rsid w:val="002F72F7"/>
    <w:rsid w:val="002F734F"/>
    <w:rsid w:val="003003F3"/>
    <w:rsid w:val="0030241E"/>
    <w:rsid w:val="0030441C"/>
    <w:rsid w:val="003051C1"/>
    <w:rsid w:val="003075FA"/>
    <w:rsid w:val="00310341"/>
    <w:rsid w:val="0031124D"/>
    <w:rsid w:val="00311871"/>
    <w:rsid w:val="003120FB"/>
    <w:rsid w:val="00312DCE"/>
    <w:rsid w:val="00313D02"/>
    <w:rsid w:val="00314D09"/>
    <w:rsid w:val="00317176"/>
    <w:rsid w:val="003178AE"/>
    <w:rsid w:val="00321407"/>
    <w:rsid w:val="003216B7"/>
    <w:rsid w:val="00322863"/>
    <w:rsid w:val="003239D0"/>
    <w:rsid w:val="00324908"/>
    <w:rsid w:val="0032511C"/>
    <w:rsid w:val="003262D0"/>
    <w:rsid w:val="00326F07"/>
    <w:rsid w:val="00327B93"/>
    <w:rsid w:val="00327E20"/>
    <w:rsid w:val="003307A4"/>
    <w:rsid w:val="00330E67"/>
    <w:rsid w:val="0033247F"/>
    <w:rsid w:val="00334495"/>
    <w:rsid w:val="0033493D"/>
    <w:rsid w:val="00335E4B"/>
    <w:rsid w:val="00337A6F"/>
    <w:rsid w:val="00337F70"/>
    <w:rsid w:val="0034064C"/>
    <w:rsid w:val="00343500"/>
    <w:rsid w:val="00347DB3"/>
    <w:rsid w:val="003502D6"/>
    <w:rsid w:val="003503FC"/>
    <w:rsid w:val="00350431"/>
    <w:rsid w:val="0035214B"/>
    <w:rsid w:val="00352888"/>
    <w:rsid w:val="00352E5D"/>
    <w:rsid w:val="0035557B"/>
    <w:rsid w:val="00355993"/>
    <w:rsid w:val="003602D4"/>
    <w:rsid w:val="00361CFB"/>
    <w:rsid w:val="0036206A"/>
    <w:rsid w:val="00362C29"/>
    <w:rsid w:val="0036495A"/>
    <w:rsid w:val="0036508D"/>
    <w:rsid w:val="00366128"/>
    <w:rsid w:val="003670CB"/>
    <w:rsid w:val="003676AF"/>
    <w:rsid w:val="00367870"/>
    <w:rsid w:val="00367F35"/>
    <w:rsid w:val="00370EDC"/>
    <w:rsid w:val="00372332"/>
    <w:rsid w:val="00372F2D"/>
    <w:rsid w:val="00374888"/>
    <w:rsid w:val="0037608A"/>
    <w:rsid w:val="00376E33"/>
    <w:rsid w:val="00380C68"/>
    <w:rsid w:val="00382128"/>
    <w:rsid w:val="0038212E"/>
    <w:rsid w:val="003830E3"/>
    <w:rsid w:val="00383416"/>
    <w:rsid w:val="00383622"/>
    <w:rsid w:val="00383736"/>
    <w:rsid w:val="00384520"/>
    <w:rsid w:val="00384CC2"/>
    <w:rsid w:val="00384DEE"/>
    <w:rsid w:val="00385BF3"/>
    <w:rsid w:val="003876E6"/>
    <w:rsid w:val="003907F4"/>
    <w:rsid w:val="00391AFA"/>
    <w:rsid w:val="00393A01"/>
    <w:rsid w:val="003941C4"/>
    <w:rsid w:val="003A2B0E"/>
    <w:rsid w:val="003A4F80"/>
    <w:rsid w:val="003A5002"/>
    <w:rsid w:val="003A5DEE"/>
    <w:rsid w:val="003A73B2"/>
    <w:rsid w:val="003B0247"/>
    <w:rsid w:val="003B040E"/>
    <w:rsid w:val="003B08C4"/>
    <w:rsid w:val="003B10E4"/>
    <w:rsid w:val="003B3839"/>
    <w:rsid w:val="003B52A4"/>
    <w:rsid w:val="003B59A9"/>
    <w:rsid w:val="003B63DC"/>
    <w:rsid w:val="003C0BF9"/>
    <w:rsid w:val="003C1215"/>
    <w:rsid w:val="003C168A"/>
    <w:rsid w:val="003C18BA"/>
    <w:rsid w:val="003C1A6F"/>
    <w:rsid w:val="003C1DE0"/>
    <w:rsid w:val="003C1E4B"/>
    <w:rsid w:val="003C2696"/>
    <w:rsid w:val="003C613C"/>
    <w:rsid w:val="003C6CA4"/>
    <w:rsid w:val="003C7200"/>
    <w:rsid w:val="003D1194"/>
    <w:rsid w:val="003D1C5D"/>
    <w:rsid w:val="003D2E7E"/>
    <w:rsid w:val="003D50EE"/>
    <w:rsid w:val="003E02A3"/>
    <w:rsid w:val="003E055D"/>
    <w:rsid w:val="003E0FB7"/>
    <w:rsid w:val="003E1249"/>
    <w:rsid w:val="003E1E0C"/>
    <w:rsid w:val="003E2754"/>
    <w:rsid w:val="003E2D04"/>
    <w:rsid w:val="003E319E"/>
    <w:rsid w:val="003E3544"/>
    <w:rsid w:val="003E35A8"/>
    <w:rsid w:val="003E419A"/>
    <w:rsid w:val="003E5148"/>
    <w:rsid w:val="003E571F"/>
    <w:rsid w:val="003E58C4"/>
    <w:rsid w:val="003E6A9E"/>
    <w:rsid w:val="003E77CB"/>
    <w:rsid w:val="003F04F9"/>
    <w:rsid w:val="003F3AE3"/>
    <w:rsid w:val="003F3FDA"/>
    <w:rsid w:val="003F550C"/>
    <w:rsid w:val="003F629E"/>
    <w:rsid w:val="003F662E"/>
    <w:rsid w:val="003F6AF0"/>
    <w:rsid w:val="003F73BA"/>
    <w:rsid w:val="003F73F0"/>
    <w:rsid w:val="003F7FB6"/>
    <w:rsid w:val="0040080D"/>
    <w:rsid w:val="00400CE7"/>
    <w:rsid w:val="0040384E"/>
    <w:rsid w:val="00405890"/>
    <w:rsid w:val="00406A04"/>
    <w:rsid w:val="00406C27"/>
    <w:rsid w:val="0040788B"/>
    <w:rsid w:val="00407D14"/>
    <w:rsid w:val="00412007"/>
    <w:rsid w:val="0041237F"/>
    <w:rsid w:val="00413EF2"/>
    <w:rsid w:val="00414613"/>
    <w:rsid w:val="00414BF3"/>
    <w:rsid w:val="00415950"/>
    <w:rsid w:val="004170CD"/>
    <w:rsid w:val="0041722D"/>
    <w:rsid w:val="0041767B"/>
    <w:rsid w:val="0042068B"/>
    <w:rsid w:val="00420728"/>
    <w:rsid w:val="00421373"/>
    <w:rsid w:val="00422C76"/>
    <w:rsid w:val="0042342E"/>
    <w:rsid w:val="00424197"/>
    <w:rsid w:val="004246E4"/>
    <w:rsid w:val="00424D85"/>
    <w:rsid w:val="00426C97"/>
    <w:rsid w:val="00430D4F"/>
    <w:rsid w:val="0043155B"/>
    <w:rsid w:val="004322C0"/>
    <w:rsid w:val="004322F3"/>
    <w:rsid w:val="00432662"/>
    <w:rsid w:val="00432728"/>
    <w:rsid w:val="0043283F"/>
    <w:rsid w:val="004328D3"/>
    <w:rsid w:val="00432D4D"/>
    <w:rsid w:val="00434E7C"/>
    <w:rsid w:val="004361A7"/>
    <w:rsid w:val="004372AD"/>
    <w:rsid w:val="00440772"/>
    <w:rsid w:val="00442689"/>
    <w:rsid w:val="00442BD6"/>
    <w:rsid w:val="00442F9D"/>
    <w:rsid w:val="00445A6D"/>
    <w:rsid w:val="00446A6B"/>
    <w:rsid w:val="004474D1"/>
    <w:rsid w:val="00447AC8"/>
    <w:rsid w:val="004507D5"/>
    <w:rsid w:val="00451454"/>
    <w:rsid w:val="004523CA"/>
    <w:rsid w:val="004569EB"/>
    <w:rsid w:val="004578A0"/>
    <w:rsid w:val="004608D8"/>
    <w:rsid w:val="004612CE"/>
    <w:rsid w:val="00462EFB"/>
    <w:rsid w:val="00463D4E"/>
    <w:rsid w:val="004666BC"/>
    <w:rsid w:val="00466A5B"/>
    <w:rsid w:val="00471CDE"/>
    <w:rsid w:val="00472F0A"/>
    <w:rsid w:val="0047305F"/>
    <w:rsid w:val="0047307F"/>
    <w:rsid w:val="00473C22"/>
    <w:rsid w:val="00474440"/>
    <w:rsid w:val="0048082D"/>
    <w:rsid w:val="00480B3A"/>
    <w:rsid w:val="00480CFA"/>
    <w:rsid w:val="004813A1"/>
    <w:rsid w:val="004828A9"/>
    <w:rsid w:val="004834B0"/>
    <w:rsid w:val="00483A0F"/>
    <w:rsid w:val="004849DE"/>
    <w:rsid w:val="00484E4F"/>
    <w:rsid w:val="00484E57"/>
    <w:rsid w:val="00486672"/>
    <w:rsid w:val="004867EB"/>
    <w:rsid w:val="004903AA"/>
    <w:rsid w:val="00490BA7"/>
    <w:rsid w:val="00491F38"/>
    <w:rsid w:val="0049220C"/>
    <w:rsid w:val="00492535"/>
    <w:rsid w:val="004929FE"/>
    <w:rsid w:val="00492DBE"/>
    <w:rsid w:val="0049358A"/>
    <w:rsid w:val="00493CB3"/>
    <w:rsid w:val="00493F10"/>
    <w:rsid w:val="004942DC"/>
    <w:rsid w:val="004A073C"/>
    <w:rsid w:val="004A0D19"/>
    <w:rsid w:val="004A19D4"/>
    <w:rsid w:val="004A2EB8"/>
    <w:rsid w:val="004A3088"/>
    <w:rsid w:val="004A56D3"/>
    <w:rsid w:val="004A6CE1"/>
    <w:rsid w:val="004A7738"/>
    <w:rsid w:val="004B0BBE"/>
    <w:rsid w:val="004B1943"/>
    <w:rsid w:val="004B4B5F"/>
    <w:rsid w:val="004B5346"/>
    <w:rsid w:val="004B5829"/>
    <w:rsid w:val="004B7B56"/>
    <w:rsid w:val="004C0497"/>
    <w:rsid w:val="004C080E"/>
    <w:rsid w:val="004C27EB"/>
    <w:rsid w:val="004C2D07"/>
    <w:rsid w:val="004C3E41"/>
    <w:rsid w:val="004C405B"/>
    <w:rsid w:val="004C4EAF"/>
    <w:rsid w:val="004C68D1"/>
    <w:rsid w:val="004C7E03"/>
    <w:rsid w:val="004D0283"/>
    <w:rsid w:val="004D2166"/>
    <w:rsid w:val="004D3422"/>
    <w:rsid w:val="004D3590"/>
    <w:rsid w:val="004D4C64"/>
    <w:rsid w:val="004D5A5F"/>
    <w:rsid w:val="004D5B46"/>
    <w:rsid w:val="004D663B"/>
    <w:rsid w:val="004D7821"/>
    <w:rsid w:val="004E0128"/>
    <w:rsid w:val="004E13E2"/>
    <w:rsid w:val="004E22A7"/>
    <w:rsid w:val="004E3E58"/>
    <w:rsid w:val="004E6A76"/>
    <w:rsid w:val="004E7924"/>
    <w:rsid w:val="004E7CA2"/>
    <w:rsid w:val="004E7F97"/>
    <w:rsid w:val="004F04B4"/>
    <w:rsid w:val="004F17E1"/>
    <w:rsid w:val="004F1F17"/>
    <w:rsid w:val="004F2195"/>
    <w:rsid w:val="004F22B1"/>
    <w:rsid w:val="004F39E8"/>
    <w:rsid w:val="004F5195"/>
    <w:rsid w:val="00501EE8"/>
    <w:rsid w:val="00502156"/>
    <w:rsid w:val="00502237"/>
    <w:rsid w:val="00502277"/>
    <w:rsid w:val="005024B5"/>
    <w:rsid w:val="00503DB3"/>
    <w:rsid w:val="0050424A"/>
    <w:rsid w:val="00504A1F"/>
    <w:rsid w:val="005073DD"/>
    <w:rsid w:val="00510BDC"/>
    <w:rsid w:val="00511BDD"/>
    <w:rsid w:val="00512D51"/>
    <w:rsid w:val="00513C63"/>
    <w:rsid w:val="005140F2"/>
    <w:rsid w:val="00515200"/>
    <w:rsid w:val="00516199"/>
    <w:rsid w:val="00516C40"/>
    <w:rsid w:val="00517800"/>
    <w:rsid w:val="00517E44"/>
    <w:rsid w:val="00520924"/>
    <w:rsid w:val="00520B9E"/>
    <w:rsid w:val="00520F75"/>
    <w:rsid w:val="0052154A"/>
    <w:rsid w:val="00521D97"/>
    <w:rsid w:val="00523E50"/>
    <w:rsid w:val="005250C5"/>
    <w:rsid w:val="00526255"/>
    <w:rsid w:val="00530A64"/>
    <w:rsid w:val="00530E19"/>
    <w:rsid w:val="00531BEB"/>
    <w:rsid w:val="0053229C"/>
    <w:rsid w:val="00532CD3"/>
    <w:rsid w:val="005345A9"/>
    <w:rsid w:val="005345DC"/>
    <w:rsid w:val="00535A1B"/>
    <w:rsid w:val="005363F9"/>
    <w:rsid w:val="005369D2"/>
    <w:rsid w:val="00536AA6"/>
    <w:rsid w:val="0054004F"/>
    <w:rsid w:val="0054021C"/>
    <w:rsid w:val="00540C56"/>
    <w:rsid w:val="00540E4E"/>
    <w:rsid w:val="00540F51"/>
    <w:rsid w:val="00543E72"/>
    <w:rsid w:val="00544A67"/>
    <w:rsid w:val="00545A7A"/>
    <w:rsid w:val="00546C75"/>
    <w:rsid w:val="00547CF0"/>
    <w:rsid w:val="0055077A"/>
    <w:rsid w:val="00550ED7"/>
    <w:rsid w:val="00552105"/>
    <w:rsid w:val="0055212F"/>
    <w:rsid w:val="0055281E"/>
    <w:rsid w:val="005533E6"/>
    <w:rsid w:val="0055354D"/>
    <w:rsid w:val="0055394B"/>
    <w:rsid w:val="00553C69"/>
    <w:rsid w:val="00554B81"/>
    <w:rsid w:val="005550E2"/>
    <w:rsid w:val="0055727E"/>
    <w:rsid w:val="00560031"/>
    <w:rsid w:val="005610B7"/>
    <w:rsid w:val="00561AE0"/>
    <w:rsid w:val="005626C5"/>
    <w:rsid w:val="00562E10"/>
    <w:rsid w:val="00564163"/>
    <w:rsid w:val="005641A7"/>
    <w:rsid w:val="005642D9"/>
    <w:rsid w:val="00567C6C"/>
    <w:rsid w:val="00567C9E"/>
    <w:rsid w:val="005701EC"/>
    <w:rsid w:val="00571001"/>
    <w:rsid w:val="005716F6"/>
    <w:rsid w:val="00571768"/>
    <w:rsid w:val="0057258C"/>
    <w:rsid w:val="00573651"/>
    <w:rsid w:val="00574894"/>
    <w:rsid w:val="00574DF3"/>
    <w:rsid w:val="005778E8"/>
    <w:rsid w:val="00577BEF"/>
    <w:rsid w:val="005800B2"/>
    <w:rsid w:val="005808DA"/>
    <w:rsid w:val="00581904"/>
    <w:rsid w:val="005849B7"/>
    <w:rsid w:val="00585119"/>
    <w:rsid w:val="00585309"/>
    <w:rsid w:val="0058585A"/>
    <w:rsid w:val="005879F2"/>
    <w:rsid w:val="0059018E"/>
    <w:rsid w:val="00591AE8"/>
    <w:rsid w:val="00592DE0"/>
    <w:rsid w:val="005939AF"/>
    <w:rsid w:val="00593ED6"/>
    <w:rsid w:val="00594EB6"/>
    <w:rsid w:val="00595C48"/>
    <w:rsid w:val="00596464"/>
    <w:rsid w:val="005A106D"/>
    <w:rsid w:val="005A107D"/>
    <w:rsid w:val="005A279E"/>
    <w:rsid w:val="005A30A6"/>
    <w:rsid w:val="005A3D73"/>
    <w:rsid w:val="005A67A3"/>
    <w:rsid w:val="005A6DC1"/>
    <w:rsid w:val="005A6FAB"/>
    <w:rsid w:val="005B06EA"/>
    <w:rsid w:val="005B0EA3"/>
    <w:rsid w:val="005B42DA"/>
    <w:rsid w:val="005B4473"/>
    <w:rsid w:val="005C255B"/>
    <w:rsid w:val="005C2EE8"/>
    <w:rsid w:val="005C36EE"/>
    <w:rsid w:val="005C5C22"/>
    <w:rsid w:val="005C6118"/>
    <w:rsid w:val="005C69E5"/>
    <w:rsid w:val="005D538F"/>
    <w:rsid w:val="005D5B02"/>
    <w:rsid w:val="005D5DD0"/>
    <w:rsid w:val="005D63D9"/>
    <w:rsid w:val="005D67A3"/>
    <w:rsid w:val="005D6D46"/>
    <w:rsid w:val="005E120A"/>
    <w:rsid w:val="005E1DFB"/>
    <w:rsid w:val="005E293A"/>
    <w:rsid w:val="005E4ACC"/>
    <w:rsid w:val="005E4F98"/>
    <w:rsid w:val="005E5B60"/>
    <w:rsid w:val="005F04DC"/>
    <w:rsid w:val="005F0655"/>
    <w:rsid w:val="005F158E"/>
    <w:rsid w:val="005F4ED0"/>
    <w:rsid w:val="005F5FE5"/>
    <w:rsid w:val="005F6EED"/>
    <w:rsid w:val="005F72B8"/>
    <w:rsid w:val="0060109F"/>
    <w:rsid w:val="00601165"/>
    <w:rsid w:val="00603960"/>
    <w:rsid w:val="00604960"/>
    <w:rsid w:val="00605967"/>
    <w:rsid w:val="00606321"/>
    <w:rsid w:val="006070EC"/>
    <w:rsid w:val="00611A4E"/>
    <w:rsid w:val="0061281D"/>
    <w:rsid w:val="00613350"/>
    <w:rsid w:val="00613412"/>
    <w:rsid w:val="0061342B"/>
    <w:rsid w:val="006172ED"/>
    <w:rsid w:val="00620DEF"/>
    <w:rsid w:val="00623004"/>
    <w:rsid w:val="006236A2"/>
    <w:rsid w:val="0062516A"/>
    <w:rsid w:val="00625964"/>
    <w:rsid w:val="006307DE"/>
    <w:rsid w:val="00634DFC"/>
    <w:rsid w:val="00635031"/>
    <w:rsid w:val="006407FA"/>
    <w:rsid w:val="00641BF0"/>
    <w:rsid w:val="00642BEB"/>
    <w:rsid w:val="00643E0C"/>
    <w:rsid w:val="00644388"/>
    <w:rsid w:val="00644B1D"/>
    <w:rsid w:val="00645664"/>
    <w:rsid w:val="006456DC"/>
    <w:rsid w:val="00647590"/>
    <w:rsid w:val="006501CE"/>
    <w:rsid w:val="00650332"/>
    <w:rsid w:val="0065103B"/>
    <w:rsid w:val="00651544"/>
    <w:rsid w:val="00651925"/>
    <w:rsid w:val="00651DB5"/>
    <w:rsid w:val="006526F5"/>
    <w:rsid w:val="0065309A"/>
    <w:rsid w:val="00655046"/>
    <w:rsid w:val="006557E1"/>
    <w:rsid w:val="00660D33"/>
    <w:rsid w:val="0066107F"/>
    <w:rsid w:val="006619F5"/>
    <w:rsid w:val="006627AC"/>
    <w:rsid w:val="006635DA"/>
    <w:rsid w:val="006635E6"/>
    <w:rsid w:val="0066562D"/>
    <w:rsid w:val="00665DB0"/>
    <w:rsid w:val="006662CA"/>
    <w:rsid w:val="00670998"/>
    <w:rsid w:val="00672050"/>
    <w:rsid w:val="00672FD4"/>
    <w:rsid w:val="006744DF"/>
    <w:rsid w:val="00674832"/>
    <w:rsid w:val="00675EBF"/>
    <w:rsid w:val="00675FAA"/>
    <w:rsid w:val="0067610F"/>
    <w:rsid w:val="006763D1"/>
    <w:rsid w:val="006773A5"/>
    <w:rsid w:val="0068067A"/>
    <w:rsid w:val="00680CEB"/>
    <w:rsid w:val="006811D8"/>
    <w:rsid w:val="00681409"/>
    <w:rsid w:val="00681E09"/>
    <w:rsid w:val="006826B4"/>
    <w:rsid w:val="00682D47"/>
    <w:rsid w:val="00682E71"/>
    <w:rsid w:val="00682FBF"/>
    <w:rsid w:val="00683473"/>
    <w:rsid w:val="006868D9"/>
    <w:rsid w:val="006871CE"/>
    <w:rsid w:val="00690ED7"/>
    <w:rsid w:val="0069130B"/>
    <w:rsid w:val="006921F0"/>
    <w:rsid w:val="00692D86"/>
    <w:rsid w:val="006941DA"/>
    <w:rsid w:val="00694C76"/>
    <w:rsid w:val="006956FC"/>
    <w:rsid w:val="00697857"/>
    <w:rsid w:val="006A1178"/>
    <w:rsid w:val="006A2096"/>
    <w:rsid w:val="006A28FA"/>
    <w:rsid w:val="006A677C"/>
    <w:rsid w:val="006A7B6B"/>
    <w:rsid w:val="006B006D"/>
    <w:rsid w:val="006B0294"/>
    <w:rsid w:val="006B13BC"/>
    <w:rsid w:val="006B1A2D"/>
    <w:rsid w:val="006B2603"/>
    <w:rsid w:val="006B32FE"/>
    <w:rsid w:val="006B3BAE"/>
    <w:rsid w:val="006B520B"/>
    <w:rsid w:val="006B6B68"/>
    <w:rsid w:val="006B6FB5"/>
    <w:rsid w:val="006B7C88"/>
    <w:rsid w:val="006C16BC"/>
    <w:rsid w:val="006C1C4A"/>
    <w:rsid w:val="006C268C"/>
    <w:rsid w:val="006C2B70"/>
    <w:rsid w:val="006C4B87"/>
    <w:rsid w:val="006C5806"/>
    <w:rsid w:val="006C6423"/>
    <w:rsid w:val="006C64BA"/>
    <w:rsid w:val="006C7320"/>
    <w:rsid w:val="006D0FE2"/>
    <w:rsid w:val="006D20A2"/>
    <w:rsid w:val="006D2B37"/>
    <w:rsid w:val="006D2B3E"/>
    <w:rsid w:val="006D2BC2"/>
    <w:rsid w:val="006D35CD"/>
    <w:rsid w:val="006D3614"/>
    <w:rsid w:val="006D3848"/>
    <w:rsid w:val="006D3A3D"/>
    <w:rsid w:val="006D54FB"/>
    <w:rsid w:val="006D5E61"/>
    <w:rsid w:val="006D6312"/>
    <w:rsid w:val="006D65D2"/>
    <w:rsid w:val="006E07D3"/>
    <w:rsid w:val="006E17F9"/>
    <w:rsid w:val="006E19A8"/>
    <w:rsid w:val="006E1A62"/>
    <w:rsid w:val="006E202B"/>
    <w:rsid w:val="006E3711"/>
    <w:rsid w:val="006E3D84"/>
    <w:rsid w:val="006E56E3"/>
    <w:rsid w:val="006E5C6B"/>
    <w:rsid w:val="006E6377"/>
    <w:rsid w:val="006E685F"/>
    <w:rsid w:val="006E7774"/>
    <w:rsid w:val="006E7ACC"/>
    <w:rsid w:val="006F0641"/>
    <w:rsid w:val="006F093C"/>
    <w:rsid w:val="006F1D53"/>
    <w:rsid w:val="006F3235"/>
    <w:rsid w:val="006F408A"/>
    <w:rsid w:val="006F4ADF"/>
    <w:rsid w:val="006F4E6C"/>
    <w:rsid w:val="006F56E5"/>
    <w:rsid w:val="006F5B04"/>
    <w:rsid w:val="006F5E2E"/>
    <w:rsid w:val="006F6918"/>
    <w:rsid w:val="006F75D5"/>
    <w:rsid w:val="006F7E56"/>
    <w:rsid w:val="0070058D"/>
    <w:rsid w:val="00700E26"/>
    <w:rsid w:val="00702AF5"/>
    <w:rsid w:val="00702EFB"/>
    <w:rsid w:val="00703BB9"/>
    <w:rsid w:val="00703C73"/>
    <w:rsid w:val="007045E0"/>
    <w:rsid w:val="00704A1A"/>
    <w:rsid w:val="007050FA"/>
    <w:rsid w:val="0070512F"/>
    <w:rsid w:val="00705924"/>
    <w:rsid w:val="007111C5"/>
    <w:rsid w:val="007134A2"/>
    <w:rsid w:val="00713B46"/>
    <w:rsid w:val="00713EF6"/>
    <w:rsid w:val="00714E18"/>
    <w:rsid w:val="00715BFF"/>
    <w:rsid w:val="00717B45"/>
    <w:rsid w:val="00723904"/>
    <w:rsid w:val="007258DD"/>
    <w:rsid w:val="00725D0C"/>
    <w:rsid w:val="007269EA"/>
    <w:rsid w:val="00726BC2"/>
    <w:rsid w:val="00726CFA"/>
    <w:rsid w:val="0072764E"/>
    <w:rsid w:val="00727B16"/>
    <w:rsid w:val="00727CA5"/>
    <w:rsid w:val="007304D5"/>
    <w:rsid w:val="00730965"/>
    <w:rsid w:val="00730C58"/>
    <w:rsid w:val="007313AA"/>
    <w:rsid w:val="0073265F"/>
    <w:rsid w:val="00733C90"/>
    <w:rsid w:val="00734AC5"/>
    <w:rsid w:val="00735E30"/>
    <w:rsid w:val="007368DC"/>
    <w:rsid w:val="00737292"/>
    <w:rsid w:val="00740F9A"/>
    <w:rsid w:val="00741A4E"/>
    <w:rsid w:val="00741A61"/>
    <w:rsid w:val="00744908"/>
    <w:rsid w:val="00744C4B"/>
    <w:rsid w:val="007452E0"/>
    <w:rsid w:val="00745312"/>
    <w:rsid w:val="007505FB"/>
    <w:rsid w:val="00751062"/>
    <w:rsid w:val="00751329"/>
    <w:rsid w:val="00751C3E"/>
    <w:rsid w:val="0075371B"/>
    <w:rsid w:val="00753734"/>
    <w:rsid w:val="00757F04"/>
    <w:rsid w:val="00757FE9"/>
    <w:rsid w:val="00760120"/>
    <w:rsid w:val="00760B75"/>
    <w:rsid w:val="00760BED"/>
    <w:rsid w:val="00761318"/>
    <w:rsid w:val="00761950"/>
    <w:rsid w:val="00762AE1"/>
    <w:rsid w:val="0076544A"/>
    <w:rsid w:val="00765AE7"/>
    <w:rsid w:val="0076785F"/>
    <w:rsid w:val="00770254"/>
    <w:rsid w:val="00770B96"/>
    <w:rsid w:val="00774535"/>
    <w:rsid w:val="007758E3"/>
    <w:rsid w:val="00776C78"/>
    <w:rsid w:val="00777055"/>
    <w:rsid w:val="007805F5"/>
    <w:rsid w:val="00781037"/>
    <w:rsid w:val="007813BF"/>
    <w:rsid w:val="007817D9"/>
    <w:rsid w:val="00782369"/>
    <w:rsid w:val="00782FC2"/>
    <w:rsid w:val="00784EDA"/>
    <w:rsid w:val="007859F8"/>
    <w:rsid w:val="007865D9"/>
    <w:rsid w:val="007872C2"/>
    <w:rsid w:val="00787DAE"/>
    <w:rsid w:val="00790905"/>
    <w:rsid w:val="00791384"/>
    <w:rsid w:val="00792A72"/>
    <w:rsid w:val="007948B1"/>
    <w:rsid w:val="00794C65"/>
    <w:rsid w:val="00795F13"/>
    <w:rsid w:val="007A0482"/>
    <w:rsid w:val="007A10F9"/>
    <w:rsid w:val="007A140D"/>
    <w:rsid w:val="007A22BC"/>
    <w:rsid w:val="007A2DE0"/>
    <w:rsid w:val="007A31EB"/>
    <w:rsid w:val="007A5B55"/>
    <w:rsid w:val="007A5F41"/>
    <w:rsid w:val="007A630B"/>
    <w:rsid w:val="007A711C"/>
    <w:rsid w:val="007A7F4C"/>
    <w:rsid w:val="007B08D1"/>
    <w:rsid w:val="007B09BF"/>
    <w:rsid w:val="007B2073"/>
    <w:rsid w:val="007B491A"/>
    <w:rsid w:val="007B4BBB"/>
    <w:rsid w:val="007B4EAA"/>
    <w:rsid w:val="007B5184"/>
    <w:rsid w:val="007B55D0"/>
    <w:rsid w:val="007B6415"/>
    <w:rsid w:val="007B64D5"/>
    <w:rsid w:val="007B6564"/>
    <w:rsid w:val="007B7143"/>
    <w:rsid w:val="007B7D82"/>
    <w:rsid w:val="007C1D78"/>
    <w:rsid w:val="007C20FA"/>
    <w:rsid w:val="007C27D3"/>
    <w:rsid w:val="007C2C95"/>
    <w:rsid w:val="007C4CAA"/>
    <w:rsid w:val="007C51A0"/>
    <w:rsid w:val="007C6A22"/>
    <w:rsid w:val="007C79FB"/>
    <w:rsid w:val="007D0CE9"/>
    <w:rsid w:val="007D18A1"/>
    <w:rsid w:val="007D2AE1"/>
    <w:rsid w:val="007D3CA7"/>
    <w:rsid w:val="007D4A14"/>
    <w:rsid w:val="007D5A1D"/>
    <w:rsid w:val="007D75A4"/>
    <w:rsid w:val="007E10D6"/>
    <w:rsid w:val="007E3A06"/>
    <w:rsid w:val="007E5349"/>
    <w:rsid w:val="007E6EC6"/>
    <w:rsid w:val="007E7ABF"/>
    <w:rsid w:val="007F0907"/>
    <w:rsid w:val="007F1C81"/>
    <w:rsid w:val="007F27E5"/>
    <w:rsid w:val="007F3CFE"/>
    <w:rsid w:val="007F42C8"/>
    <w:rsid w:val="007F4B16"/>
    <w:rsid w:val="007F53BB"/>
    <w:rsid w:val="007F6380"/>
    <w:rsid w:val="007F6ABA"/>
    <w:rsid w:val="007F6EA1"/>
    <w:rsid w:val="007F702D"/>
    <w:rsid w:val="007F762F"/>
    <w:rsid w:val="0080002B"/>
    <w:rsid w:val="008007A4"/>
    <w:rsid w:val="00800ABB"/>
    <w:rsid w:val="0080144C"/>
    <w:rsid w:val="00801A35"/>
    <w:rsid w:val="008034B0"/>
    <w:rsid w:val="00803E7E"/>
    <w:rsid w:val="00803ED7"/>
    <w:rsid w:val="008040C8"/>
    <w:rsid w:val="00804411"/>
    <w:rsid w:val="00804A98"/>
    <w:rsid w:val="008057B5"/>
    <w:rsid w:val="0080580D"/>
    <w:rsid w:val="00805C3A"/>
    <w:rsid w:val="008068BB"/>
    <w:rsid w:val="00807224"/>
    <w:rsid w:val="00810893"/>
    <w:rsid w:val="00810967"/>
    <w:rsid w:val="00814529"/>
    <w:rsid w:val="0081594B"/>
    <w:rsid w:val="00817529"/>
    <w:rsid w:val="008207F1"/>
    <w:rsid w:val="00822B28"/>
    <w:rsid w:val="00822F3D"/>
    <w:rsid w:val="00822F78"/>
    <w:rsid w:val="008230BA"/>
    <w:rsid w:val="00826880"/>
    <w:rsid w:val="00826C1C"/>
    <w:rsid w:val="00830223"/>
    <w:rsid w:val="00830F19"/>
    <w:rsid w:val="008315C9"/>
    <w:rsid w:val="0083183D"/>
    <w:rsid w:val="00832250"/>
    <w:rsid w:val="00832ABB"/>
    <w:rsid w:val="00832B87"/>
    <w:rsid w:val="008334A6"/>
    <w:rsid w:val="00833FCC"/>
    <w:rsid w:val="00835359"/>
    <w:rsid w:val="008354BB"/>
    <w:rsid w:val="00836757"/>
    <w:rsid w:val="00836840"/>
    <w:rsid w:val="0084208F"/>
    <w:rsid w:val="008425C9"/>
    <w:rsid w:val="00843633"/>
    <w:rsid w:val="00844451"/>
    <w:rsid w:val="00844766"/>
    <w:rsid w:val="008449C8"/>
    <w:rsid w:val="00845708"/>
    <w:rsid w:val="00845759"/>
    <w:rsid w:val="00845F5C"/>
    <w:rsid w:val="00846877"/>
    <w:rsid w:val="00847219"/>
    <w:rsid w:val="008478EE"/>
    <w:rsid w:val="008504A0"/>
    <w:rsid w:val="00851993"/>
    <w:rsid w:val="00851D17"/>
    <w:rsid w:val="00853E5F"/>
    <w:rsid w:val="0085475F"/>
    <w:rsid w:val="0085586E"/>
    <w:rsid w:val="00855C39"/>
    <w:rsid w:val="00855E1E"/>
    <w:rsid w:val="00855EB8"/>
    <w:rsid w:val="00855FEB"/>
    <w:rsid w:val="00857381"/>
    <w:rsid w:val="00860758"/>
    <w:rsid w:val="008609B1"/>
    <w:rsid w:val="0086138E"/>
    <w:rsid w:val="008617FE"/>
    <w:rsid w:val="008639BE"/>
    <w:rsid w:val="00864F3B"/>
    <w:rsid w:val="00865504"/>
    <w:rsid w:val="00870593"/>
    <w:rsid w:val="0087232D"/>
    <w:rsid w:val="00872B4F"/>
    <w:rsid w:val="00872BB1"/>
    <w:rsid w:val="00872C66"/>
    <w:rsid w:val="0087361D"/>
    <w:rsid w:val="00874681"/>
    <w:rsid w:val="008748DA"/>
    <w:rsid w:val="00875104"/>
    <w:rsid w:val="00881C80"/>
    <w:rsid w:val="00881D17"/>
    <w:rsid w:val="00881E0D"/>
    <w:rsid w:val="00882059"/>
    <w:rsid w:val="00883C9D"/>
    <w:rsid w:val="00884F9E"/>
    <w:rsid w:val="00885102"/>
    <w:rsid w:val="008867A6"/>
    <w:rsid w:val="008869AB"/>
    <w:rsid w:val="00891AD2"/>
    <w:rsid w:val="0089204B"/>
    <w:rsid w:val="00893F80"/>
    <w:rsid w:val="0089505C"/>
    <w:rsid w:val="0089513F"/>
    <w:rsid w:val="008968FE"/>
    <w:rsid w:val="00896A2F"/>
    <w:rsid w:val="008A0F5B"/>
    <w:rsid w:val="008A2862"/>
    <w:rsid w:val="008A3F9A"/>
    <w:rsid w:val="008A3FE0"/>
    <w:rsid w:val="008A4728"/>
    <w:rsid w:val="008A4B8F"/>
    <w:rsid w:val="008A516D"/>
    <w:rsid w:val="008A5C7E"/>
    <w:rsid w:val="008A65BE"/>
    <w:rsid w:val="008A7FB6"/>
    <w:rsid w:val="008B07C4"/>
    <w:rsid w:val="008B1D61"/>
    <w:rsid w:val="008B2EF2"/>
    <w:rsid w:val="008B3BFD"/>
    <w:rsid w:val="008B3FBA"/>
    <w:rsid w:val="008B444F"/>
    <w:rsid w:val="008B66AB"/>
    <w:rsid w:val="008B7BEA"/>
    <w:rsid w:val="008B7E8B"/>
    <w:rsid w:val="008C0F1E"/>
    <w:rsid w:val="008C1945"/>
    <w:rsid w:val="008C20F7"/>
    <w:rsid w:val="008C3B01"/>
    <w:rsid w:val="008C46A5"/>
    <w:rsid w:val="008C4CAD"/>
    <w:rsid w:val="008C5225"/>
    <w:rsid w:val="008C5479"/>
    <w:rsid w:val="008D03D2"/>
    <w:rsid w:val="008D066C"/>
    <w:rsid w:val="008D0996"/>
    <w:rsid w:val="008D0EF6"/>
    <w:rsid w:val="008D1875"/>
    <w:rsid w:val="008D1B01"/>
    <w:rsid w:val="008D2A83"/>
    <w:rsid w:val="008D2D7B"/>
    <w:rsid w:val="008D3140"/>
    <w:rsid w:val="008D4299"/>
    <w:rsid w:val="008D44EB"/>
    <w:rsid w:val="008D48E1"/>
    <w:rsid w:val="008D4B4F"/>
    <w:rsid w:val="008D4E61"/>
    <w:rsid w:val="008D51AE"/>
    <w:rsid w:val="008D51C1"/>
    <w:rsid w:val="008D55CC"/>
    <w:rsid w:val="008D5E60"/>
    <w:rsid w:val="008D6A11"/>
    <w:rsid w:val="008D6D31"/>
    <w:rsid w:val="008D6F28"/>
    <w:rsid w:val="008D734A"/>
    <w:rsid w:val="008D739F"/>
    <w:rsid w:val="008E022B"/>
    <w:rsid w:val="008E1D20"/>
    <w:rsid w:val="008E2FF7"/>
    <w:rsid w:val="008E52C3"/>
    <w:rsid w:val="008E5835"/>
    <w:rsid w:val="008E6786"/>
    <w:rsid w:val="008E77F1"/>
    <w:rsid w:val="008F1284"/>
    <w:rsid w:val="008F1AA9"/>
    <w:rsid w:val="008F4C42"/>
    <w:rsid w:val="008F5E2F"/>
    <w:rsid w:val="008F7C5B"/>
    <w:rsid w:val="00900387"/>
    <w:rsid w:val="009024CF"/>
    <w:rsid w:val="0090256A"/>
    <w:rsid w:val="00904289"/>
    <w:rsid w:val="009049C0"/>
    <w:rsid w:val="00904A97"/>
    <w:rsid w:val="009070B5"/>
    <w:rsid w:val="009073FE"/>
    <w:rsid w:val="00907A5E"/>
    <w:rsid w:val="0091177A"/>
    <w:rsid w:val="00911BCC"/>
    <w:rsid w:val="00912113"/>
    <w:rsid w:val="009124F6"/>
    <w:rsid w:val="00912743"/>
    <w:rsid w:val="00912C04"/>
    <w:rsid w:val="00913B67"/>
    <w:rsid w:val="00915B08"/>
    <w:rsid w:val="009208AE"/>
    <w:rsid w:val="009211B6"/>
    <w:rsid w:val="00921E90"/>
    <w:rsid w:val="009225FE"/>
    <w:rsid w:val="009234DF"/>
    <w:rsid w:val="0092459C"/>
    <w:rsid w:val="009256FF"/>
    <w:rsid w:val="009263B9"/>
    <w:rsid w:val="00927A22"/>
    <w:rsid w:val="0093049E"/>
    <w:rsid w:val="00931230"/>
    <w:rsid w:val="00932EC3"/>
    <w:rsid w:val="0093324E"/>
    <w:rsid w:val="00933D07"/>
    <w:rsid w:val="009340B7"/>
    <w:rsid w:val="009358FD"/>
    <w:rsid w:val="009365C4"/>
    <w:rsid w:val="00937803"/>
    <w:rsid w:val="00940E98"/>
    <w:rsid w:val="009414C5"/>
    <w:rsid w:val="009427F2"/>
    <w:rsid w:val="00942F78"/>
    <w:rsid w:val="00943581"/>
    <w:rsid w:val="00944913"/>
    <w:rsid w:val="00944F64"/>
    <w:rsid w:val="00946CD3"/>
    <w:rsid w:val="00946E93"/>
    <w:rsid w:val="0095069D"/>
    <w:rsid w:val="0095152C"/>
    <w:rsid w:val="00951A5E"/>
    <w:rsid w:val="00953383"/>
    <w:rsid w:val="0095374A"/>
    <w:rsid w:val="00960963"/>
    <w:rsid w:val="00962FA0"/>
    <w:rsid w:val="00965025"/>
    <w:rsid w:val="0096542D"/>
    <w:rsid w:val="0096710D"/>
    <w:rsid w:val="00967A61"/>
    <w:rsid w:val="00971B7B"/>
    <w:rsid w:val="00971D3B"/>
    <w:rsid w:val="00972D48"/>
    <w:rsid w:val="00974295"/>
    <w:rsid w:val="0097625B"/>
    <w:rsid w:val="00977A95"/>
    <w:rsid w:val="00977D15"/>
    <w:rsid w:val="00977F07"/>
    <w:rsid w:val="00980086"/>
    <w:rsid w:val="0098055F"/>
    <w:rsid w:val="00980A68"/>
    <w:rsid w:val="00980C80"/>
    <w:rsid w:val="009810D1"/>
    <w:rsid w:val="00982CD7"/>
    <w:rsid w:val="00983395"/>
    <w:rsid w:val="0098390B"/>
    <w:rsid w:val="00983A9F"/>
    <w:rsid w:val="00983B0E"/>
    <w:rsid w:val="0098416A"/>
    <w:rsid w:val="009841E0"/>
    <w:rsid w:val="009841E6"/>
    <w:rsid w:val="00984BB1"/>
    <w:rsid w:val="00985064"/>
    <w:rsid w:val="00986253"/>
    <w:rsid w:val="009868CD"/>
    <w:rsid w:val="00987EC8"/>
    <w:rsid w:val="00987F18"/>
    <w:rsid w:val="009902F7"/>
    <w:rsid w:val="00992EE1"/>
    <w:rsid w:val="00993F58"/>
    <w:rsid w:val="0099448D"/>
    <w:rsid w:val="00995A06"/>
    <w:rsid w:val="00995E68"/>
    <w:rsid w:val="00995E9B"/>
    <w:rsid w:val="00995EDE"/>
    <w:rsid w:val="009A0CC3"/>
    <w:rsid w:val="009A2211"/>
    <w:rsid w:val="009A222A"/>
    <w:rsid w:val="009A3DF9"/>
    <w:rsid w:val="009A3E54"/>
    <w:rsid w:val="009A4E80"/>
    <w:rsid w:val="009A63EF"/>
    <w:rsid w:val="009B1011"/>
    <w:rsid w:val="009B2E2A"/>
    <w:rsid w:val="009B3AEB"/>
    <w:rsid w:val="009B4A8D"/>
    <w:rsid w:val="009B4CF5"/>
    <w:rsid w:val="009B4FD8"/>
    <w:rsid w:val="009B5934"/>
    <w:rsid w:val="009B5D05"/>
    <w:rsid w:val="009B5E99"/>
    <w:rsid w:val="009B60F9"/>
    <w:rsid w:val="009B6760"/>
    <w:rsid w:val="009C378D"/>
    <w:rsid w:val="009C387F"/>
    <w:rsid w:val="009C3EB5"/>
    <w:rsid w:val="009C444B"/>
    <w:rsid w:val="009C4A47"/>
    <w:rsid w:val="009C562E"/>
    <w:rsid w:val="009C79DC"/>
    <w:rsid w:val="009D1595"/>
    <w:rsid w:val="009D2F6C"/>
    <w:rsid w:val="009D30C2"/>
    <w:rsid w:val="009D3773"/>
    <w:rsid w:val="009D3A24"/>
    <w:rsid w:val="009D499D"/>
    <w:rsid w:val="009D4B8A"/>
    <w:rsid w:val="009D7B85"/>
    <w:rsid w:val="009E0557"/>
    <w:rsid w:val="009E0562"/>
    <w:rsid w:val="009E0E89"/>
    <w:rsid w:val="009E166C"/>
    <w:rsid w:val="009E16AF"/>
    <w:rsid w:val="009E1B36"/>
    <w:rsid w:val="009E2AEA"/>
    <w:rsid w:val="009E3183"/>
    <w:rsid w:val="009E3783"/>
    <w:rsid w:val="009E3A13"/>
    <w:rsid w:val="009E3AFB"/>
    <w:rsid w:val="009E3EA3"/>
    <w:rsid w:val="009E4090"/>
    <w:rsid w:val="009E4A3B"/>
    <w:rsid w:val="009E6F3C"/>
    <w:rsid w:val="009F08EA"/>
    <w:rsid w:val="009F0FD6"/>
    <w:rsid w:val="009F2C73"/>
    <w:rsid w:val="009F3038"/>
    <w:rsid w:val="009F4FFB"/>
    <w:rsid w:val="009F64B1"/>
    <w:rsid w:val="009F69D1"/>
    <w:rsid w:val="009F6A36"/>
    <w:rsid w:val="00A00ACC"/>
    <w:rsid w:val="00A01BDF"/>
    <w:rsid w:val="00A045CA"/>
    <w:rsid w:val="00A04DC3"/>
    <w:rsid w:val="00A05093"/>
    <w:rsid w:val="00A05C84"/>
    <w:rsid w:val="00A05DAD"/>
    <w:rsid w:val="00A06799"/>
    <w:rsid w:val="00A11B8D"/>
    <w:rsid w:val="00A12117"/>
    <w:rsid w:val="00A1611B"/>
    <w:rsid w:val="00A17694"/>
    <w:rsid w:val="00A20907"/>
    <w:rsid w:val="00A21A3E"/>
    <w:rsid w:val="00A25052"/>
    <w:rsid w:val="00A25BE7"/>
    <w:rsid w:val="00A30430"/>
    <w:rsid w:val="00A31CD9"/>
    <w:rsid w:val="00A328CB"/>
    <w:rsid w:val="00A32C80"/>
    <w:rsid w:val="00A33559"/>
    <w:rsid w:val="00A339F2"/>
    <w:rsid w:val="00A35865"/>
    <w:rsid w:val="00A4078B"/>
    <w:rsid w:val="00A40E6E"/>
    <w:rsid w:val="00A418AF"/>
    <w:rsid w:val="00A41AD2"/>
    <w:rsid w:val="00A42DC1"/>
    <w:rsid w:val="00A43019"/>
    <w:rsid w:val="00A45D35"/>
    <w:rsid w:val="00A4629F"/>
    <w:rsid w:val="00A464B8"/>
    <w:rsid w:val="00A50BA1"/>
    <w:rsid w:val="00A52E2B"/>
    <w:rsid w:val="00A573DC"/>
    <w:rsid w:val="00A57566"/>
    <w:rsid w:val="00A60DC0"/>
    <w:rsid w:val="00A62428"/>
    <w:rsid w:val="00A62A3F"/>
    <w:rsid w:val="00A62B3A"/>
    <w:rsid w:val="00A63BCC"/>
    <w:rsid w:val="00A640D5"/>
    <w:rsid w:val="00A66BA8"/>
    <w:rsid w:val="00A708AB"/>
    <w:rsid w:val="00A7162D"/>
    <w:rsid w:val="00A7256D"/>
    <w:rsid w:val="00A73299"/>
    <w:rsid w:val="00A73CF1"/>
    <w:rsid w:val="00A7439A"/>
    <w:rsid w:val="00A75C9A"/>
    <w:rsid w:val="00A75D52"/>
    <w:rsid w:val="00A76828"/>
    <w:rsid w:val="00A76A45"/>
    <w:rsid w:val="00A76C0B"/>
    <w:rsid w:val="00A76E8C"/>
    <w:rsid w:val="00A77028"/>
    <w:rsid w:val="00A7740A"/>
    <w:rsid w:val="00A810ED"/>
    <w:rsid w:val="00A82214"/>
    <w:rsid w:val="00A83509"/>
    <w:rsid w:val="00A83914"/>
    <w:rsid w:val="00A84584"/>
    <w:rsid w:val="00A85934"/>
    <w:rsid w:val="00A85968"/>
    <w:rsid w:val="00A86750"/>
    <w:rsid w:val="00A867A5"/>
    <w:rsid w:val="00A870BC"/>
    <w:rsid w:val="00A871A4"/>
    <w:rsid w:val="00A9123D"/>
    <w:rsid w:val="00A92534"/>
    <w:rsid w:val="00A96C5C"/>
    <w:rsid w:val="00AA0074"/>
    <w:rsid w:val="00AA0508"/>
    <w:rsid w:val="00AA18C1"/>
    <w:rsid w:val="00AA2DE5"/>
    <w:rsid w:val="00AA4399"/>
    <w:rsid w:val="00AA4518"/>
    <w:rsid w:val="00AA633F"/>
    <w:rsid w:val="00AA71B0"/>
    <w:rsid w:val="00AA7409"/>
    <w:rsid w:val="00AB2E07"/>
    <w:rsid w:val="00AB35DC"/>
    <w:rsid w:val="00AB3A0D"/>
    <w:rsid w:val="00AB4177"/>
    <w:rsid w:val="00AB419D"/>
    <w:rsid w:val="00AB5F4D"/>
    <w:rsid w:val="00AB62F5"/>
    <w:rsid w:val="00AB6A14"/>
    <w:rsid w:val="00AB6F76"/>
    <w:rsid w:val="00AB70BF"/>
    <w:rsid w:val="00AC046B"/>
    <w:rsid w:val="00AC0650"/>
    <w:rsid w:val="00AC1A43"/>
    <w:rsid w:val="00AC306A"/>
    <w:rsid w:val="00AC3525"/>
    <w:rsid w:val="00AC3FB0"/>
    <w:rsid w:val="00AC4EE3"/>
    <w:rsid w:val="00AC4FF2"/>
    <w:rsid w:val="00AC54F8"/>
    <w:rsid w:val="00AC5C2B"/>
    <w:rsid w:val="00AC681D"/>
    <w:rsid w:val="00AC6E0E"/>
    <w:rsid w:val="00AC754F"/>
    <w:rsid w:val="00AC7CF8"/>
    <w:rsid w:val="00AC7E21"/>
    <w:rsid w:val="00AD0317"/>
    <w:rsid w:val="00AD0F67"/>
    <w:rsid w:val="00AD21CF"/>
    <w:rsid w:val="00AD551F"/>
    <w:rsid w:val="00AD59A3"/>
    <w:rsid w:val="00AD5E9A"/>
    <w:rsid w:val="00AD7E8E"/>
    <w:rsid w:val="00AE0C19"/>
    <w:rsid w:val="00AE0E3B"/>
    <w:rsid w:val="00AE0F81"/>
    <w:rsid w:val="00AE0FEB"/>
    <w:rsid w:val="00AE3145"/>
    <w:rsid w:val="00AE323F"/>
    <w:rsid w:val="00AE44CF"/>
    <w:rsid w:val="00AE5E7E"/>
    <w:rsid w:val="00AE6696"/>
    <w:rsid w:val="00AE7CA6"/>
    <w:rsid w:val="00AF0D8E"/>
    <w:rsid w:val="00AF2D3D"/>
    <w:rsid w:val="00AF3563"/>
    <w:rsid w:val="00AF3995"/>
    <w:rsid w:val="00AF3BFC"/>
    <w:rsid w:val="00AF4BA0"/>
    <w:rsid w:val="00AF5F54"/>
    <w:rsid w:val="00AF7295"/>
    <w:rsid w:val="00B01569"/>
    <w:rsid w:val="00B019A9"/>
    <w:rsid w:val="00B022D9"/>
    <w:rsid w:val="00B02C9A"/>
    <w:rsid w:val="00B03273"/>
    <w:rsid w:val="00B03459"/>
    <w:rsid w:val="00B0554D"/>
    <w:rsid w:val="00B05989"/>
    <w:rsid w:val="00B073E9"/>
    <w:rsid w:val="00B109D7"/>
    <w:rsid w:val="00B10AF2"/>
    <w:rsid w:val="00B110B5"/>
    <w:rsid w:val="00B1452F"/>
    <w:rsid w:val="00B173F0"/>
    <w:rsid w:val="00B174E3"/>
    <w:rsid w:val="00B17632"/>
    <w:rsid w:val="00B2080D"/>
    <w:rsid w:val="00B2095E"/>
    <w:rsid w:val="00B20A35"/>
    <w:rsid w:val="00B20CB9"/>
    <w:rsid w:val="00B21C8C"/>
    <w:rsid w:val="00B21DD6"/>
    <w:rsid w:val="00B2254A"/>
    <w:rsid w:val="00B2270A"/>
    <w:rsid w:val="00B2390D"/>
    <w:rsid w:val="00B23CB5"/>
    <w:rsid w:val="00B23DEF"/>
    <w:rsid w:val="00B24389"/>
    <w:rsid w:val="00B24D79"/>
    <w:rsid w:val="00B30D58"/>
    <w:rsid w:val="00B316E7"/>
    <w:rsid w:val="00B3231A"/>
    <w:rsid w:val="00B34EF9"/>
    <w:rsid w:val="00B350FB"/>
    <w:rsid w:val="00B35A58"/>
    <w:rsid w:val="00B3796F"/>
    <w:rsid w:val="00B37F22"/>
    <w:rsid w:val="00B4130A"/>
    <w:rsid w:val="00B41621"/>
    <w:rsid w:val="00B41868"/>
    <w:rsid w:val="00B41AF5"/>
    <w:rsid w:val="00B41ECD"/>
    <w:rsid w:val="00B421FD"/>
    <w:rsid w:val="00B42CAF"/>
    <w:rsid w:val="00B46FB0"/>
    <w:rsid w:val="00B504C4"/>
    <w:rsid w:val="00B517AB"/>
    <w:rsid w:val="00B5440D"/>
    <w:rsid w:val="00B5459B"/>
    <w:rsid w:val="00B552A4"/>
    <w:rsid w:val="00B56E4F"/>
    <w:rsid w:val="00B5700D"/>
    <w:rsid w:val="00B5708A"/>
    <w:rsid w:val="00B609B5"/>
    <w:rsid w:val="00B61223"/>
    <w:rsid w:val="00B62FAD"/>
    <w:rsid w:val="00B7133B"/>
    <w:rsid w:val="00B72340"/>
    <w:rsid w:val="00B748AE"/>
    <w:rsid w:val="00B74A87"/>
    <w:rsid w:val="00B75F6D"/>
    <w:rsid w:val="00B7681E"/>
    <w:rsid w:val="00B779BD"/>
    <w:rsid w:val="00B77DC4"/>
    <w:rsid w:val="00B77E0D"/>
    <w:rsid w:val="00B80605"/>
    <w:rsid w:val="00B81D3E"/>
    <w:rsid w:val="00B827DD"/>
    <w:rsid w:val="00B83E0B"/>
    <w:rsid w:val="00B84958"/>
    <w:rsid w:val="00B86170"/>
    <w:rsid w:val="00B870E5"/>
    <w:rsid w:val="00B91160"/>
    <w:rsid w:val="00B91D4F"/>
    <w:rsid w:val="00B942C4"/>
    <w:rsid w:val="00B94CD8"/>
    <w:rsid w:val="00B952A0"/>
    <w:rsid w:val="00B962F5"/>
    <w:rsid w:val="00B96F16"/>
    <w:rsid w:val="00BA05BF"/>
    <w:rsid w:val="00BA0727"/>
    <w:rsid w:val="00BA1110"/>
    <w:rsid w:val="00BA2B9B"/>
    <w:rsid w:val="00BA3117"/>
    <w:rsid w:val="00BA3475"/>
    <w:rsid w:val="00BA5873"/>
    <w:rsid w:val="00BA58AC"/>
    <w:rsid w:val="00BA70A7"/>
    <w:rsid w:val="00BB0F4E"/>
    <w:rsid w:val="00BB1CDA"/>
    <w:rsid w:val="00BB1D4B"/>
    <w:rsid w:val="00BB20F9"/>
    <w:rsid w:val="00BB210B"/>
    <w:rsid w:val="00BB2CD8"/>
    <w:rsid w:val="00BB2D9E"/>
    <w:rsid w:val="00BB2EF0"/>
    <w:rsid w:val="00BB4E02"/>
    <w:rsid w:val="00BB6C4E"/>
    <w:rsid w:val="00BB7A44"/>
    <w:rsid w:val="00BC1506"/>
    <w:rsid w:val="00BC27A3"/>
    <w:rsid w:val="00BC31F8"/>
    <w:rsid w:val="00BC3837"/>
    <w:rsid w:val="00BC459E"/>
    <w:rsid w:val="00BC4A0F"/>
    <w:rsid w:val="00BC5ADE"/>
    <w:rsid w:val="00BC5DBA"/>
    <w:rsid w:val="00BC606F"/>
    <w:rsid w:val="00BC6AE1"/>
    <w:rsid w:val="00BD1949"/>
    <w:rsid w:val="00BD2D5B"/>
    <w:rsid w:val="00BD3BE8"/>
    <w:rsid w:val="00BD4D18"/>
    <w:rsid w:val="00BD5E40"/>
    <w:rsid w:val="00BD60A7"/>
    <w:rsid w:val="00BD718F"/>
    <w:rsid w:val="00BD7B14"/>
    <w:rsid w:val="00BD7DB8"/>
    <w:rsid w:val="00BE1298"/>
    <w:rsid w:val="00BE16E3"/>
    <w:rsid w:val="00BE2ECA"/>
    <w:rsid w:val="00BE2F3A"/>
    <w:rsid w:val="00BE32BD"/>
    <w:rsid w:val="00BE4C5A"/>
    <w:rsid w:val="00BE57AC"/>
    <w:rsid w:val="00BE5DA2"/>
    <w:rsid w:val="00BE6776"/>
    <w:rsid w:val="00BE6ADA"/>
    <w:rsid w:val="00BF23A6"/>
    <w:rsid w:val="00BF321A"/>
    <w:rsid w:val="00BF5A87"/>
    <w:rsid w:val="00BF6341"/>
    <w:rsid w:val="00BF698A"/>
    <w:rsid w:val="00BF7ADE"/>
    <w:rsid w:val="00C0045E"/>
    <w:rsid w:val="00C00688"/>
    <w:rsid w:val="00C00FD8"/>
    <w:rsid w:val="00C018D9"/>
    <w:rsid w:val="00C01D89"/>
    <w:rsid w:val="00C01E40"/>
    <w:rsid w:val="00C036D6"/>
    <w:rsid w:val="00C03EA8"/>
    <w:rsid w:val="00C062E9"/>
    <w:rsid w:val="00C066A6"/>
    <w:rsid w:val="00C071DB"/>
    <w:rsid w:val="00C073E4"/>
    <w:rsid w:val="00C07C34"/>
    <w:rsid w:val="00C10151"/>
    <w:rsid w:val="00C10A15"/>
    <w:rsid w:val="00C10E94"/>
    <w:rsid w:val="00C113A7"/>
    <w:rsid w:val="00C1292C"/>
    <w:rsid w:val="00C12AF8"/>
    <w:rsid w:val="00C12CFE"/>
    <w:rsid w:val="00C1327C"/>
    <w:rsid w:val="00C14130"/>
    <w:rsid w:val="00C14CE2"/>
    <w:rsid w:val="00C154E6"/>
    <w:rsid w:val="00C15806"/>
    <w:rsid w:val="00C15C59"/>
    <w:rsid w:val="00C1621B"/>
    <w:rsid w:val="00C16774"/>
    <w:rsid w:val="00C228D5"/>
    <w:rsid w:val="00C23A7D"/>
    <w:rsid w:val="00C24DB8"/>
    <w:rsid w:val="00C252E5"/>
    <w:rsid w:val="00C26E75"/>
    <w:rsid w:val="00C27B54"/>
    <w:rsid w:val="00C30B8F"/>
    <w:rsid w:val="00C3115D"/>
    <w:rsid w:val="00C33771"/>
    <w:rsid w:val="00C34230"/>
    <w:rsid w:val="00C35035"/>
    <w:rsid w:val="00C3661B"/>
    <w:rsid w:val="00C36F52"/>
    <w:rsid w:val="00C379F5"/>
    <w:rsid w:val="00C37E5C"/>
    <w:rsid w:val="00C42112"/>
    <w:rsid w:val="00C42CA1"/>
    <w:rsid w:val="00C44D37"/>
    <w:rsid w:val="00C45FF0"/>
    <w:rsid w:val="00C469F6"/>
    <w:rsid w:val="00C46A0C"/>
    <w:rsid w:val="00C473F7"/>
    <w:rsid w:val="00C50259"/>
    <w:rsid w:val="00C5100A"/>
    <w:rsid w:val="00C51151"/>
    <w:rsid w:val="00C52AB3"/>
    <w:rsid w:val="00C54B3A"/>
    <w:rsid w:val="00C55292"/>
    <w:rsid w:val="00C552AF"/>
    <w:rsid w:val="00C56251"/>
    <w:rsid w:val="00C5639D"/>
    <w:rsid w:val="00C6158C"/>
    <w:rsid w:val="00C62FDC"/>
    <w:rsid w:val="00C63885"/>
    <w:rsid w:val="00C64F6E"/>
    <w:rsid w:val="00C65B08"/>
    <w:rsid w:val="00C65E9D"/>
    <w:rsid w:val="00C662E2"/>
    <w:rsid w:val="00C667A7"/>
    <w:rsid w:val="00C66E8F"/>
    <w:rsid w:val="00C67026"/>
    <w:rsid w:val="00C6752B"/>
    <w:rsid w:val="00C67D48"/>
    <w:rsid w:val="00C70652"/>
    <w:rsid w:val="00C71190"/>
    <w:rsid w:val="00C71F8E"/>
    <w:rsid w:val="00C75863"/>
    <w:rsid w:val="00C75894"/>
    <w:rsid w:val="00C76097"/>
    <w:rsid w:val="00C762AC"/>
    <w:rsid w:val="00C77544"/>
    <w:rsid w:val="00C77A1F"/>
    <w:rsid w:val="00C81E45"/>
    <w:rsid w:val="00C82308"/>
    <w:rsid w:val="00C838F7"/>
    <w:rsid w:val="00C84803"/>
    <w:rsid w:val="00C85424"/>
    <w:rsid w:val="00C866C0"/>
    <w:rsid w:val="00C86725"/>
    <w:rsid w:val="00C86838"/>
    <w:rsid w:val="00C91A61"/>
    <w:rsid w:val="00C92F92"/>
    <w:rsid w:val="00C93A6D"/>
    <w:rsid w:val="00C93AE7"/>
    <w:rsid w:val="00CA0578"/>
    <w:rsid w:val="00CA24A5"/>
    <w:rsid w:val="00CA2F68"/>
    <w:rsid w:val="00CA44A0"/>
    <w:rsid w:val="00CA5274"/>
    <w:rsid w:val="00CA60C5"/>
    <w:rsid w:val="00CA73CB"/>
    <w:rsid w:val="00CA77EA"/>
    <w:rsid w:val="00CB1272"/>
    <w:rsid w:val="00CB1530"/>
    <w:rsid w:val="00CB1B42"/>
    <w:rsid w:val="00CB2F88"/>
    <w:rsid w:val="00CB31B5"/>
    <w:rsid w:val="00CB4859"/>
    <w:rsid w:val="00CB62A3"/>
    <w:rsid w:val="00CB7C33"/>
    <w:rsid w:val="00CC1290"/>
    <w:rsid w:val="00CC12A0"/>
    <w:rsid w:val="00CC26A8"/>
    <w:rsid w:val="00CC2751"/>
    <w:rsid w:val="00CC2872"/>
    <w:rsid w:val="00CC29CF"/>
    <w:rsid w:val="00CC3C04"/>
    <w:rsid w:val="00CC7BCC"/>
    <w:rsid w:val="00CD1F04"/>
    <w:rsid w:val="00CD273E"/>
    <w:rsid w:val="00CD382A"/>
    <w:rsid w:val="00CD3901"/>
    <w:rsid w:val="00CD4231"/>
    <w:rsid w:val="00CD5231"/>
    <w:rsid w:val="00CD56CB"/>
    <w:rsid w:val="00CD5CFE"/>
    <w:rsid w:val="00CE0411"/>
    <w:rsid w:val="00CE0E63"/>
    <w:rsid w:val="00CE31EE"/>
    <w:rsid w:val="00CE3A6F"/>
    <w:rsid w:val="00CE3CBD"/>
    <w:rsid w:val="00CE5444"/>
    <w:rsid w:val="00CE61EA"/>
    <w:rsid w:val="00CE669E"/>
    <w:rsid w:val="00CE6FD6"/>
    <w:rsid w:val="00CE76BD"/>
    <w:rsid w:val="00CF35C8"/>
    <w:rsid w:val="00CF367B"/>
    <w:rsid w:val="00CF3A35"/>
    <w:rsid w:val="00CF44D8"/>
    <w:rsid w:val="00CF5D51"/>
    <w:rsid w:val="00CF6B2F"/>
    <w:rsid w:val="00CF6E4F"/>
    <w:rsid w:val="00CF71D1"/>
    <w:rsid w:val="00D00FA5"/>
    <w:rsid w:val="00D01CF3"/>
    <w:rsid w:val="00D027AA"/>
    <w:rsid w:val="00D02A6A"/>
    <w:rsid w:val="00D05CAA"/>
    <w:rsid w:val="00D06FD9"/>
    <w:rsid w:val="00D07A31"/>
    <w:rsid w:val="00D07AB4"/>
    <w:rsid w:val="00D114E6"/>
    <w:rsid w:val="00D11F7E"/>
    <w:rsid w:val="00D13EDD"/>
    <w:rsid w:val="00D14B03"/>
    <w:rsid w:val="00D21B64"/>
    <w:rsid w:val="00D23B71"/>
    <w:rsid w:val="00D2488B"/>
    <w:rsid w:val="00D24973"/>
    <w:rsid w:val="00D25126"/>
    <w:rsid w:val="00D263CE"/>
    <w:rsid w:val="00D30129"/>
    <w:rsid w:val="00D30ECB"/>
    <w:rsid w:val="00D30F4B"/>
    <w:rsid w:val="00D32748"/>
    <w:rsid w:val="00D34026"/>
    <w:rsid w:val="00D3439F"/>
    <w:rsid w:val="00D3452F"/>
    <w:rsid w:val="00D3667E"/>
    <w:rsid w:val="00D36DEF"/>
    <w:rsid w:val="00D41D2D"/>
    <w:rsid w:val="00D42DDA"/>
    <w:rsid w:val="00D42DF4"/>
    <w:rsid w:val="00D434C2"/>
    <w:rsid w:val="00D43B06"/>
    <w:rsid w:val="00D44316"/>
    <w:rsid w:val="00D44F36"/>
    <w:rsid w:val="00D45478"/>
    <w:rsid w:val="00D463CA"/>
    <w:rsid w:val="00D465C0"/>
    <w:rsid w:val="00D468D1"/>
    <w:rsid w:val="00D479CF"/>
    <w:rsid w:val="00D47ACA"/>
    <w:rsid w:val="00D47C1B"/>
    <w:rsid w:val="00D51757"/>
    <w:rsid w:val="00D517BA"/>
    <w:rsid w:val="00D51A0A"/>
    <w:rsid w:val="00D51DA1"/>
    <w:rsid w:val="00D52FDC"/>
    <w:rsid w:val="00D53296"/>
    <w:rsid w:val="00D53AC0"/>
    <w:rsid w:val="00D54532"/>
    <w:rsid w:val="00D547B7"/>
    <w:rsid w:val="00D548B2"/>
    <w:rsid w:val="00D54B6C"/>
    <w:rsid w:val="00D5617F"/>
    <w:rsid w:val="00D565F8"/>
    <w:rsid w:val="00D566D1"/>
    <w:rsid w:val="00D56ABB"/>
    <w:rsid w:val="00D571B1"/>
    <w:rsid w:val="00D60828"/>
    <w:rsid w:val="00D60C77"/>
    <w:rsid w:val="00D644BD"/>
    <w:rsid w:val="00D64F1D"/>
    <w:rsid w:val="00D65463"/>
    <w:rsid w:val="00D65D90"/>
    <w:rsid w:val="00D67489"/>
    <w:rsid w:val="00D6791A"/>
    <w:rsid w:val="00D71D2B"/>
    <w:rsid w:val="00D735DC"/>
    <w:rsid w:val="00D75A2A"/>
    <w:rsid w:val="00D80A2B"/>
    <w:rsid w:val="00D82D65"/>
    <w:rsid w:val="00D85008"/>
    <w:rsid w:val="00D8541B"/>
    <w:rsid w:val="00D85D05"/>
    <w:rsid w:val="00D86729"/>
    <w:rsid w:val="00D870FC"/>
    <w:rsid w:val="00D87180"/>
    <w:rsid w:val="00D87830"/>
    <w:rsid w:val="00D90AC2"/>
    <w:rsid w:val="00D90CFF"/>
    <w:rsid w:val="00D91333"/>
    <w:rsid w:val="00D9515D"/>
    <w:rsid w:val="00D95578"/>
    <w:rsid w:val="00D95A6A"/>
    <w:rsid w:val="00D95DB9"/>
    <w:rsid w:val="00D961FA"/>
    <w:rsid w:val="00DA07D3"/>
    <w:rsid w:val="00DA0D0D"/>
    <w:rsid w:val="00DA1A58"/>
    <w:rsid w:val="00DA3263"/>
    <w:rsid w:val="00DA3CC5"/>
    <w:rsid w:val="00DA5580"/>
    <w:rsid w:val="00DA6230"/>
    <w:rsid w:val="00DA63C7"/>
    <w:rsid w:val="00DA7439"/>
    <w:rsid w:val="00DB0BEA"/>
    <w:rsid w:val="00DB0DA9"/>
    <w:rsid w:val="00DB1311"/>
    <w:rsid w:val="00DB1D39"/>
    <w:rsid w:val="00DB1EEB"/>
    <w:rsid w:val="00DB6405"/>
    <w:rsid w:val="00DB6885"/>
    <w:rsid w:val="00DB7BC5"/>
    <w:rsid w:val="00DC0FCA"/>
    <w:rsid w:val="00DC2120"/>
    <w:rsid w:val="00DC3572"/>
    <w:rsid w:val="00DC3B1E"/>
    <w:rsid w:val="00DC4685"/>
    <w:rsid w:val="00DC48F8"/>
    <w:rsid w:val="00DC7C93"/>
    <w:rsid w:val="00DC7EC4"/>
    <w:rsid w:val="00DD0577"/>
    <w:rsid w:val="00DD07FC"/>
    <w:rsid w:val="00DD1523"/>
    <w:rsid w:val="00DD3239"/>
    <w:rsid w:val="00DD460D"/>
    <w:rsid w:val="00DD4705"/>
    <w:rsid w:val="00DD6DE2"/>
    <w:rsid w:val="00DD719F"/>
    <w:rsid w:val="00DE0877"/>
    <w:rsid w:val="00DE2F13"/>
    <w:rsid w:val="00DE3325"/>
    <w:rsid w:val="00DE4F89"/>
    <w:rsid w:val="00DE5432"/>
    <w:rsid w:val="00DF1CD8"/>
    <w:rsid w:val="00DF32F7"/>
    <w:rsid w:val="00DF377E"/>
    <w:rsid w:val="00DF49CB"/>
    <w:rsid w:val="00DF60A4"/>
    <w:rsid w:val="00DF61FF"/>
    <w:rsid w:val="00DF732C"/>
    <w:rsid w:val="00E00AD6"/>
    <w:rsid w:val="00E00B37"/>
    <w:rsid w:val="00E00D7F"/>
    <w:rsid w:val="00E02D2F"/>
    <w:rsid w:val="00E02EFE"/>
    <w:rsid w:val="00E033EA"/>
    <w:rsid w:val="00E05D40"/>
    <w:rsid w:val="00E0604D"/>
    <w:rsid w:val="00E07C93"/>
    <w:rsid w:val="00E11FFA"/>
    <w:rsid w:val="00E12214"/>
    <w:rsid w:val="00E146C1"/>
    <w:rsid w:val="00E157B1"/>
    <w:rsid w:val="00E16840"/>
    <w:rsid w:val="00E2038C"/>
    <w:rsid w:val="00E20C77"/>
    <w:rsid w:val="00E22B09"/>
    <w:rsid w:val="00E25672"/>
    <w:rsid w:val="00E26D43"/>
    <w:rsid w:val="00E2707B"/>
    <w:rsid w:val="00E27F72"/>
    <w:rsid w:val="00E311F5"/>
    <w:rsid w:val="00E3212C"/>
    <w:rsid w:val="00E3329E"/>
    <w:rsid w:val="00E33BBF"/>
    <w:rsid w:val="00E343BA"/>
    <w:rsid w:val="00E34D77"/>
    <w:rsid w:val="00E34E18"/>
    <w:rsid w:val="00E35B1E"/>
    <w:rsid w:val="00E35CA1"/>
    <w:rsid w:val="00E364D7"/>
    <w:rsid w:val="00E367F5"/>
    <w:rsid w:val="00E41533"/>
    <w:rsid w:val="00E41A21"/>
    <w:rsid w:val="00E41B52"/>
    <w:rsid w:val="00E42048"/>
    <w:rsid w:val="00E42407"/>
    <w:rsid w:val="00E43131"/>
    <w:rsid w:val="00E43911"/>
    <w:rsid w:val="00E43BAA"/>
    <w:rsid w:val="00E43BC2"/>
    <w:rsid w:val="00E44366"/>
    <w:rsid w:val="00E44BD5"/>
    <w:rsid w:val="00E463F7"/>
    <w:rsid w:val="00E5214A"/>
    <w:rsid w:val="00E53032"/>
    <w:rsid w:val="00E54EFF"/>
    <w:rsid w:val="00E55582"/>
    <w:rsid w:val="00E55649"/>
    <w:rsid w:val="00E55780"/>
    <w:rsid w:val="00E55B99"/>
    <w:rsid w:val="00E564F9"/>
    <w:rsid w:val="00E568EB"/>
    <w:rsid w:val="00E56A50"/>
    <w:rsid w:val="00E6030A"/>
    <w:rsid w:val="00E60DEB"/>
    <w:rsid w:val="00E62DFB"/>
    <w:rsid w:val="00E6344F"/>
    <w:rsid w:val="00E64BF2"/>
    <w:rsid w:val="00E65AB2"/>
    <w:rsid w:val="00E65C8E"/>
    <w:rsid w:val="00E66BC3"/>
    <w:rsid w:val="00E67964"/>
    <w:rsid w:val="00E72855"/>
    <w:rsid w:val="00E73093"/>
    <w:rsid w:val="00E73783"/>
    <w:rsid w:val="00E738F0"/>
    <w:rsid w:val="00E73D32"/>
    <w:rsid w:val="00E73F86"/>
    <w:rsid w:val="00E74689"/>
    <w:rsid w:val="00E747E6"/>
    <w:rsid w:val="00E74B3D"/>
    <w:rsid w:val="00E74C1D"/>
    <w:rsid w:val="00E80768"/>
    <w:rsid w:val="00E81B2F"/>
    <w:rsid w:val="00E81B99"/>
    <w:rsid w:val="00E81BCB"/>
    <w:rsid w:val="00E81F42"/>
    <w:rsid w:val="00E85B0A"/>
    <w:rsid w:val="00E860E3"/>
    <w:rsid w:val="00E87A4C"/>
    <w:rsid w:val="00E908A8"/>
    <w:rsid w:val="00E919A6"/>
    <w:rsid w:val="00E91A4A"/>
    <w:rsid w:val="00E935A1"/>
    <w:rsid w:val="00E9623F"/>
    <w:rsid w:val="00E96E36"/>
    <w:rsid w:val="00EA04E0"/>
    <w:rsid w:val="00EA0792"/>
    <w:rsid w:val="00EA0857"/>
    <w:rsid w:val="00EA0C6F"/>
    <w:rsid w:val="00EA0D75"/>
    <w:rsid w:val="00EA2122"/>
    <w:rsid w:val="00EA2BCB"/>
    <w:rsid w:val="00EA5A32"/>
    <w:rsid w:val="00EA6A57"/>
    <w:rsid w:val="00EA6AF5"/>
    <w:rsid w:val="00EA6D09"/>
    <w:rsid w:val="00EA7BBB"/>
    <w:rsid w:val="00EA7BF4"/>
    <w:rsid w:val="00EB021B"/>
    <w:rsid w:val="00EB0905"/>
    <w:rsid w:val="00EB13E9"/>
    <w:rsid w:val="00EB2324"/>
    <w:rsid w:val="00EB28B3"/>
    <w:rsid w:val="00EB3F10"/>
    <w:rsid w:val="00EB60E9"/>
    <w:rsid w:val="00EB64A3"/>
    <w:rsid w:val="00EB68DF"/>
    <w:rsid w:val="00EB69E1"/>
    <w:rsid w:val="00EB77AB"/>
    <w:rsid w:val="00EC0273"/>
    <w:rsid w:val="00EC1517"/>
    <w:rsid w:val="00EC21BE"/>
    <w:rsid w:val="00EC25BA"/>
    <w:rsid w:val="00EC4E8B"/>
    <w:rsid w:val="00EC4FF4"/>
    <w:rsid w:val="00EC5032"/>
    <w:rsid w:val="00EC7664"/>
    <w:rsid w:val="00EC79F2"/>
    <w:rsid w:val="00ED0985"/>
    <w:rsid w:val="00ED0AD5"/>
    <w:rsid w:val="00ED1747"/>
    <w:rsid w:val="00ED22E7"/>
    <w:rsid w:val="00ED2794"/>
    <w:rsid w:val="00ED347E"/>
    <w:rsid w:val="00ED3B76"/>
    <w:rsid w:val="00ED46E7"/>
    <w:rsid w:val="00ED6029"/>
    <w:rsid w:val="00ED6AF1"/>
    <w:rsid w:val="00ED7140"/>
    <w:rsid w:val="00ED7ADD"/>
    <w:rsid w:val="00EE0677"/>
    <w:rsid w:val="00EE15B7"/>
    <w:rsid w:val="00EE19C9"/>
    <w:rsid w:val="00EE260F"/>
    <w:rsid w:val="00EE60C4"/>
    <w:rsid w:val="00EE631D"/>
    <w:rsid w:val="00EE6FE6"/>
    <w:rsid w:val="00EF0AFA"/>
    <w:rsid w:val="00EF10D1"/>
    <w:rsid w:val="00EF1A33"/>
    <w:rsid w:val="00EF26EA"/>
    <w:rsid w:val="00EF3241"/>
    <w:rsid w:val="00EF3260"/>
    <w:rsid w:val="00EF470E"/>
    <w:rsid w:val="00EF5FFA"/>
    <w:rsid w:val="00F001BC"/>
    <w:rsid w:val="00F012F4"/>
    <w:rsid w:val="00F03FDC"/>
    <w:rsid w:val="00F046F9"/>
    <w:rsid w:val="00F04CE5"/>
    <w:rsid w:val="00F0539F"/>
    <w:rsid w:val="00F06934"/>
    <w:rsid w:val="00F0707F"/>
    <w:rsid w:val="00F072E1"/>
    <w:rsid w:val="00F07FDA"/>
    <w:rsid w:val="00F10E5F"/>
    <w:rsid w:val="00F11185"/>
    <w:rsid w:val="00F12E98"/>
    <w:rsid w:val="00F13155"/>
    <w:rsid w:val="00F15306"/>
    <w:rsid w:val="00F155EB"/>
    <w:rsid w:val="00F15F87"/>
    <w:rsid w:val="00F175B6"/>
    <w:rsid w:val="00F2022D"/>
    <w:rsid w:val="00F205BE"/>
    <w:rsid w:val="00F2078F"/>
    <w:rsid w:val="00F207AB"/>
    <w:rsid w:val="00F209C2"/>
    <w:rsid w:val="00F216F0"/>
    <w:rsid w:val="00F21724"/>
    <w:rsid w:val="00F21803"/>
    <w:rsid w:val="00F218D1"/>
    <w:rsid w:val="00F21A81"/>
    <w:rsid w:val="00F21CC1"/>
    <w:rsid w:val="00F21D1A"/>
    <w:rsid w:val="00F2252B"/>
    <w:rsid w:val="00F22BD1"/>
    <w:rsid w:val="00F23E18"/>
    <w:rsid w:val="00F2428F"/>
    <w:rsid w:val="00F25FDB"/>
    <w:rsid w:val="00F27035"/>
    <w:rsid w:val="00F27444"/>
    <w:rsid w:val="00F27D63"/>
    <w:rsid w:val="00F30AB3"/>
    <w:rsid w:val="00F31169"/>
    <w:rsid w:val="00F327FC"/>
    <w:rsid w:val="00F32A56"/>
    <w:rsid w:val="00F332E3"/>
    <w:rsid w:val="00F340C1"/>
    <w:rsid w:val="00F34369"/>
    <w:rsid w:val="00F34B08"/>
    <w:rsid w:val="00F34FC7"/>
    <w:rsid w:val="00F36073"/>
    <w:rsid w:val="00F36492"/>
    <w:rsid w:val="00F36C2D"/>
    <w:rsid w:val="00F413D8"/>
    <w:rsid w:val="00F42100"/>
    <w:rsid w:val="00F42A9B"/>
    <w:rsid w:val="00F43DFC"/>
    <w:rsid w:val="00F4438A"/>
    <w:rsid w:val="00F454AF"/>
    <w:rsid w:val="00F464FE"/>
    <w:rsid w:val="00F47CEC"/>
    <w:rsid w:val="00F5047D"/>
    <w:rsid w:val="00F51440"/>
    <w:rsid w:val="00F51A4A"/>
    <w:rsid w:val="00F53A46"/>
    <w:rsid w:val="00F53BCD"/>
    <w:rsid w:val="00F55200"/>
    <w:rsid w:val="00F55C54"/>
    <w:rsid w:val="00F55DD4"/>
    <w:rsid w:val="00F56138"/>
    <w:rsid w:val="00F56BED"/>
    <w:rsid w:val="00F5798E"/>
    <w:rsid w:val="00F6060A"/>
    <w:rsid w:val="00F619F1"/>
    <w:rsid w:val="00F61C0E"/>
    <w:rsid w:val="00F6492B"/>
    <w:rsid w:val="00F6564F"/>
    <w:rsid w:val="00F6591A"/>
    <w:rsid w:val="00F708B1"/>
    <w:rsid w:val="00F70B21"/>
    <w:rsid w:val="00F70FB2"/>
    <w:rsid w:val="00F71431"/>
    <w:rsid w:val="00F7148C"/>
    <w:rsid w:val="00F7180B"/>
    <w:rsid w:val="00F72B23"/>
    <w:rsid w:val="00F72F1A"/>
    <w:rsid w:val="00F7546C"/>
    <w:rsid w:val="00F755A6"/>
    <w:rsid w:val="00F77364"/>
    <w:rsid w:val="00F7761B"/>
    <w:rsid w:val="00F812BE"/>
    <w:rsid w:val="00F814ED"/>
    <w:rsid w:val="00F845C1"/>
    <w:rsid w:val="00F856F7"/>
    <w:rsid w:val="00F863EC"/>
    <w:rsid w:val="00F86A4F"/>
    <w:rsid w:val="00F87011"/>
    <w:rsid w:val="00F8762B"/>
    <w:rsid w:val="00F91591"/>
    <w:rsid w:val="00F9264B"/>
    <w:rsid w:val="00F9361D"/>
    <w:rsid w:val="00F93ACB"/>
    <w:rsid w:val="00F93DFD"/>
    <w:rsid w:val="00F94D53"/>
    <w:rsid w:val="00F9515F"/>
    <w:rsid w:val="00F96545"/>
    <w:rsid w:val="00FA0A3D"/>
    <w:rsid w:val="00FA2F95"/>
    <w:rsid w:val="00FA4895"/>
    <w:rsid w:val="00FA49F4"/>
    <w:rsid w:val="00FA617C"/>
    <w:rsid w:val="00FB0C0E"/>
    <w:rsid w:val="00FB1780"/>
    <w:rsid w:val="00FB2E40"/>
    <w:rsid w:val="00FB35C6"/>
    <w:rsid w:val="00FB417E"/>
    <w:rsid w:val="00FB450A"/>
    <w:rsid w:val="00FB4B8F"/>
    <w:rsid w:val="00FB534F"/>
    <w:rsid w:val="00FB53B8"/>
    <w:rsid w:val="00FB5BFA"/>
    <w:rsid w:val="00FB6ADE"/>
    <w:rsid w:val="00FC3D3B"/>
    <w:rsid w:val="00FC51DD"/>
    <w:rsid w:val="00FC59C0"/>
    <w:rsid w:val="00FC6924"/>
    <w:rsid w:val="00FC79E1"/>
    <w:rsid w:val="00FC7D12"/>
    <w:rsid w:val="00FD12D0"/>
    <w:rsid w:val="00FD2AC4"/>
    <w:rsid w:val="00FD3574"/>
    <w:rsid w:val="00FD3DC0"/>
    <w:rsid w:val="00FD415C"/>
    <w:rsid w:val="00FD534F"/>
    <w:rsid w:val="00FD537C"/>
    <w:rsid w:val="00FD6250"/>
    <w:rsid w:val="00FD6408"/>
    <w:rsid w:val="00FD6423"/>
    <w:rsid w:val="00FD6A7D"/>
    <w:rsid w:val="00FD6FC9"/>
    <w:rsid w:val="00FD71AC"/>
    <w:rsid w:val="00FE0BE4"/>
    <w:rsid w:val="00FE1592"/>
    <w:rsid w:val="00FE53E8"/>
    <w:rsid w:val="00FE54FA"/>
    <w:rsid w:val="00FF04A1"/>
    <w:rsid w:val="00FF0E91"/>
    <w:rsid w:val="00FF13CA"/>
    <w:rsid w:val="00FF1CA4"/>
    <w:rsid w:val="00FF35E2"/>
    <w:rsid w:val="00FF37A4"/>
    <w:rsid w:val="00FF42D1"/>
    <w:rsid w:val="00FF5C6C"/>
    <w:rsid w:val="00FF5D71"/>
    <w:rsid w:val="00FF6F60"/>
    <w:rsid w:val="00FF7848"/>
    <w:rsid w:val="00FF7962"/>
    <w:rsid w:val="00FF7A7A"/>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 w:type="paragraph" w:styleId="ListNumber">
    <w:name w:val="List Number"/>
    <w:basedOn w:val="Normal"/>
    <w:uiPriority w:val="99"/>
    <w:qFormat/>
    <w:rsid w:val="002E4139"/>
    <w:pPr>
      <w:numPr>
        <w:numId w:val="21"/>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E4139"/>
    <w:pPr>
      <w:numPr>
        <w:ilvl w:val="1"/>
        <w:numId w:val="21"/>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E4139"/>
    <w:pPr>
      <w:numPr>
        <w:ilvl w:val="2"/>
        <w:numId w:val="21"/>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E4139"/>
    <w:pPr>
      <w:numPr>
        <w:ilvl w:val="3"/>
        <w:numId w:val="21"/>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E4139"/>
    <w:pPr>
      <w:numPr>
        <w:ilvl w:val="4"/>
        <w:numId w:val="21"/>
      </w:numPr>
      <w:spacing w:after="200" w:line="276" w:lineRule="auto"/>
    </w:pPr>
    <w:rPr>
      <w:rFonts w:ascii="Arial" w:eastAsia="Calibri" w:hAnsi="Arial"/>
      <w:sz w:val="22"/>
      <w:szCs w:val="22"/>
      <w:lang w:eastAsia="en-US"/>
    </w:rPr>
  </w:style>
  <w:style w:type="paragraph" w:customStyle="1" w:styleId="definition">
    <w:name w:val="definition"/>
    <w:basedOn w:val="Normal"/>
    <w:rsid w:val="00BD5E40"/>
    <w:pPr>
      <w:spacing w:before="100" w:beforeAutospacing="1" w:after="100" w:afterAutospacing="1"/>
    </w:pPr>
    <w:rPr>
      <w:szCs w:val="24"/>
      <w:lang w:val="en-US" w:eastAsia="en-US"/>
    </w:rPr>
  </w:style>
  <w:style w:type="paragraph" w:customStyle="1" w:styleId="paragraph">
    <w:name w:val="paragraph"/>
    <w:basedOn w:val="Normal"/>
    <w:rsid w:val="00BD5E40"/>
    <w:pPr>
      <w:spacing w:before="100" w:beforeAutospacing="1" w:after="100" w:afterAutospacing="1"/>
    </w:pPr>
    <w:rPr>
      <w:szCs w:val="24"/>
      <w:lang w:val="en-US" w:eastAsia="en-US"/>
    </w:rPr>
  </w:style>
  <w:style w:type="paragraph" w:customStyle="1" w:styleId="HB-dotpoint">
    <w:name w:val="HB - dotpoint"/>
    <w:basedOn w:val="Normal"/>
    <w:rsid w:val="00702AF5"/>
    <w:pPr>
      <w:numPr>
        <w:numId w:val="28"/>
      </w:numPr>
      <w:spacing w:before="180"/>
    </w:pPr>
  </w:style>
  <w:style w:type="paragraph" w:customStyle="1" w:styleId="legcohead3">
    <w:name w:val="legcohead3"/>
    <w:basedOn w:val="Normal"/>
    <w:rsid w:val="00A73299"/>
    <w:pPr>
      <w:keepNext/>
    </w:pPr>
    <w:rPr>
      <w:b/>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160896971">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42986206">
      <w:bodyDiv w:val="1"/>
      <w:marLeft w:val="0"/>
      <w:marRight w:val="0"/>
      <w:marTop w:val="0"/>
      <w:marBottom w:val="0"/>
      <w:divBdr>
        <w:top w:val="none" w:sz="0" w:space="0" w:color="auto"/>
        <w:left w:val="none" w:sz="0" w:space="0" w:color="auto"/>
        <w:bottom w:val="none" w:sz="0" w:space="0" w:color="auto"/>
        <w:right w:val="none" w:sz="0" w:space="0" w:color="auto"/>
      </w:divBdr>
      <w:divsChild>
        <w:div w:id="366371187">
          <w:marLeft w:val="0"/>
          <w:marRight w:val="0"/>
          <w:marTop w:val="0"/>
          <w:marBottom w:val="0"/>
          <w:divBdr>
            <w:top w:val="none" w:sz="0" w:space="0" w:color="auto"/>
            <w:left w:val="none" w:sz="0" w:space="0" w:color="auto"/>
            <w:bottom w:val="none" w:sz="0" w:space="0" w:color="auto"/>
            <w:right w:val="none" w:sz="0" w:space="0" w:color="auto"/>
          </w:divBdr>
          <w:divsChild>
            <w:div w:id="410398313">
              <w:marLeft w:val="0"/>
              <w:marRight w:val="0"/>
              <w:marTop w:val="0"/>
              <w:marBottom w:val="0"/>
              <w:divBdr>
                <w:top w:val="none" w:sz="0" w:space="0" w:color="auto"/>
                <w:left w:val="none" w:sz="0" w:space="0" w:color="auto"/>
                <w:bottom w:val="none" w:sz="0" w:space="0" w:color="auto"/>
                <w:right w:val="none" w:sz="0" w:space="0" w:color="auto"/>
              </w:divBdr>
              <w:divsChild>
                <w:div w:id="424157327">
                  <w:marLeft w:val="0"/>
                  <w:marRight w:val="0"/>
                  <w:marTop w:val="0"/>
                  <w:marBottom w:val="0"/>
                  <w:divBdr>
                    <w:top w:val="none" w:sz="0" w:space="0" w:color="auto"/>
                    <w:left w:val="none" w:sz="0" w:space="0" w:color="auto"/>
                    <w:bottom w:val="none" w:sz="0" w:space="0" w:color="auto"/>
                    <w:right w:val="none" w:sz="0" w:space="0" w:color="auto"/>
                  </w:divBdr>
                  <w:divsChild>
                    <w:div w:id="1362515544">
                      <w:marLeft w:val="0"/>
                      <w:marRight w:val="0"/>
                      <w:marTop w:val="0"/>
                      <w:marBottom w:val="0"/>
                      <w:divBdr>
                        <w:top w:val="none" w:sz="0" w:space="0" w:color="auto"/>
                        <w:left w:val="none" w:sz="0" w:space="0" w:color="auto"/>
                        <w:bottom w:val="none" w:sz="0" w:space="0" w:color="auto"/>
                        <w:right w:val="none" w:sz="0" w:space="0" w:color="auto"/>
                      </w:divBdr>
                      <w:divsChild>
                        <w:div w:id="1677994282">
                          <w:marLeft w:val="0"/>
                          <w:marRight w:val="0"/>
                          <w:marTop w:val="0"/>
                          <w:marBottom w:val="0"/>
                          <w:divBdr>
                            <w:top w:val="none" w:sz="0" w:space="0" w:color="auto"/>
                            <w:left w:val="none" w:sz="0" w:space="0" w:color="auto"/>
                            <w:bottom w:val="none" w:sz="0" w:space="0" w:color="auto"/>
                            <w:right w:val="none" w:sz="0" w:space="0" w:color="auto"/>
                          </w:divBdr>
                          <w:divsChild>
                            <w:div w:id="1264340787">
                              <w:marLeft w:val="0"/>
                              <w:marRight w:val="0"/>
                              <w:marTop w:val="0"/>
                              <w:marBottom w:val="0"/>
                              <w:divBdr>
                                <w:top w:val="none" w:sz="0" w:space="0" w:color="auto"/>
                                <w:left w:val="none" w:sz="0" w:space="0" w:color="auto"/>
                                <w:bottom w:val="none" w:sz="0" w:space="0" w:color="auto"/>
                                <w:right w:val="none" w:sz="0" w:space="0" w:color="auto"/>
                              </w:divBdr>
                              <w:divsChild>
                                <w:div w:id="1814907658">
                                  <w:marLeft w:val="0"/>
                                  <w:marRight w:val="0"/>
                                  <w:marTop w:val="0"/>
                                  <w:marBottom w:val="0"/>
                                  <w:divBdr>
                                    <w:top w:val="none" w:sz="0" w:space="0" w:color="auto"/>
                                    <w:left w:val="none" w:sz="0" w:space="0" w:color="auto"/>
                                    <w:bottom w:val="none" w:sz="0" w:space="0" w:color="auto"/>
                                    <w:right w:val="none" w:sz="0" w:space="0" w:color="auto"/>
                                  </w:divBdr>
                                  <w:divsChild>
                                    <w:div w:id="972517947">
                                      <w:marLeft w:val="0"/>
                                      <w:marRight w:val="0"/>
                                      <w:marTop w:val="0"/>
                                      <w:marBottom w:val="0"/>
                                      <w:divBdr>
                                        <w:top w:val="none" w:sz="0" w:space="0" w:color="auto"/>
                                        <w:left w:val="none" w:sz="0" w:space="0" w:color="auto"/>
                                        <w:bottom w:val="none" w:sz="0" w:space="0" w:color="auto"/>
                                        <w:right w:val="none" w:sz="0" w:space="0" w:color="auto"/>
                                      </w:divBdr>
                                      <w:divsChild>
                                        <w:div w:id="1976524745">
                                          <w:marLeft w:val="0"/>
                                          <w:marRight w:val="0"/>
                                          <w:marTop w:val="0"/>
                                          <w:marBottom w:val="0"/>
                                          <w:divBdr>
                                            <w:top w:val="none" w:sz="0" w:space="0" w:color="auto"/>
                                            <w:left w:val="none" w:sz="0" w:space="0" w:color="auto"/>
                                            <w:bottom w:val="none" w:sz="0" w:space="0" w:color="auto"/>
                                            <w:right w:val="none" w:sz="0" w:space="0" w:color="auto"/>
                                          </w:divBdr>
                                          <w:divsChild>
                                            <w:div w:id="1774396688">
                                              <w:marLeft w:val="0"/>
                                              <w:marRight w:val="0"/>
                                              <w:marTop w:val="0"/>
                                              <w:marBottom w:val="0"/>
                                              <w:divBdr>
                                                <w:top w:val="none" w:sz="0" w:space="0" w:color="auto"/>
                                                <w:left w:val="none" w:sz="0" w:space="0" w:color="auto"/>
                                                <w:bottom w:val="none" w:sz="0" w:space="0" w:color="auto"/>
                                                <w:right w:val="none" w:sz="0" w:space="0" w:color="auto"/>
                                              </w:divBdr>
                                              <w:divsChild>
                                                <w:div w:id="65105730">
                                                  <w:marLeft w:val="0"/>
                                                  <w:marRight w:val="0"/>
                                                  <w:marTop w:val="0"/>
                                                  <w:marBottom w:val="0"/>
                                                  <w:divBdr>
                                                    <w:top w:val="none" w:sz="0" w:space="0" w:color="auto"/>
                                                    <w:left w:val="none" w:sz="0" w:space="0" w:color="auto"/>
                                                    <w:bottom w:val="none" w:sz="0" w:space="0" w:color="auto"/>
                                                    <w:right w:val="none" w:sz="0" w:space="0" w:color="auto"/>
                                                  </w:divBdr>
                                                  <w:divsChild>
                                                    <w:div w:id="1297641069">
                                                      <w:marLeft w:val="0"/>
                                                      <w:marRight w:val="0"/>
                                                      <w:marTop w:val="0"/>
                                                      <w:marBottom w:val="0"/>
                                                      <w:divBdr>
                                                        <w:top w:val="none" w:sz="0" w:space="0" w:color="auto"/>
                                                        <w:left w:val="none" w:sz="0" w:space="0" w:color="auto"/>
                                                        <w:bottom w:val="none" w:sz="0" w:space="0" w:color="auto"/>
                                                        <w:right w:val="none" w:sz="0" w:space="0" w:color="auto"/>
                                                      </w:divBdr>
                                                      <w:divsChild>
                                                        <w:div w:id="474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393938">
      <w:bodyDiv w:val="1"/>
      <w:marLeft w:val="0"/>
      <w:marRight w:val="0"/>
      <w:marTop w:val="0"/>
      <w:marBottom w:val="0"/>
      <w:divBdr>
        <w:top w:val="none" w:sz="0" w:space="0" w:color="auto"/>
        <w:left w:val="none" w:sz="0" w:space="0" w:color="auto"/>
        <w:bottom w:val="none" w:sz="0" w:space="0" w:color="auto"/>
        <w:right w:val="none" w:sz="0" w:space="0" w:color="auto"/>
      </w:divBdr>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993416561">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44592333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16081287">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BAB8-274C-43E1-965D-24D889DB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2611</Words>
  <Characters>14914</Characters>
  <Application>Microsoft Office Word</Application>
  <DocSecurity>0</DocSecurity>
  <Lines>363</Lines>
  <Paragraphs>219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2020-05-28T07:29:00Z</dcterms:created>
  <dcterms:modified xsi:type="dcterms:W3CDTF">2020-08-14T03:32:00Z</dcterms:modified>
</cp:coreProperties>
</file>