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418D8" w14:textId="77777777" w:rsidR="00A668EF" w:rsidRPr="00381A22" w:rsidRDefault="00A668EF" w:rsidP="00A668EF">
      <w:pPr>
        <w:spacing w:after="120"/>
        <w:contextualSpacing/>
        <w:jc w:val="center"/>
        <w:rPr>
          <w:rFonts w:ascii="Times New Roman" w:hAnsi="Times New Roman"/>
          <w:sz w:val="24"/>
          <w:szCs w:val="24"/>
        </w:rPr>
      </w:pPr>
      <w:r w:rsidRPr="00381A22">
        <w:rPr>
          <w:rFonts w:ascii="Times New Roman" w:hAnsi="Times New Roman"/>
          <w:b/>
          <w:sz w:val="24"/>
          <w:szCs w:val="24"/>
          <w:u w:val="single"/>
        </w:rPr>
        <w:t>EXPLANATORY STATEMENT</w:t>
      </w:r>
    </w:p>
    <w:p w14:paraId="2B8A0417" w14:textId="77777777" w:rsidR="00A668EF" w:rsidRPr="00381A22" w:rsidRDefault="00A668EF" w:rsidP="00A668EF">
      <w:pPr>
        <w:spacing w:after="120"/>
        <w:contextualSpacing/>
        <w:rPr>
          <w:rFonts w:ascii="Times New Roman" w:hAnsi="Times New Roman"/>
          <w:b/>
          <w:color w:val="000000" w:themeColor="text1"/>
          <w:sz w:val="24"/>
          <w:szCs w:val="24"/>
        </w:rPr>
      </w:pPr>
    </w:p>
    <w:p w14:paraId="68CBB64D" w14:textId="77777777" w:rsidR="00A668EF" w:rsidRPr="00381A22" w:rsidRDefault="00A668EF" w:rsidP="00A668EF">
      <w:pPr>
        <w:spacing w:after="120"/>
        <w:contextualSpacing/>
        <w:jc w:val="center"/>
        <w:rPr>
          <w:rFonts w:ascii="Times New Roman" w:hAnsi="Times New Roman"/>
          <w:b/>
          <w:color w:val="000000" w:themeColor="text1"/>
          <w:sz w:val="24"/>
          <w:szCs w:val="24"/>
        </w:rPr>
      </w:pPr>
      <w:r w:rsidRPr="00381A22">
        <w:rPr>
          <w:rFonts w:ascii="Times New Roman" w:hAnsi="Times New Roman"/>
          <w:b/>
          <w:color w:val="000000" w:themeColor="text1"/>
          <w:sz w:val="24"/>
          <w:szCs w:val="24"/>
        </w:rPr>
        <w:t>Issued by the Authority of the Minister for Finance</w:t>
      </w:r>
    </w:p>
    <w:p w14:paraId="6A1DA0E8" w14:textId="77777777" w:rsidR="00A668EF" w:rsidRPr="00381A22" w:rsidRDefault="00A668EF" w:rsidP="00A668EF">
      <w:pPr>
        <w:tabs>
          <w:tab w:val="left" w:pos="1701"/>
        </w:tabs>
        <w:spacing w:after="120"/>
        <w:contextualSpacing/>
        <w:jc w:val="center"/>
        <w:rPr>
          <w:rFonts w:ascii="Times New Roman" w:hAnsi="Times New Roman"/>
          <w:sz w:val="24"/>
          <w:szCs w:val="24"/>
        </w:rPr>
      </w:pPr>
    </w:p>
    <w:p w14:paraId="0DB2C491" w14:textId="77777777" w:rsidR="00A668EF" w:rsidRPr="00381A22" w:rsidRDefault="00A668EF" w:rsidP="00A668EF">
      <w:pPr>
        <w:spacing w:after="120"/>
        <w:contextualSpacing/>
        <w:jc w:val="center"/>
        <w:rPr>
          <w:rFonts w:ascii="Times New Roman" w:hAnsi="Times New Roman"/>
          <w:i/>
          <w:sz w:val="24"/>
          <w:szCs w:val="24"/>
        </w:rPr>
      </w:pPr>
      <w:r w:rsidRPr="00381A22">
        <w:rPr>
          <w:rFonts w:ascii="Times New Roman" w:hAnsi="Times New Roman"/>
          <w:i/>
          <w:sz w:val="24"/>
          <w:szCs w:val="24"/>
        </w:rPr>
        <w:t>Financial Framework (Supplementary Powers) Act 1997</w:t>
      </w:r>
    </w:p>
    <w:p w14:paraId="1E2BB1D0" w14:textId="77777777" w:rsidR="00A668EF" w:rsidRPr="00381A22" w:rsidRDefault="00A668EF" w:rsidP="00A668EF">
      <w:pPr>
        <w:tabs>
          <w:tab w:val="left" w:pos="1701"/>
        </w:tabs>
        <w:spacing w:after="120"/>
        <w:contextualSpacing/>
        <w:jc w:val="center"/>
        <w:rPr>
          <w:rFonts w:ascii="Times New Roman" w:hAnsi="Times New Roman"/>
          <w:sz w:val="24"/>
          <w:szCs w:val="24"/>
        </w:rPr>
      </w:pPr>
    </w:p>
    <w:p w14:paraId="0D5148D0" w14:textId="77777777" w:rsidR="00A668EF" w:rsidRPr="00381A22" w:rsidRDefault="00A668EF" w:rsidP="00A668EF">
      <w:pPr>
        <w:tabs>
          <w:tab w:val="left" w:pos="1701"/>
        </w:tabs>
        <w:spacing w:after="120"/>
        <w:contextualSpacing/>
        <w:jc w:val="center"/>
        <w:rPr>
          <w:rFonts w:ascii="Times New Roman" w:hAnsi="Times New Roman"/>
          <w:i/>
          <w:sz w:val="24"/>
          <w:szCs w:val="24"/>
        </w:rPr>
      </w:pPr>
      <w:r w:rsidRPr="00381A22">
        <w:rPr>
          <w:rFonts w:ascii="Times New Roman" w:hAnsi="Times New Roman"/>
          <w:i/>
          <w:sz w:val="24"/>
          <w:szCs w:val="24"/>
        </w:rPr>
        <w:t xml:space="preserve">Financial Framework (Supplementary Powers) Amendment </w:t>
      </w:r>
    </w:p>
    <w:p w14:paraId="02631BA6" w14:textId="089FD15F" w:rsidR="00A668EF" w:rsidRPr="00381A22" w:rsidRDefault="00A668EF" w:rsidP="00A668EF">
      <w:pPr>
        <w:tabs>
          <w:tab w:val="left" w:pos="1701"/>
        </w:tabs>
        <w:spacing w:after="120"/>
        <w:contextualSpacing/>
        <w:jc w:val="center"/>
        <w:rPr>
          <w:rFonts w:ascii="Times New Roman" w:hAnsi="Times New Roman"/>
          <w:i/>
          <w:sz w:val="24"/>
          <w:szCs w:val="24"/>
        </w:rPr>
      </w:pPr>
      <w:r w:rsidRPr="00381A22">
        <w:rPr>
          <w:rFonts w:ascii="Times New Roman" w:hAnsi="Times New Roman"/>
          <w:i/>
          <w:sz w:val="24"/>
          <w:szCs w:val="24"/>
        </w:rPr>
        <w:t xml:space="preserve">(Education, Skills and Employment Measures No. </w:t>
      </w:r>
      <w:r w:rsidR="00603DE4" w:rsidRPr="00381A22">
        <w:rPr>
          <w:rFonts w:ascii="Times New Roman" w:hAnsi="Times New Roman"/>
          <w:i/>
          <w:sz w:val="24"/>
          <w:szCs w:val="24"/>
        </w:rPr>
        <w:t>4</w:t>
      </w:r>
      <w:r w:rsidRPr="00381A22">
        <w:rPr>
          <w:rFonts w:ascii="Times New Roman" w:hAnsi="Times New Roman"/>
          <w:i/>
          <w:sz w:val="24"/>
          <w:szCs w:val="24"/>
        </w:rPr>
        <w:t>) Regulations 2020</w:t>
      </w:r>
    </w:p>
    <w:p w14:paraId="2F2858BE" w14:textId="77777777" w:rsidR="00A668EF" w:rsidRPr="00381A22" w:rsidRDefault="00A668EF" w:rsidP="00A668EF">
      <w:pPr>
        <w:spacing w:after="120"/>
        <w:contextualSpacing/>
        <w:rPr>
          <w:rFonts w:ascii="Times New Roman" w:hAnsi="Times New Roman"/>
          <w:sz w:val="24"/>
          <w:szCs w:val="24"/>
        </w:rPr>
      </w:pPr>
    </w:p>
    <w:p w14:paraId="39E135A9" w14:textId="01BF09AC" w:rsidR="00A668EF" w:rsidRPr="00381A22" w:rsidRDefault="00A668EF" w:rsidP="00A668EF">
      <w:pPr>
        <w:spacing w:after="120"/>
        <w:contextualSpacing/>
        <w:rPr>
          <w:rFonts w:ascii="Times New Roman" w:hAnsi="Times New Roman"/>
          <w:sz w:val="24"/>
          <w:szCs w:val="24"/>
        </w:rPr>
      </w:pPr>
      <w:r w:rsidRPr="00381A22">
        <w:rPr>
          <w:rFonts w:ascii="Times New Roman" w:hAnsi="Times New Roman"/>
          <w:sz w:val="24"/>
          <w:szCs w:val="24"/>
        </w:rPr>
        <w:t xml:space="preserve">The </w:t>
      </w:r>
      <w:r w:rsidRPr="00381A22">
        <w:rPr>
          <w:rFonts w:ascii="Times New Roman" w:hAnsi="Times New Roman"/>
          <w:i/>
          <w:sz w:val="24"/>
          <w:szCs w:val="24"/>
        </w:rPr>
        <w:t>Financial Framework (Supplementary Powers) Act 1997</w:t>
      </w:r>
      <w:r w:rsidRPr="00381A22">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w:t>
      </w:r>
      <w:proofErr w:type="gramStart"/>
      <w:r w:rsidRPr="00381A22">
        <w:rPr>
          <w:rFonts w:ascii="Times New Roman" w:hAnsi="Times New Roman"/>
          <w:sz w:val="24"/>
          <w:szCs w:val="24"/>
        </w:rPr>
        <w:t>are conferred</w:t>
      </w:r>
      <w:proofErr w:type="gramEnd"/>
      <w:r w:rsidRPr="00381A22">
        <w:rPr>
          <w:rFonts w:ascii="Times New Roman" w:hAnsi="Times New Roman"/>
          <w:sz w:val="24"/>
          <w:szCs w:val="24"/>
        </w:rPr>
        <w:t xml:space="preserve">) are specified in the </w:t>
      </w:r>
      <w:r w:rsidRPr="00381A22">
        <w:rPr>
          <w:rFonts w:ascii="Times New Roman" w:hAnsi="Times New Roman"/>
          <w:i/>
          <w:sz w:val="24"/>
          <w:szCs w:val="24"/>
        </w:rPr>
        <w:t xml:space="preserve">Financial Framework (Supplementary Powers) Regulations 1997 </w:t>
      </w:r>
      <w:r w:rsidRPr="00381A22">
        <w:rPr>
          <w:rFonts w:ascii="Times New Roman" w:hAnsi="Times New Roman"/>
          <w:sz w:val="24"/>
          <w:szCs w:val="24"/>
        </w:rPr>
        <w:t>(the Principal Regulations). The</w:t>
      </w:r>
      <w:r w:rsidR="002430BF" w:rsidRPr="00381A22">
        <w:rPr>
          <w:rFonts w:ascii="Times New Roman" w:hAnsi="Times New Roman"/>
          <w:sz w:val="24"/>
          <w:szCs w:val="24"/>
        </w:rPr>
        <w:t xml:space="preserve"> powers in the</w:t>
      </w:r>
      <w:r w:rsidRPr="00381A22">
        <w:rPr>
          <w:rFonts w:ascii="Times New Roman" w:hAnsi="Times New Roman"/>
          <w:sz w:val="24"/>
          <w:szCs w:val="24"/>
        </w:rPr>
        <w:t> </w:t>
      </w:r>
      <w:proofErr w:type="gramStart"/>
      <w:r w:rsidRPr="00381A22">
        <w:rPr>
          <w:rFonts w:ascii="Times New Roman" w:hAnsi="Times New Roman"/>
          <w:sz w:val="24"/>
          <w:szCs w:val="24"/>
        </w:rPr>
        <w:t>FF(</w:t>
      </w:r>
      <w:proofErr w:type="gramEnd"/>
      <w:r w:rsidRPr="00381A22">
        <w:rPr>
          <w:rFonts w:ascii="Times New Roman" w:hAnsi="Times New Roman"/>
          <w:sz w:val="24"/>
          <w:szCs w:val="24"/>
        </w:rPr>
        <w:t xml:space="preserve">SP) Act </w:t>
      </w:r>
      <w:r w:rsidR="002430BF" w:rsidRPr="00381A22">
        <w:rPr>
          <w:rFonts w:ascii="Times New Roman" w:hAnsi="Times New Roman"/>
          <w:sz w:val="24"/>
          <w:szCs w:val="24"/>
        </w:rPr>
        <w:t>to make, vary or administer arrangements or grants may be exercised on behalf of the Commonwealth by</w:t>
      </w:r>
      <w:r w:rsidRPr="00381A22">
        <w:rPr>
          <w:rFonts w:ascii="Times New Roman" w:hAnsi="Times New Roman"/>
          <w:sz w:val="24"/>
          <w:szCs w:val="24"/>
        </w:rPr>
        <w:t xml:space="preserve"> Ministers and the accountable authorities of non</w:t>
      </w:r>
      <w:r w:rsidRPr="00381A22">
        <w:rPr>
          <w:rFonts w:ascii="Times New Roman" w:hAnsi="Times New Roman"/>
          <w:sz w:val="24"/>
          <w:szCs w:val="24"/>
        </w:rPr>
        <w:noBreakHyphen/>
        <w:t xml:space="preserve">corporate Commonwealth entities, as defined under section 12 of the </w:t>
      </w:r>
      <w:r w:rsidRPr="00381A22">
        <w:rPr>
          <w:rFonts w:ascii="Times New Roman" w:hAnsi="Times New Roman"/>
          <w:i/>
          <w:sz w:val="24"/>
          <w:szCs w:val="24"/>
        </w:rPr>
        <w:t>Public Governance, Performance and Accountability Act 2013</w:t>
      </w:r>
      <w:r w:rsidRPr="00381A22">
        <w:rPr>
          <w:rFonts w:ascii="Times New Roman" w:hAnsi="Times New Roman"/>
          <w:sz w:val="24"/>
          <w:szCs w:val="24"/>
        </w:rPr>
        <w:t xml:space="preserve">. </w:t>
      </w:r>
    </w:p>
    <w:p w14:paraId="0FD46D90" w14:textId="77777777" w:rsidR="00A668EF" w:rsidRPr="00381A22" w:rsidRDefault="00A668EF" w:rsidP="00A668EF">
      <w:pPr>
        <w:contextualSpacing/>
        <w:rPr>
          <w:rFonts w:ascii="Times New Roman" w:hAnsi="Times New Roman"/>
          <w:sz w:val="24"/>
          <w:szCs w:val="24"/>
        </w:rPr>
      </w:pPr>
    </w:p>
    <w:p w14:paraId="637BE6A1" w14:textId="77777777" w:rsidR="00A668EF" w:rsidRPr="00381A22" w:rsidRDefault="00A668EF" w:rsidP="00A668EF">
      <w:pPr>
        <w:pStyle w:val="ParaNumbering"/>
        <w:tabs>
          <w:tab w:val="clear" w:pos="360"/>
          <w:tab w:val="clear" w:pos="567"/>
        </w:tabs>
        <w:spacing w:after="0" w:line="240" w:lineRule="auto"/>
        <w:contextualSpacing/>
        <w:rPr>
          <w:szCs w:val="24"/>
        </w:rPr>
      </w:pPr>
      <w:r w:rsidRPr="00381A22">
        <w:rPr>
          <w:szCs w:val="24"/>
        </w:rPr>
        <w:t xml:space="preserve">Section 65 of the </w:t>
      </w:r>
      <w:proofErr w:type="gramStart"/>
      <w:r w:rsidRPr="00381A22">
        <w:rPr>
          <w:szCs w:val="24"/>
        </w:rPr>
        <w:t>FF(</w:t>
      </w:r>
      <w:proofErr w:type="gramEnd"/>
      <w:r w:rsidRPr="00381A22">
        <w:rPr>
          <w:szCs w:val="24"/>
        </w:rPr>
        <w:t>SP) Act provides that the Governor-General may make regulations prescribing matters required or permitted by the Act to be prescribed, or necessary or convenient to be prescribed for carrying out or giving effect to the Act.</w:t>
      </w:r>
    </w:p>
    <w:p w14:paraId="234BACF8" w14:textId="77777777" w:rsidR="00A668EF" w:rsidRPr="00381A22" w:rsidRDefault="00A668EF" w:rsidP="00A668EF">
      <w:pPr>
        <w:contextualSpacing/>
        <w:rPr>
          <w:rFonts w:ascii="Times New Roman" w:hAnsi="Times New Roman"/>
          <w:sz w:val="24"/>
          <w:szCs w:val="24"/>
        </w:rPr>
      </w:pPr>
    </w:p>
    <w:p w14:paraId="293770F3" w14:textId="77777777" w:rsidR="00A668EF" w:rsidRPr="00381A22" w:rsidRDefault="00A668EF" w:rsidP="00A668EF">
      <w:pPr>
        <w:ind w:right="-46"/>
        <w:rPr>
          <w:rFonts w:ascii="Times New Roman" w:hAnsi="Times New Roman"/>
          <w:sz w:val="24"/>
          <w:szCs w:val="24"/>
        </w:rPr>
      </w:pPr>
      <w:r w:rsidRPr="00381A22">
        <w:rPr>
          <w:rFonts w:ascii="Times New Roman" w:hAnsi="Times New Roman"/>
          <w:sz w:val="24"/>
          <w:szCs w:val="24"/>
        </w:rPr>
        <w:t xml:space="preserve">Section 32B of the </w:t>
      </w:r>
      <w:proofErr w:type="gramStart"/>
      <w:r w:rsidRPr="00381A22">
        <w:rPr>
          <w:rFonts w:ascii="Times New Roman" w:hAnsi="Times New Roman"/>
          <w:sz w:val="24"/>
          <w:szCs w:val="24"/>
        </w:rPr>
        <w:t>FF(</w:t>
      </w:r>
      <w:proofErr w:type="gramEnd"/>
      <w:r w:rsidRPr="00381A22">
        <w:rPr>
          <w:rFonts w:ascii="Times New Roman" w:hAnsi="Times New Roman"/>
          <w:sz w:val="24"/>
          <w:szCs w:val="24"/>
        </w:rPr>
        <w:t xml:space="preserve">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 </w:t>
      </w:r>
    </w:p>
    <w:p w14:paraId="4EF4DF5C" w14:textId="77777777" w:rsidR="00A668EF" w:rsidRPr="00381A22" w:rsidRDefault="00A668EF" w:rsidP="00A668EF">
      <w:pPr>
        <w:ind w:right="-46"/>
        <w:rPr>
          <w:rFonts w:ascii="Times New Roman" w:hAnsi="Times New Roman"/>
          <w:sz w:val="24"/>
          <w:szCs w:val="24"/>
        </w:rPr>
      </w:pPr>
    </w:p>
    <w:p w14:paraId="2329B865" w14:textId="1ECC18B1" w:rsidR="00A668EF" w:rsidRPr="00381A22" w:rsidRDefault="00A668EF" w:rsidP="00A668EF">
      <w:pPr>
        <w:rPr>
          <w:rFonts w:ascii="Times New Roman" w:hAnsi="Times New Roman"/>
          <w:sz w:val="24"/>
          <w:szCs w:val="24"/>
        </w:rPr>
      </w:pPr>
      <w:r w:rsidRPr="00381A22">
        <w:rPr>
          <w:rFonts w:ascii="Times New Roman" w:hAnsi="Times New Roman"/>
          <w:sz w:val="24"/>
          <w:szCs w:val="24"/>
        </w:rPr>
        <w:t xml:space="preserve">The </w:t>
      </w:r>
      <w:r w:rsidRPr="00381A22">
        <w:rPr>
          <w:rFonts w:ascii="Times New Roman" w:hAnsi="Times New Roman"/>
          <w:i/>
          <w:sz w:val="24"/>
          <w:szCs w:val="24"/>
        </w:rPr>
        <w:t xml:space="preserve">Financial Framework (Supplementary Powers) Amendment (Education, Skills and Employment Measures No. </w:t>
      </w:r>
      <w:r w:rsidR="00603DE4" w:rsidRPr="00381A22">
        <w:rPr>
          <w:rFonts w:ascii="Times New Roman" w:hAnsi="Times New Roman"/>
          <w:i/>
          <w:sz w:val="24"/>
          <w:szCs w:val="24"/>
        </w:rPr>
        <w:t>4</w:t>
      </w:r>
      <w:r w:rsidRPr="00381A22">
        <w:rPr>
          <w:rFonts w:ascii="Times New Roman" w:hAnsi="Times New Roman"/>
          <w:i/>
          <w:sz w:val="24"/>
          <w:szCs w:val="24"/>
        </w:rPr>
        <w:t>) Regulations 2020</w:t>
      </w:r>
      <w:r w:rsidRPr="00381A22">
        <w:rPr>
          <w:rFonts w:ascii="Times New Roman" w:hAnsi="Times New Roman"/>
          <w:sz w:val="24"/>
          <w:szCs w:val="24"/>
        </w:rPr>
        <w:t xml:space="preserve"> (the Regulations) amend Schedule 1AB to the Principal Regulations to establish legislative authority for government spending on certain activities that </w:t>
      </w:r>
      <w:proofErr w:type="gramStart"/>
      <w:r w:rsidRPr="00381A22">
        <w:rPr>
          <w:rFonts w:ascii="Times New Roman" w:hAnsi="Times New Roman"/>
          <w:sz w:val="24"/>
          <w:szCs w:val="24"/>
        </w:rPr>
        <w:t>will be administered</w:t>
      </w:r>
      <w:proofErr w:type="gramEnd"/>
      <w:r w:rsidRPr="00381A22">
        <w:rPr>
          <w:rFonts w:ascii="Times New Roman" w:hAnsi="Times New Roman"/>
          <w:sz w:val="24"/>
          <w:szCs w:val="24"/>
        </w:rPr>
        <w:t xml:space="preserve"> by the Department of Education, Skills and Employment.</w:t>
      </w:r>
    </w:p>
    <w:p w14:paraId="1293CAB8" w14:textId="77777777" w:rsidR="00A668EF" w:rsidRPr="00381A22" w:rsidRDefault="00A668EF" w:rsidP="00A668EF">
      <w:pPr>
        <w:rPr>
          <w:rFonts w:ascii="Times New Roman" w:hAnsi="Times New Roman"/>
          <w:sz w:val="24"/>
          <w:szCs w:val="24"/>
        </w:rPr>
      </w:pPr>
    </w:p>
    <w:p w14:paraId="4AD4A805" w14:textId="77777777" w:rsidR="00A668EF" w:rsidRPr="00381A22" w:rsidRDefault="00A668EF" w:rsidP="00A668EF">
      <w:pPr>
        <w:rPr>
          <w:rFonts w:ascii="Times New Roman" w:hAnsi="Times New Roman"/>
          <w:sz w:val="24"/>
          <w:szCs w:val="24"/>
        </w:rPr>
      </w:pPr>
      <w:r w:rsidRPr="00381A22">
        <w:rPr>
          <w:rFonts w:ascii="Times New Roman" w:hAnsi="Times New Roman"/>
          <w:sz w:val="24"/>
          <w:szCs w:val="24"/>
        </w:rPr>
        <w:t xml:space="preserve">Funding </w:t>
      </w:r>
      <w:proofErr w:type="gramStart"/>
      <w:r w:rsidRPr="00381A22">
        <w:rPr>
          <w:rFonts w:ascii="Times New Roman" w:hAnsi="Times New Roman"/>
          <w:sz w:val="24"/>
          <w:szCs w:val="24"/>
        </w:rPr>
        <w:t>will be provided for</w:t>
      </w:r>
      <w:proofErr w:type="gramEnd"/>
      <w:r w:rsidRPr="00381A22">
        <w:rPr>
          <w:rFonts w:ascii="Times New Roman" w:hAnsi="Times New Roman"/>
          <w:sz w:val="24"/>
          <w:szCs w:val="24"/>
        </w:rPr>
        <w:t>:</w:t>
      </w:r>
    </w:p>
    <w:p w14:paraId="5B3EA3FA" w14:textId="651133AF" w:rsidR="00A668EF" w:rsidRPr="00381A22" w:rsidRDefault="00A668EF" w:rsidP="00A668EF">
      <w:pPr>
        <w:pStyle w:val="ListParagraph"/>
        <w:numPr>
          <w:ilvl w:val="0"/>
          <w:numId w:val="12"/>
        </w:numPr>
        <w:rPr>
          <w:szCs w:val="24"/>
          <w:lang w:val="en-GB"/>
        </w:rPr>
      </w:pPr>
      <w:r w:rsidRPr="00381A22">
        <w:rPr>
          <w:szCs w:val="24"/>
          <w:lang w:val="en-GB"/>
        </w:rPr>
        <w:t xml:space="preserve">the Destination Australia Cheung Kong Exchange Program, which will </w:t>
      </w:r>
      <w:r w:rsidR="00E817E5" w:rsidRPr="00381A22">
        <w:rPr>
          <w:szCs w:val="24"/>
          <w:lang w:val="en-GB"/>
        </w:rPr>
        <w:t xml:space="preserve">increase the number of university students </w:t>
      </w:r>
      <w:r w:rsidR="009037D9" w:rsidRPr="00381A22">
        <w:rPr>
          <w:szCs w:val="24"/>
          <w:lang w:val="en-GB"/>
        </w:rPr>
        <w:t>with an</w:t>
      </w:r>
      <w:r w:rsidR="00E817E5" w:rsidRPr="00381A22">
        <w:rPr>
          <w:szCs w:val="24"/>
          <w:lang w:val="en-GB"/>
        </w:rPr>
        <w:t xml:space="preserve"> offshore</w:t>
      </w:r>
      <w:r w:rsidR="009037D9" w:rsidRPr="00381A22">
        <w:rPr>
          <w:szCs w:val="24"/>
          <w:lang w:val="en-GB"/>
        </w:rPr>
        <w:t xml:space="preserve"> study experience</w:t>
      </w:r>
      <w:r w:rsidRPr="00381A22">
        <w:rPr>
          <w:szCs w:val="24"/>
          <w:lang w:val="en-GB"/>
        </w:rPr>
        <w:t xml:space="preserve"> </w:t>
      </w:r>
      <w:r w:rsidR="009037D9" w:rsidRPr="00381A22">
        <w:rPr>
          <w:szCs w:val="24"/>
          <w:lang w:val="en-GB"/>
        </w:rPr>
        <w:t xml:space="preserve">through grants </w:t>
      </w:r>
      <w:r w:rsidRPr="00381A22">
        <w:rPr>
          <w:szCs w:val="24"/>
          <w:lang w:val="en-GB"/>
        </w:rPr>
        <w:t>to Australian universities to provide two-way</w:t>
      </w:r>
      <w:r w:rsidR="009037D9" w:rsidRPr="00381A22">
        <w:rPr>
          <w:szCs w:val="24"/>
          <w:lang w:val="en-GB"/>
        </w:rPr>
        <w:t>, short-term</w:t>
      </w:r>
      <w:r w:rsidRPr="00381A22">
        <w:rPr>
          <w:szCs w:val="24"/>
          <w:lang w:val="en-GB"/>
        </w:rPr>
        <w:t xml:space="preserve"> mobility </w:t>
      </w:r>
      <w:r w:rsidR="009037D9" w:rsidRPr="00381A22">
        <w:rPr>
          <w:szCs w:val="24"/>
          <w:lang w:val="en-GB"/>
        </w:rPr>
        <w:t xml:space="preserve">scholarships </w:t>
      </w:r>
      <w:r w:rsidRPr="00381A22">
        <w:rPr>
          <w:szCs w:val="24"/>
          <w:lang w:val="en-GB"/>
        </w:rPr>
        <w:t>for domestic and international university students (</w:t>
      </w:r>
      <w:r w:rsidR="002C1072" w:rsidRPr="00381A22">
        <w:rPr>
          <w:szCs w:val="24"/>
          <w:lang w:val="en-GB"/>
        </w:rPr>
        <w:t>grant</w:t>
      </w:r>
      <w:r w:rsidRPr="00381A22">
        <w:rPr>
          <w:szCs w:val="24"/>
          <w:lang w:val="en-GB"/>
        </w:rPr>
        <w:t xml:space="preserve"> funding of $1</w:t>
      </w:r>
      <w:r w:rsidR="002C1072" w:rsidRPr="00381A22">
        <w:rPr>
          <w:szCs w:val="24"/>
          <w:lang w:val="en-GB"/>
        </w:rPr>
        <w:t>0</w:t>
      </w:r>
      <w:r w:rsidRPr="00381A22">
        <w:rPr>
          <w:szCs w:val="24"/>
          <w:lang w:val="en-GB"/>
        </w:rPr>
        <w:t xml:space="preserve">.6 million </w:t>
      </w:r>
      <w:r w:rsidR="00E817E5" w:rsidRPr="00381A22">
        <w:rPr>
          <w:szCs w:val="24"/>
          <w:lang w:val="en-GB"/>
        </w:rPr>
        <w:t xml:space="preserve">over </w:t>
      </w:r>
      <w:r w:rsidR="00CD788F" w:rsidRPr="00381A22">
        <w:rPr>
          <w:szCs w:val="24"/>
          <w:lang w:val="en-GB"/>
        </w:rPr>
        <w:t>10</w:t>
      </w:r>
      <w:r w:rsidR="00E817E5" w:rsidRPr="00381A22">
        <w:rPr>
          <w:szCs w:val="24"/>
          <w:lang w:val="en-GB"/>
        </w:rPr>
        <w:t xml:space="preserve"> years </w:t>
      </w:r>
      <w:r w:rsidRPr="00381A22">
        <w:rPr>
          <w:szCs w:val="24"/>
          <w:lang w:val="en-GB"/>
        </w:rPr>
        <w:t>from 2020-21</w:t>
      </w:r>
      <w:r w:rsidR="002C1072" w:rsidRPr="00381A22">
        <w:rPr>
          <w:szCs w:val="24"/>
          <w:lang w:val="en-GB"/>
        </w:rPr>
        <w:t xml:space="preserve"> will be contributed</w:t>
      </w:r>
      <w:r w:rsidRPr="00381A22">
        <w:rPr>
          <w:szCs w:val="24"/>
          <w:lang w:val="en-GB"/>
        </w:rPr>
        <w:t xml:space="preserve"> by </w:t>
      </w:r>
      <w:r w:rsidR="002C1072" w:rsidRPr="00381A22">
        <w:rPr>
          <w:szCs w:val="24"/>
          <w:lang w:val="en-GB"/>
        </w:rPr>
        <w:t>CK Infrastructure Holdings Ltd</w:t>
      </w:r>
      <w:r w:rsidRPr="00381A22">
        <w:rPr>
          <w:szCs w:val="24"/>
          <w:lang w:val="en-GB"/>
        </w:rPr>
        <w:t xml:space="preserve"> and the Australian Government</w:t>
      </w:r>
      <w:r w:rsidR="00644BA4" w:rsidRPr="00381A22">
        <w:rPr>
          <w:szCs w:val="24"/>
          <w:lang w:val="en-GB"/>
        </w:rPr>
        <w:t>,</w:t>
      </w:r>
      <w:r w:rsidR="002C1072" w:rsidRPr="00381A22">
        <w:rPr>
          <w:szCs w:val="24"/>
          <w:lang w:val="en-GB"/>
        </w:rPr>
        <w:t xml:space="preserve"> with total program funding of $13.6 million over </w:t>
      </w:r>
      <w:r w:rsidR="00CD788F" w:rsidRPr="00381A22">
        <w:rPr>
          <w:szCs w:val="24"/>
          <w:lang w:val="en-GB"/>
        </w:rPr>
        <w:t>12</w:t>
      </w:r>
      <w:r w:rsidR="002C1072" w:rsidRPr="00381A22">
        <w:rPr>
          <w:szCs w:val="24"/>
          <w:lang w:val="en-GB"/>
        </w:rPr>
        <w:t xml:space="preserve"> years from 2019-20</w:t>
      </w:r>
      <w:r w:rsidRPr="00381A22">
        <w:rPr>
          <w:szCs w:val="24"/>
          <w:lang w:val="en-GB"/>
        </w:rPr>
        <w:t>)</w:t>
      </w:r>
      <w:r w:rsidR="00E817E5" w:rsidRPr="00381A22">
        <w:rPr>
          <w:szCs w:val="24"/>
          <w:lang w:val="en-GB"/>
        </w:rPr>
        <w:t>;</w:t>
      </w:r>
    </w:p>
    <w:p w14:paraId="107F9F8C" w14:textId="77777777" w:rsidR="000621F9" w:rsidRPr="00381A22" w:rsidRDefault="000621F9" w:rsidP="000621F9">
      <w:pPr>
        <w:pStyle w:val="ListParagraph"/>
        <w:numPr>
          <w:ilvl w:val="0"/>
          <w:numId w:val="12"/>
        </w:numPr>
        <w:rPr>
          <w:color w:val="auto"/>
          <w:szCs w:val="24"/>
          <w:lang w:val="en-GB"/>
        </w:rPr>
      </w:pPr>
      <w:r w:rsidRPr="00381A22">
        <w:rPr>
          <w:rFonts w:cs="Times New Roman"/>
          <w:color w:val="auto"/>
          <w:szCs w:val="24"/>
        </w:rPr>
        <w:t xml:space="preserve">the delivery of the Reading Writing Hotline, a national advisory and referral service, which links people seeking English language, literacy or numeracy assistance to appropriate training opportunities ($1.9 million over three years from 2020-21);  </w:t>
      </w:r>
    </w:p>
    <w:p w14:paraId="263AE1DE" w14:textId="5A1D34F8" w:rsidR="000621F9" w:rsidRPr="00381A22" w:rsidRDefault="000621F9" w:rsidP="000621F9">
      <w:pPr>
        <w:pStyle w:val="ListParagraph"/>
        <w:numPr>
          <w:ilvl w:val="0"/>
          <w:numId w:val="12"/>
        </w:numPr>
        <w:rPr>
          <w:color w:val="auto"/>
          <w:szCs w:val="24"/>
          <w:lang w:val="en-GB"/>
        </w:rPr>
      </w:pPr>
      <w:proofErr w:type="gramStart"/>
      <w:r w:rsidRPr="00381A22">
        <w:rPr>
          <w:color w:val="auto"/>
          <w:szCs w:val="24"/>
        </w:rPr>
        <w:t>the</w:t>
      </w:r>
      <w:proofErr w:type="gramEnd"/>
      <w:r w:rsidRPr="00381A22">
        <w:rPr>
          <w:color w:val="auto"/>
          <w:szCs w:val="24"/>
        </w:rPr>
        <w:t xml:space="preserve"> delivery of Adult </w:t>
      </w:r>
      <w:r w:rsidRPr="00381A22">
        <w:rPr>
          <w:rFonts w:cs="Times New Roman"/>
          <w:color w:val="auto"/>
          <w:szCs w:val="24"/>
        </w:rPr>
        <w:t>Learners’ Week to raise awareness of adult education and promote participation by adults in further learning ($0.6 million over three years from 2020-21).</w:t>
      </w:r>
    </w:p>
    <w:p w14:paraId="2CF0A57E" w14:textId="7CACAAA1" w:rsidR="00DF680D" w:rsidRPr="00381A22" w:rsidRDefault="00DF680D" w:rsidP="00A668EF">
      <w:pPr>
        <w:pStyle w:val="ListParagraph"/>
        <w:numPr>
          <w:ilvl w:val="0"/>
          <w:numId w:val="12"/>
        </w:numPr>
        <w:rPr>
          <w:szCs w:val="24"/>
          <w:lang w:val="en-GB"/>
        </w:rPr>
      </w:pPr>
      <w:r w:rsidRPr="00381A22">
        <w:rPr>
          <w:szCs w:val="24"/>
          <w:lang w:val="en-GB"/>
        </w:rPr>
        <w:lastRenderedPageBreak/>
        <w:t>the School Leaver</w:t>
      </w:r>
      <w:r w:rsidR="00945D37" w:rsidRPr="00381A22">
        <w:rPr>
          <w:szCs w:val="24"/>
          <w:lang w:val="en-GB"/>
        </w:rPr>
        <w:t xml:space="preserve"> Program, comprising a</w:t>
      </w:r>
      <w:r w:rsidR="00634FAA" w:rsidRPr="00381A22">
        <w:rPr>
          <w:szCs w:val="24"/>
          <w:lang w:val="en-GB"/>
        </w:rPr>
        <w:t xml:space="preserve"> targeted </w:t>
      </w:r>
      <w:r w:rsidR="00945D37" w:rsidRPr="00381A22">
        <w:rPr>
          <w:szCs w:val="24"/>
          <w:lang w:val="en-GB"/>
        </w:rPr>
        <w:t xml:space="preserve">career </w:t>
      </w:r>
      <w:r w:rsidR="00634FAA" w:rsidRPr="00381A22">
        <w:rPr>
          <w:szCs w:val="24"/>
          <w:lang w:val="en-GB"/>
        </w:rPr>
        <w:t>information kit and hotline</w:t>
      </w:r>
      <w:r w:rsidR="00945D37" w:rsidRPr="00381A22">
        <w:rPr>
          <w:szCs w:val="24"/>
          <w:lang w:val="en-GB"/>
        </w:rPr>
        <w:t>,</w:t>
      </w:r>
      <w:r w:rsidR="009C56A6" w:rsidRPr="00381A22">
        <w:rPr>
          <w:szCs w:val="24"/>
          <w:lang w:val="en-GB"/>
        </w:rPr>
        <w:t xml:space="preserve"> to be delivered by the National Careers Institute</w:t>
      </w:r>
      <w:r w:rsidR="00634FAA" w:rsidRPr="00381A22">
        <w:rPr>
          <w:szCs w:val="24"/>
          <w:lang w:val="en-GB"/>
        </w:rPr>
        <w:t xml:space="preserve"> </w:t>
      </w:r>
      <w:r w:rsidR="009C56A6" w:rsidRPr="00381A22">
        <w:rPr>
          <w:szCs w:val="24"/>
          <w:lang w:val="en-GB"/>
        </w:rPr>
        <w:t>which will</w:t>
      </w:r>
      <w:r w:rsidR="00634FAA" w:rsidRPr="00381A22">
        <w:rPr>
          <w:szCs w:val="24"/>
          <w:lang w:val="en-GB"/>
        </w:rPr>
        <w:t xml:space="preserve"> provide information, advice and referral services to support school leavers</w:t>
      </w:r>
      <w:r w:rsidR="00945D37" w:rsidRPr="00381A22">
        <w:rPr>
          <w:szCs w:val="24"/>
          <w:lang w:val="en-GB"/>
        </w:rPr>
        <w:t xml:space="preserve"> in 2020 and 2021, who will be disproportionately affected by the COVID-19 pandemic,</w:t>
      </w:r>
      <w:r w:rsidR="00634FAA" w:rsidRPr="00381A22">
        <w:rPr>
          <w:szCs w:val="24"/>
          <w:lang w:val="en-GB"/>
        </w:rPr>
        <w:t xml:space="preserve"> to make informed decisions about their career or transition to further learning or employment ($0.9 million in 2020-21);</w:t>
      </w:r>
      <w:r w:rsidR="00525929" w:rsidRPr="00381A22">
        <w:rPr>
          <w:szCs w:val="24"/>
          <w:lang w:val="en-GB"/>
        </w:rPr>
        <w:t xml:space="preserve"> and</w:t>
      </w:r>
    </w:p>
    <w:p w14:paraId="071AE2FE" w14:textId="25387A1D" w:rsidR="00525929" w:rsidRPr="00381A22" w:rsidRDefault="00525929" w:rsidP="00A668EF">
      <w:pPr>
        <w:pStyle w:val="ListParagraph"/>
        <w:numPr>
          <w:ilvl w:val="0"/>
          <w:numId w:val="12"/>
        </w:numPr>
        <w:rPr>
          <w:szCs w:val="24"/>
          <w:lang w:val="en-GB"/>
        </w:rPr>
      </w:pPr>
      <w:r w:rsidRPr="00381A22">
        <w:rPr>
          <w:szCs w:val="24"/>
          <w:lang w:val="en-GB"/>
        </w:rPr>
        <w:t xml:space="preserve">the Local Jobs – COVID-19 Recovery Pilot, which will support local organisations and stakeholders to develop and implement tailored approaches to accelerate reskilling, upskilling and employment of job seekers in </w:t>
      </w:r>
      <w:r w:rsidR="00897E20" w:rsidRPr="00381A22">
        <w:rPr>
          <w:szCs w:val="24"/>
          <w:lang w:val="en-GB"/>
        </w:rPr>
        <w:t xml:space="preserve">selected </w:t>
      </w:r>
      <w:r w:rsidRPr="00381A22">
        <w:rPr>
          <w:szCs w:val="24"/>
          <w:lang w:val="en-GB"/>
        </w:rPr>
        <w:t>Employment Regions through the engagement of Employment Facilitators and the establishment of Local Jobs and Skills Taskforces ($5</w:t>
      </w:r>
      <w:r w:rsidR="003E1B34" w:rsidRPr="00381A22">
        <w:rPr>
          <w:szCs w:val="24"/>
          <w:lang w:val="en-GB"/>
        </w:rPr>
        <w:t>6.7</w:t>
      </w:r>
      <w:r w:rsidRPr="00381A22">
        <w:rPr>
          <w:szCs w:val="24"/>
          <w:lang w:val="en-GB"/>
        </w:rPr>
        <w:t xml:space="preserve"> million over two years from 2020-21).</w:t>
      </w:r>
    </w:p>
    <w:p w14:paraId="0D2597B3" w14:textId="77777777" w:rsidR="00A668EF" w:rsidRPr="00381A22" w:rsidRDefault="00A668EF" w:rsidP="00A668EF">
      <w:pPr>
        <w:rPr>
          <w:rFonts w:ascii="Times New Roman" w:hAnsi="Times New Roman"/>
          <w:sz w:val="24"/>
          <w:szCs w:val="24"/>
        </w:rPr>
      </w:pPr>
    </w:p>
    <w:p w14:paraId="2F18EDCD" w14:textId="2A775F5A" w:rsidR="00945D37" w:rsidRPr="00381A22" w:rsidRDefault="00945D37" w:rsidP="00A668EF">
      <w:pPr>
        <w:pStyle w:val="ParaNumbering"/>
        <w:tabs>
          <w:tab w:val="clear" w:pos="360"/>
          <w:tab w:val="clear" w:pos="567"/>
        </w:tabs>
        <w:spacing w:after="0" w:line="240" w:lineRule="auto"/>
        <w:contextualSpacing/>
        <w:rPr>
          <w:color w:val="000000" w:themeColor="text1"/>
          <w:szCs w:val="24"/>
        </w:rPr>
      </w:pPr>
      <w:r w:rsidRPr="00381A22">
        <w:rPr>
          <w:color w:val="000000" w:themeColor="text1"/>
          <w:szCs w:val="24"/>
        </w:rPr>
        <w:t>The School Leaver Program and the Local Jobs – COVID-19 Recovery Pilot are part of the Government’s economic response to the COVID-19 pandemic. It is appropriate to include these programs in the Principal Regulations as government spending on them will be time limited and not recurrent, and has a limited purpose and clear expenditure criteria, such as eligibility.</w:t>
      </w:r>
    </w:p>
    <w:p w14:paraId="0C2900A0" w14:textId="77777777" w:rsidR="00945D37" w:rsidRPr="00381A22" w:rsidRDefault="00945D37" w:rsidP="00A668EF">
      <w:pPr>
        <w:pStyle w:val="ParaNumbering"/>
        <w:tabs>
          <w:tab w:val="clear" w:pos="360"/>
          <w:tab w:val="clear" w:pos="567"/>
        </w:tabs>
        <w:spacing w:after="0" w:line="240" w:lineRule="auto"/>
        <w:contextualSpacing/>
        <w:rPr>
          <w:color w:val="000000" w:themeColor="text1"/>
          <w:szCs w:val="24"/>
        </w:rPr>
      </w:pPr>
    </w:p>
    <w:p w14:paraId="76395463" w14:textId="5211B3BB" w:rsidR="00A668EF" w:rsidRPr="00381A22" w:rsidRDefault="00A668EF" w:rsidP="00A668EF">
      <w:pPr>
        <w:pStyle w:val="ParaNumbering"/>
        <w:tabs>
          <w:tab w:val="clear" w:pos="360"/>
          <w:tab w:val="clear" w:pos="567"/>
        </w:tabs>
        <w:spacing w:after="0" w:line="240" w:lineRule="auto"/>
        <w:contextualSpacing/>
        <w:rPr>
          <w:bCs/>
          <w:color w:val="000000" w:themeColor="text1"/>
          <w:szCs w:val="24"/>
        </w:rPr>
      </w:pPr>
      <w:r w:rsidRPr="00381A22">
        <w:rPr>
          <w:color w:val="000000" w:themeColor="text1"/>
          <w:szCs w:val="24"/>
        </w:rPr>
        <w:t xml:space="preserve">Details of the Regulations are set out at </w:t>
      </w:r>
      <w:r w:rsidRPr="00381A22">
        <w:rPr>
          <w:color w:val="000000" w:themeColor="text1"/>
          <w:szCs w:val="24"/>
          <w:u w:val="single"/>
        </w:rPr>
        <w:t>Attachment A</w:t>
      </w:r>
      <w:r w:rsidRPr="00381A22">
        <w:rPr>
          <w:color w:val="000000" w:themeColor="text1"/>
          <w:szCs w:val="24"/>
        </w:rPr>
        <w:t xml:space="preserve">. A </w:t>
      </w:r>
      <w:r w:rsidRPr="00381A22">
        <w:rPr>
          <w:bCs/>
          <w:color w:val="000000" w:themeColor="text1"/>
          <w:szCs w:val="24"/>
        </w:rPr>
        <w:t xml:space="preserve">Statement of Compatibility with Human Rights is at </w:t>
      </w:r>
      <w:r w:rsidRPr="00381A22">
        <w:rPr>
          <w:bCs/>
          <w:color w:val="000000" w:themeColor="text1"/>
          <w:szCs w:val="24"/>
          <w:u w:val="single"/>
        </w:rPr>
        <w:t>Attachment B</w:t>
      </w:r>
      <w:r w:rsidRPr="00381A22">
        <w:rPr>
          <w:bCs/>
          <w:color w:val="000000" w:themeColor="text1"/>
          <w:szCs w:val="24"/>
        </w:rPr>
        <w:t xml:space="preserve">. </w:t>
      </w:r>
    </w:p>
    <w:p w14:paraId="10675A2C" w14:textId="77777777" w:rsidR="00A668EF" w:rsidRPr="00381A22" w:rsidRDefault="00A668EF" w:rsidP="00A668EF">
      <w:pPr>
        <w:pStyle w:val="ParaNumbering"/>
        <w:tabs>
          <w:tab w:val="clear" w:pos="360"/>
          <w:tab w:val="clear" w:pos="567"/>
        </w:tabs>
        <w:spacing w:after="120" w:line="240" w:lineRule="auto"/>
        <w:contextualSpacing/>
        <w:rPr>
          <w:bCs/>
          <w:color w:val="000000" w:themeColor="text1"/>
          <w:szCs w:val="24"/>
        </w:rPr>
      </w:pPr>
    </w:p>
    <w:p w14:paraId="67FAF55E" w14:textId="77777777" w:rsidR="00A668EF" w:rsidRPr="00381A22" w:rsidRDefault="00A668EF" w:rsidP="00A668EF">
      <w:pPr>
        <w:pStyle w:val="ParaNumbering"/>
        <w:tabs>
          <w:tab w:val="clear" w:pos="360"/>
          <w:tab w:val="clear" w:pos="567"/>
        </w:tabs>
        <w:spacing w:after="0" w:line="240" w:lineRule="auto"/>
        <w:contextualSpacing/>
        <w:rPr>
          <w:color w:val="000000" w:themeColor="text1"/>
          <w:szCs w:val="24"/>
        </w:rPr>
      </w:pPr>
      <w:r w:rsidRPr="00381A22">
        <w:rPr>
          <w:color w:val="000000" w:themeColor="text1"/>
          <w:szCs w:val="24"/>
        </w:rPr>
        <w:t>The Regulations are a legislative instrument for the purposes of the</w:t>
      </w:r>
      <w:r w:rsidRPr="00381A22">
        <w:rPr>
          <w:i/>
          <w:color w:val="000000" w:themeColor="text1"/>
          <w:szCs w:val="24"/>
        </w:rPr>
        <w:t xml:space="preserve"> Legislation Act 2003. </w:t>
      </w:r>
      <w:r w:rsidRPr="00381A22">
        <w:rPr>
          <w:color w:val="000000" w:themeColor="text1"/>
          <w:szCs w:val="24"/>
        </w:rPr>
        <w:t xml:space="preserve">The Regulations commence on the day after the instrument </w:t>
      </w:r>
      <w:proofErr w:type="gramStart"/>
      <w:r w:rsidRPr="00381A22">
        <w:rPr>
          <w:color w:val="000000" w:themeColor="text1"/>
          <w:szCs w:val="24"/>
        </w:rPr>
        <w:t>is registered</w:t>
      </w:r>
      <w:proofErr w:type="gramEnd"/>
      <w:r w:rsidRPr="00381A22">
        <w:rPr>
          <w:color w:val="000000" w:themeColor="text1"/>
          <w:szCs w:val="24"/>
        </w:rPr>
        <w:t xml:space="preserve"> on the Federal Register of Legislation. </w:t>
      </w:r>
    </w:p>
    <w:p w14:paraId="21A3F782" w14:textId="77777777" w:rsidR="00A668EF" w:rsidRPr="00381A22" w:rsidRDefault="00A668EF" w:rsidP="00A668EF">
      <w:pPr>
        <w:spacing w:after="120"/>
        <w:contextualSpacing/>
        <w:rPr>
          <w:rFonts w:ascii="Times New Roman" w:hAnsi="Times New Roman"/>
          <w:b/>
          <w:bCs/>
          <w:sz w:val="24"/>
          <w:szCs w:val="24"/>
        </w:rPr>
      </w:pPr>
    </w:p>
    <w:p w14:paraId="2A5B0055" w14:textId="77777777" w:rsidR="00A668EF" w:rsidRPr="00381A22" w:rsidRDefault="00A668EF" w:rsidP="00A668EF">
      <w:pPr>
        <w:spacing w:after="200" w:line="276" w:lineRule="auto"/>
        <w:rPr>
          <w:rFonts w:ascii="Times New Roman" w:hAnsi="Times New Roman"/>
          <w:b/>
          <w:bCs/>
          <w:sz w:val="24"/>
          <w:szCs w:val="24"/>
        </w:rPr>
      </w:pPr>
      <w:r w:rsidRPr="00381A22">
        <w:rPr>
          <w:rFonts w:ascii="Times New Roman" w:hAnsi="Times New Roman"/>
          <w:b/>
          <w:bCs/>
          <w:sz w:val="24"/>
          <w:szCs w:val="24"/>
        </w:rPr>
        <w:t>Consultation</w:t>
      </w:r>
    </w:p>
    <w:p w14:paraId="00288903" w14:textId="77777777" w:rsidR="00A668EF" w:rsidRPr="00381A22" w:rsidRDefault="00A668EF" w:rsidP="00A668EF">
      <w:pPr>
        <w:contextualSpacing/>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In accordance with section 17 of the </w:t>
      </w:r>
      <w:r w:rsidRPr="00381A22">
        <w:rPr>
          <w:rFonts w:ascii="Times New Roman" w:hAnsi="Times New Roman"/>
          <w:i/>
          <w:iCs/>
          <w:color w:val="000000" w:themeColor="text1"/>
          <w:sz w:val="24"/>
          <w:szCs w:val="24"/>
        </w:rPr>
        <w:t>Legislation Act 2003</w:t>
      </w:r>
      <w:r w:rsidRPr="00381A22">
        <w:rPr>
          <w:rFonts w:ascii="Times New Roman" w:hAnsi="Times New Roman"/>
          <w:color w:val="000000" w:themeColor="text1"/>
          <w:sz w:val="24"/>
          <w:szCs w:val="24"/>
        </w:rPr>
        <w:t xml:space="preserve">, consultation has taken place with the Department of </w:t>
      </w:r>
      <w:r w:rsidRPr="00381A22">
        <w:rPr>
          <w:rFonts w:ascii="Times New Roman" w:hAnsi="Times New Roman"/>
          <w:sz w:val="24"/>
          <w:szCs w:val="24"/>
        </w:rPr>
        <w:t>Education, Skills and Employment</w:t>
      </w:r>
      <w:r w:rsidRPr="00381A22">
        <w:rPr>
          <w:rFonts w:ascii="Times New Roman" w:hAnsi="Times New Roman"/>
          <w:color w:val="000000" w:themeColor="text1"/>
          <w:sz w:val="24"/>
          <w:szCs w:val="24"/>
        </w:rPr>
        <w:t>.</w:t>
      </w:r>
    </w:p>
    <w:p w14:paraId="2E1CDA2F" w14:textId="77777777" w:rsidR="00A668EF" w:rsidRPr="00381A22" w:rsidRDefault="00A668EF" w:rsidP="00A668EF">
      <w:pPr>
        <w:contextualSpacing/>
        <w:rPr>
          <w:rFonts w:ascii="Times New Roman" w:hAnsi="Times New Roman"/>
          <w:color w:val="000000" w:themeColor="text1"/>
          <w:sz w:val="24"/>
          <w:szCs w:val="24"/>
        </w:rPr>
      </w:pPr>
    </w:p>
    <w:p w14:paraId="23EB095B" w14:textId="77777777" w:rsidR="00A668EF" w:rsidRPr="00381A22" w:rsidRDefault="00A668EF" w:rsidP="00A668EF">
      <w:pPr>
        <w:spacing w:after="120"/>
        <w:contextualSpacing/>
        <w:rPr>
          <w:rFonts w:ascii="Times New Roman" w:hAnsi="Times New Roman"/>
          <w:iCs/>
          <w:sz w:val="24"/>
          <w:szCs w:val="24"/>
        </w:rPr>
      </w:pPr>
      <w:r w:rsidRPr="00381A22">
        <w:rPr>
          <w:rFonts w:ascii="Times New Roman" w:hAnsi="Times New Roman"/>
          <w:iCs/>
          <w:sz w:val="24"/>
          <w:szCs w:val="24"/>
        </w:rPr>
        <w:t>A regulation impact statement is not required as the Regulations only apply to non</w:t>
      </w:r>
      <w:r w:rsidRPr="00381A22">
        <w:rPr>
          <w:rFonts w:ascii="Times New Roman" w:hAnsi="Times New Roman"/>
          <w:iCs/>
          <w:sz w:val="24"/>
          <w:szCs w:val="24"/>
        </w:rPr>
        <w:noBreakHyphen/>
        <w:t xml:space="preserve">corporate Commonwealth entities and do not adversely affect the private sector. </w:t>
      </w:r>
    </w:p>
    <w:p w14:paraId="4E72AF0D" w14:textId="3952CD74" w:rsidR="00B044BA" w:rsidRPr="00381A22" w:rsidRDefault="00A668EF" w:rsidP="00A668EF">
      <w:pPr>
        <w:spacing w:after="160" w:line="259" w:lineRule="auto"/>
        <w:rPr>
          <w:rFonts w:ascii="Times New Roman" w:hAnsi="Times New Roman"/>
          <w:iCs/>
          <w:sz w:val="24"/>
          <w:szCs w:val="24"/>
        </w:rPr>
      </w:pPr>
      <w:r w:rsidRPr="00381A22">
        <w:rPr>
          <w:rFonts w:ascii="Times New Roman" w:hAnsi="Times New Roman"/>
          <w:iCs/>
          <w:sz w:val="24"/>
          <w:szCs w:val="24"/>
        </w:rPr>
        <w:br w:type="page"/>
      </w:r>
    </w:p>
    <w:p w14:paraId="20B25F57" w14:textId="05D997D9" w:rsidR="006818C0" w:rsidRPr="00381A22" w:rsidRDefault="006818C0" w:rsidP="006818C0">
      <w:pPr>
        <w:spacing w:after="120"/>
        <w:contextualSpacing/>
        <w:rPr>
          <w:rFonts w:ascii="Times New Roman" w:hAnsi="Times New Roman"/>
          <w:color w:val="000000" w:themeColor="text1"/>
          <w:sz w:val="24"/>
          <w:szCs w:val="24"/>
        </w:rPr>
        <w:sectPr w:rsidR="006818C0" w:rsidRPr="00381A22" w:rsidSect="004D676F">
          <w:headerReference w:type="default" r:id="rId11"/>
          <w:headerReference w:type="first" r:id="rId12"/>
          <w:pgSz w:w="11906" w:h="16838"/>
          <w:pgMar w:top="1418" w:right="1440" w:bottom="1332" w:left="1440" w:header="709" w:footer="709" w:gutter="0"/>
          <w:pgNumType w:start="1"/>
          <w:cols w:space="708"/>
          <w:titlePg/>
          <w:docGrid w:linePitch="360"/>
        </w:sectPr>
      </w:pPr>
    </w:p>
    <w:p w14:paraId="47A0F082" w14:textId="58ED990B" w:rsidR="00AC5AD9" w:rsidRPr="00381A22" w:rsidRDefault="00AC5AD9" w:rsidP="00AC5AD9">
      <w:pPr>
        <w:spacing w:after="120"/>
        <w:contextualSpacing/>
        <w:rPr>
          <w:rFonts w:ascii="Times New Roman" w:hAnsi="Times New Roman"/>
          <w:b/>
          <w:bCs/>
          <w:i/>
          <w:color w:val="000000" w:themeColor="text1"/>
          <w:sz w:val="24"/>
          <w:szCs w:val="24"/>
          <w:u w:val="single"/>
        </w:rPr>
      </w:pPr>
      <w:r w:rsidRPr="00381A22">
        <w:rPr>
          <w:rFonts w:ascii="Times New Roman" w:hAnsi="Times New Roman"/>
          <w:b/>
          <w:bCs/>
          <w:color w:val="000000" w:themeColor="text1"/>
          <w:sz w:val="24"/>
          <w:szCs w:val="24"/>
          <w:u w:val="single"/>
        </w:rPr>
        <w:lastRenderedPageBreak/>
        <w:t xml:space="preserve">Details of the </w:t>
      </w:r>
      <w:r w:rsidRPr="00381A22">
        <w:rPr>
          <w:rFonts w:ascii="Times New Roman" w:hAnsi="Times New Roman"/>
          <w:b/>
          <w:bCs/>
          <w:i/>
          <w:color w:val="000000" w:themeColor="text1"/>
          <w:sz w:val="24"/>
          <w:szCs w:val="24"/>
          <w:u w:val="single"/>
        </w:rPr>
        <w:t xml:space="preserve">Financial Framework (Supplementary Powers) Amendment </w:t>
      </w:r>
      <w:r w:rsidRPr="00381A22">
        <w:rPr>
          <w:rFonts w:ascii="Times New Roman" w:hAnsi="Times New Roman"/>
          <w:b/>
          <w:bCs/>
          <w:i/>
          <w:color w:val="000000" w:themeColor="text1"/>
          <w:sz w:val="24"/>
          <w:szCs w:val="24"/>
          <w:u w:val="single"/>
        </w:rPr>
        <w:br/>
        <w:t xml:space="preserve">(Education, Skills and Employment Measures </w:t>
      </w:r>
      <w:r w:rsidR="00603DE4" w:rsidRPr="00381A22">
        <w:rPr>
          <w:rFonts w:ascii="Times New Roman" w:hAnsi="Times New Roman"/>
          <w:b/>
          <w:bCs/>
          <w:i/>
          <w:color w:val="000000" w:themeColor="text1"/>
          <w:sz w:val="24"/>
          <w:szCs w:val="24"/>
          <w:u w:val="single"/>
        </w:rPr>
        <w:t>No. 4</w:t>
      </w:r>
      <w:r w:rsidRPr="00381A22">
        <w:rPr>
          <w:rFonts w:ascii="Times New Roman" w:hAnsi="Times New Roman"/>
          <w:b/>
          <w:bCs/>
          <w:i/>
          <w:color w:val="000000" w:themeColor="text1"/>
          <w:sz w:val="24"/>
          <w:szCs w:val="24"/>
          <w:u w:val="single"/>
        </w:rPr>
        <w:t>) Regulations 2020</w:t>
      </w:r>
    </w:p>
    <w:p w14:paraId="04378166" w14:textId="77777777" w:rsidR="00AC5AD9" w:rsidRPr="00381A22" w:rsidRDefault="00AC5AD9" w:rsidP="00AC5AD9">
      <w:pPr>
        <w:spacing w:after="120"/>
        <w:contextualSpacing/>
        <w:rPr>
          <w:rFonts w:ascii="Times New Roman" w:hAnsi="Times New Roman"/>
          <w:color w:val="000000" w:themeColor="text1"/>
          <w:sz w:val="24"/>
          <w:szCs w:val="24"/>
          <w:u w:val="single"/>
        </w:rPr>
      </w:pPr>
    </w:p>
    <w:p w14:paraId="606BD52F" w14:textId="77777777" w:rsidR="00AC5AD9" w:rsidRPr="00381A22" w:rsidRDefault="00AC5AD9" w:rsidP="00AC5AD9">
      <w:pPr>
        <w:spacing w:after="120"/>
        <w:contextualSpacing/>
        <w:rPr>
          <w:rFonts w:ascii="Times New Roman" w:hAnsi="Times New Roman"/>
          <w:b/>
          <w:color w:val="000000" w:themeColor="text1"/>
          <w:sz w:val="24"/>
          <w:szCs w:val="24"/>
        </w:rPr>
      </w:pPr>
      <w:r w:rsidRPr="00381A22">
        <w:rPr>
          <w:rFonts w:ascii="Times New Roman" w:hAnsi="Times New Roman"/>
          <w:b/>
          <w:color w:val="000000" w:themeColor="text1"/>
          <w:sz w:val="24"/>
          <w:szCs w:val="24"/>
        </w:rPr>
        <w:t xml:space="preserve">Section 1 – Name </w:t>
      </w:r>
    </w:p>
    <w:p w14:paraId="23DE4F95" w14:textId="77777777" w:rsidR="00AC5AD9" w:rsidRPr="00381A22" w:rsidRDefault="00AC5AD9" w:rsidP="00AC5AD9">
      <w:pPr>
        <w:spacing w:after="120"/>
        <w:contextualSpacing/>
        <w:rPr>
          <w:rFonts w:ascii="Times New Roman" w:hAnsi="Times New Roman"/>
          <w:color w:val="000000" w:themeColor="text1"/>
          <w:sz w:val="24"/>
          <w:szCs w:val="24"/>
        </w:rPr>
      </w:pPr>
    </w:p>
    <w:p w14:paraId="229FC300" w14:textId="5FD10EEB" w:rsidR="00AC5AD9" w:rsidRPr="00381A22" w:rsidRDefault="00AC5AD9" w:rsidP="00AC5AD9">
      <w:pPr>
        <w:spacing w:after="120"/>
        <w:contextualSpacing/>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This section provides that the title of the Regulations </w:t>
      </w:r>
      <w:r w:rsidRPr="00381A22">
        <w:rPr>
          <w:rFonts w:ascii="Times New Roman" w:hAnsi="Times New Roman"/>
          <w:sz w:val="24"/>
          <w:szCs w:val="24"/>
        </w:rPr>
        <w:t>is</w:t>
      </w:r>
      <w:r w:rsidRPr="00381A22">
        <w:rPr>
          <w:rFonts w:ascii="Times New Roman" w:hAnsi="Times New Roman"/>
          <w:color w:val="000000" w:themeColor="text1"/>
          <w:sz w:val="24"/>
          <w:szCs w:val="24"/>
        </w:rPr>
        <w:t xml:space="preserve"> the </w:t>
      </w:r>
      <w:r w:rsidRPr="00381A22">
        <w:rPr>
          <w:rFonts w:ascii="Times New Roman" w:hAnsi="Times New Roman"/>
          <w:bCs/>
          <w:i/>
          <w:sz w:val="24"/>
          <w:szCs w:val="24"/>
        </w:rPr>
        <w:t xml:space="preserve">Financial Framework (Supplementary Powers) Amendment (Education, Skills and Employment Measures </w:t>
      </w:r>
      <w:r w:rsidR="00603DE4" w:rsidRPr="00381A22">
        <w:rPr>
          <w:rFonts w:ascii="Times New Roman" w:hAnsi="Times New Roman"/>
          <w:bCs/>
          <w:i/>
          <w:sz w:val="24"/>
          <w:szCs w:val="24"/>
        </w:rPr>
        <w:t>No. 4</w:t>
      </w:r>
      <w:r w:rsidRPr="00381A22">
        <w:rPr>
          <w:rFonts w:ascii="Times New Roman" w:hAnsi="Times New Roman"/>
          <w:bCs/>
          <w:i/>
          <w:sz w:val="24"/>
          <w:szCs w:val="24"/>
        </w:rPr>
        <w:t>) Regulations 2020</w:t>
      </w:r>
      <w:r w:rsidRPr="00381A22">
        <w:rPr>
          <w:rFonts w:ascii="Times New Roman" w:hAnsi="Times New Roman"/>
          <w:bCs/>
          <w:sz w:val="24"/>
          <w:szCs w:val="24"/>
        </w:rPr>
        <w:t>.</w:t>
      </w:r>
    </w:p>
    <w:p w14:paraId="66088F7E" w14:textId="77777777" w:rsidR="00AC5AD9" w:rsidRPr="00381A22" w:rsidRDefault="00AC5AD9" w:rsidP="00AC5AD9">
      <w:pPr>
        <w:spacing w:after="120"/>
        <w:contextualSpacing/>
        <w:rPr>
          <w:rFonts w:ascii="Times New Roman" w:hAnsi="Times New Roman"/>
          <w:color w:val="000000" w:themeColor="text1"/>
          <w:sz w:val="24"/>
          <w:szCs w:val="24"/>
        </w:rPr>
      </w:pPr>
    </w:p>
    <w:p w14:paraId="7175D353" w14:textId="77777777" w:rsidR="00AC5AD9" w:rsidRPr="00381A22" w:rsidRDefault="00AC5AD9" w:rsidP="00AC5AD9">
      <w:pPr>
        <w:spacing w:after="120"/>
        <w:contextualSpacing/>
        <w:rPr>
          <w:rFonts w:ascii="Times New Roman" w:hAnsi="Times New Roman"/>
          <w:b/>
          <w:color w:val="000000" w:themeColor="text1"/>
          <w:sz w:val="24"/>
          <w:szCs w:val="24"/>
        </w:rPr>
      </w:pPr>
      <w:r w:rsidRPr="00381A22">
        <w:rPr>
          <w:rFonts w:ascii="Times New Roman" w:hAnsi="Times New Roman"/>
          <w:b/>
          <w:color w:val="000000" w:themeColor="text1"/>
          <w:sz w:val="24"/>
          <w:szCs w:val="24"/>
        </w:rPr>
        <w:t xml:space="preserve">Section 2 – Commencement </w:t>
      </w:r>
    </w:p>
    <w:p w14:paraId="50390F56" w14:textId="77777777" w:rsidR="00AC5AD9" w:rsidRPr="00381A22" w:rsidRDefault="00AC5AD9" w:rsidP="00AC5AD9">
      <w:pPr>
        <w:spacing w:after="120"/>
        <w:contextualSpacing/>
        <w:rPr>
          <w:rFonts w:ascii="Times New Roman" w:hAnsi="Times New Roman"/>
          <w:color w:val="000000" w:themeColor="text1"/>
          <w:sz w:val="24"/>
          <w:szCs w:val="24"/>
        </w:rPr>
      </w:pPr>
    </w:p>
    <w:p w14:paraId="380E3D92" w14:textId="77777777" w:rsidR="00AC5AD9" w:rsidRPr="00381A22" w:rsidRDefault="00AC5AD9" w:rsidP="00AC5AD9">
      <w:pPr>
        <w:spacing w:after="120"/>
        <w:contextualSpacing/>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This section provides that the Regulations commence on the day after the instrument </w:t>
      </w:r>
      <w:proofErr w:type="gramStart"/>
      <w:r w:rsidRPr="00381A22">
        <w:rPr>
          <w:rFonts w:ascii="Times New Roman" w:hAnsi="Times New Roman"/>
          <w:color w:val="000000" w:themeColor="text1"/>
          <w:sz w:val="24"/>
          <w:szCs w:val="24"/>
        </w:rPr>
        <w:t>is registered</w:t>
      </w:r>
      <w:proofErr w:type="gramEnd"/>
      <w:r w:rsidRPr="00381A22">
        <w:rPr>
          <w:rFonts w:ascii="Times New Roman" w:hAnsi="Times New Roman"/>
          <w:color w:val="000000" w:themeColor="text1"/>
          <w:sz w:val="24"/>
          <w:szCs w:val="24"/>
        </w:rPr>
        <w:t xml:space="preserve"> on the Federal Register of Legislation. </w:t>
      </w:r>
    </w:p>
    <w:p w14:paraId="155CD006" w14:textId="77777777" w:rsidR="00AC5AD9" w:rsidRPr="00381A22" w:rsidRDefault="00AC5AD9" w:rsidP="00AC5AD9">
      <w:pPr>
        <w:spacing w:after="120"/>
        <w:contextualSpacing/>
        <w:rPr>
          <w:rFonts w:ascii="Times New Roman" w:hAnsi="Times New Roman"/>
          <w:color w:val="000000" w:themeColor="text1"/>
          <w:sz w:val="24"/>
          <w:szCs w:val="24"/>
        </w:rPr>
      </w:pPr>
    </w:p>
    <w:p w14:paraId="24A542AF" w14:textId="77777777" w:rsidR="00AC5AD9" w:rsidRPr="00381A22" w:rsidRDefault="00AC5AD9" w:rsidP="00AC5AD9">
      <w:pPr>
        <w:spacing w:after="120"/>
        <w:contextualSpacing/>
        <w:rPr>
          <w:rFonts w:ascii="Times New Roman" w:hAnsi="Times New Roman"/>
          <w:b/>
          <w:i/>
          <w:color w:val="000000" w:themeColor="text1"/>
          <w:sz w:val="24"/>
          <w:szCs w:val="24"/>
        </w:rPr>
      </w:pPr>
      <w:r w:rsidRPr="00381A22">
        <w:rPr>
          <w:rFonts w:ascii="Times New Roman" w:hAnsi="Times New Roman"/>
          <w:b/>
          <w:color w:val="000000" w:themeColor="text1"/>
          <w:sz w:val="24"/>
          <w:szCs w:val="24"/>
        </w:rPr>
        <w:t>Section 3 – Authority</w:t>
      </w:r>
      <w:r w:rsidRPr="00381A22">
        <w:rPr>
          <w:rFonts w:ascii="Times New Roman" w:hAnsi="Times New Roman"/>
          <w:b/>
          <w:i/>
          <w:color w:val="000000" w:themeColor="text1"/>
          <w:sz w:val="24"/>
          <w:szCs w:val="24"/>
        </w:rPr>
        <w:t xml:space="preserve"> </w:t>
      </w:r>
    </w:p>
    <w:p w14:paraId="72FBF881" w14:textId="77777777" w:rsidR="00AC5AD9" w:rsidRPr="00381A22" w:rsidRDefault="00AC5AD9" w:rsidP="00AC5AD9">
      <w:pPr>
        <w:spacing w:after="120"/>
        <w:contextualSpacing/>
        <w:rPr>
          <w:rFonts w:ascii="Times New Roman" w:hAnsi="Times New Roman"/>
          <w:color w:val="000000" w:themeColor="text1"/>
          <w:sz w:val="24"/>
          <w:szCs w:val="24"/>
        </w:rPr>
      </w:pPr>
    </w:p>
    <w:p w14:paraId="47797143" w14:textId="77777777" w:rsidR="00AC5AD9" w:rsidRPr="00381A22" w:rsidRDefault="00AC5AD9" w:rsidP="00AC5AD9">
      <w:pPr>
        <w:spacing w:after="120"/>
        <w:contextualSpacing/>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This section provides that the Regulations </w:t>
      </w:r>
      <w:proofErr w:type="gramStart"/>
      <w:r w:rsidRPr="00381A22">
        <w:rPr>
          <w:rFonts w:ascii="Times New Roman" w:hAnsi="Times New Roman"/>
          <w:color w:val="000000" w:themeColor="text1"/>
          <w:sz w:val="24"/>
          <w:szCs w:val="24"/>
        </w:rPr>
        <w:t>are</w:t>
      </w:r>
      <w:proofErr w:type="gramEnd"/>
      <w:r w:rsidRPr="00381A22">
        <w:rPr>
          <w:rFonts w:ascii="Times New Roman" w:hAnsi="Times New Roman"/>
          <w:color w:val="000000" w:themeColor="text1"/>
          <w:sz w:val="24"/>
          <w:szCs w:val="24"/>
        </w:rPr>
        <w:t xml:space="preserve"> made under the </w:t>
      </w:r>
      <w:r w:rsidRPr="00381A22">
        <w:rPr>
          <w:rFonts w:ascii="Times New Roman" w:hAnsi="Times New Roman"/>
          <w:i/>
          <w:color w:val="000000" w:themeColor="text1"/>
          <w:sz w:val="24"/>
          <w:szCs w:val="24"/>
        </w:rPr>
        <w:t xml:space="preserve">Financial </w:t>
      </w:r>
      <w:r w:rsidRPr="00381A22">
        <w:rPr>
          <w:rFonts w:ascii="Times New Roman" w:hAnsi="Times New Roman"/>
          <w:bCs/>
          <w:i/>
          <w:sz w:val="24"/>
          <w:szCs w:val="24"/>
        </w:rPr>
        <w:t xml:space="preserve">Framework (Supplementary Powers) </w:t>
      </w:r>
      <w:r w:rsidRPr="00381A22">
        <w:rPr>
          <w:rFonts w:ascii="Times New Roman" w:hAnsi="Times New Roman"/>
          <w:i/>
          <w:color w:val="000000" w:themeColor="text1"/>
          <w:sz w:val="24"/>
          <w:szCs w:val="24"/>
        </w:rPr>
        <w:t>Act 1997</w:t>
      </w:r>
      <w:r w:rsidRPr="00381A22">
        <w:rPr>
          <w:rFonts w:ascii="Times New Roman" w:hAnsi="Times New Roman"/>
          <w:color w:val="000000" w:themeColor="text1"/>
          <w:sz w:val="24"/>
          <w:szCs w:val="24"/>
        </w:rPr>
        <w:t>.</w:t>
      </w:r>
    </w:p>
    <w:p w14:paraId="18FAEFAF" w14:textId="77777777" w:rsidR="00AC5AD9" w:rsidRPr="00381A22" w:rsidRDefault="00AC5AD9" w:rsidP="00AC5AD9">
      <w:pPr>
        <w:spacing w:after="120"/>
        <w:contextualSpacing/>
        <w:rPr>
          <w:rFonts w:ascii="Times New Roman" w:hAnsi="Times New Roman"/>
          <w:color w:val="000000" w:themeColor="text1"/>
          <w:sz w:val="24"/>
          <w:szCs w:val="24"/>
        </w:rPr>
      </w:pPr>
    </w:p>
    <w:p w14:paraId="6DC9C5F8" w14:textId="77777777" w:rsidR="00AC5AD9" w:rsidRPr="00381A22" w:rsidRDefault="00AC5AD9" w:rsidP="00AC5AD9">
      <w:pPr>
        <w:spacing w:after="120"/>
        <w:contextualSpacing/>
        <w:rPr>
          <w:rFonts w:ascii="Times New Roman" w:hAnsi="Times New Roman"/>
          <w:b/>
          <w:i/>
          <w:color w:val="000000" w:themeColor="text1"/>
          <w:sz w:val="24"/>
          <w:szCs w:val="24"/>
        </w:rPr>
      </w:pPr>
      <w:r w:rsidRPr="00381A22">
        <w:rPr>
          <w:rFonts w:ascii="Times New Roman" w:hAnsi="Times New Roman"/>
          <w:b/>
          <w:color w:val="000000" w:themeColor="text1"/>
          <w:sz w:val="24"/>
          <w:szCs w:val="24"/>
        </w:rPr>
        <w:t>Section 4 – Schedules</w:t>
      </w:r>
      <w:r w:rsidRPr="00381A22">
        <w:rPr>
          <w:rFonts w:ascii="Times New Roman" w:hAnsi="Times New Roman"/>
          <w:b/>
          <w:i/>
          <w:color w:val="000000" w:themeColor="text1"/>
          <w:sz w:val="24"/>
          <w:szCs w:val="24"/>
        </w:rPr>
        <w:t xml:space="preserve"> </w:t>
      </w:r>
    </w:p>
    <w:p w14:paraId="70BC9A2D" w14:textId="77777777" w:rsidR="00AC5AD9" w:rsidRPr="00381A22" w:rsidRDefault="00AC5AD9" w:rsidP="00AC5AD9">
      <w:pPr>
        <w:spacing w:after="120"/>
        <w:contextualSpacing/>
        <w:rPr>
          <w:rFonts w:ascii="Times New Roman" w:hAnsi="Times New Roman"/>
          <w:color w:val="000000" w:themeColor="text1"/>
          <w:sz w:val="24"/>
          <w:szCs w:val="24"/>
        </w:rPr>
      </w:pPr>
    </w:p>
    <w:p w14:paraId="0E739D86" w14:textId="77777777" w:rsidR="00AC5AD9" w:rsidRPr="00381A22" w:rsidRDefault="00AC5AD9" w:rsidP="00AC5AD9">
      <w:pPr>
        <w:spacing w:after="120"/>
        <w:contextualSpacing/>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This section provides that the </w:t>
      </w:r>
      <w:r w:rsidRPr="00381A22">
        <w:rPr>
          <w:rFonts w:ascii="Times New Roman" w:hAnsi="Times New Roman"/>
          <w:i/>
          <w:color w:val="000000" w:themeColor="text1"/>
          <w:sz w:val="24"/>
          <w:szCs w:val="24"/>
        </w:rPr>
        <w:t xml:space="preserve">Financial </w:t>
      </w:r>
      <w:r w:rsidRPr="00381A22">
        <w:rPr>
          <w:rFonts w:ascii="Times New Roman" w:hAnsi="Times New Roman"/>
          <w:bCs/>
          <w:i/>
          <w:sz w:val="24"/>
          <w:szCs w:val="24"/>
        </w:rPr>
        <w:t xml:space="preserve">Framework (Supplementary Powers) </w:t>
      </w:r>
      <w:r w:rsidRPr="00381A22">
        <w:rPr>
          <w:rFonts w:ascii="Times New Roman" w:hAnsi="Times New Roman"/>
          <w:i/>
          <w:color w:val="000000" w:themeColor="text1"/>
          <w:sz w:val="24"/>
          <w:szCs w:val="24"/>
        </w:rPr>
        <w:t>Regulations 1997</w:t>
      </w:r>
      <w:r w:rsidRPr="00381A22">
        <w:rPr>
          <w:rFonts w:ascii="Times New Roman" w:hAnsi="Times New Roman"/>
          <w:color w:val="000000" w:themeColor="text1"/>
          <w:sz w:val="24"/>
          <w:szCs w:val="24"/>
        </w:rPr>
        <w:t xml:space="preserve"> </w:t>
      </w:r>
      <w:proofErr w:type="gramStart"/>
      <w:r w:rsidRPr="00381A22">
        <w:rPr>
          <w:rFonts w:ascii="Times New Roman" w:hAnsi="Times New Roman"/>
          <w:color w:val="000000" w:themeColor="text1"/>
          <w:sz w:val="24"/>
          <w:szCs w:val="24"/>
        </w:rPr>
        <w:t>are</w:t>
      </w:r>
      <w:proofErr w:type="gramEnd"/>
      <w:r w:rsidRPr="00381A22">
        <w:rPr>
          <w:rFonts w:ascii="Times New Roman" w:hAnsi="Times New Roman"/>
          <w:color w:val="000000" w:themeColor="text1"/>
          <w:sz w:val="24"/>
          <w:szCs w:val="24"/>
        </w:rPr>
        <w:t xml:space="preserve"> amended as set out in the Schedule to the Regulations. </w:t>
      </w:r>
    </w:p>
    <w:p w14:paraId="046EC3D2" w14:textId="77777777" w:rsidR="00AC5AD9" w:rsidRPr="00381A22" w:rsidRDefault="00AC5AD9" w:rsidP="00AC5AD9">
      <w:pPr>
        <w:spacing w:after="120"/>
        <w:contextualSpacing/>
        <w:rPr>
          <w:rFonts w:ascii="Times New Roman" w:hAnsi="Times New Roman"/>
          <w:color w:val="000000" w:themeColor="text1"/>
          <w:sz w:val="24"/>
          <w:szCs w:val="24"/>
        </w:rPr>
      </w:pPr>
    </w:p>
    <w:p w14:paraId="285B143A" w14:textId="77777777" w:rsidR="00AC5AD9" w:rsidRPr="00381A22" w:rsidRDefault="00AC5AD9" w:rsidP="00AC5AD9">
      <w:pPr>
        <w:spacing w:after="120"/>
        <w:contextualSpacing/>
        <w:rPr>
          <w:rFonts w:ascii="Times New Roman" w:hAnsi="Times New Roman"/>
          <w:b/>
          <w:color w:val="000000" w:themeColor="text1"/>
          <w:sz w:val="24"/>
          <w:szCs w:val="24"/>
        </w:rPr>
      </w:pPr>
      <w:r w:rsidRPr="00381A22">
        <w:rPr>
          <w:rFonts w:ascii="Times New Roman" w:hAnsi="Times New Roman"/>
          <w:b/>
          <w:color w:val="000000" w:themeColor="text1"/>
          <w:sz w:val="24"/>
          <w:szCs w:val="24"/>
        </w:rPr>
        <w:t>Schedule 1 – Amendments</w:t>
      </w:r>
    </w:p>
    <w:p w14:paraId="4923ACBE" w14:textId="77777777" w:rsidR="00AC5AD9" w:rsidRPr="00381A22" w:rsidRDefault="00AC5AD9" w:rsidP="00AC5AD9">
      <w:pPr>
        <w:rPr>
          <w:rFonts w:ascii="Times New Roman" w:hAnsi="Times New Roman"/>
          <w:color w:val="000000" w:themeColor="text1"/>
          <w:sz w:val="24"/>
          <w:szCs w:val="24"/>
        </w:rPr>
      </w:pPr>
    </w:p>
    <w:p w14:paraId="3E501F68" w14:textId="013C2C9D" w:rsidR="00BA6F0D" w:rsidRPr="00381A22" w:rsidRDefault="00BA6F0D" w:rsidP="00AC5AD9">
      <w:pPr>
        <w:tabs>
          <w:tab w:val="left" w:pos="936"/>
        </w:tabs>
        <w:rPr>
          <w:rFonts w:ascii="Times New Roman" w:hAnsi="Times New Roman"/>
          <w:b/>
          <w:i/>
          <w:color w:val="000000" w:themeColor="text1"/>
          <w:sz w:val="24"/>
          <w:szCs w:val="24"/>
        </w:rPr>
      </w:pPr>
      <w:r w:rsidRPr="00381A22">
        <w:rPr>
          <w:rFonts w:ascii="Times New Roman" w:hAnsi="Times New Roman"/>
          <w:b/>
          <w:i/>
          <w:color w:val="000000" w:themeColor="text1"/>
          <w:sz w:val="24"/>
          <w:szCs w:val="24"/>
        </w:rPr>
        <w:t>Financial Framework (Supplementary Powers) Regulations 1997</w:t>
      </w:r>
    </w:p>
    <w:p w14:paraId="185DDFEA" w14:textId="77777777" w:rsidR="00BA6F0D" w:rsidRPr="00381A22" w:rsidRDefault="00BA6F0D" w:rsidP="00AC5AD9">
      <w:pPr>
        <w:tabs>
          <w:tab w:val="left" w:pos="936"/>
        </w:tabs>
        <w:rPr>
          <w:rFonts w:ascii="Times New Roman" w:hAnsi="Times New Roman"/>
          <w:b/>
          <w:color w:val="000000" w:themeColor="text1"/>
          <w:sz w:val="24"/>
          <w:szCs w:val="24"/>
        </w:rPr>
      </w:pPr>
    </w:p>
    <w:p w14:paraId="60E54026" w14:textId="7CB073F8" w:rsidR="00137395" w:rsidRPr="00381A22" w:rsidRDefault="00137395" w:rsidP="00AC5AD9">
      <w:pPr>
        <w:tabs>
          <w:tab w:val="left" w:pos="936"/>
        </w:tabs>
        <w:rPr>
          <w:rFonts w:ascii="Times New Roman" w:hAnsi="Times New Roman"/>
          <w:b/>
          <w:color w:val="000000" w:themeColor="text1"/>
          <w:sz w:val="24"/>
          <w:szCs w:val="24"/>
        </w:rPr>
      </w:pPr>
      <w:r w:rsidRPr="00381A22">
        <w:rPr>
          <w:rFonts w:ascii="Times New Roman" w:hAnsi="Times New Roman"/>
          <w:b/>
          <w:color w:val="000000" w:themeColor="text1"/>
          <w:sz w:val="24"/>
          <w:szCs w:val="24"/>
        </w:rPr>
        <w:t>Item 1 – Part 4 of Schedule 1AB (table item 407, column headed “Program”)</w:t>
      </w:r>
    </w:p>
    <w:p w14:paraId="484FCD42" w14:textId="0EC91A33" w:rsidR="00137395" w:rsidRPr="00381A22" w:rsidRDefault="00137395" w:rsidP="00AC5AD9">
      <w:pPr>
        <w:tabs>
          <w:tab w:val="left" w:pos="936"/>
        </w:tabs>
        <w:rPr>
          <w:rFonts w:ascii="Times New Roman" w:hAnsi="Times New Roman"/>
          <w:b/>
          <w:color w:val="000000" w:themeColor="text1"/>
          <w:sz w:val="24"/>
          <w:szCs w:val="24"/>
        </w:rPr>
      </w:pPr>
    </w:p>
    <w:p w14:paraId="1B29B1B6" w14:textId="77777777" w:rsidR="00F95BFF" w:rsidRPr="00381A22" w:rsidRDefault="00137395" w:rsidP="00AC5AD9">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This item amends table item 407 in Part </w:t>
      </w:r>
      <w:proofErr w:type="gramStart"/>
      <w:r w:rsidRPr="00381A22">
        <w:rPr>
          <w:rFonts w:ascii="Times New Roman" w:hAnsi="Times New Roman"/>
          <w:color w:val="000000" w:themeColor="text1"/>
          <w:sz w:val="24"/>
          <w:szCs w:val="24"/>
        </w:rPr>
        <w:t>4</w:t>
      </w:r>
      <w:proofErr w:type="gramEnd"/>
      <w:r w:rsidRPr="00381A22">
        <w:rPr>
          <w:rFonts w:ascii="Times New Roman" w:hAnsi="Times New Roman"/>
          <w:color w:val="000000" w:themeColor="text1"/>
          <w:sz w:val="24"/>
          <w:szCs w:val="24"/>
        </w:rPr>
        <w:t xml:space="preserve"> of Schedule 1AB by omitting “Pilot” and substituting “Program” in the </w:t>
      </w:r>
      <w:r w:rsidR="0094466B" w:rsidRPr="00381A22">
        <w:rPr>
          <w:rFonts w:ascii="Times New Roman" w:hAnsi="Times New Roman"/>
          <w:color w:val="000000" w:themeColor="text1"/>
          <w:sz w:val="24"/>
          <w:szCs w:val="24"/>
        </w:rPr>
        <w:t>column headed “P</w:t>
      </w:r>
      <w:r w:rsidRPr="00381A22">
        <w:rPr>
          <w:rFonts w:ascii="Times New Roman" w:hAnsi="Times New Roman"/>
          <w:color w:val="000000" w:themeColor="text1"/>
          <w:sz w:val="24"/>
          <w:szCs w:val="24"/>
        </w:rPr>
        <w:t>rogram</w:t>
      </w:r>
      <w:r w:rsidR="0094466B" w:rsidRPr="00381A22">
        <w:rPr>
          <w:rFonts w:ascii="Times New Roman" w:hAnsi="Times New Roman"/>
          <w:color w:val="000000" w:themeColor="text1"/>
          <w:sz w:val="24"/>
          <w:szCs w:val="24"/>
        </w:rPr>
        <w:t>”</w:t>
      </w:r>
      <w:r w:rsidRPr="00381A22">
        <w:rPr>
          <w:rFonts w:ascii="Times New Roman" w:hAnsi="Times New Roman"/>
          <w:color w:val="000000" w:themeColor="text1"/>
          <w:sz w:val="24"/>
          <w:szCs w:val="24"/>
        </w:rPr>
        <w:t xml:space="preserve">. </w:t>
      </w:r>
      <w:r w:rsidR="00F95BFF" w:rsidRPr="00381A22">
        <w:rPr>
          <w:rFonts w:ascii="Times New Roman" w:hAnsi="Times New Roman"/>
          <w:color w:val="000000" w:themeColor="text1"/>
          <w:sz w:val="24"/>
          <w:szCs w:val="24"/>
        </w:rPr>
        <w:t>The amended table</w:t>
      </w:r>
      <w:r w:rsidRPr="00381A22">
        <w:rPr>
          <w:rFonts w:ascii="Times New Roman" w:hAnsi="Times New Roman"/>
          <w:color w:val="000000" w:themeColor="text1"/>
          <w:sz w:val="24"/>
          <w:szCs w:val="24"/>
        </w:rPr>
        <w:t xml:space="preserve"> item 407 </w:t>
      </w:r>
      <w:r w:rsidR="00F95BFF" w:rsidRPr="00381A22">
        <w:rPr>
          <w:rFonts w:ascii="Times New Roman" w:hAnsi="Times New Roman"/>
          <w:color w:val="000000" w:themeColor="text1"/>
          <w:sz w:val="24"/>
          <w:szCs w:val="24"/>
        </w:rPr>
        <w:t>p</w:t>
      </w:r>
      <w:r w:rsidRPr="00381A22">
        <w:rPr>
          <w:rFonts w:ascii="Times New Roman" w:hAnsi="Times New Roman"/>
          <w:color w:val="000000" w:themeColor="text1"/>
          <w:sz w:val="24"/>
          <w:szCs w:val="24"/>
        </w:rPr>
        <w:t>rovide</w:t>
      </w:r>
      <w:r w:rsidR="00F95BFF" w:rsidRPr="00381A22">
        <w:rPr>
          <w:rFonts w:ascii="Times New Roman" w:hAnsi="Times New Roman"/>
          <w:color w:val="000000" w:themeColor="text1"/>
          <w:sz w:val="24"/>
          <w:szCs w:val="24"/>
        </w:rPr>
        <w:t>s</w:t>
      </w:r>
      <w:r w:rsidRPr="00381A22">
        <w:rPr>
          <w:rFonts w:ascii="Times New Roman" w:hAnsi="Times New Roman"/>
          <w:color w:val="000000" w:themeColor="text1"/>
          <w:sz w:val="24"/>
          <w:szCs w:val="24"/>
        </w:rPr>
        <w:t xml:space="preserve"> legislative authority for government spending on the Destination Australia Cheung Kong Exchange Program</w:t>
      </w:r>
      <w:r w:rsidR="0094466B" w:rsidRPr="00381A22">
        <w:rPr>
          <w:rFonts w:ascii="Times New Roman" w:hAnsi="Times New Roman"/>
          <w:color w:val="000000" w:themeColor="text1"/>
          <w:sz w:val="24"/>
          <w:szCs w:val="24"/>
        </w:rPr>
        <w:t xml:space="preserve"> (the Program)</w:t>
      </w:r>
      <w:r w:rsidRPr="00381A22">
        <w:rPr>
          <w:rFonts w:ascii="Times New Roman" w:hAnsi="Times New Roman"/>
          <w:color w:val="000000" w:themeColor="text1"/>
          <w:sz w:val="24"/>
          <w:szCs w:val="24"/>
        </w:rPr>
        <w:t xml:space="preserve">, </w:t>
      </w:r>
      <w:r w:rsidR="0094466B" w:rsidRPr="00381A22">
        <w:rPr>
          <w:rFonts w:ascii="Times New Roman" w:hAnsi="Times New Roman"/>
          <w:color w:val="000000" w:themeColor="text1"/>
          <w:sz w:val="24"/>
          <w:szCs w:val="24"/>
        </w:rPr>
        <w:t xml:space="preserve">instead of </w:t>
      </w:r>
      <w:r w:rsidRPr="00381A22">
        <w:rPr>
          <w:rFonts w:ascii="Times New Roman" w:hAnsi="Times New Roman"/>
          <w:color w:val="000000" w:themeColor="text1"/>
          <w:sz w:val="24"/>
          <w:szCs w:val="24"/>
        </w:rPr>
        <w:t>the Destination Australia Cheung Kong Exchange Pilot</w:t>
      </w:r>
      <w:r w:rsidR="0094466B" w:rsidRPr="00381A22">
        <w:rPr>
          <w:rFonts w:ascii="Times New Roman" w:hAnsi="Times New Roman"/>
          <w:color w:val="000000" w:themeColor="text1"/>
          <w:sz w:val="24"/>
          <w:szCs w:val="24"/>
        </w:rPr>
        <w:t xml:space="preserve"> (the Pilot). </w:t>
      </w:r>
    </w:p>
    <w:p w14:paraId="4C8CAF65" w14:textId="77777777" w:rsidR="00F95BFF" w:rsidRPr="00381A22" w:rsidRDefault="00F95BFF" w:rsidP="00AC5AD9">
      <w:pPr>
        <w:tabs>
          <w:tab w:val="left" w:pos="936"/>
        </w:tabs>
        <w:rPr>
          <w:rFonts w:ascii="Times New Roman" w:hAnsi="Times New Roman"/>
          <w:color w:val="000000" w:themeColor="text1"/>
          <w:sz w:val="24"/>
          <w:szCs w:val="24"/>
        </w:rPr>
      </w:pPr>
    </w:p>
    <w:p w14:paraId="53FECFC6" w14:textId="58FD6BCC" w:rsidR="00137395" w:rsidRPr="00381A22" w:rsidRDefault="0094466B" w:rsidP="00AC5AD9">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The Program was originally intended to be an expansion of the </w:t>
      </w:r>
      <w:proofErr w:type="gramStart"/>
      <w:r w:rsidR="00550588" w:rsidRPr="00381A22">
        <w:rPr>
          <w:rFonts w:ascii="Times New Roman" w:hAnsi="Times New Roman"/>
          <w:color w:val="000000" w:themeColor="text1"/>
          <w:sz w:val="24"/>
          <w:szCs w:val="24"/>
        </w:rPr>
        <w:t xml:space="preserve">Pilot </w:t>
      </w:r>
      <w:r w:rsidR="00F95BFF" w:rsidRPr="00381A22">
        <w:rPr>
          <w:rFonts w:ascii="Times New Roman" w:hAnsi="Times New Roman"/>
          <w:color w:val="000000" w:themeColor="text1"/>
          <w:sz w:val="24"/>
          <w:szCs w:val="24"/>
        </w:rPr>
        <w:t>which</w:t>
      </w:r>
      <w:proofErr w:type="gramEnd"/>
      <w:r w:rsidR="00616BF6" w:rsidRPr="00381A22">
        <w:rPr>
          <w:rFonts w:ascii="Times New Roman" w:hAnsi="Times New Roman"/>
          <w:color w:val="000000" w:themeColor="text1"/>
          <w:sz w:val="24"/>
          <w:szCs w:val="24"/>
        </w:rPr>
        <w:t xml:space="preserve"> was </w:t>
      </w:r>
      <w:r w:rsidR="003A1946" w:rsidRPr="00381A22">
        <w:rPr>
          <w:rFonts w:ascii="Times New Roman" w:hAnsi="Times New Roman"/>
          <w:color w:val="000000" w:themeColor="text1"/>
          <w:sz w:val="24"/>
          <w:szCs w:val="24"/>
        </w:rPr>
        <w:t xml:space="preserve">to be delivered </w:t>
      </w:r>
      <w:r w:rsidR="00616BF6" w:rsidRPr="00381A22">
        <w:rPr>
          <w:rFonts w:ascii="Times New Roman" w:hAnsi="Times New Roman"/>
          <w:color w:val="000000" w:themeColor="text1"/>
          <w:sz w:val="24"/>
          <w:szCs w:val="24"/>
        </w:rPr>
        <w:t>i</w:t>
      </w:r>
      <w:r w:rsidRPr="00381A22">
        <w:rPr>
          <w:rFonts w:ascii="Times New Roman" w:hAnsi="Times New Roman"/>
          <w:color w:val="000000" w:themeColor="text1"/>
          <w:sz w:val="24"/>
          <w:szCs w:val="24"/>
        </w:rPr>
        <w:t>n 2019-20</w:t>
      </w:r>
      <w:r w:rsidR="00616BF6" w:rsidRPr="00381A22">
        <w:rPr>
          <w:rFonts w:ascii="Times New Roman" w:hAnsi="Times New Roman"/>
          <w:color w:val="000000" w:themeColor="text1"/>
          <w:sz w:val="24"/>
          <w:szCs w:val="24"/>
        </w:rPr>
        <w:t xml:space="preserve">. However, </w:t>
      </w:r>
      <w:r w:rsidR="003A1946" w:rsidRPr="00381A22">
        <w:rPr>
          <w:rFonts w:ascii="Times New Roman" w:hAnsi="Times New Roman"/>
          <w:color w:val="000000" w:themeColor="text1"/>
          <w:sz w:val="24"/>
          <w:szCs w:val="24"/>
        </w:rPr>
        <w:t xml:space="preserve">its </w:t>
      </w:r>
      <w:r w:rsidR="00616BF6" w:rsidRPr="00381A22">
        <w:rPr>
          <w:rFonts w:ascii="Times New Roman" w:hAnsi="Times New Roman"/>
          <w:color w:val="000000" w:themeColor="text1"/>
          <w:sz w:val="24"/>
          <w:szCs w:val="24"/>
        </w:rPr>
        <w:t xml:space="preserve">implementation </w:t>
      </w:r>
      <w:proofErr w:type="gramStart"/>
      <w:r w:rsidRPr="00381A22">
        <w:rPr>
          <w:rFonts w:ascii="Times New Roman" w:hAnsi="Times New Roman"/>
          <w:color w:val="000000" w:themeColor="text1"/>
          <w:sz w:val="24"/>
          <w:szCs w:val="24"/>
        </w:rPr>
        <w:t>was delayed</w:t>
      </w:r>
      <w:proofErr w:type="gramEnd"/>
      <w:r w:rsidRPr="00381A22">
        <w:rPr>
          <w:rFonts w:ascii="Times New Roman" w:hAnsi="Times New Roman"/>
          <w:color w:val="000000" w:themeColor="text1"/>
          <w:sz w:val="24"/>
          <w:szCs w:val="24"/>
        </w:rPr>
        <w:t xml:space="preserve"> </w:t>
      </w:r>
      <w:r w:rsidR="007E2ED5" w:rsidRPr="00381A22">
        <w:rPr>
          <w:rFonts w:ascii="Times New Roman" w:hAnsi="Times New Roman"/>
          <w:color w:val="000000" w:themeColor="text1"/>
          <w:sz w:val="24"/>
          <w:szCs w:val="24"/>
        </w:rPr>
        <w:t xml:space="preserve">by the need to respond </w:t>
      </w:r>
      <w:r w:rsidR="00F95BFF" w:rsidRPr="00381A22">
        <w:rPr>
          <w:rFonts w:ascii="Times New Roman" w:hAnsi="Times New Roman"/>
          <w:color w:val="000000" w:themeColor="text1"/>
          <w:sz w:val="24"/>
          <w:szCs w:val="24"/>
        </w:rPr>
        <w:t>to</w:t>
      </w:r>
      <w:r w:rsidRPr="00381A22">
        <w:rPr>
          <w:rFonts w:ascii="Times New Roman" w:hAnsi="Times New Roman"/>
          <w:color w:val="000000" w:themeColor="text1"/>
          <w:sz w:val="24"/>
          <w:szCs w:val="24"/>
        </w:rPr>
        <w:t xml:space="preserve"> the COVID</w:t>
      </w:r>
      <w:r w:rsidRPr="00381A22">
        <w:rPr>
          <w:rFonts w:ascii="Times New Roman" w:hAnsi="Times New Roman"/>
          <w:color w:val="000000" w:themeColor="text1"/>
          <w:sz w:val="24"/>
          <w:szCs w:val="24"/>
        </w:rPr>
        <w:noBreakHyphen/>
        <w:t xml:space="preserve">19 </w:t>
      </w:r>
      <w:r w:rsidR="007E2ED5" w:rsidRPr="00381A22">
        <w:rPr>
          <w:rFonts w:ascii="Times New Roman" w:hAnsi="Times New Roman"/>
          <w:color w:val="000000" w:themeColor="text1"/>
          <w:sz w:val="24"/>
          <w:szCs w:val="24"/>
        </w:rPr>
        <w:t>situation</w:t>
      </w:r>
      <w:r w:rsidRPr="00381A22">
        <w:rPr>
          <w:rFonts w:ascii="Times New Roman" w:hAnsi="Times New Roman"/>
          <w:color w:val="000000" w:themeColor="text1"/>
          <w:sz w:val="24"/>
          <w:szCs w:val="24"/>
        </w:rPr>
        <w:t xml:space="preserve"> and the ongoing international travel restrictions</w:t>
      </w:r>
      <w:r w:rsidR="00137395" w:rsidRPr="00381A22">
        <w:rPr>
          <w:rFonts w:ascii="Times New Roman" w:hAnsi="Times New Roman"/>
          <w:color w:val="000000" w:themeColor="text1"/>
          <w:sz w:val="24"/>
          <w:szCs w:val="24"/>
        </w:rPr>
        <w:t>.</w:t>
      </w:r>
      <w:r w:rsidR="00F95BFF" w:rsidRPr="00381A22">
        <w:rPr>
          <w:rFonts w:ascii="Times New Roman" w:hAnsi="Times New Roman"/>
          <w:color w:val="000000" w:themeColor="text1"/>
          <w:sz w:val="24"/>
          <w:szCs w:val="24"/>
        </w:rPr>
        <w:t xml:space="preserve"> </w:t>
      </w:r>
      <w:r w:rsidR="00F95BFF" w:rsidRPr="00381A22">
        <w:rPr>
          <w:rFonts w:ascii="Times New Roman" w:hAnsi="Times New Roman"/>
          <w:sz w:val="24"/>
          <w:szCs w:val="24"/>
        </w:rPr>
        <w:t xml:space="preserve">The funding originally </w:t>
      </w:r>
      <w:proofErr w:type="gramStart"/>
      <w:r w:rsidR="00F95BFF" w:rsidRPr="00381A22">
        <w:rPr>
          <w:rFonts w:ascii="Times New Roman" w:hAnsi="Times New Roman"/>
          <w:sz w:val="24"/>
          <w:szCs w:val="24"/>
        </w:rPr>
        <w:t>intended to be spent</w:t>
      </w:r>
      <w:proofErr w:type="gramEnd"/>
      <w:r w:rsidR="00F95BFF" w:rsidRPr="00381A22">
        <w:rPr>
          <w:rFonts w:ascii="Times New Roman" w:hAnsi="Times New Roman"/>
          <w:sz w:val="24"/>
          <w:szCs w:val="24"/>
        </w:rPr>
        <w:t xml:space="preserve"> under the Pilot will now be available for spending under the Program. </w:t>
      </w:r>
      <w:r w:rsidR="000D35B5" w:rsidRPr="00381A22">
        <w:rPr>
          <w:rFonts w:ascii="Times New Roman" w:hAnsi="Times New Roman"/>
          <w:sz w:val="24"/>
          <w:szCs w:val="24"/>
        </w:rPr>
        <w:t>Therefore, l</w:t>
      </w:r>
      <w:r w:rsidR="00F95BFF" w:rsidRPr="00381A22">
        <w:rPr>
          <w:rFonts w:ascii="Times New Roman" w:hAnsi="Times New Roman"/>
          <w:color w:val="000000" w:themeColor="text1"/>
          <w:sz w:val="24"/>
          <w:szCs w:val="24"/>
        </w:rPr>
        <w:t xml:space="preserve">egislative authority for government spending on the Pilot </w:t>
      </w:r>
      <w:proofErr w:type="gramStart"/>
      <w:r w:rsidR="00F95BFF" w:rsidRPr="00381A22">
        <w:rPr>
          <w:rFonts w:ascii="Times New Roman" w:hAnsi="Times New Roman"/>
          <w:color w:val="000000" w:themeColor="text1"/>
          <w:sz w:val="24"/>
          <w:szCs w:val="24"/>
        </w:rPr>
        <w:t>is no longer needed</w:t>
      </w:r>
      <w:proofErr w:type="gramEnd"/>
      <w:r w:rsidR="00F95BFF" w:rsidRPr="00381A22">
        <w:rPr>
          <w:rFonts w:ascii="Times New Roman" w:hAnsi="Times New Roman"/>
          <w:color w:val="000000" w:themeColor="text1"/>
          <w:sz w:val="24"/>
          <w:szCs w:val="24"/>
        </w:rPr>
        <w:t>.</w:t>
      </w:r>
    </w:p>
    <w:p w14:paraId="70869463" w14:textId="59412D6A" w:rsidR="00137395" w:rsidRPr="00381A22" w:rsidRDefault="00137395" w:rsidP="00AC5AD9">
      <w:pPr>
        <w:tabs>
          <w:tab w:val="left" w:pos="936"/>
        </w:tabs>
        <w:rPr>
          <w:rFonts w:ascii="Times New Roman" w:hAnsi="Times New Roman"/>
          <w:b/>
          <w:color w:val="000000" w:themeColor="text1"/>
          <w:sz w:val="24"/>
          <w:szCs w:val="24"/>
        </w:rPr>
      </w:pPr>
    </w:p>
    <w:p w14:paraId="347824DC" w14:textId="06EC8385" w:rsidR="00137395" w:rsidRPr="00381A22" w:rsidRDefault="00550588" w:rsidP="00AC5AD9">
      <w:pPr>
        <w:tabs>
          <w:tab w:val="left" w:pos="936"/>
        </w:tabs>
        <w:rPr>
          <w:rFonts w:ascii="Times New Roman" w:hAnsi="Times New Roman"/>
          <w:b/>
          <w:color w:val="000000" w:themeColor="text1"/>
          <w:sz w:val="24"/>
          <w:szCs w:val="24"/>
        </w:rPr>
      </w:pPr>
      <w:r w:rsidRPr="00381A22">
        <w:rPr>
          <w:rFonts w:ascii="Times New Roman" w:hAnsi="Times New Roman"/>
          <w:b/>
          <w:color w:val="000000" w:themeColor="text1"/>
          <w:sz w:val="24"/>
          <w:szCs w:val="24"/>
        </w:rPr>
        <w:t>Item 2 – Part 4 of Schedule 1AB (table item 407, column headed “Objective(s)”)</w:t>
      </w:r>
    </w:p>
    <w:p w14:paraId="74363BD9" w14:textId="2C67E74C" w:rsidR="00137395" w:rsidRPr="00381A22" w:rsidRDefault="00137395" w:rsidP="00AC5AD9">
      <w:pPr>
        <w:tabs>
          <w:tab w:val="left" w:pos="936"/>
        </w:tabs>
        <w:rPr>
          <w:rFonts w:ascii="Times New Roman" w:hAnsi="Times New Roman"/>
          <w:b/>
          <w:color w:val="000000" w:themeColor="text1"/>
          <w:sz w:val="24"/>
          <w:szCs w:val="24"/>
        </w:rPr>
      </w:pPr>
    </w:p>
    <w:p w14:paraId="22F2DB44" w14:textId="78662CC9" w:rsidR="00AC5AD9" w:rsidRPr="00381A22" w:rsidRDefault="00550588" w:rsidP="00AC5AD9">
      <w:pPr>
        <w:tabs>
          <w:tab w:val="left" w:pos="936"/>
        </w:tabs>
        <w:rPr>
          <w:rFonts w:ascii="Times New Roman" w:hAnsi="Times New Roman"/>
          <w:sz w:val="24"/>
          <w:szCs w:val="24"/>
        </w:rPr>
      </w:pPr>
      <w:r w:rsidRPr="00381A22">
        <w:rPr>
          <w:rFonts w:ascii="Times New Roman" w:hAnsi="Times New Roman"/>
          <w:color w:val="000000" w:themeColor="text1"/>
          <w:sz w:val="24"/>
          <w:szCs w:val="24"/>
        </w:rPr>
        <w:t xml:space="preserve">This item amends table item 407 in Part 4 of Schedule 1AB by omitting “on a trial basis” in the column headed “Objective(s)”. </w:t>
      </w:r>
      <w:r w:rsidR="00F10C53" w:rsidRPr="00381A22">
        <w:rPr>
          <w:rFonts w:ascii="Times New Roman" w:hAnsi="Times New Roman"/>
          <w:sz w:val="24"/>
          <w:szCs w:val="24"/>
        </w:rPr>
        <w:t>T</w:t>
      </w:r>
      <w:r w:rsidR="00F95BFF" w:rsidRPr="00381A22">
        <w:rPr>
          <w:rFonts w:ascii="Times New Roman" w:hAnsi="Times New Roman"/>
          <w:sz w:val="24"/>
          <w:szCs w:val="24"/>
        </w:rPr>
        <w:t xml:space="preserve">he amended table item 407 </w:t>
      </w:r>
      <w:r w:rsidR="00AC5AD9" w:rsidRPr="00381A22">
        <w:rPr>
          <w:rFonts w:ascii="Times New Roman" w:hAnsi="Times New Roman"/>
          <w:sz w:val="24"/>
          <w:szCs w:val="24"/>
        </w:rPr>
        <w:t xml:space="preserve">establishes legislative authority for government spending on the Program, </w:t>
      </w:r>
      <w:r w:rsidR="00AC5AD9" w:rsidRPr="00381A22">
        <w:rPr>
          <w:rFonts w:ascii="Times New Roman" w:hAnsi="Times New Roman"/>
          <w:sz w:val="24"/>
          <w:szCs w:val="24"/>
          <w:lang w:val="en-GB"/>
        </w:rPr>
        <w:t xml:space="preserve">which will provide </w:t>
      </w:r>
      <w:r w:rsidR="00F10C53" w:rsidRPr="00381A22">
        <w:rPr>
          <w:rFonts w:ascii="Times New Roman" w:hAnsi="Times New Roman"/>
          <w:sz w:val="24"/>
          <w:szCs w:val="24"/>
          <w:lang w:val="en-GB"/>
        </w:rPr>
        <w:t xml:space="preserve">grant </w:t>
      </w:r>
      <w:r w:rsidR="00AC5AD9" w:rsidRPr="00381A22">
        <w:rPr>
          <w:rFonts w:ascii="Times New Roman" w:hAnsi="Times New Roman"/>
          <w:sz w:val="24"/>
          <w:szCs w:val="24"/>
          <w:lang w:val="en-GB"/>
        </w:rPr>
        <w:t xml:space="preserve">funding to Australian universities to </w:t>
      </w:r>
      <w:r w:rsidR="00F10C53" w:rsidRPr="00381A22">
        <w:rPr>
          <w:rFonts w:ascii="Times New Roman" w:hAnsi="Times New Roman"/>
          <w:sz w:val="24"/>
          <w:szCs w:val="24"/>
          <w:lang w:val="en-GB"/>
        </w:rPr>
        <w:t xml:space="preserve">establish their own </w:t>
      </w:r>
      <w:r w:rsidR="00AC5AD9" w:rsidRPr="00381A22">
        <w:rPr>
          <w:rFonts w:ascii="Times New Roman" w:hAnsi="Times New Roman"/>
          <w:sz w:val="24"/>
          <w:szCs w:val="24"/>
          <w:lang w:val="en-GB"/>
        </w:rPr>
        <w:t xml:space="preserve">two-way mobility </w:t>
      </w:r>
      <w:r w:rsidR="00F10C53" w:rsidRPr="00381A22">
        <w:rPr>
          <w:rFonts w:ascii="Times New Roman" w:hAnsi="Times New Roman"/>
          <w:sz w:val="24"/>
          <w:szCs w:val="24"/>
          <w:lang w:val="en-GB"/>
        </w:rPr>
        <w:t>schemes</w:t>
      </w:r>
      <w:r w:rsidR="00AC5AD9" w:rsidRPr="00381A22">
        <w:rPr>
          <w:rFonts w:ascii="Times New Roman" w:hAnsi="Times New Roman"/>
          <w:sz w:val="24"/>
          <w:szCs w:val="24"/>
          <w:lang w:val="en-GB"/>
        </w:rPr>
        <w:t xml:space="preserve"> </w:t>
      </w:r>
      <w:r w:rsidR="00BC12AD" w:rsidRPr="00381A22">
        <w:rPr>
          <w:rFonts w:ascii="Times New Roman" w:hAnsi="Times New Roman"/>
          <w:sz w:val="24"/>
          <w:szCs w:val="24"/>
          <w:lang w:val="en-GB"/>
        </w:rPr>
        <w:t xml:space="preserve">and provide scholarships </w:t>
      </w:r>
      <w:r w:rsidR="00AC5AD9" w:rsidRPr="00381A22">
        <w:rPr>
          <w:rFonts w:ascii="Times New Roman" w:hAnsi="Times New Roman"/>
          <w:sz w:val="24"/>
          <w:szCs w:val="24"/>
          <w:lang w:val="en-GB"/>
        </w:rPr>
        <w:t>for domestic and international university students</w:t>
      </w:r>
      <w:r w:rsidR="00BC12AD" w:rsidRPr="00381A22">
        <w:rPr>
          <w:rFonts w:ascii="Times New Roman" w:hAnsi="Times New Roman"/>
          <w:sz w:val="24"/>
          <w:szCs w:val="24"/>
          <w:lang w:val="en-GB"/>
        </w:rPr>
        <w:t>,</w:t>
      </w:r>
      <w:r w:rsidR="00AC5AD9" w:rsidRPr="00381A22">
        <w:rPr>
          <w:rFonts w:ascii="Times New Roman" w:hAnsi="Times New Roman"/>
          <w:sz w:val="24"/>
          <w:szCs w:val="24"/>
          <w:lang w:val="en-GB"/>
        </w:rPr>
        <w:t xml:space="preserve"> commencing in 2020-21 for a period of 10 years. </w:t>
      </w:r>
    </w:p>
    <w:p w14:paraId="2D126C0F" w14:textId="77777777" w:rsidR="00AC5AD9" w:rsidRPr="00381A22" w:rsidRDefault="00AC5AD9" w:rsidP="00AC5AD9">
      <w:pPr>
        <w:tabs>
          <w:tab w:val="left" w:pos="936"/>
        </w:tabs>
        <w:rPr>
          <w:rFonts w:ascii="Times New Roman" w:hAnsi="Times New Roman"/>
          <w:sz w:val="24"/>
          <w:szCs w:val="24"/>
        </w:rPr>
      </w:pPr>
    </w:p>
    <w:p w14:paraId="6789F74A" w14:textId="3A504FFE" w:rsidR="00BC12AD" w:rsidRPr="00381A22" w:rsidRDefault="00AC5AD9" w:rsidP="00AC5AD9">
      <w:pPr>
        <w:rPr>
          <w:rFonts w:ascii="Times New Roman" w:hAnsi="Times New Roman"/>
          <w:bCs/>
          <w:sz w:val="24"/>
          <w:szCs w:val="24"/>
        </w:rPr>
      </w:pPr>
      <w:r w:rsidRPr="00381A22">
        <w:rPr>
          <w:rFonts w:ascii="Times New Roman" w:hAnsi="Times New Roman"/>
          <w:bCs/>
          <w:sz w:val="24"/>
          <w:szCs w:val="24"/>
        </w:rPr>
        <w:t>The Program builds on a longstanding partnership with</w:t>
      </w:r>
      <w:r w:rsidR="00BC12AD" w:rsidRPr="00381A22">
        <w:rPr>
          <w:rFonts w:ascii="Times New Roman" w:hAnsi="Times New Roman"/>
          <w:bCs/>
          <w:sz w:val="24"/>
          <w:szCs w:val="24"/>
        </w:rPr>
        <w:t xml:space="preserve"> CK Infrastructure Holdings Ltd</w:t>
      </w:r>
      <w:r w:rsidRPr="00381A22">
        <w:rPr>
          <w:rFonts w:ascii="Times New Roman" w:hAnsi="Times New Roman"/>
          <w:bCs/>
          <w:sz w:val="24"/>
          <w:szCs w:val="24"/>
        </w:rPr>
        <w:t xml:space="preserve"> </w:t>
      </w:r>
      <w:r w:rsidR="00BC12AD" w:rsidRPr="00381A22">
        <w:rPr>
          <w:rFonts w:ascii="Times New Roman" w:hAnsi="Times New Roman"/>
          <w:bCs/>
          <w:sz w:val="24"/>
          <w:szCs w:val="24"/>
        </w:rPr>
        <w:t>(</w:t>
      </w:r>
      <w:r w:rsidRPr="00381A22">
        <w:rPr>
          <w:rFonts w:ascii="Times New Roman" w:hAnsi="Times New Roman"/>
          <w:bCs/>
          <w:sz w:val="24"/>
          <w:szCs w:val="24"/>
        </w:rPr>
        <w:t>the Cheung Kong Group</w:t>
      </w:r>
      <w:r w:rsidR="00BC12AD" w:rsidRPr="00381A22">
        <w:rPr>
          <w:rFonts w:ascii="Times New Roman" w:hAnsi="Times New Roman"/>
          <w:bCs/>
          <w:sz w:val="24"/>
          <w:szCs w:val="24"/>
        </w:rPr>
        <w:t>)</w:t>
      </w:r>
      <w:r w:rsidRPr="00381A22">
        <w:rPr>
          <w:rFonts w:ascii="Times New Roman" w:hAnsi="Times New Roman"/>
          <w:bCs/>
          <w:sz w:val="24"/>
          <w:szCs w:val="24"/>
        </w:rPr>
        <w:t xml:space="preserve"> to support student mobility to and from Australia. </w:t>
      </w:r>
      <w:proofErr w:type="gramStart"/>
      <w:r w:rsidR="00BC12AD" w:rsidRPr="00381A22">
        <w:rPr>
          <w:rFonts w:ascii="Times New Roman" w:hAnsi="Times New Roman"/>
          <w:bCs/>
          <w:sz w:val="24"/>
          <w:szCs w:val="24"/>
        </w:rPr>
        <w:t>Funding for the Program will be provided by the Cheung Kong Group and the Department of Education, Skills and Employment (the department) on behalf of the Australian Government</w:t>
      </w:r>
      <w:proofErr w:type="gramEnd"/>
      <w:r w:rsidR="00BC12AD" w:rsidRPr="00381A22">
        <w:rPr>
          <w:rFonts w:ascii="Times New Roman" w:hAnsi="Times New Roman"/>
          <w:bCs/>
          <w:sz w:val="24"/>
          <w:szCs w:val="24"/>
        </w:rPr>
        <w:t>.</w:t>
      </w:r>
    </w:p>
    <w:p w14:paraId="0B7C2589" w14:textId="77777777" w:rsidR="00BC12AD" w:rsidRPr="00381A22" w:rsidRDefault="00BC12AD" w:rsidP="00AC5AD9">
      <w:pPr>
        <w:rPr>
          <w:rFonts w:ascii="Times New Roman" w:hAnsi="Times New Roman"/>
          <w:bCs/>
          <w:sz w:val="24"/>
          <w:szCs w:val="24"/>
        </w:rPr>
      </w:pPr>
    </w:p>
    <w:p w14:paraId="0BBAB63C" w14:textId="639B418E" w:rsidR="00ED0DDF" w:rsidRPr="00381A22" w:rsidRDefault="00BC12AD" w:rsidP="00AC5AD9">
      <w:pPr>
        <w:rPr>
          <w:rFonts w:ascii="Times New Roman" w:hAnsi="Times New Roman"/>
          <w:bCs/>
          <w:sz w:val="24"/>
          <w:szCs w:val="24"/>
        </w:rPr>
      </w:pPr>
      <w:r w:rsidRPr="00381A22">
        <w:rPr>
          <w:rFonts w:ascii="Times New Roman" w:hAnsi="Times New Roman"/>
          <w:bCs/>
          <w:sz w:val="24"/>
          <w:szCs w:val="24"/>
        </w:rPr>
        <w:t xml:space="preserve">The Cheung Kong Group is a global infrastructure company based in Hong Kong. The department will establish an agreement concerning the Program with the Cheung Kong Group’s Australian representative, </w:t>
      </w:r>
      <w:proofErr w:type="spellStart"/>
      <w:r w:rsidRPr="00381A22">
        <w:rPr>
          <w:rFonts w:ascii="Times New Roman" w:hAnsi="Times New Roman"/>
          <w:bCs/>
          <w:sz w:val="24"/>
          <w:szCs w:val="24"/>
        </w:rPr>
        <w:t>Powercor</w:t>
      </w:r>
      <w:proofErr w:type="spellEnd"/>
      <w:r w:rsidRPr="00381A22">
        <w:rPr>
          <w:rFonts w:ascii="Times New Roman" w:hAnsi="Times New Roman"/>
          <w:bCs/>
          <w:sz w:val="24"/>
          <w:szCs w:val="24"/>
        </w:rPr>
        <w:t xml:space="preserve"> Australia Ltd. </w:t>
      </w:r>
      <w:r w:rsidR="00CA325F" w:rsidRPr="00381A22">
        <w:rPr>
          <w:rFonts w:ascii="Times New Roman" w:hAnsi="Times New Roman"/>
          <w:bCs/>
          <w:sz w:val="24"/>
          <w:szCs w:val="24"/>
        </w:rPr>
        <w:t xml:space="preserve">Under a previous agreement, </w:t>
      </w:r>
      <w:r w:rsidR="00AC5AD9" w:rsidRPr="00381A22">
        <w:rPr>
          <w:rFonts w:ascii="Times New Roman" w:hAnsi="Times New Roman"/>
          <w:bCs/>
          <w:sz w:val="24"/>
          <w:szCs w:val="24"/>
        </w:rPr>
        <w:t>the Cheung Kong Group contributed $7.5 million from 2009 to 2019 to student scholarships</w:t>
      </w:r>
      <w:r w:rsidR="00CA325F" w:rsidRPr="00381A22">
        <w:rPr>
          <w:rFonts w:ascii="Times New Roman" w:hAnsi="Times New Roman"/>
          <w:bCs/>
          <w:sz w:val="24"/>
          <w:szCs w:val="24"/>
        </w:rPr>
        <w:t xml:space="preserve"> through the Endeavour Leadership Program</w:t>
      </w:r>
      <w:r w:rsidR="00AC5AD9" w:rsidRPr="00381A22">
        <w:rPr>
          <w:rFonts w:ascii="Times New Roman" w:hAnsi="Times New Roman"/>
          <w:bCs/>
          <w:sz w:val="24"/>
          <w:szCs w:val="24"/>
        </w:rPr>
        <w:t>.</w:t>
      </w:r>
      <w:r w:rsidR="00CA325F" w:rsidRPr="00381A22">
        <w:rPr>
          <w:rFonts w:ascii="Times New Roman" w:hAnsi="Times New Roman"/>
          <w:bCs/>
          <w:sz w:val="24"/>
          <w:szCs w:val="24"/>
        </w:rPr>
        <w:t xml:space="preserve"> Since the 2019 cessation of the Endeavour Leadership Program, there is no mechanism to continue this longstanding partnership. </w:t>
      </w:r>
    </w:p>
    <w:p w14:paraId="5F1D330F" w14:textId="77777777" w:rsidR="00ED0DDF" w:rsidRPr="00381A22" w:rsidRDefault="00ED0DDF" w:rsidP="00AC5AD9">
      <w:pPr>
        <w:rPr>
          <w:rFonts w:ascii="Times New Roman" w:hAnsi="Times New Roman"/>
          <w:bCs/>
          <w:sz w:val="24"/>
          <w:szCs w:val="24"/>
        </w:rPr>
      </w:pPr>
    </w:p>
    <w:p w14:paraId="36C83BD0" w14:textId="40BF0B94" w:rsidR="00AC5AD9" w:rsidRPr="00381A22" w:rsidRDefault="00CA325F" w:rsidP="00AC5AD9">
      <w:pPr>
        <w:rPr>
          <w:rFonts w:ascii="Times New Roman" w:hAnsi="Times New Roman"/>
          <w:bCs/>
          <w:sz w:val="24"/>
          <w:szCs w:val="24"/>
        </w:rPr>
      </w:pPr>
      <w:r w:rsidRPr="00381A22">
        <w:rPr>
          <w:rFonts w:ascii="Times New Roman" w:hAnsi="Times New Roman"/>
          <w:bCs/>
          <w:sz w:val="24"/>
          <w:szCs w:val="24"/>
        </w:rPr>
        <w:t xml:space="preserve">Co-funding with </w:t>
      </w:r>
      <w:r w:rsidR="00ED0DDF" w:rsidRPr="00381A22">
        <w:rPr>
          <w:rFonts w:ascii="Times New Roman" w:hAnsi="Times New Roman"/>
          <w:bCs/>
          <w:sz w:val="24"/>
          <w:szCs w:val="24"/>
        </w:rPr>
        <w:t xml:space="preserve">a </w:t>
      </w:r>
      <w:r w:rsidRPr="00381A22">
        <w:rPr>
          <w:rFonts w:ascii="Times New Roman" w:hAnsi="Times New Roman"/>
          <w:bCs/>
          <w:sz w:val="24"/>
          <w:szCs w:val="24"/>
        </w:rPr>
        <w:t>foreign investo</w:t>
      </w:r>
      <w:r w:rsidR="00ED0DDF" w:rsidRPr="00381A22">
        <w:rPr>
          <w:rFonts w:ascii="Times New Roman" w:hAnsi="Times New Roman"/>
          <w:bCs/>
          <w:sz w:val="24"/>
          <w:szCs w:val="24"/>
        </w:rPr>
        <w:t xml:space="preserve">r </w:t>
      </w:r>
      <w:r w:rsidRPr="00381A22">
        <w:rPr>
          <w:rFonts w:ascii="Times New Roman" w:hAnsi="Times New Roman"/>
          <w:bCs/>
          <w:sz w:val="24"/>
          <w:szCs w:val="24"/>
        </w:rPr>
        <w:t xml:space="preserve">minimises the Government’s investment in such programs and may pave the way for similar collaboration with other major industry partners in the future. </w:t>
      </w:r>
      <w:proofErr w:type="gramStart"/>
      <w:r w:rsidRPr="00381A22">
        <w:rPr>
          <w:rFonts w:ascii="Times New Roman" w:hAnsi="Times New Roman"/>
          <w:bCs/>
          <w:sz w:val="24"/>
          <w:szCs w:val="24"/>
        </w:rPr>
        <w:t xml:space="preserve">It also helps achieve the Government’s policy goal of increasing student mobility in accordance with the department’s Program 2.7: International Education Support, the objective of which is to support the sustainable growth of Australia’s high quality international education, training and research through strong </w:t>
      </w:r>
      <w:r w:rsidR="00ED0DDF" w:rsidRPr="00381A22">
        <w:rPr>
          <w:rFonts w:ascii="Times New Roman" w:hAnsi="Times New Roman"/>
          <w:bCs/>
          <w:sz w:val="24"/>
          <w:szCs w:val="24"/>
        </w:rPr>
        <w:t xml:space="preserve">government-to-government engagement, </w:t>
      </w:r>
      <w:r w:rsidR="009E7D61" w:rsidRPr="00381A22">
        <w:rPr>
          <w:rFonts w:ascii="Times New Roman" w:hAnsi="Times New Roman"/>
          <w:bCs/>
          <w:sz w:val="24"/>
          <w:szCs w:val="24"/>
        </w:rPr>
        <w:t xml:space="preserve">international mobility, </w:t>
      </w:r>
      <w:r w:rsidR="00ED0DDF" w:rsidRPr="00381A22">
        <w:rPr>
          <w:rFonts w:ascii="Times New Roman" w:hAnsi="Times New Roman"/>
          <w:bCs/>
          <w:sz w:val="24"/>
          <w:szCs w:val="24"/>
        </w:rPr>
        <w:t xml:space="preserve">strategic policy and legislation, and Goal 6: Enhancing mobility of the </w:t>
      </w:r>
      <w:r w:rsidR="00ED0DDF" w:rsidRPr="00381A22">
        <w:rPr>
          <w:rFonts w:ascii="Times New Roman" w:hAnsi="Times New Roman"/>
          <w:bCs/>
          <w:i/>
          <w:sz w:val="24"/>
          <w:szCs w:val="24"/>
        </w:rPr>
        <w:t>National Strategy for International Education 2025</w:t>
      </w:r>
      <w:r w:rsidR="00ED0DDF" w:rsidRPr="00381A22">
        <w:rPr>
          <w:rFonts w:ascii="Times New Roman" w:hAnsi="Times New Roman"/>
          <w:bCs/>
          <w:sz w:val="24"/>
          <w:szCs w:val="24"/>
        </w:rPr>
        <w:t xml:space="preserve"> which is available at</w:t>
      </w:r>
      <w:r w:rsidR="009E7D61" w:rsidRPr="00381A22">
        <w:rPr>
          <w:rFonts w:ascii="Times New Roman" w:hAnsi="Times New Roman"/>
          <w:bCs/>
          <w:sz w:val="24"/>
          <w:szCs w:val="24"/>
        </w:rPr>
        <w:t xml:space="preserve"> </w:t>
      </w:r>
      <w:r w:rsidR="009E7D61" w:rsidRPr="00381A22">
        <w:rPr>
          <w:rFonts w:ascii="Times New Roman" w:hAnsi="Times New Roman"/>
          <w:bCs/>
          <w:sz w:val="24"/>
          <w:szCs w:val="24"/>
          <w:u w:val="single"/>
        </w:rPr>
        <w:t>https://nsie.education.gov.au/</w:t>
      </w:r>
      <w:r w:rsidR="00ED0DDF" w:rsidRPr="00381A22">
        <w:rPr>
          <w:rFonts w:ascii="Times New Roman" w:hAnsi="Times New Roman"/>
          <w:bCs/>
          <w:sz w:val="24"/>
          <w:szCs w:val="24"/>
        </w:rPr>
        <w:t>.</w:t>
      </w:r>
      <w:proofErr w:type="gramEnd"/>
      <w:r w:rsidR="00AC5AD9" w:rsidRPr="00381A22">
        <w:rPr>
          <w:rFonts w:ascii="Times New Roman" w:hAnsi="Times New Roman"/>
          <w:bCs/>
          <w:sz w:val="24"/>
          <w:szCs w:val="24"/>
        </w:rPr>
        <w:t xml:space="preserve"> </w:t>
      </w:r>
    </w:p>
    <w:p w14:paraId="3AAB7587" w14:textId="77777777" w:rsidR="00AC5AD9" w:rsidRPr="00381A22" w:rsidRDefault="00AC5AD9" w:rsidP="00AC5AD9">
      <w:pPr>
        <w:tabs>
          <w:tab w:val="left" w:pos="936"/>
        </w:tabs>
        <w:rPr>
          <w:rFonts w:ascii="Times New Roman" w:hAnsi="Times New Roman"/>
          <w:sz w:val="24"/>
          <w:szCs w:val="24"/>
        </w:rPr>
      </w:pPr>
    </w:p>
    <w:p w14:paraId="64D4ACA7" w14:textId="0E7864B7" w:rsidR="00AC5AD9" w:rsidRPr="00381A22" w:rsidRDefault="00AC5AD9" w:rsidP="00AC5AD9">
      <w:pPr>
        <w:rPr>
          <w:rFonts w:ascii="Times New Roman" w:hAnsi="Times New Roman"/>
          <w:sz w:val="24"/>
          <w:szCs w:val="24"/>
        </w:rPr>
      </w:pPr>
      <w:r w:rsidRPr="00381A22">
        <w:rPr>
          <w:rFonts w:ascii="Times New Roman" w:hAnsi="Times New Roman"/>
          <w:sz w:val="24"/>
          <w:szCs w:val="24"/>
        </w:rPr>
        <w:t>Australian universities</w:t>
      </w:r>
      <w:r w:rsidR="00A4168D" w:rsidRPr="00381A22">
        <w:rPr>
          <w:rFonts w:ascii="Times New Roman" w:hAnsi="Times New Roman"/>
          <w:sz w:val="24"/>
          <w:szCs w:val="24"/>
        </w:rPr>
        <w:t xml:space="preserve"> listed in Table A and Table B of the </w:t>
      </w:r>
      <w:r w:rsidR="00A4168D" w:rsidRPr="00381A22">
        <w:rPr>
          <w:rFonts w:ascii="Times New Roman" w:hAnsi="Times New Roman"/>
          <w:i/>
          <w:sz w:val="24"/>
          <w:szCs w:val="24"/>
        </w:rPr>
        <w:t>Higher Education Support Act</w:t>
      </w:r>
      <w:r w:rsidR="00856875" w:rsidRPr="00381A22">
        <w:rPr>
          <w:rFonts w:ascii="Times New Roman" w:hAnsi="Times New Roman"/>
          <w:i/>
          <w:sz w:val="24"/>
          <w:szCs w:val="24"/>
        </w:rPr>
        <w:t> </w:t>
      </w:r>
      <w:r w:rsidR="00A4168D" w:rsidRPr="00381A22">
        <w:rPr>
          <w:rFonts w:ascii="Times New Roman" w:hAnsi="Times New Roman"/>
          <w:i/>
          <w:sz w:val="24"/>
          <w:szCs w:val="24"/>
        </w:rPr>
        <w:t>2003</w:t>
      </w:r>
      <w:r w:rsidRPr="00381A22">
        <w:rPr>
          <w:rFonts w:ascii="Times New Roman" w:hAnsi="Times New Roman"/>
          <w:sz w:val="24"/>
          <w:szCs w:val="24"/>
        </w:rPr>
        <w:t xml:space="preserve">, including </w:t>
      </w:r>
      <w:r w:rsidR="00A4168D" w:rsidRPr="00381A22">
        <w:rPr>
          <w:rFonts w:ascii="Times New Roman" w:hAnsi="Times New Roman"/>
          <w:sz w:val="24"/>
          <w:szCs w:val="24"/>
        </w:rPr>
        <w:t xml:space="preserve">some </w:t>
      </w:r>
      <w:r w:rsidRPr="00381A22">
        <w:rPr>
          <w:rFonts w:ascii="Times New Roman" w:hAnsi="Times New Roman"/>
          <w:sz w:val="24"/>
          <w:szCs w:val="24"/>
        </w:rPr>
        <w:t xml:space="preserve">private universities, </w:t>
      </w:r>
      <w:r w:rsidR="00A81126" w:rsidRPr="00381A22">
        <w:rPr>
          <w:rFonts w:ascii="Times New Roman" w:hAnsi="Times New Roman"/>
          <w:sz w:val="24"/>
          <w:szCs w:val="24"/>
        </w:rPr>
        <w:t>will be eligible to</w:t>
      </w:r>
      <w:r w:rsidRPr="00381A22">
        <w:rPr>
          <w:rFonts w:ascii="Times New Roman" w:hAnsi="Times New Roman"/>
          <w:sz w:val="24"/>
          <w:szCs w:val="24"/>
        </w:rPr>
        <w:t xml:space="preserve"> opt</w:t>
      </w:r>
      <w:r w:rsidR="00A81126" w:rsidRPr="00381A22">
        <w:rPr>
          <w:rFonts w:ascii="Times New Roman" w:hAnsi="Times New Roman"/>
          <w:sz w:val="24"/>
          <w:szCs w:val="24"/>
        </w:rPr>
        <w:t xml:space="preserve"> </w:t>
      </w:r>
      <w:r w:rsidRPr="00381A22">
        <w:rPr>
          <w:rFonts w:ascii="Times New Roman" w:hAnsi="Times New Roman"/>
          <w:sz w:val="24"/>
          <w:szCs w:val="24"/>
        </w:rPr>
        <w:t xml:space="preserve">in </w:t>
      </w:r>
      <w:r w:rsidR="00A81126" w:rsidRPr="00381A22">
        <w:rPr>
          <w:rFonts w:ascii="Times New Roman" w:hAnsi="Times New Roman"/>
          <w:sz w:val="24"/>
          <w:szCs w:val="24"/>
        </w:rPr>
        <w:t>to</w:t>
      </w:r>
      <w:r w:rsidRPr="00381A22">
        <w:rPr>
          <w:rFonts w:ascii="Times New Roman" w:hAnsi="Times New Roman"/>
          <w:sz w:val="24"/>
          <w:szCs w:val="24"/>
        </w:rPr>
        <w:t xml:space="preserve"> receive</w:t>
      </w:r>
      <w:r w:rsidR="00A81126" w:rsidRPr="00381A22">
        <w:rPr>
          <w:rFonts w:ascii="Times New Roman" w:hAnsi="Times New Roman"/>
          <w:sz w:val="24"/>
          <w:szCs w:val="24"/>
        </w:rPr>
        <w:t xml:space="preserve"> grants under the Program. These grants </w:t>
      </w:r>
      <w:proofErr w:type="gramStart"/>
      <w:r w:rsidR="00A81126" w:rsidRPr="00381A22">
        <w:rPr>
          <w:rFonts w:ascii="Times New Roman" w:hAnsi="Times New Roman"/>
          <w:sz w:val="24"/>
          <w:szCs w:val="24"/>
        </w:rPr>
        <w:t>must be used</w:t>
      </w:r>
      <w:proofErr w:type="gramEnd"/>
      <w:r w:rsidR="00A81126" w:rsidRPr="00381A22">
        <w:rPr>
          <w:rFonts w:ascii="Times New Roman" w:hAnsi="Times New Roman"/>
          <w:sz w:val="24"/>
          <w:szCs w:val="24"/>
        </w:rPr>
        <w:t xml:space="preserve"> to support their students, and students of their partner universities in Asia, to undertake a short-term study opportunity </w:t>
      </w:r>
      <w:r w:rsidRPr="00381A22">
        <w:rPr>
          <w:rFonts w:ascii="Times New Roman" w:hAnsi="Times New Roman"/>
          <w:sz w:val="24"/>
          <w:szCs w:val="24"/>
        </w:rPr>
        <w:t xml:space="preserve">in one of 16 </w:t>
      </w:r>
      <w:r w:rsidR="00A81126" w:rsidRPr="00381A22">
        <w:rPr>
          <w:rFonts w:ascii="Times New Roman" w:hAnsi="Times New Roman"/>
          <w:sz w:val="24"/>
          <w:szCs w:val="24"/>
        </w:rPr>
        <w:t>select</w:t>
      </w:r>
      <w:r w:rsidRPr="00381A22">
        <w:rPr>
          <w:rFonts w:ascii="Times New Roman" w:hAnsi="Times New Roman"/>
          <w:sz w:val="24"/>
          <w:szCs w:val="24"/>
        </w:rPr>
        <w:t xml:space="preserve"> Asian countries </w:t>
      </w:r>
      <w:r w:rsidR="00A81126" w:rsidRPr="00381A22">
        <w:rPr>
          <w:rFonts w:ascii="Times New Roman" w:hAnsi="Times New Roman"/>
          <w:sz w:val="24"/>
          <w:szCs w:val="24"/>
        </w:rPr>
        <w:t>or</w:t>
      </w:r>
      <w:r w:rsidRPr="00381A22">
        <w:rPr>
          <w:rFonts w:ascii="Times New Roman" w:hAnsi="Times New Roman"/>
          <w:sz w:val="24"/>
          <w:szCs w:val="24"/>
        </w:rPr>
        <w:t xml:space="preserve"> Australia</w:t>
      </w:r>
      <w:r w:rsidR="00A81126" w:rsidRPr="00381A22">
        <w:rPr>
          <w:rFonts w:ascii="Times New Roman" w:hAnsi="Times New Roman"/>
          <w:sz w:val="24"/>
          <w:szCs w:val="24"/>
        </w:rPr>
        <w:t>,</w:t>
      </w:r>
      <w:r w:rsidRPr="00381A22">
        <w:rPr>
          <w:rFonts w:ascii="Times New Roman" w:hAnsi="Times New Roman"/>
          <w:sz w:val="24"/>
          <w:szCs w:val="24"/>
        </w:rPr>
        <w:t xml:space="preserve"> respectively. </w:t>
      </w:r>
    </w:p>
    <w:p w14:paraId="4DF06652" w14:textId="77777777" w:rsidR="00AC5AD9" w:rsidRPr="00381A22" w:rsidRDefault="00AC5AD9" w:rsidP="00AC5AD9">
      <w:pPr>
        <w:rPr>
          <w:rFonts w:ascii="Times New Roman" w:hAnsi="Times New Roman"/>
          <w:sz w:val="24"/>
          <w:szCs w:val="24"/>
        </w:rPr>
      </w:pPr>
    </w:p>
    <w:p w14:paraId="1A9247F6" w14:textId="228A2910" w:rsidR="00AC5AD9" w:rsidRPr="00381A22" w:rsidRDefault="00AC5AD9" w:rsidP="00AC5AD9">
      <w:pPr>
        <w:rPr>
          <w:rFonts w:ascii="Times New Roman" w:hAnsi="Times New Roman"/>
          <w:sz w:val="24"/>
          <w:szCs w:val="24"/>
        </w:rPr>
      </w:pPr>
      <w:r w:rsidRPr="00381A22">
        <w:rPr>
          <w:rFonts w:ascii="Times New Roman" w:hAnsi="Times New Roman"/>
          <w:sz w:val="24"/>
          <w:szCs w:val="24"/>
        </w:rPr>
        <w:t xml:space="preserve">The 16 identified countries, selected in consultation with the Cheung Kong Group, </w:t>
      </w:r>
      <w:proofErr w:type="gramStart"/>
      <w:r w:rsidRPr="00381A22">
        <w:rPr>
          <w:rFonts w:ascii="Times New Roman" w:hAnsi="Times New Roman"/>
          <w:sz w:val="24"/>
          <w:szCs w:val="24"/>
        </w:rPr>
        <w:t>are:</w:t>
      </w:r>
      <w:proofErr w:type="gramEnd"/>
      <w:r w:rsidRPr="00381A22">
        <w:rPr>
          <w:rFonts w:ascii="Times New Roman" w:hAnsi="Times New Roman"/>
          <w:sz w:val="24"/>
          <w:szCs w:val="24"/>
        </w:rPr>
        <w:t xml:space="preserve"> the </w:t>
      </w:r>
      <w:r w:rsidR="00856875" w:rsidRPr="00381A22">
        <w:rPr>
          <w:rFonts w:ascii="Times New Roman" w:hAnsi="Times New Roman"/>
          <w:sz w:val="24"/>
          <w:szCs w:val="24"/>
          <w:lang w:val="en-US"/>
        </w:rPr>
        <w:t>People’</w:t>
      </w:r>
      <w:r w:rsidRPr="00381A22">
        <w:rPr>
          <w:rFonts w:ascii="Times New Roman" w:hAnsi="Times New Roman"/>
          <w:sz w:val="24"/>
          <w:szCs w:val="24"/>
          <w:lang w:val="en-US"/>
        </w:rPr>
        <w:t>s Republic of China, Hong Kong,</w:t>
      </w:r>
      <w:r w:rsidRPr="00381A22">
        <w:rPr>
          <w:rFonts w:ascii="Times New Roman" w:eastAsia="Times New Roman" w:hAnsi="Times New Roman"/>
          <w:color w:val="181818"/>
          <w:w w:val="105"/>
          <w:sz w:val="24"/>
          <w:szCs w:val="24"/>
          <w:lang w:val="en-US"/>
        </w:rPr>
        <w:t xml:space="preserve"> </w:t>
      </w:r>
      <w:r w:rsidRPr="00381A22">
        <w:rPr>
          <w:rFonts w:ascii="Times New Roman" w:hAnsi="Times New Roman"/>
          <w:sz w:val="24"/>
          <w:szCs w:val="24"/>
          <w:lang w:val="en-US"/>
        </w:rPr>
        <w:t>Brunei Darussalam, Cambodia, India, Indonesia, Japan, Republic of Korea, Laos, Malaysia, Mongolia, Myanmar, Republic of the Philippines, Singapore, Thailand and Vietnam</w:t>
      </w:r>
      <w:r w:rsidRPr="00381A22">
        <w:rPr>
          <w:rFonts w:ascii="Times New Roman" w:hAnsi="Times New Roman"/>
          <w:sz w:val="24"/>
          <w:szCs w:val="24"/>
        </w:rPr>
        <w:t xml:space="preserve">. </w:t>
      </w:r>
    </w:p>
    <w:p w14:paraId="78DF589E" w14:textId="77777777" w:rsidR="00AC5AD9" w:rsidRPr="00381A22" w:rsidRDefault="00AC5AD9" w:rsidP="00AC5AD9">
      <w:pPr>
        <w:rPr>
          <w:rFonts w:ascii="Times New Roman" w:hAnsi="Times New Roman"/>
          <w:sz w:val="24"/>
          <w:szCs w:val="24"/>
        </w:rPr>
      </w:pPr>
    </w:p>
    <w:p w14:paraId="2B57A4B4" w14:textId="782B7ADA" w:rsidR="00AC5AD9" w:rsidRPr="00381A22" w:rsidRDefault="00AC5AD9" w:rsidP="00AC5AD9">
      <w:pPr>
        <w:rPr>
          <w:rFonts w:ascii="Times New Roman" w:hAnsi="Times New Roman"/>
          <w:bCs/>
          <w:sz w:val="24"/>
          <w:szCs w:val="24"/>
        </w:rPr>
      </w:pPr>
      <w:r w:rsidRPr="00381A22">
        <w:rPr>
          <w:rFonts w:ascii="Times New Roman" w:hAnsi="Times New Roman"/>
          <w:bCs/>
          <w:sz w:val="24"/>
          <w:szCs w:val="24"/>
        </w:rPr>
        <w:t xml:space="preserve">The Program funding </w:t>
      </w:r>
      <w:proofErr w:type="gramStart"/>
      <w:r w:rsidRPr="00381A22">
        <w:rPr>
          <w:rFonts w:ascii="Times New Roman" w:hAnsi="Times New Roman"/>
          <w:bCs/>
          <w:sz w:val="24"/>
          <w:szCs w:val="24"/>
        </w:rPr>
        <w:t>will be evenly distributed</w:t>
      </w:r>
      <w:proofErr w:type="gramEnd"/>
      <w:r w:rsidRPr="00381A22">
        <w:rPr>
          <w:rFonts w:ascii="Times New Roman" w:hAnsi="Times New Roman"/>
          <w:bCs/>
          <w:sz w:val="24"/>
          <w:szCs w:val="24"/>
        </w:rPr>
        <w:t xml:space="preserve"> between those Australian universities that opt</w:t>
      </w:r>
      <w:r w:rsidR="00A81126" w:rsidRPr="00381A22">
        <w:rPr>
          <w:rFonts w:ascii="Times New Roman" w:hAnsi="Times New Roman"/>
          <w:bCs/>
          <w:sz w:val="24"/>
          <w:szCs w:val="24"/>
        </w:rPr>
        <w:t xml:space="preserve"> </w:t>
      </w:r>
      <w:r w:rsidRPr="00381A22">
        <w:rPr>
          <w:rFonts w:ascii="Times New Roman" w:hAnsi="Times New Roman"/>
          <w:bCs/>
          <w:sz w:val="24"/>
          <w:szCs w:val="24"/>
        </w:rPr>
        <w:t>in</w:t>
      </w:r>
      <w:r w:rsidR="00A81126" w:rsidRPr="00381A22">
        <w:rPr>
          <w:rFonts w:ascii="Times New Roman" w:hAnsi="Times New Roman"/>
          <w:bCs/>
          <w:sz w:val="24"/>
          <w:szCs w:val="24"/>
        </w:rPr>
        <w:t xml:space="preserve"> to participate</w:t>
      </w:r>
      <w:r w:rsidRPr="00381A22">
        <w:rPr>
          <w:rFonts w:ascii="Times New Roman" w:hAnsi="Times New Roman"/>
          <w:bCs/>
          <w:sz w:val="24"/>
          <w:szCs w:val="24"/>
        </w:rPr>
        <w:t xml:space="preserve">. Australian universities will undertake their own processes to award </w:t>
      </w:r>
      <w:r w:rsidR="00A81126" w:rsidRPr="00381A22">
        <w:rPr>
          <w:rFonts w:ascii="Times New Roman" w:hAnsi="Times New Roman"/>
          <w:bCs/>
          <w:sz w:val="24"/>
          <w:szCs w:val="24"/>
        </w:rPr>
        <w:t xml:space="preserve">mobility </w:t>
      </w:r>
      <w:r w:rsidRPr="00381A22">
        <w:rPr>
          <w:rFonts w:ascii="Times New Roman" w:hAnsi="Times New Roman"/>
          <w:bCs/>
          <w:sz w:val="24"/>
          <w:szCs w:val="24"/>
        </w:rPr>
        <w:t xml:space="preserve">scholarships to </w:t>
      </w:r>
      <w:r w:rsidR="00A81126" w:rsidRPr="00381A22">
        <w:rPr>
          <w:rFonts w:ascii="Times New Roman" w:hAnsi="Times New Roman"/>
          <w:bCs/>
          <w:sz w:val="24"/>
          <w:szCs w:val="24"/>
        </w:rPr>
        <w:t xml:space="preserve">individual </w:t>
      </w:r>
      <w:r w:rsidRPr="00381A22">
        <w:rPr>
          <w:rFonts w:ascii="Times New Roman" w:hAnsi="Times New Roman"/>
          <w:bCs/>
          <w:sz w:val="24"/>
          <w:szCs w:val="24"/>
        </w:rPr>
        <w:t>students</w:t>
      </w:r>
      <w:r w:rsidR="00A81126" w:rsidRPr="00381A22">
        <w:rPr>
          <w:rFonts w:ascii="Times New Roman" w:hAnsi="Times New Roman"/>
          <w:bCs/>
          <w:sz w:val="24"/>
          <w:szCs w:val="24"/>
        </w:rPr>
        <w:t xml:space="preserve"> they deem eligible</w:t>
      </w:r>
      <w:r w:rsidRPr="00381A22">
        <w:rPr>
          <w:rFonts w:ascii="Times New Roman" w:hAnsi="Times New Roman"/>
          <w:bCs/>
          <w:sz w:val="24"/>
          <w:szCs w:val="24"/>
        </w:rPr>
        <w:t xml:space="preserve">. </w:t>
      </w:r>
    </w:p>
    <w:p w14:paraId="24E46F11" w14:textId="77777777" w:rsidR="00AC5AD9" w:rsidRPr="00381A22" w:rsidRDefault="00AC5AD9" w:rsidP="00AC5AD9">
      <w:pPr>
        <w:rPr>
          <w:rFonts w:ascii="Times New Roman" w:hAnsi="Times New Roman"/>
          <w:bCs/>
          <w:sz w:val="24"/>
          <w:szCs w:val="24"/>
        </w:rPr>
      </w:pPr>
    </w:p>
    <w:p w14:paraId="6A85AF46" w14:textId="04E8F871" w:rsidR="00AC5AD9" w:rsidRPr="00381A22" w:rsidRDefault="00AC5AD9" w:rsidP="00AC5AD9">
      <w:pPr>
        <w:rPr>
          <w:rFonts w:ascii="Times New Roman" w:hAnsi="Times New Roman"/>
          <w:sz w:val="24"/>
          <w:szCs w:val="24"/>
        </w:rPr>
      </w:pPr>
      <w:r w:rsidRPr="00381A22">
        <w:rPr>
          <w:rFonts w:ascii="Times New Roman" w:hAnsi="Times New Roman"/>
          <w:sz w:val="24"/>
          <w:szCs w:val="24"/>
        </w:rPr>
        <w:t>Each mobility scholarship will be worth an average of $5,500 to support either short-term mobility, including study tours, or a semester exchange</w:t>
      </w:r>
      <w:r w:rsidR="00EC076E" w:rsidRPr="00381A22">
        <w:rPr>
          <w:rFonts w:ascii="Times New Roman" w:hAnsi="Times New Roman"/>
          <w:sz w:val="24"/>
          <w:szCs w:val="24"/>
        </w:rPr>
        <w:t xml:space="preserve">. </w:t>
      </w:r>
      <w:r w:rsidR="00EC076E" w:rsidRPr="00381A22">
        <w:rPr>
          <w:rFonts w:ascii="Times New Roman" w:hAnsi="Times New Roman"/>
          <w:bCs/>
          <w:sz w:val="24"/>
          <w:szCs w:val="24"/>
        </w:rPr>
        <w:t>T</w:t>
      </w:r>
      <w:r w:rsidRPr="00381A22">
        <w:rPr>
          <w:rFonts w:ascii="Times New Roman" w:hAnsi="Times New Roman"/>
          <w:bCs/>
          <w:sz w:val="24"/>
          <w:szCs w:val="24"/>
        </w:rPr>
        <w:t xml:space="preserve">he Australian university </w:t>
      </w:r>
      <w:r w:rsidR="00EC076E" w:rsidRPr="00381A22">
        <w:rPr>
          <w:rFonts w:ascii="Times New Roman" w:hAnsi="Times New Roman"/>
          <w:bCs/>
          <w:sz w:val="24"/>
          <w:szCs w:val="24"/>
        </w:rPr>
        <w:t>will</w:t>
      </w:r>
      <w:r w:rsidRPr="00381A22">
        <w:rPr>
          <w:rFonts w:ascii="Times New Roman" w:hAnsi="Times New Roman"/>
          <w:bCs/>
          <w:sz w:val="24"/>
          <w:szCs w:val="24"/>
        </w:rPr>
        <w:t xml:space="preserve"> determine the </w:t>
      </w:r>
      <w:r w:rsidR="00EC076E" w:rsidRPr="00381A22">
        <w:rPr>
          <w:rFonts w:ascii="Times New Roman" w:hAnsi="Times New Roman"/>
          <w:bCs/>
          <w:sz w:val="24"/>
          <w:szCs w:val="24"/>
        </w:rPr>
        <w:t>exact</w:t>
      </w:r>
      <w:r w:rsidRPr="00381A22">
        <w:rPr>
          <w:rFonts w:ascii="Times New Roman" w:hAnsi="Times New Roman"/>
          <w:bCs/>
          <w:sz w:val="24"/>
          <w:szCs w:val="24"/>
        </w:rPr>
        <w:t xml:space="preserve"> scholarship amount per student. The mobility </w:t>
      </w:r>
      <w:r w:rsidR="00EC076E" w:rsidRPr="00381A22">
        <w:rPr>
          <w:rFonts w:ascii="Times New Roman" w:hAnsi="Times New Roman"/>
          <w:bCs/>
          <w:sz w:val="24"/>
          <w:szCs w:val="24"/>
        </w:rPr>
        <w:t>scholarships</w:t>
      </w:r>
      <w:r w:rsidRPr="00381A22">
        <w:rPr>
          <w:rFonts w:ascii="Times New Roman" w:hAnsi="Times New Roman"/>
          <w:bCs/>
          <w:sz w:val="24"/>
          <w:szCs w:val="24"/>
        </w:rPr>
        <w:t xml:space="preserve"> will be available for both undergraduate and postgraduate university students from 2020-21. The</w:t>
      </w:r>
      <w:r w:rsidR="00856875" w:rsidRPr="00381A22">
        <w:rPr>
          <w:rFonts w:ascii="Times New Roman" w:hAnsi="Times New Roman"/>
          <w:bCs/>
          <w:sz w:val="24"/>
          <w:szCs w:val="24"/>
        </w:rPr>
        <w:t> </w:t>
      </w:r>
      <w:r w:rsidRPr="00381A22">
        <w:rPr>
          <w:rFonts w:ascii="Times New Roman" w:hAnsi="Times New Roman"/>
          <w:bCs/>
          <w:sz w:val="24"/>
          <w:szCs w:val="24"/>
        </w:rPr>
        <w:t>Program will conclude on 30 June 2030.</w:t>
      </w:r>
    </w:p>
    <w:p w14:paraId="25A1F0F0" w14:textId="77777777" w:rsidR="00AC5AD9" w:rsidRPr="00381A22" w:rsidRDefault="00AC5AD9" w:rsidP="00AC5AD9">
      <w:pPr>
        <w:rPr>
          <w:rFonts w:ascii="Times New Roman" w:hAnsi="Times New Roman"/>
          <w:sz w:val="24"/>
          <w:szCs w:val="24"/>
        </w:rPr>
      </w:pPr>
    </w:p>
    <w:p w14:paraId="50A4FF3A" w14:textId="7A461B47" w:rsidR="00AC5AD9" w:rsidRPr="00381A22" w:rsidRDefault="00AC5AD9" w:rsidP="00AC5AD9">
      <w:pPr>
        <w:rPr>
          <w:rFonts w:ascii="Times New Roman" w:hAnsi="Times New Roman"/>
          <w:sz w:val="24"/>
          <w:szCs w:val="24"/>
        </w:rPr>
      </w:pPr>
      <w:r w:rsidRPr="00381A22">
        <w:rPr>
          <w:rFonts w:ascii="Times New Roman" w:hAnsi="Times New Roman"/>
          <w:sz w:val="24"/>
          <w:szCs w:val="24"/>
        </w:rPr>
        <w:t xml:space="preserve">It </w:t>
      </w:r>
      <w:proofErr w:type="gramStart"/>
      <w:r w:rsidRPr="00381A22">
        <w:rPr>
          <w:rFonts w:ascii="Times New Roman" w:hAnsi="Times New Roman"/>
          <w:sz w:val="24"/>
          <w:szCs w:val="24"/>
        </w:rPr>
        <w:t>is expected</w:t>
      </w:r>
      <w:proofErr w:type="gramEnd"/>
      <w:r w:rsidRPr="00381A22">
        <w:rPr>
          <w:rFonts w:ascii="Times New Roman" w:hAnsi="Times New Roman"/>
          <w:sz w:val="24"/>
          <w:szCs w:val="24"/>
        </w:rPr>
        <w:t xml:space="preserve"> that the first application round for the Program will be held in 2020, but that students will not travel until 2021 at the earliest due to </w:t>
      </w:r>
      <w:r w:rsidR="00856875" w:rsidRPr="00381A22">
        <w:rPr>
          <w:rFonts w:ascii="Times New Roman" w:hAnsi="Times New Roman"/>
          <w:sz w:val="24"/>
          <w:szCs w:val="24"/>
        </w:rPr>
        <w:t xml:space="preserve">the </w:t>
      </w:r>
      <w:r w:rsidRPr="00381A22">
        <w:rPr>
          <w:rFonts w:ascii="Times New Roman" w:hAnsi="Times New Roman"/>
          <w:sz w:val="24"/>
          <w:szCs w:val="24"/>
        </w:rPr>
        <w:t>COVID-19 travel restrictions.</w:t>
      </w:r>
    </w:p>
    <w:p w14:paraId="64E03E51" w14:textId="77777777" w:rsidR="00AC5AD9" w:rsidRPr="00381A22" w:rsidRDefault="00AC5AD9" w:rsidP="00AC5AD9">
      <w:pPr>
        <w:rPr>
          <w:rFonts w:ascii="Times New Roman" w:hAnsi="Times New Roman"/>
          <w:sz w:val="24"/>
          <w:szCs w:val="24"/>
        </w:rPr>
      </w:pPr>
    </w:p>
    <w:p w14:paraId="09C398FF" w14:textId="0B1454A3" w:rsidR="00AC5AD9" w:rsidRPr="00381A22" w:rsidRDefault="00AC5AD9" w:rsidP="00AC5AD9">
      <w:pPr>
        <w:rPr>
          <w:rFonts w:ascii="Times New Roman" w:hAnsi="Times New Roman"/>
          <w:bCs/>
          <w:sz w:val="24"/>
          <w:szCs w:val="24"/>
        </w:rPr>
      </w:pPr>
      <w:r w:rsidRPr="00381A22">
        <w:rPr>
          <w:rFonts w:ascii="Times New Roman" w:hAnsi="Times New Roman"/>
          <w:bCs/>
          <w:sz w:val="24"/>
          <w:szCs w:val="24"/>
        </w:rPr>
        <w:t xml:space="preserve">Universities will </w:t>
      </w:r>
      <w:r w:rsidR="00EC076E" w:rsidRPr="00381A22">
        <w:rPr>
          <w:rFonts w:ascii="Times New Roman" w:hAnsi="Times New Roman"/>
          <w:bCs/>
          <w:sz w:val="24"/>
          <w:szCs w:val="24"/>
        </w:rPr>
        <w:t xml:space="preserve">be required </w:t>
      </w:r>
      <w:r w:rsidRPr="00381A22">
        <w:rPr>
          <w:rFonts w:ascii="Times New Roman" w:hAnsi="Times New Roman"/>
          <w:bCs/>
          <w:sz w:val="24"/>
          <w:szCs w:val="24"/>
        </w:rPr>
        <w:t xml:space="preserve">to ensure an even allocation of </w:t>
      </w:r>
      <w:r w:rsidR="00EC076E" w:rsidRPr="00381A22">
        <w:rPr>
          <w:rFonts w:ascii="Times New Roman" w:hAnsi="Times New Roman"/>
          <w:bCs/>
          <w:sz w:val="24"/>
          <w:szCs w:val="24"/>
        </w:rPr>
        <w:t xml:space="preserve">the </w:t>
      </w:r>
      <w:r w:rsidRPr="00381A22">
        <w:rPr>
          <w:rFonts w:ascii="Times New Roman" w:hAnsi="Times New Roman"/>
          <w:bCs/>
          <w:sz w:val="24"/>
          <w:szCs w:val="24"/>
        </w:rPr>
        <w:t xml:space="preserve">number of opportunities between incoming </w:t>
      </w:r>
      <w:r w:rsidR="00EC076E" w:rsidRPr="00381A22">
        <w:rPr>
          <w:rFonts w:ascii="Times New Roman" w:hAnsi="Times New Roman"/>
          <w:bCs/>
          <w:sz w:val="24"/>
          <w:szCs w:val="24"/>
        </w:rPr>
        <w:t xml:space="preserve">international </w:t>
      </w:r>
      <w:r w:rsidRPr="00381A22">
        <w:rPr>
          <w:rFonts w:ascii="Times New Roman" w:hAnsi="Times New Roman"/>
          <w:bCs/>
          <w:sz w:val="24"/>
          <w:szCs w:val="24"/>
        </w:rPr>
        <w:t xml:space="preserve">and outgoing </w:t>
      </w:r>
      <w:r w:rsidR="00EC076E" w:rsidRPr="00381A22">
        <w:rPr>
          <w:rFonts w:ascii="Times New Roman" w:hAnsi="Times New Roman"/>
          <w:bCs/>
          <w:sz w:val="24"/>
          <w:szCs w:val="24"/>
        </w:rPr>
        <w:t xml:space="preserve">Australian </w:t>
      </w:r>
      <w:r w:rsidRPr="00381A22">
        <w:rPr>
          <w:rFonts w:ascii="Times New Roman" w:hAnsi="Times New Roman"/>
          <w:bCs/>
          <w:sz w:val="24"/>
          <w:szCs w:val="24"/>
        </w:rPr>
        <w:t xml:space="preserve">students. There will be flexibility to </w:t>
      </w:r>
      <w:r w:rsidRPr="00381A22">
        <w:rPr>
          <w:rFonts w:ascii="Times New Roman" w:hAnsi="Times New Roman"/>
          <w:bCs/>
          <w:sz w:val="24"/>
          <w:szCs w:val="24"/>
        </w:rPr>
        <w:lastRenderedPageBreak/>
        <w:t xml:space="preserve">allow universities </w:t>
      </w:r>
      <w:proofErr w:type="gramStart"/>
      <w:r w:rsidRPr="00381A22">
        <w:rPr>
          <w:rFonts w:ascii="Times New Roman" w:hAnsi="Times New Roman"/>
          <w:bCs/>
          <w:sz w:val="24"/>
          <w:szCs w:val="24"/>
        </w:rPr>
        <w:t>to further co-invest</w:t>
      </w:r>
      <w:proofErr w:type="gramEnd"/>
      <w:r w:rsidRPr="00381A22">
        <w:rPr>
          <w:rFonts w:ascii="Times New Roman" w:hAnsi="Times New Roman"/>
          <w:bCs/>
          <w:sz w:val="24"/>
          <w:szCs w:val="24"/>
        </w:rPr>
        <w:t xml:space="preserve">, including providing additional funding to their scholars.  </w:t>
      </w:r>
    </w:p>
    <w:p w14:paraId="5E3935B7" w14:textId="2009761D" w:rsidR="00A03C47" w:rsidRPr="00381A22" w:rsidRDefault="00A03C47" w:rsidP="00AC5AD9">
      <w:pPr>
        <w:rPr>
          <w:rFonts w:ascii="Times New Roman" w:hAnsi="Times New Roman"/>
          <w:bCs/>
          <w:sz w:val="24"/>
          <w:szCs w:val="24"/>
        </w:rPr>
      </w:pPr>
    </w:p>
    <w:p w14:paraId="435D228C" w14:textId="25FFA1C5" w:rsidR="00A03C47" w:rsidRPr="00381A22" w:rsidRDefault="00A03C47" w:rsidP="00A03C47">
      <w:pPr>
        <w:rPr>
          <w:rFonts w:ascii="Times New Roman" w:hAnsi="Times New Roman"/>
          <w:sz w:val="24"/>
          <w:szCs w:val="24"/>
        </w:rPr>
      </w:pPr>
      <w:r w:rsidRPr="00381A22">
        <w:rPr>
          <w:rFonts w:ascii="Times New Roman" w:hAnsi="Times New Roman"/>
          <w:sz w:val="24"/>
          <w:szCs w:val="24"/>
        </w:rPr>
        <w:t>The Community Grants Hub</w:t>
      </w:r>
      <w:r w:rsidR="00EC076E" w:rsidRPr="00381A22">
        <w:rPr>
          <w:rFonts w:ascii="Times New Roman" w:hAnsi="Times New Roman"/>
          <w:sz w:val="24"/>
          <w:szCs w:val="24"/>
        </w:rPr>
        <w:t>, part of the Department of Social Services,</w:t>
      </w:r>
      <w:r w:rsidRPr="00381A22">
        <w:rPr>
          <w:rFonts w:ascii="Times New Roman" w:hAnsi="Times New Roman"/>
          <w:sz w:val="24"/>
          <w:szCs w:val="24"/>
        </w:rPr>
        <w:t xml:space="preserve"> will be responsible for managing the Program, including:</w:t>
      </w:r>
    </w:p>
    <w:p w14:paraId="670329C0" w14:textId="3754426C" w:rsidR="00A03C47" w:rsidRPr="00381A22" w:rsidRDefault="00A03C47" w:rsidP="00A03C47">
      <w:pPr>
        <w:pStyle w:val="ListParagraph"/>
        <w:numPr>
          <w:ilvl w:val="0"/>
          <w:numId w:val="28"/>
        </w:numPr>
        <w:ind w:left="720" w:right="-46"/>
        <w:rPr>
          <w:szCs w:val="24"/>
        </w:rPr>
      </w:pPr>
      <w:r w:rsidRPr="00381A22">
        <w:rPr>
          <w:szCs w:val="24"/>
        </w:rPr>
        <w:t xml:space="preserve">advertising the Program to all Australian universities; </w:t>
      </w:r>
    </w:p>
    <w:p w14:paraId="7F65A33B" w14:textId="4FD0BD4F" w:rsidR="00A03C47" w:rsidRPr="00381A22" w:rsidRDefault="00A03C47" w:rsidP="00A03C47">
      <w:pPr>
        <w:pStyle w:val="ListParagraph"/>
        <w:numPr>
          <w:ilvl w:val="0"/>
          <w:numId w:val="28"/>
        </w:numPr>
        <w:ind w:left="720" w:right="-46"/>
        <w:rPr>
          <w:szCs w:val="24"/>
        </w:rPr>
      </w:pPr>
      <w:r w:rsidRPr="00381A22">
        <w:rPr>
          <w:szCs w:val="24"/>
        </w:rPr>
        <w:t>evenly distributing funding to Australian universities that opt in; and</w:t>
      </w:r>
    </w:p>
    <w:p w14:paraId="2604E7EA" w14:textId="195208A0" w:rsidR="00A03C47" w:rsidRPr="00381A22" w:rsidRDefault="00A03C47" w:rsidP="00AC5AD9">
      <w:pPr>
        <w:pStyle w:val="ListParagraph"/>
        <w:numPr>
          <w:ilvl w:val="0"/>
          <w:numId w:val="28"/>
        </w:numPr>
        <w:ind w:left="720" w:right="-46"/>
        <w:rPr>
          <w:szCs w:val="24"/>
        </w:rPr>
      </w:pPr>
      <w:proofErr w:type="gramStart"/>
      <w:r w:rsidRPr="00381A22">
        <w:rPr>
          <w:szCs w:val="24"/>
        </w:rPr>
        <w:t>managing</w:t>
      </w:r>
      <w:proofErr w:type="gramEnd"/>
      <w:r w:rsidRPr="00381A22">
        <w:rPr>
          <w:szCs w:val="24"/>
        </w:rPr>
        <w:t xml:space="preserve"> grant agreements with those Australian universities</w:t>
      </w:r>
      <w:r w:rsidR="00347462" w:rsidRPr="00381A22">
        <w:rPr>
          <w:szCs w:val="24"/>
        </w:rPr>
        <w:t>, in consultation with the department</w:t>
      </w:r>
      <w:r w:rsidRPr="00381A22">
        <w:rPr>
          <w:szCs w:val="24"/>
        </w:rPr>
        <w:t>.</w:t>
      </w:r>
    </w:p>
    <w:p w14:paraId="2FD133DF" w14:textId="77777777" w:rsidR="00AC5AD9" w:rsidRPr="00381A22" w:rsidRDefault="00AC5AD9" w:rsidP="00AC5AD9">
      <w:pPr>
        <w:tabs>
          <w:tab w:val="left" w:pos="936"/>
        </w:tabs>
        <w:rPr>
          <w:rFonts w:ascii="Times New Roman" w:hAnsi="Times New Roman"/>
          <w:color w:val="000000" w:themeColor="text1"/>
          <w:sz w:val="24"/>
          <w:szCs w:val="24"/>
        </w:rPr>
      </w:pPr>
    </w:p>
    <w:p w14:paraId="4AACFCB3" w14:textId="02EF5439" w:rsidR="00EC076E" w:rsidRPr="00381A22" w:rsidRDefault="00866945" w:rsidP="00EC076E">
      <w:pPr>
        <w:rPr>
          <w:rFonts w:ascii="Times New Roman" w:hAnsi="Times New Roman"/>
          <w:sz w:val="24"/>
          <w:szCs w:val="24"/>
        </w:rPr>
      </w:pPr>
      <w:r w:rsidRPr="00381A22">
        <w:rPr>
          <w:rFonts w:ascii="Times New Roman" w:hAnsi="Times New Roman"/>
          <w:sz w:val="24"/>
          <w:szCs w:val="24"/>
        </w:rPr>
        <w:t>Grant f</w:t>
      </w:r>
      <w:r w:rsidR="00EC076E" w:rsidRPr="00381A22">
        <w:rPr>
          <w:rFonts w:ascii="Times New Roman" w:hAnsi="Times New Roman"/>
          <w:sz w:val="24"/>
          <w:szCs w:val="24"/>
        </w:rPr>
        <w:t xml:space="preserve">unding to Australian universities </w:t>
      </w:r>
      <w:proofErr w:type="gramStart"/>
      <w:r w:rsidR="00EC076E" w:rsidRPr="00381A22">
        <w:rPr>
          <w:rFonts w:ascii="Times New Roman" w:hAnsi="Times New Roman"/>
          <w:sz w:val="24"/>
          <w:szCs w:val="24"/>
        </w:rPr>
        <w:t>will be provided</w:t>
      </w:r>
      <w:proofErr w:type="gramEnd"/>
      <w:r w:rsidRPr="00381A22">
        <w:rPr>
          <w:rFonts w:ascii="Times New Roman" w:hAnsi="Times New Roman"/>
          <w:sz w:val="24"/>
          <w:szCs w:val="24"/>
        </w:rPr>
        <w:t xml:space="preserve"> using a closed non-competitive grant process,</w:t>
      </w:r>
      <w:r w:rsidR="00EC076E" w:rsidRPr="00381A22">
        <w:rPr>
          <w:rFonts w:ascii="Times New Roman" w:hAnsi="Times New Roman"/>
          <w:sz w:val="24"/>
          <w:szCs w:val="24"/>
        </w:rPr>
        <w:t xml:space="preserve"> in accordance with applicable legislative requirements under the </w:t>
      </w:r>
      <w:r w:rsidR="00EC076E" w:rsidRPr="00381A22">
        <w:rPr>
          <w:rFonts w:ascii="Times New Roman" w:hAnsi="Times New Roman"/>
          <w:i/>
          <w:sz w:val="24"/>
          <w:szCs w:val="24"/>
        </w:rPr>
        <w:t>Public Governance, Performance and Accountability Act 2013</w:t>
      </w:r>
      <w:r w:rsidR="00EC076E" w:rsidRPr="00381A22">
        <w:rPr>
          <w:rFonts w:ascii="Times New Roman" w:hAnsi="Times New Roman"/>
          <w:sz w:val="24"/>
          <w:szCs w:val="24"/>
        </w:rPr>
        <w:t xml:space="preserve"> (the PGPA Act) and the </w:t>
      </w:r>
      <w:r w:rsidR="00EC076E" w:rsidRPr="00381A22">
        <w:rPr>
          <w:rFonts w:ascii="Times New Roman" w:hAnsi="Times New Roman"/>
          <w:i/>
          <w:sz w:val="24"/>
          <w:szCs w:val="24"/>
        </w:rPr>
        <w:t>Commonwealth Grants Rules and Guidelines 2017</w:t>
      </w:r>
      <w:r w:rsidR="00EC076E" w:rsidRPr="00381A22">
        <w:rPr>
          <w:rFonts w:ascii="Times New Roman" w:hAnsi="Times New Roman"/>
          <w:sz w:val="24"/>
          <w:szCs w:val="24"/>
        </w:rPr>
        <w:t xml:space="preserve"> (CGRGs). The Community Grants Hub will develop grant opportunity guidelines for universities</w:t>
      </w:r>
      <w:r w:rsidR="00347462" w:rsidRPr="00381A22">
        <w:rPr>
          <w:rFonts w:ascii="Times New Roman" w:hAnsi="Times New Roman"/>
          <w:sz w:val="24"/>
          <w:szCs w:val="24"/>
        </w:rPr>
        <w:t>,</w:t>
      </w:r>
      <w:r w:rsidR="00EC076E" w:rsidRPr="00381A22">
        <w:rPr>
          <w:rFonts w:ascii="Times New Roman" w:hAnsi="Times New Roman"/>
          <w:sz w:val="24"/>
          <w:szCs w:val="24"/>
        </w:rPr>
        <w:t xml:space="preserve"> in partnership with the department. </w:t>
      </w:r>
      <w:r w:rsidRPr="00381A22">
        <w:rPr>
          <w:rFonts w:ascii="Times New Roman" w:hAnsi="Times New Roman"/>
          <w:sz w:val="24"/>
          <w:szCs w:val="24"/>
        </w:rPr>
        <w:t>The g</w:t>
      </w:r>
      <w:r w:rsidR="00EC076E" w:rsidRPr="00381A22">
        <w:rPr>
          <w:rFonts w:ascii="Times New Roman" w:hAnsi="Times New Roman"/>
          <w:sz w:val="24"/>
          <w:szCs w:val="24"/>
        </w:rPr>
        <w:t xml:space="preserve">rant opportunity guidelines and information on the grants awarded </w:t>
      </w:r>
      <w:proofErr w:type="gramStart"/>
      <w:r w:rsidR="00EC076E" w:rsidRPr="00381A22">
        <w:rPr>
          <w:rFonts w:ascii="Times New Roman" w:hAnsi="Times New Roman"/>
          <w:sz w:val="24"/>
          <w:szCs w:val="24"/>
        </w:rPr>
        <w:t>will be published</w:t>
      </w:r>
      <w:proofErr w:type="gramEnd"/>
      <w:r w:rsidR="00EC076E" w:rsidRPr="00381A22">
        <w:rPr>
          <w:rFonts w:ascii="Times New Roman" w:hAnsi="Times New Roman"/>
          <w:sz w:val="24"/>
          <w:szCs w:val="24"/>
        </w:rPr>
        <w:t xml:space="preserve"> on </w:t>
      </w:r>
      <w:r w:rsidRPr="00381A22">
        <w:rPr>
          <w:rFonts w:ascii="Times New Roman" w:hAnsi="Times New Roman"/>
          <w:sz w:val="24"/>
          <w:szCs w:val="24"/>
        </w:rPr>
        <w:t>the Community Grants Hub website (</w:t>
      </w:r>
      <w:proofErr w:type="spellStart"/>
      <w:r w:rsidRPr="00381A22">
        <w:rPr>
          <w:rFonts w:ascii="Times New Roman" w:hAnsi="Times New Roman"/>
          <w:sz w:val="24"/>
          <w:szCs w:val="24"/>
          <w:u w:val="single"/>
        </w:rPr>
        <w:t>www.communitygrants.gov.au</w:t>
      </w:r>
      <w:proofErr w:type="spellEnd"/>
      <w:r w:rsidRPr="00381A22">
        <w:rPr>
          <w:rFonts w:ascii="Times New Roman" w:hAnsi="Times New Roman"/>
          <w:sz w:val="24"/>
          <w:szCs w:val="24"/>
        </w:rPr>
        <w:t xml:space="preserve">) and on </w:t>
      </w:r>
      <w:proofErr w:type="spellStart"/>
      <w:r w:rsidR="00EC076E" w:rsidRPr="00381A22">
        <w:rPr>
          <w:rFonts w:ascii="Times New Roman" w:hAnsi="Times New Roman"/>
          <w:sz w:val="24"/>
          <w:szCs w:val="24"/>
        </w:rPr>
        <w:t>GrantConnect</w:t>
      </w:r>
      <w:proofErr w:type="spellEnd"/>
      <w:r w:rsidR="00EC076E" w:rsidRPr="00381A22">
        <w:rPr>
          <w:rFonts w:ascii="Times New Roman" w:hAnsi="Times New Roman"/>
          <w:sz w:val="24"/>
          <w:szCs w:val="24"/>
        </w:rPr>
        <w:t xml:space="preserve"> (</w:t>
      </w:r>
      <w:proofErr w:type="spellStart"/>
      <w:r w:rsidR="00EC076E" w:rsidRPr="00381A22">
        <w:rPr>
          <w:rFonts w:ascii="Times New Roman" w:hAnsi="Times New Roman"/>
          <w:sz w:val="24"/>
          <w:szCs w:val="24"/>
          <w:u w:val="single"/>
        </w:rPr>
        <w:t>www.grants.gov.au</w:t>
      </w:r>
      <w:proofErr w:type="spellEnd"/>
      <w:r w:rsidR="00EC076E" w:rsidRPr="00381A22">
        <w:rPr>
          <w:rFonts w:ascii="Times New Roman" w:hAnsi="Times New Roman"/>
          <w:sz w:val="24"/>
          <w:szCs w:val="24"/>
        </w:rPr>
        <w:t>).</w:t>
      </w:r>
    </w:p>
    <w:p w14:paraId="17D352A0" w14:textId="77777777" w:rsidR="00EC076E" w:rsidRPr="00381A22" w:rsidRDefault="00EC076E" w:rsidP="00AC5AD9">
      <w:pPr>
        <w:rPr>
          <w:rFonts w:ascii="Times New Roman" w:hAnsi="Times New Roman"/>
          <w:bCs/>
          <w:sz w:val="24"/>
          <w:szCs w:val="24"/>
        </w:rPr>
      </w:pPr>
    </w:p>
    <w:p w14:paraId="50B5D8A3" w14:textId="2E5D273A" w:rsidR="00AC5AD9" w:rsidRPr="00381A22" w:rsidRDefault="00AC5AD9" w:rsidP="00AC5AD9">
      <w:pPr>
        <w:rPr>
          <w:rFonts w:ascii="Times New Roman" w:hAnsi="Times New Roman"/>
          <w:bCs/>
          <w:sz w:val="24"/>
          <w:szCs w:val="24"/>
        </w:rPr>
      </w:pPr>
      <w:r w:rsidRPr="00381A22">
        <w:rPr>
          <w:rFonts w:ascii="Times New Roman" w:hAnsi="Times New Roman"/>
          <w:bCs/>
          <w:sz w:val="24"/>
          <w:szCs w:val="24"/>
        </w:rPr>
        <w:t xml:space="preserve">The department and the Cheung Kong Group will enter into an agreement on the implementation and delivery of the Program. The Cheung Kong Group will have no </w:t>
      </w:r>
      <w:proofErr w:type="gramStart"/>
      <w:r w:rsidRPr="00381A22">
        <w:rPr>
          <w:rFonts w:ascii="Times New Roman" w:hAnsi="Times New Roman"/>
          <w:bCs/>
          <w:sz w:val="24"/>
          <w:szCs w:val="24"/>
        </w:rPr>
        <w:t>decision making</w:t>
      </w:r>
      <w:proofErr w:type="gramEnd"/>
      <w:r w:rsidRPr="00381A22">
        <w:rPr>
          <w:rFonts w:ascii="Times New Roman" w:hAnsi="Times New Roman"/>
          <w:bCs/>
          <w:sz w:val="24"/>
          <w:szCs w:val="24"/>
        </w:rPr>
        <w:t xml:space="preserve"> power over </w:t>
      </w:r>
      <w:r w:rsidR="00EC076E" w:rsidRPr="00381A22">
        <w:rPr>
          <w:rFonts w:ascii="Times New Roman" w:hAnsi="Times New Roman"/>
          <w:bCs/>
          <w:sz w:val="24"/>
          <w:szCs w:val="24"/>
        </w:rPr>
        <w:t>which</w:t>
      </w:r>
      <w:r w:rsidRPr="00381A22">
        <w:rPr>
          <w:rFonts w:ascii="Times New Roman" w:hAnsi="Times New Roman"/>
          <w:bCs/>
          <w:sz w:val="24"/>
          <w:szCs w:val="24"/>
        </w:rPr>
        <w:t xml:space="preserve"> students or universities are supported by the Program. The Minister for Education will be the decision maker for </w:t>
      </w:r>
      <w:r w:rsidR="00866945" w:rsidRPr="00381A22">
        <w:rPr>
          <w:rFonts w:ascii="Times New Roman" w:hAnsi="Times New Roman"/>
          <w:bCs/>
          <w:sz w:val="24"/>
          <w:szCs w:val="24"/>
        </w:rPr>
        <w:t>Commonwealth expenditure</w:t>
      </w:r>
      <w:r w:rsidRPr="00381A22">
        <w:rPr>
          <w:rFonts w:ascii="Times New Roman" w:hAnsi="Times New Roman"/>
          <w:bCs/>
          <w:sz w:val="24"/>
          <w:szCs w:val="24"/>
        </w:rPr>
        <w:t>.</w:t>
      </w:r>
      <w:r w:rsidR="00866945" w:rsidRPr="00381A22">
        <w:rPr>
          <w:rFonts w:ascii="Times New Roman" w:hAnsi="Times New Roman"/>
          <w:bCs/>
          <w:sz w:val="24"/>
          <w:szCs w:val="24"/>
        </w:rPr>
        <w:t xml:space="preserve"> The department will evaluate the Program to inform future policy on student mobility and strengthen the development of any future agreement with the Cheung Kong Group.</w:t>
      </w:r>
    </w:p>
    <w:p w14:paraId="46B6ABB8" w14:textId="77777777" w:rsidR="006E3BCE" w:rsidRPr="00381A22" w:rsidRDefault="006E3BCE" w:rsidP="00AC5AD9">
      <w:pPr>
        <w:rPr>
          <w:rFonts w:ascii="Times New Roman" w:hAnsi="Times New Roman"/>
          <w:bCs/>
          <w:sz w:val="24"/>
          <w:szCs w:val="24"/>
        </w:rPr>
      </w:pPr>
    </w:p>
    <w:p w14:paraId="6582AFDA" w14:textId="03B3170A" w:rsidR="00AC5AD9" w:rsidRPr="00381A22" w:rsidRDefault="00AC5AD9" w:rsidP="00AC5AD9">
      <w:pPr>
        <w:rPr>
          <w:rFonts w:ascii="Times New Roman" w:hAnsi="Times New Roman"/>
          <w:bCs/>
          <w:sz w:val="24"/>
          <w:szCs w:val="24"/>
        </w:rPr>
      </w:pPr>
      <w:r w:rsidRPr="00381A22">
        <w:rPr>
          <w:rFonts w:ascii="Times New Roman" w:hAnsi="Times New Roman"/>
          <w:bCs/>
          <w:sz w:val="24"/>
          <w:szCs w:val="24"/>
        </w:rPr>
        <w:t>The Government has decided to award the Program fund</w:t>
      </w:r>
      <w:r w:rsidR="00866945" w:rsidRPr="00381A22">
        <w:rPr>
          <w:rFonts w:ascii="Times New Roman" w:hAnsi="Times New Roman"/>
          <w:bCs/>
          <w:sz w:val="24"/>
          <w:szCs w:val="24"/>
        </w:rPr>
        <w:t>s</w:t>
      </w:r>
      <w:r w:rsidRPr="00381A22">
        <w:rPr>
          <w:rFonts w:ascii="Times New Roman" w:hAnsi="Times New Roman"/>
          <w:bCs/>
          <w:sz w:val="24"/>
          <w:szCs w:val="24"/>
        </w:rPr>
        <w:t xml:space="preserve"> equally to each participating Australian university that elects to participate</w:t>
      </w:r>
      <w:r w:rsidR="00866945" w:rsidRPr="00381A22">
        <w:rPr>
          <w:rFonts w:ascii="Times New Roman" w:hAnsi="Times New Roman"/>
          <w:bCs/>
          <w:sz w:val="24"/>
          <w:szCs w:val="24"/>
        </w:rPr>
        <w:t>, removing the need for a formal selection process</w:t>
      </w:r>
      <w:r w:rsidRPr="00381A22">
        <w:rPr>
          <w:rFonts w:ascii="Times New Roman" w:hAnsi="Times New Roman"/>
          <w:bCs/>
          <w:sz w:val="24"/>
          <w:szCs w:val="24"/>
        </w:rPr>
        <w:t>. It is not appropriate for this government decision to be subject to independent merits review as these decisions are automatic decisions which apply to any Australian university that</w:t>
      </w:r>
      <w:r w:rsidR="00866945" w:rsidRPr="00381A22">
        <w:rPr>
          <w:rFonts w:ascii="Times New Roman" w:hAnsi="Times New Roman"/>
          <w:bCs/>
          <w:sz w:val="24"/>
          <w:szCs w:val="24"/>
        </w:rPr>
        <w:t xml:space="preserve"> opts in to</w:t>
      </w:r>
      <w:r w:rsidRPr="00381A22">
        <w:rPr>
          <w:rFonts w:ascii="Times New Roman" w:hAnsi="Times New Roman"/>
          <w:bCs/>
          <w:sz w:val="24"/>
          <w:szCs w:val="24"/>
        </w:rPr>
        <w:t xml:space="preserve"> participate in the Program. It is not appropriate for merits review to apply to an automatic decision of this </w:t>
      </w:r>
      <w:proofErr w:type="gramStart"/>
      <w:r w:rsidRPr="00381A22">
        <w:rPr>
          <w:rFonts w:ascii="Times New Roman" w:hAnsi="Times New Roman"/>
          <w:bCs/>
          <w:sz w:val="24"/>
          <w:szCs w:val="24"/>
        </w:rPr>
        <w:t>kind which</w:t>
      </w:r>
      <w:proofErr w:type="gramEnd"/>
      <w:r w:rsidRPr="00381A22">
        <w:rPr>
          <w:rFonts w:ascii="Times New Roman" w:hAnsi="Times New Roman"/>
          <w:bCs/>
          <w:sz w:val="24"/>
          <w:szCs w:val="24"/>
        </w:rPr>
        <w:t xml:space="preserve"> is based on the factual determination of whether a participant is a university</w:t>
      </w:r>
      <w:r w:rsidR="00866945" w:rsidRPr="00381A22">
        <w:rPr>
          <w:rFonts w:ascii="Times New Roman" w:hAnsi="Times New Roman"/>
          <w:bCs/>
          <w:sz w:val="24"/>
          <w:szCs w:val="24"/>
        </w:rPr>
        <w:t>. The Administrative Review Council</w:t>
      </w:r>
      <w:r w:rsidR="004D0AEA" w:rsidRPr="00381A22">
        <w:rPr>
          <w:rFonts w:ascii="Times New Roman" w:hAnsi="Times New Roman"/>
          <w:bCs/>
          <w:sz w:val="24"/>
          <w:szCs w:val="24"/>
        </w:rPr>
        <w:t xml:space="preserve"> </w:t>
      </w:r>
      <w:r w:rsidR="00866945" w:rsidRPr="00381A22">
        <w:rPr>
          <w:rFonts w:ascii="Times New Roman" w:hAnsi="Times New Roman"/>
          <w:bCs/>
          <w:sz w:val="24"/>
          <w:szCs w:val="24"/>
        </w:rPr>
        <w:t>has recognised that it is justifiable to exclude merits review in relation to automatic or mandatory decisions of this nature</w:t>
      </w:r>
      <w:r w:rsidRPr="00381A22">
        <w:rPr>
          <w:rFonts w:ascii="Times New Roman" w:hAnsi="Times New Roman"/>
          <w:bCs/>
          <w:sz w:val="24"/>
          <w:szCs w:val="24"/>
        </w:rPr>
        <w:t xml:space="preserve"> (see paragraphs 3.8 to 3.12 of the </w:t>
      </w:r>
      <w:r w:rsidR="006E3BCE" w:rsidRPr="00381A22">
        <w:rPr>
          <w:rFonts w:ascii="Times New Roman" w:hAnsi="Times New Roman"/>
          <w:bCs/>
          <w:sz w:val="24"/>
          <w:szCs w:val="24"/>
        </w:rPr>
        <w:t>guide,</w:t>
      </w:r>
      <w:r w:rsidRPr="00381A22">
        <w:rPr>
          <w:rFonts w:ascii="Times New Roman" w:hAnsi="Times New Roman"/>
          <w:bCs/>
          <w:sz w:val="24"/>
          <w:szCs w:val="24"/>
        </w:rPr>
        <w:t xml:space="preserve"> </w:t>
      </w:r>
      <w:proofErr w:type="gramStart"/>
      <w:r w:rsidRPr="00381A22">
        <w:rPr>
          <w:rFonts w:ascii="Times New Roman" w:hAnsi="Times New Roman"/>
          <w:i/>
          <w:color w:val="000000" w:themeColor="text1"/>
          <w:sz w:val="24"/>
          <w:szCs w:val="24"/>
        </w:rPr>
        <w:t>What</w:t>
      </w:r>
      <w:proofErr w:type="gramEnd"/>
      <w:r w:rsidRPr="00381A22">
        <w:rPr>
          <w:rFonts w:ascii="Times New Roman" w:hAnsi="Times New Roman"/>
          <w:i/>
          <w:color w:val="000000" w:themeColor="text1"/>
          <w:sz w:val="24"/>
          <w:szCs w:val="24"/>
        </w:rPr>
        <w:t xml:space="preserve"> decisions should be subject to merit review?</w:t>
      </w:r>
      <w:r w:rsidRPr="00381A22">
        <w:rPr>
          <w:rFonts w:ascii="Times New Roman" w:hAnsi="Times New Roman"/>
          <w:color w:val="000000" w:themeColor="text1"/>
          <w:sz w:val="24"/>
          <w:szCs w:val="24"/>
        </w:rPr>
        <w:t>)</w:t>
      </w:r>
      <w:r w:rsidRPr="00381A22">
        <w:rPr>
          <w:rFonts w:ascii="Times New Roman" w:hAnsi="Times New Roman"/>
          <w:bCs/>
          <w:sz w:val="24"/>
          <w:szCs w:val="24"/>
        </w:rPr>
        <w:t>.</w:t>
      </w:r>
    </w:p>
    <w:p w14:paraId="61A132A2" w14:textId="77777777" w:rsidR="00AC5AD9" w:rsidRPr="00381A22" w:rsidRDefault="00AC5AD9" w:rsidP="00AC5AD9">
      <w:pPr>
        <w:rPr>
          <w:rFonts w:ascii="Times New Roman" w:hAnsi="Times New Roman"/>
          <w:bCs/>
          <w:sz w:val="24"/>
          <w:szCs w:val="24"/>
        </w:rPr>
      </w:pPr>
    </w:p>
    <w:p w14:paraId="00205509" w14:textId="03FD6490" w:rsidR="00AC5AD9" w:rsidRPr="00381A22" w:rsidRDefault="00AC5AD9" w:rsidP="00AC5AD9">
      <w:pPr>
        <w:rPr>
          <w:rFonts w:ascii="Times New Roman" w:hAnsi="Times New Roman"/>
          <w:bCs/>
          <w:sz w:val="24"/>
          <w:szCs w:val="24"/>
        </w:rPr>
      </w:pPr>
      <w:r w:rsidRPr="00381A22">
        <w:rPr>
          <w:rFonts w:ascii="Times New Roman" w:hAnsi="Times New Roman"/>
          <w:bCs/>
          <w:sz w:val="24"/>
          <w:szCs w:val="24"/>
        </w:rPr>
        <w:t xml:space="preserve">Each participating Australian university will be responsible for awarding the mobility </w:t>
      </w:r>
      <w:r w:rsidR="00347462" w:rsidRPr="00381A22">
        <w:rPr>
          <w:rFonts w:ascii="Times New Roman" w:hAnsi="Times New Roman"/>
          <w:bCs/>
          <w:sz w:val="24"/>
          <w:szCs w:val="24"/>
        </w:rPr>
        <w:t>scholarships to students</w:t>
      </w:r>
      <w:r w:rsidRPr="00381A22">
        <w:rPr>
          <w:rFonts w:ascii="Times New Roman" w:hAnsi="Times New Roman"/>
          <w:bCs/>
          <w:sz w:val="24"/>
          <w:szCs w:val="24"/>
        </w:rPr>
        <w:t xml:space="preserve"> and will report all decisions regarding award of the mobility </w:t>
      </w:r>
      <w:r w:rsidR="00347462" w:rsidRPr="00381A22">
        <w:rPr>
          <w:rFonts w:ascii="Times New Roman" w:hAnsi="Times New Roman"/>
          <w:bCs/>
          <w:sz w:val="24"/>
          <w:szCs w:val="24"/>
        </w:rPr>
        <w:t>scholarships</w:t>
      </w:r>
      <w:r w:rsidRPr="00381A22">
        <w:rPr>
          <w:rFonts w:ascii="Times New Roman" w:hAnsi="Times New Roman"/>
          <w:bCs/>
          <w:sz w:val="24"/>
          <w:szCs w:val="24"/>
        </w:rPr>
        <w:t xml:space="preserve"> to the department. </w:t>
      </w:r>
      <w:r w:rsidR="00417FE1" w:rsidRPr="00381A22">
        <w:rPr>
          <w:rFonts w:ascii="Times New Roman" w:hAnsi="Times New Roman"/>
          <w:bCs/>
          <w:sz w:val="24"/>
          <w:szCs w:val="24"/>
        </w:rPr>
        <w:t>Universities</w:t>
      </w:r>
      <w:r w:rsidRPr="00381A22">
        <w:rPr>
          <w:rFonts w:ascii="Times New Roman" w:hAnsi="Times New Roman"/>
          <w:bCs/>
          <w:sz w:val="24"/>
          <w:szCs w:val="24"/>
        </w:rPr>
        <w:t xml:space="preserve"> will use their own processes for making decisions regarding the award of the scholarships, and the department will have no part in determining which students </w:t>
      </w:r>
      <w:proofErr w:type="gramStart"/>
      <w:r w:rsidRPr="00381A22">
        <w:rPr>
          <w:rFonts w:ascii="Times New Roman" w:hAnsi="Times New Roman"/>
          <w:bCs/>
          <w:sz w:val="24"/>
          <w:szCs w:val="24"/>
        </w:rPr>
        <w:t>are awarded</w:t>
      </w:r>
      <w:proofErr w:type="gramEnd"/>
      <w:r w:rsidRPr="00381A22">
        <w:rPr>
          <w:rFonts w:ascii="Times New Roman" w:hAnsi="Times New Roman"/>
          <w:bCs/>
          <w:sz w:val="24"/>
          <w:szCs w:val="24"/>
        </w:rPr>
        <w:t xml:space="preserve"> scholarships.</w:t>
      </w:r>
    </w:p>
    <w:p w14:paraId="736AE81F" w14:textId="77777777" w:rsidR="00AC5AD9" w:rsidRPr="00381A22" w:rsidRDefault="00AC5AD9" w:rsidP="00AC5AD9">
      <w:pPr>
        <w:rPr>
          <w:rFonts w:ascii="Times New Roman" w:hAnsi="Times New Roman"/>
          <w:bCs/>
          <w:sz w:val="24"/>
          <w:szCs w:val="24"/>
        </w:rPr>
      </w:pPr>
    </w:p>
    <w:p w14:paraId="6757F3C2" w14:textId="0FA6326E" w:rsidR="00AC5AD9" w:rsidRPr="00381A22" w:rsidRDefault="00AC5AD9" w:rsidP="00AC5AD9">
      <w:pPr>
        <w:rPr>
          <w:rFonts w:ascii="Times New Roman" w:hAnsi="Times New Roman"/>
          <w:bCs/>
          <w:sz w:val="24"/>
          <w:szCs w:val="24"/>
        </w:rPr>
      </w:pPr>
      <w:r w:rsidRPr="00381A22">
        <w:rPr>
          <w:rFonts w:ascii="Times New Roman" w:hAnsi="Times New Roman"/>
          <w:bCs/>
          <w:sz w:val="24"/>
          <w:szCs w:val="24"/>
        </w:rPr>
        <w:t xml:space="preserve">These decisions by universities to award scholarships to students will not be subject to independent merits review. This is because the decisions relate to the allocation of a finite resource, and overturning a decision to allocate funding to one student would affect an allocation that </w:t>
      </w:r>
      <w:proofErr w:type="gramStart"/>
      <w:r w:rsidRPr="00381A22">
        <w:rPr>
          <w:rFonts w:ascii="Times New Roman" w:hAnsi="Times New Roman"/>
          <w:bCs/>
          <w:sz w:val="24"/>
          <w:szCs w:val="24"/>
        </w:rPr>
        <w:t>has already been made</w:t>
      </w:r>
      <w:proofErr w:type="gramEnd"/>
      <w:r w:rsidRPr="00381A22">
        <w:rPr>
          <w:rFonts w:ascii="Times New Roman" w:hAnsi="Times New Roman"/>
          <w:bCs/>
          <w:sz w:val="24"/>
          <w:szCs w:val="24"/>
        </w:rPr>
        <w:t xml:space="preserve"> to another student</w:t>
      </w:r>
      <w:r w:rsidR="00347462" w:rsidRPr="00381A22">
        <w:rPr>
          <w:rFonts w:ascii="Times New Roman" w:hAnsi="Times New Roman"/>
          <w:bCs/>
          <w:sz w:val="24"/>
          <w:szCs w:val="24"/>
        </w:rPr>
        <w:t>. The Administrative Review Council has recognised that it is justifiable to exclude merits review in relation to decisions of this nature</w:t>
      </w:r>
      <w:r w:rsidRPr="00381A22">
        <w:rPr>
          <w:rFonts w:ascii="Times New Roman" w:hAnsi="Times New Roman"/>
          <w:bCs/>
          <w:sz w:val="24"/>
          <w:szCs w:val="24"/>
        </w:rPr>
        <w:t xml:space="preserve"> (see paragraphs 4.11 to 4.15 of the guide</w:t>
      </w:r>
      <w:r w:rsidR="004D0AEA" w:rsidRPr="00381A22">
        <w:rPr>
          <w:rFonts w:ascii="Times New Roman" w:hAnsi="Times New Roman"/>
          <w:bCs/>
          <w:sz w:val="24"/>
          <w:szCs w:val="24"/>
        </w:rPr>
        <w:t xml:space="preserve">, </w:t>
      </w:r>
      <w:proofErr w:type="gramStart"/>
      <w:r w:rsidR="004D0AEA" w:rsidRPr="00381A22">
        <w:rPr>
          <w:rFonts w:ascii="Times New Roman" w:hAnsi="Times New Roman"/>
          <w:i/>
          <w:color w:val="000000" w:themeColor="text1"/>
          <w:sz w:val="24"/>
          <w:szCs w:val="24"/>
        </w:rPr>
        <w:t>What</w:t>
      </w:r>
      <w:proofErr w:type="gramEnd"/>
      <w:r w:rsidR="004D0AEA" w:rsidRPr="00381A22">
        <w:rPr>
          <w:rFonts w:ascii="Times New Roman" w:hAnsi="Times New Roman"/>
          <w:i/>
          <w:color w:val="000000" w:themeColor="text1"/>
          <w:sz w:val="24"/>
          <w:szCs w:val="24"/>
        </w:rPr>
        <w:t xml:space="preserve"> decisions should be subject to merit review?</w:t>
      </w:r>
      <w:r w:rsidRPr="00381A22">
        <w:rPr>
          <w:rFonts w:ascii="Times New Roman" w:hAnsi="Times New Roman"/>
          <w:bCs/>
          <w:sz w:val="24"/>
          <w:szCs w:val="24"/>
        </w:rPr>
        <w:t>).</w:t>
      </w:r>
    </w:p>
    <w:p w14:paraId="342F4380" w14:textId="77777777" w:rsidR="00AC5AD9" w:rsidRPr="00381A22" w:rsidRDefault="00AC5AD9" w:rsidP="00AC5AD9">
      <w:pPr>
        <w:rPr>
          <w:rFonts w:ascii="Times New Roman" w:hAnsi="Times New Roman"/>
          <w:bCs/>
          <w:sz w:val="24"/>
          <w:szCs w:val="24"/>
        </w:rPr>
      </w:pPr>
    </w:p>
    <w:p w14:paraId="143D602B" w14:textId="77777777" w:rsidR="00AC5AD9" w:rsidRPr="00381A22" w:rsidRDefault="00AC5AD9" w:rsidP="00AC5AD9">
      <w:pPr>
        <w:rPr>
          <w:rFonts w:ascii="Times New Roman" w:hAnsi="Times New Roman"/>
          <w:sz w:val="24"/>
          <w:szCs w:val="24"/>
        </w:rPr>
      </w:pPr>
      <w:r w:rsidRPr="00381A22">
        <w:rPr>
          <w:rFonts w:ascii="Times New Roman" w:hAnsi="Times New Roman"/>
          <w:sz w:val="24"/>
          <w:szCs w:val="24"/>
        </w:rPr>
        <w:t xml:space="preserve">The department has had initial discussions with the Cheung Kong Group on the establishment of the Program, as well as with some trusted stakeholders in the higher education and international education fields. </w:t>
      </w:r>
    </w:p>
    <w:p w14:paraId="119EFCDC" w14:textId="77777777" w:rsidR="00AC5AD9" w:rsidRPr="00381A22" w:rsidRDefault="00AC5AD9" w:rsidP="00AC5AD9">
      <w:pPr>
        <w:tabs>
          <w:tab w:val="left" w:pos="936"/>
        </w:tabs>
        <w:rPr>
          <w:rFonts w:ascii="Times New Roman" w:hAnsi="Times New Roman"/>
          <w:color w:val="000000" w:themeColor="text1"/>
          <w:sz w:val="24"/>
          <w:szCs w:val="24"/>
        </w:rPr>
      </w:pPr>
    </w:p>
    <w:p w14:paraId="3A4D1404" w14:textId="1601A4EE" w:rsidR="00CD788F" w:rsidRPr="00381A22" w:rsidRDefault="00347462" w:rsidP="00AC5AD9">
      <w:pPr>
        <w:rPr>
          <w:rFonts w:ascii="Times New Roman" w:hAnsi="Times New Roman"/>
          <w:sz w:val="24"/>
          <w:szCs w:val="24"/>
        </w:rPr>
      </w:pPr>
      <w:r w:rsidRPr="00381A22">
        <w:rPr>
          <w:rFonts w:ascii="Times New Roman" w:hAnsi="Times New Roman"/>
          <w:sz w:val="24"/>
          <w:szCs w:val="24"/>
        </w:rPr>
        <w:t>Total f</w:t>
      </w:r>
      <w:r w:rsidR="00AC5AD9" w:rsidRPr="00381A22">
        <w:rPr>
          <w:rFonts w:ascii="Times New Roman" w:hAnsi="Times New Roman"/>
          <w:sz w:val="24"/>
          <w:szCs w:val="24"/>
        </w:rPr>
        <w:t xml:space="preserve">unding for the Program </w:t>
      </w:r>
      <w:r w:rsidRPr="00381A22">
        <w:rPr>
          <w:rFonts w:ascii="Times New Roman" w:hAnsi="Times New Roman"/>
          <w:sz w:val="24"/>
          <w:szCs w:val="24"/>
        </w:rPr>
        <w:t xml:space="preserve">of $13.6 million over </w:t>
      </w:r>
      <w:r w:rsidR="00CD788F" w:rsidRPr="00381A22">
        <w:rPr>
          <w:rFonts w:ascii="Times New Roman" w:hAnsi="Times New Roman"/>
          <w:sz w:val="24"/>
          <w:szCs w:val="24"/>
        </w:rPr>
        <w:t>12</w:t>
      </w:r>
      <w:r w:rsidRPr="00381A22">
        <w:rPr>
          <w:rFonts w:ascii="Times New Roman" w:hAnsi="Times New Roman"/>
          <w:sz w:val="24"/>
          <w:szCs w:val="24"/>
        </w:rPr>
        <w:t xml:space="preserve"> years from 2019-20 </w:t>
      </w:r>
      <w:r w:rsidR="00AC5AD9" w:rsidRPr="00381A22">
        <w:rPr>
          <w:rFonts w:ascii="Times New Roman" w:hAnsi="Times New Roman"/>
          <w:sz w:val="24"/>
          <w:szCs w:val="24"/>
        </w:rPr>
        <w:t>will be included in the 2020-21 Budget</w:t>
      </w:r>
      <w:r w:rsidRPr="00381A22">
        <w:rPr>
          <w:rFonts w:ascii="Times New Roman" w:hAnsi="Times New Roman"/>
          <w:sz w:val="24"/>
          <w:szCs w:val="24"/>
        </w:rPr>
        <w:t xml:space="preserve"> and the 2020-21 </w:t>
      </w:r>
      <w:r w:rsidR="00AC5AD9" w:rsidRPr="00381A22">
        <w:rPr>
          <w:rFonts w:ascii="Times New Roman" w:hAnsi="Times New Roman"/>
          <w:sz w:val="24"/>
          <w:szCs w:val="24"/>
        </w:rPr>
        <w:t xml:space="preserve">Portfolio Budget Statements </w:t>
      </w:r>
      <w:r w:rsidRPr="00381A22">
        <w:rPr>
          <w:rFonts w:ascii="Times New Roman" w:hAnsi="Times New Roman"/>
          <w:sz w:val="24"/>
          <w:szCs w:val="24"/>
        </w:rPr>
        <w:t>for the</w:t>
      </w:r>
      <w:r w:rsidR="00AC5AD9" w:rsidRPr="00381A22">
        <w:rPr>
          <w:rFonts w:ascii="Times New Roman" w:hAnsi="Times New Roman"/>
          <w:sz w:val="24"/>
          <w:szCs w:val="24"/>
        </w:rPr>
        <w:t xml:space="preserve"> Education, Skills and Employment Portfolio.</w:t>
      </w:r>
      <w:r w:rsidR="00CD788F" w:rsidRPr="00381A22">
        <w:rPr>
          <w:rFonts w:ascii="Times New Roman" w:hAnsi="Times New Roman"/>
          <w:sz w:val="24"/>
          <w:szCs w:val="24"/>
        </w:rPr>
        <w:t xml:space="preserve"> Funding will come from Program 2.7: International Education Support, which is part of Outcome 2.</w:t>
      </w:r>
      <w:r w:rsidR="00AC5AD9" w:rsidRPr="00381A22">
        <w:rPr>
          <w:rFonts w:ascii="Times New Roman" w:hAnsi="Times New Roman"/>
          <w:sz w:val="24"/>
          <w:szCs w:val="24"/>
        </w:rPr>
        <w:t xml:space="preserve"> </w:t>
      </w:r>
      <w:r w:rsidR="00CD788F" w:rsidRPr="00381A22">
        <w:rPr>
          <w:rFonts w:ascii="Times New Roman" w:hAnsi="Times New Roman"/>
          <w:sz w:val="24"/>
          <w:szCs w:val="24"/>
        </w:rPr>
        <w:t xml:space="preserve">Total funding includes the funding originally allocated to the Pilot. </w:t>
      </w:r>
    </w:p>
    <w:p w14:paraId="4CF77E64" w14:textId="77777777" w:rsidR="00CD788F" w:rsidRPr="00381A22" w:rsidRDefault="00CD788F" w:rsidP="00AC5AD9">
      <w:pPr>
        <w:rPr>
          <w:rFonts w:ascii="Times New Roman" w:hAnsi="Times New Roman"/>
          <w:sz w:val="24"/>
          <w:szCs w:val="24"/>
        </w:rPr>
      </w:pPr>
    </w:p>
    <w:p w14:paraId="5252C11A" w14:textId="789D8884" w:rsidR="00347462" w:rsidRPr="00381A22" w:rsidRDefault="00AC5AD9" w:rsidP="00270D5B">
      <w:pPr>
        <w:rPr>
          <w:szCs w:val="24"/>
          <w:lang w:val="en-GB"/>
        </w:rPr>
      </w:pPr>
      <w:r w:rsidRPr="00381A22">
        <w:rPr>
          <w:rFonts w:ascii="Times New Roman" w:hAnsi="Times New Roman"/>
          <w:sz w:val="24"/>
          <w:szCs w:val="24"/>
        </w:rPr>
        <w:t>The Cheung Kong Group will contribute approximately $8.2 million, and the Commonwealth will provide approximately $5.4 million.</w:t>
      </w:r>
      <w:r w:rsidR="00347462" w:rsidRPr="00381A22">
        <w:rPr>
          <w:rFonts w:ascii="Times New Roman" w:hAnsi="Times New Roman"/>
          <w:sz w:val="24"/>
          <w:szCs w:val="24"/>
        </w:rPr>
        <w:t xml:space="preserve"> Out of the total funding, $10.6 million </w:t>
      </w:r>
      <w:r w:rsidR="00CD788F" w:rsidRPr="00381A22">
        <w:rPr>
          <w:rFonts w:ascii="Times New Roman" w:hAnsi="Times New Roman"/>
          <w:sz w:val="24"/>
          <w:szCs w:val="24"/>
        </w:rPr>
        <w:t xml:space="preserve">over 10 years from 2020-21 </w:t>
      </w:r>
      <w:r w:rsidR="00347462" w:rsidRPr="00381A22">
        <w:rPr>
          <w:rFonts w:ascii="Times New Roman" w:hAnsi="Times New Roman"/>
          <w:sz w:val="24"/>
          <w:szCs w:val="24"/>
        </w:rPr>
        <w:t xml:space="preserve">will be available in grant funding to Australian universities. </w:t>
      </w:r>
    </w:p>
    <w:p w14:paraId="2CB7FCAB" w14:textId="77777777" w:rsidR="00AC5AD9" w:rsidRPr="00381A22" w:rsidRDefault="00AC5AD9" w:rsidP="00AC5AD9">
      <w:pPr>
        <w:rPr>
          <w:rFonts w:ascii="Times New Roman" w:hAnsi="Times New Roman"/>
          <w:color w:val="000000" w:themeColor="text1"/>
          <w:sz w:val="24"/>
          <w:szCs w:val="24"/>
        </w:rPr>
      </w:pPr>
    </w:p>
    <w:p w14:paraId="2965092F" w14:textId="2E4FD8D4" w:rsidR="00AC5AD9" w:rsidRPr="00381A22" w:rsidRDefault="00AC5AD9" w:rsidP="00AC5AD9">
      <w:pPr>
        <w:rPr>
          <w:rFonts w:ascii="Times New Roman" w:hAnsi="Times New Roman"/>
          <w:sz w:val="24"/>
          <w:szCs w:val="24"/>
        </w:rPr>
      </w:pPr>
      <w:r w:rsidRPr="00381A22">
        <w:rPr>
          <w:rFonts w:ascii="Times New Roman" w:hAnsi="Times New Roman"/>
          <w:sz w:val="24"/>
          <w:szCs w:val="24"/>
        </w:rPr>
        <w:t>Noting that it is not a comprehensive statement of relevant constitutional considerations, the objective</w:t>
      </w:r>
      <w:r w:rsidR="00354A16" w:rsidRPr="00381A22">
        <w:rPr>
          <w:rFonts w:ascii="Times New Roman" w:hAnsi="Times New Roman"/>
          <w:sz w:val="24"/>
          <w:szCs w:val="24"/>
        </w:rPr>
        <w:t xml:space="preserve"> of the item</w:t>
      </w:r>
      <w:r w:rsidRPr="00381A22">
        <w:rPr>
          <w:rFonts w:ascii="Times New Roman" w:hAnsi="Times New Roman"/>
          <w:sz w:val="24"/>
          <w:szCs w:val="24"/>
        </w:rPr>
        <w:t xml:space="preserve"> references</w:t>
      </w:r>
      <w:r w:rsidR="00354A16" w:rsidRPr="00381A22">
        <w:rPr>
          <w:rFonts w:ascii="Times New Roman" w:hAnsi="Times New Roman"/>
          <w:sz w:val="24"/>
          <w:szCs w:val="24"/>
        </w:rPr>
        <w:t xml:space="preserve"> the following powers of the Constitution</w:t>
      </w:r>
      <w:r w:rsidRPr="00381A22">
        <w:rPr>
          <w:rFonts w:ascii="Times New Roman" w:hAnsi="Times New Roman"/>
          <w:sz w:val="24"/>
          <w:szCs w:val="24"/>
        </w:rPr>
        <w:t>:</w:t>
      </w:r>
    </w:p>
    <w:p w14:paraId="241E1A7B" w14:textId="315D4DC8" w:rsidR="00AC5AD9" w:rsidRPr="00381A22" w:rsidRDefault="00AC5AD9" w:rsidP="00AC5AD9">
      <w:pPr>
        <w:pStyle w:val="ListParagraph"/>
        <w:numPr>
          <w:ilvl w:val="0"/>
          <w:numId w:val="28"/>
        </w:numPr>
        <w:ind w:left="720" w:right="-46"/>
        <w:rPr>
          <w:szCs w:val="24"/>
        </w:rPr>
      </w:pPr>
      <w:r w:rsidRPr="00381A22">
        <w:rPr>
          <w:szCs w:val="24"/>
        </w:rPr>
        <w:t xml:space="preserve">the aliens power (section 51(xix)); </w:t>
      </w:r>
    </w:p>
    <w:p w14:paraId="31EAA252" w14:textId="77777777" w:rsidR="00AC5AD9" w:rsidRPr="00381A22" w:rsidRDefault="00AC5AD9" w:rsidP="00AC5AD9">
      <w:pPr>
        <w:pStyle w:val="ListParagraph"/>
        <w:numPr>
          <w:ilvl w:val="0"/>
          <w:numId w:val="28"/>
        </w:numPr>
        <w:ind w:left="720" w:right="-46"/>
        <w:rPr>
          <w:szCs w:val="24"/>
        </w:rPr>
      </w:pPr>
      <w:r w:rsidRPr="00381A22">
        <w:rPr>
          <w:szCs w:val="24"/>
        </w:rPr>
        <w:t>the student benefits aspect of the social welfare power (section 51(</w:t>
      </w:r>
      <w:proofErr w:type="spellStart"/>
      <w:r w:rsidRPr="00381A22">
        <w:rPr>
          <w:szCs w:val="24"/>
        </w:rPr>
        <w:t>xxiiiA</w:t>
      </w:r>
      <w:proofErr w:type="spellEnd"/>
      <w:r w:rsidRPr="00381A22">
        <w:rPr>
          <w:szCs w:val="24"/>
        </w:rPr>
        <w:t>)); and</w:t>
      </w:r>
    </w:p>
    <w:p w14:paraId="11620220" w14:textId="77777777" w:rsidR="00AC5AD9" w:rsidRPr="00381A22" w:rsidRDefault="00AC5AD9" w:rsidP="00AC5AD9">
      <w:pPr>
        <w:pStyle w:val="ListParagraph"/>
        <w:numPr>
          <w:ilvl w:val="0"/>
          <w:numId w:val="28"/>
        </w:numPr>
        <w:ind w:left="720" w:right="-46"/>
        <w:rPr>
          <w:szCs w:val="24"/>
        </w:rPr>
      </w:pPr>
      <w:proofErr w:type="gramStart"/>
      <w:r w:rsidRPr="00381A22">
        <w:rPr>
          <w:szCs w:val="24"/>
        </w:rPr>
        <w:t>the</w:t>
      </w:r>
      <w:proofErr w:type="gramEnd"/>
      <w:r w:rsidRPr="00381A22">
        <w:rPr>
          <w:szCs w:val="24"/>
        </w:rPr>
        <w:t xml:space="preserve"> external affairs power (section 51(xxix)).</w:t>
      </w:r>
    </w:p>
    <w:p w14:paraId="77F85366" w14:textId="77777777" w:rsidR="00AC5AD9" w:rsidRPr="00381A22" w:rsidRDefault="00AC5AD9" w:rsidP="00AC5AD9">
      <w:pPr>
        <w:rPr>
          <w:rFonts w:ascii="Times New Roman" w:hAnsi="Times New Roman"/>
          <w:i/>
          <w:color w:val="000000" w:themeColor="text1"/>
          <w:sz w:val="24"/>
          <w:szCs w:val="24"/>
          <w:u w:val="single"/>
        </w:rPr>
      </w:pPr>
    </w:p>
    <w:p w14:paraId="0CA45EBA" w14:textId="6A034F2E" w:rsidR="00AC5AD9" w:rsidRPr="00381A22" w:rsidRDefault="00AC5AD9" w:rsidP="00AC5AD9">
      <w:pPr>
        <w:rPr>
          <w:rFonts w:ascii="Times New Roman" w:hAnsi="Times New Roman"/>
          <w:i/>
          <w:color w:val="000000" w:themeColor="text1"/>
          <w:sz w:val="24"/>
          <w:szCs w:val="24"/>
          <w:u w:val="single"/>
        </w:rPr>
      </w:pPr>
      <w:proofErr w:type="gramStart"/>
      <w:r w:rsidRPr="00381A22">
        <w:rPr>
          <w:rFonts w:ascii="Times New Roman" w:hAnsi="Times New Roman"/>
          <w:i/>
          <w:color w:val="000000" w:themeColor="text1"/>
          <w:sz w:val="24"/>
          <w:szCs w:val="24"/>
          <w:u w:val="single"/>
        </w:rPr>
        <w:t>Aliens</w:t>
      </w:r>
      <w:proofErr w:type="gramEnd"/>
      <w:r w:rsidRPr="00381A22">
        <w:rPr>
          <w:rFonts w:ascii="Times New Roman" w:hAnsi="Times New Roman"/>
          <w:i/>
          <w:color w:val="000000" w:themeColor="text1"/>
          <w:sz w:val="24"/>
          <w:szCs w:val="24"/>
          <w:u w:val="single"/>
        </w:rPr>
        <w:t xml:space="preserve"> power</w:t>
      </w:r>
    </w:p>
    <w:p w14:paraId="18D2C3FD" w14:textId="77777777" w:rsidR="00AC5AD9" w:rsidRPr="00381A22" w:rsidRDefault="00AC5AD9" w:rsidP="00AC5AD9">
      <w:pPr>
        <w:rPr>
          <w:rFonts w:ascii="Times New Roman" w:hAnsi="Times New Roman"/>
          <w:color w:val="000000" w:themeColor="text1"/>
          <w:sz w:val="24"/>
          <w:szCs w:val="24"/>
        </w:rPr>
      </w:pPr>
    </w:p>
    <w:p w14:paraId="68B58026" w14:textId="77777777" w:rsidR="00AC5AD9" w:rsidRPr="00381A22" w:rsidRDefault="00AC5AD9" w:rsidP="00AC5AD9">
      <w:pPr>
        <w:rPr>
          <w:rFonts w:ascii="Times New Roman" w:hAnsi="Times New Roman"/>
          <w:sz w:val="24"/>
          <w:szCs w:val="24"/>
        </w:rPr>
      </w:pPr>
      <w:r w:rsidRPr="00381A22">
        <w:rPr>
          <w:rFonts w:ascii="Times New Roman" w:hAnsi="Times New Roman"/>
          <w:sz w:val="24"/>
          <w:szCs w:val="24"/>
        </w:rPr>
        <w:t xml:space="preserve">Section 51(xix) of the Constitution empowers the Parliament to make laws with respect to ‘naturalization and aliens’. The Program will provide funding for grants to be paid to </w:t>
      </w:r>
      <w:proofErr w:type="gramStart"/>
      <w:r w:rsidRPr="00381A22">
        <w:rPr>
          <w:rFonts w:ascii="Times New Roman" w:hAnsi="Times New Roman"/>
          <w:sz w:val="24"/>
          <w:szCs w:val="24"/>
        </w:rPr>
        <w:t>universities which</w:t>
      </w:r>
      <w:proofErr w:type="gramEnd"/>
      <w:r w:rsidRPr="00381A22">
        <w:rPr>
          <w:rFonts w:ascii="Times New Roman" w:hAnsi="Times New Roman"/>
          <w:sz w:val="24"/>
          <w:szCs w:val="24"/>
        </w:rPr>
        <w:t xml:space="preserve"> will then be distributed as scholarships to students that are not Australian citizens.</w:t>
      </w:r>
    </w:p>
    <w:p w14:paraId="16021756" w14:textId="77777777" w:rsidR="00AC5AD9" w:rsidRPr="00381A22" w:rsidRDefault="00AC5AD9" w:rsidP="00AC5AD9">
      <w:pPr>
        <w:rPr>
          <w:rFonts w:ascii="Times New Roman" w:hAnsi="Times New Roman"/>
          <w:color w:val="000000" w:themeColor="text1"/>
          <w:sz w:val="24"/>
          <w:szCs w:val="24"/>
        </w:rPr>
      </w:pPr>
    </w:p>
    <w:p w14:paraId="6945F670" w14:textId="1C018782" w:rsidR="00AC5AD9" w:rsidRPr="00381A22" w:rsidRDefault="00AC5AD9" w:rsidP="00AC5AD9">
      <w:pPr>
        <w:rPr>
          <w:rFonts w:ascii="Times New Roman" w:hAnsi="Times New Roman"/>
          <w:i/>
          <w:sz w:val="24"/>
          <w:szCs w:val="24"/>
          <w:u w:val="single"/>
        </w:rPr>
      </w:pPr>
      <w:r w:rsidRPr="00381A22">
        <w:rPr>
          <w:rFonts w:ascii="Times New Roman" w:hAnsi="Times New Roman"/>
          <w:i/>
          <w:sz w:val="24"/>
          <w:szCs w:val="24"/>
          <w:u w:val="single"/>
        </w:rPr>
        <w:t>Social welfare power</w:t>
      </w:r>
    </w:p>
    <w:p w14:paraId="3C0C095E" w14:textId="77777777" w:rsidR="00AC5AD9" w:rsidRPr="00381A22" w:rsidRDefault="00AC5AD9" w:rsidP="00AC5AD9">
      <w:pPr>
        <w:rPr>
          <w:rFonts w:ascii="Times New Roman" w:hAnsi="Times New Roman"/>
          <w:sz w:val="24"/>
          <w:szCs w:val="24"/>
        </w:rPr>
      </w:pPr>
    </w:p>
    <w:p w14:paraId="34D03D75" w14:textId="2AB13DEB" w:rsidR="00AC5AD9" w:rsidRPr="00381A22" w:rsidRDefault="00AC5AD9" w:rsidP="00AC5AD9">
      <w:pPr>
        <w:rPr>
          <w:rFonts w:ascii="Times New Roman" w:hAnsi="Times New Roman"/>
          <w:sz w:val="24"/>
          <w:szCs w:val="24"/>
        </w:rPr>
      </w:pPr>
      <w:r w:rsidRPr="00381A22">
        <w:rPr>
          <w:rFonts w:ascii="Times New Roman" w:hAnsi="Times New Roman"/>
          <w:sz w:val="24"/>
          <w:szCs w:val="24"/>
        </w:rPr>
        <w:t xml:space="preserve">The social welfare </w:t>
      </w:r>
      <w:r w:rsidR="00B51921" w:rsidRPr="00381A22">
        <w:rPr>
          <w:rFonts w:ascii="Times New Roman" w:hAnsi="Times New Roman"/>
          <w:sz w:val="24"/>
          <w:szCs w:val="24"/>
        </w:rPr>
        <w:t xml:space="preserve">power </w:t>
      </w:r>
      <w:r w:rsidRPr="00381A22">
        <w:rPr>
          <w:rFonts w:ascii="Times New Roman" w:hAnsi="Times New Roman"/>
          <w:sz w:val="24"/>
          <w:szCs w:val="24"/>
        </w:rPr>
        <w:t>in section 51(</w:t>
      </w:r>
      <w:proofErr w:type="spellStart"/>
      <w:r w:rsidRPr="00381A22">
        <w:rPr>
          <w:rFonts w:ascii="Times New Roman" w:hAnsi="Times New Roman"/>
          <w:sz w:val="24"/>
          <w:szCs w:val="24"/>
        </w:rPr>
        <w:t>xxiiiA</w:t>
      </w:r>
      <w:proofErr w:type="spellEnd"/>
      <w:r w:rsidRPr="00381A22">
        <w:rPr>
          <w:rFonts w:ascii="Times New Roman" w:hAnsi="Times New Roman"/>
          <w:sz w:val="24"/>
          <w:szCs w:val="24"/>
        </w:rPr>
        <w:t xml:space="preserve">) of the Constitution empowers the Parliament to make laws with respect to the provision of certain social welfare benefits, including benefits to students. The Program will provide funding for grants to be paid to </w:t>
      </w:r>
      <w:proofErr w:type="gramStart"/>
      <w:r w:rsidRPr="00381A22">
        <w:rPr>
          <w:rFonts w:ascii="Times New Roman" w:hAnsi="Times New Roman"/>
          <w:sz w:val="24"/>
          <w:szCs w:val="24"/>
        </w:rPr>
        <w:t>identified</w:t>
      </w:r>
      <w:proofErr w:type="gramEnd"/>
      <w:r w:rsidRPr="00381A22">
        <w:rPr>
          <w:rFonts w:ascii="Times New Roman" w:hAnsi="Times New Roman"/>
          <w:sz w:val="24"/>
          <w:szCs w:val="24"/>
        </w:rPr>
        <w:t xml:space="preserve"> students to meet the educational needs of those students.</w:t>
      </w:r>
    </w:p>
    <w:p w14:paraId="33D270F8" w14:textId="77777777" w:rsidR="00AC5AD9" w:rsidRPr="00381A22" w:rsidRDefault="00AC5AD9" w:rsidP="00AC5AD9">
      <w:pPr>
        <w:rPr>
          <w:rFonts w:ascii="Times New Roman" w:hAnsi="Times New Roman"/>
          <w:color w:val="000000" w:themeColor="text1"/>
          <w:sz w:val="24"/>
          <w:szCs w:val="24"/>
        </w:rPr>
      </w:pPr>
    </w:p>
    <w:p w14:paraId="2B44AE2A" w14:textId="1395FF8C" w:rsidR="00AC5AD9" w:rsidRPr="00381A22" w:rsidRDefault="00AC5AD9" w:rsidP="00AC5AD9">
      <w:pPr>
        <w:rPr>
          <w:rFonts w:ascii="Times New Roman" w:hAnsi="Times New Roman"/>
          <w:i/>
          <w:sz w:val="24"/>
          <w:szCs w:val="24"/>
          <w:u w:val="single"/>
        </w:rPr>
      </w:pPr>
      <w:r w:rsidRPr="00381A22">
        <w:rPr>
          <w:rFonts w:ascii="Times New Roman" w:hAnsi="Times New Roman"/>
          <w:i/>
          <w:color w:val="000000" w:themeColor="text1"/>
          <w:sz w:val="24"/>
          <w:szCs w:val="24"/>
          <w:u w:val="single"/>
        </w:rPr>
        <w:t>External affairs power</w:t>
      </w:r>
    </w:p>
    <w:p w14:paraId="04DA5375" w14:textId="77777777" w:rsidR="00AC5AD9" w:rsidRPr="00381A22" w:rsidRDefault="00AC5AD9" w:rsidP="00AC5AD9">
      <w:pPr>
        <w:rPr>
          <w:rFonts w:ascii="Times New Roman" w:hAnsi="Times New Roman"/>
          <w:color w:val="000000" w:themeColor="text1"/>
          <w:sz w:val="24"/>
          <w:szCs w:val="24"/>
        </w:rPr>
      </w:pPr>
    </w:p>
    <w:p w14:paraId="46C06CF2" w14:textId="77777777" w:rsidR="00AC5AD9" w:rsidRPr="00381A22" w:rsidRDefault="00AC5AD9" w:rsidP="00AC5AD9">
      <w:pPr>
        <w:rPr>
          <w:rFonts w:ascii="Times New Roman" w:hAnsi="Times New Roman"/>
          <w:sz w:val="24"/>
          <w:szCs w:val="24"/>
        </w:rPr>
      </w:pPr>
      <w:r w:rsidRPr="00381A22">
        <w:rPr>
          <w:rFonts w:ascii="Times New Roman" w:hAnsi="Times New Roman"/>
          <w:sz w:val="24"/>
          <w:szCs w:val="24"/>
        </w:rPr>
        <w:t>Section 51(xxix) of the Constitution empowers the Parliament to make laws with respect to ‘external affairs’. The external affairs power supports legislation with respect to matters or things outside the geographical limits of Australia. The Program will provide funding for grants to support activities geographically external to Australia (i.e. overseas study).</w:t>
      </w:r>
    </w:p>
    <w:p w14:paraId="5F2057A7" w14:textId="03EDA448" w:rsidR="00AC5AD9" w:rsidRPr="00381A22" w:rsidRDefault="00AC5AD9" w:rsidP="00AC5AD9">
      <w:pPr>
        <w:rPr>
          <w:rFonts w:ascii="Times New Roman" w:hAnsi="Times New Roman"/>
          <w:sz w:val="24"/>
          <w:szCs w:val="24"/>
        </w:rPr>
      </w:pPr>
    </w:p>
    <w:p w14:paraId="23F6C2DD" w14:textId="1EB0410A" w:rsidR="00F95BFF" w:rsidRPr="00381A22" w:rsidRDefault="00CA325F" w:rsidP="00F95BFF">
      <w:pPr>
        <w:tabs>
          <w:tab w:val="left" w:pos="936"/>
        </w:tabs>
        <w:rPr>
          <w:rFonts w:ascii="Times New Roman" w:hAnsi="Times New Roman"/>
          <w:b/>
          <w:color w:val="000000" w:themeColor="text1"/>
          <w:sz w:val="24"/>
          <w:szCs w:val="24"/>
        </w:rPr>
      </w:pPr>
      <w:r w:rsidRPr="00381A22">
        <w:rPr>
          <w:rFonts w:ascii="Times New Roman" w:hAnsi="Times New Roman"/>
          <w:b/>
          <w:color w:val="000000" w:themeColor="text1"/>
          <w:sz w:val="24"/>
          <w:szCs w:val="24"/>
        </w:rPr>
        <w:t>Item 3</w:t>
      </w:r>
      <w:r w:rsidR="00BA6F0D" w:rsidRPr="00381A22">
        <w:rPr>
          <w:rFonts w:ascii="Times New Roman" w:hAnsi="Times New Roman"/>
          <w:b/>
          <w:color w:val="000000" w:themeColor="text1"/>
          <w:sz w:val="24"/>
          <w:szCs w:val="24"/>
        </w:rPr>
        <w:t xml:space="preserve"> – Part 4 of Schedule 1AB (table item 407, column headed “Objective(s)”)</w:t>
      </w:r>
    </w:p>
    <w:p w14:paraId="78FD4538" w14:textId="489DC237" w:rsidR="00CA325F" w:rsidRPr="00381A22" w:rsidRDefault="00CA325F" w:rsidP="00F95BFF">
      <w:pPr>
        <w:tabs>
          <w:tab w:val="left" w:pos="936"/>
        </w:tabs>
        <w:rPr>
          <w:rFonts w:ascii="Times New Roman" w:hAnsi="Times New Roman"/>
          <w:b/>
          <w:color w:val="000000" w:themeColor="text1"/>
          <w:sz w:val="24"/>
          <w:szCs w:val="24"/>
        </w:rPr>
      </w:pPr>
    </w:p>
    <w:p w14:paraId="6FC4F37D" w14:textId="7DE25C2D" w:rsidR="00BA6F0D" w:rsidRPr="00381A22" w:rsidRDefault="00BA6F0D" w:rsidP="00F95BFF">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This item amends table item 407 in Part </w:t>
      </w:r>
      <w:proofErr w:type="gramStart"/>
      <w:r w:rsidRPr="00381A22">
        <w:rPr>
          <w:rFonts w:ascii="Times New Roman" w:hAnsi="Times New Roman"/>
          <w:color w:val="000000" w:themeColor="text1"/>
          <w:sz w:val="24"/>
          <w:szCs w:val="24"/>
        </w:rPr>
        <w:t>4</w:t>
      </w:r>
      <w:proofErr w:type="gramEnd"/>
      <w:r w:rsidRPr="00381A22">
        <w:rPr>
          <w:rFonts w:ascii="Times New Roman" w:hAnsi="Times New Roman"/>
          <w:color w:val="000000" w:themeColor="text1"/>
          <w:sz w:val="24"/>
          <w:szCs w:val="24"/>
        </w:rPr>
        <w:t xml:space="preserve"> of Schedule 1AB by omitting “also has the effect” and substituting “has the effect”</w:t>
      </w:r>
      <w:r w:rsidR="00274D94" w:rsidRPr="00381A22">
        <w:rPr>
          <w:rFonts w:ascii="Times New Roman" w:hAnsi="Times New Roman"/>
          <w:color w:val="000000" w:themeColor="text1"/>
          <w:sz w:val="24"/>
          <w:szCs w:val="24"/>
        </w:rPr>
        <w:t xml:space="preserve"> in the column headed “Objective(s)”</w:t>
      </w:r>
      <w:r w:rsidRPr="00381A22">
        <w:rPr>
          <w:rFonts w:ascii="Times New Roman" w:hAnsi="Times New Roman"/>
          <w:color w:val="000000" w:themeColor="text1"/>
          <w:sz w:val="24"/>
          <w:szCs w:val="24"/>
        </w:rPr>
        <w:t>. Th</w:t>
      </w:r>
      <w:r w:rsidR="00B94C9D" w:rsidRPr="00381A22">
        <w:rPr>
          <w:rFonts w:ascii="Times New Roman" w:hAnsi="Times New Roman"/>
          <w:color w:val="000000" w:themeColor="text1"/>
          <w:sz w:val="24"/>
          <w:szCs w:val="24"/>
        </w:rPr>
        <w:t>e effect of this</w:t>
      </w:r>
      <w:r w:rsidRPr="00381A22">
        <w:rPr>
          <w:rFonts w:ascii="Times New Roman" w:hAnsi="Times New Roman"/>
          <w:color w:val="000000" w:themeColor="text1"/>
          <w:sz w:val="24"/>
          <w:szCs w:val="24"/>
        </w:rPr>
        <w:t xml:space="preserve"> technical amendment </w:t>
      </w:r>
      <w:r w:rsidR="00B94C9D" w:rsidRPr="00381A22">
        <w:rPr>
          <w:rFonts w:ascii="Times New Roman" w:hAnsi="Times New Roman"/>
          <w:color w:val="000000" w:themeColor="text1"/>
          <w:sz w:val="24"/>
          <w:szCs w:val="24"/>
        </w:rPr>
        <w:t>is to remove a redundant word “also” from the chapeau to the constitutional bases paragraphs of this table item.</w:t>
      </w:r>
    </w:p>
    <w:p w14:paraId="6FF71B43" w14:textId="484EA87F" w:rsidR="00856875" w:rsidRPr="00381A22" w:rsidRDefault="00856875">
      <w:pPr>
        <w:spacing w:after="200" w:line="276" w:lineRule="auto"/>
        <w:rPr>
          <w:rFonts w:ascii="Times New Roman" w:hAnsi="Times New Roman"/>
          <w:b/>
          <w:color w:val="000000" w:themeColor="text1"/>
          <w:sz w:val="24"/>
          <w:szCs w:val="24"/>
        </w:rPr>
      </w:pPr>
      <w:r w:rsidRPr="00381A22">
        <w:rPr>
          <w:rFonts w:ascii="Times New Roman" w:hAnsi="Times New Roman"/>
          <w:b/>
          <w:color w:val="000000" w:themeColor="text1"/>
          <w:sz w:val="24"/>
          <w:szCs w:val="24"/>
        </w:rPr>
        <w:br w:type="page"/>
      </w:r>
    </w:p>
    <w:p w14:paraId="4C9E647D" w14:textId="5091B9A8" w:rsidR="00F95BFF" w:rsidRPr="00381A22" w:rsidRDefault="00F95BFF" w:rsidP="00F95BFF">
      <w:pPr>
        <w:tabs>
          <w:tab w:val="left" w:pos="936"/>
        </w:tabs>
        <w:rPr>
          <w:rFonts w:ascii="Times New Roman" w:hAnsi="Times New Roman"/>
          <w:b/>
          <w:color w:val="000000" w:themeColor="text1"/>
          <w:sz w:val="24"/>
          <w:szCs w:val="24"/>
        </w:rPr>
      </w:pPr>
      <w:r w:rsidRPr="00381A22">
        <w:rPr>
          <w:rFonts w:ascii="Times New Roman" w:hAnsi="Times New Roman"/>
          <w:b/>
          <w:color w:val="000000" w:themeColor="text1"/>
          <w:sz w:val="24"/>
          <w:szCs w:val="24"/>
        </w:rPr>
        <w:lastRenderedPageBreak/>
        <w:t xml:space="preserve">Item </w:t>
      </w:r>
      <w:r w:rsidR="00BA6F0D" w:rsidRPr="00381A22">
        <w:rPr>
          <w:rFonts w:ascii="Times New Roman" w:hAnsi="Times New Roman"/>
          <w:b/>
          <w:color w:val="000000" w:themeColor="text1"/>
          <w:sz w:val="24"/>
          <w:szCs w:val="24"/>
        </w:rPr>
        <w:t>4</w:t>
      </w:r>
      <w:r w:rsidRPr="00381A22">
        <w:rPr>
          <w:rFonts w:ascii="Times New Roman" w:hAnsi="Times New Roman"/>
          <w:b/>
          <w:color w:val="000000" w:themeColor="text1"/>
          <w:sz w:val="24"/>
          <w:szCs w:val="24"/>
        </w:rPr>
        <w:t xml:space="preserve"> – In the appropriate position in Part 4 of Schedule 1AB (table)</w:t>
      </w:r>
    </w:p>
    <w:p w14:paraId="7381DED5" w14:textId="77777777" w:rsidR="00F95BFF" w:rsidRPr="00381A22" w:rsidRDefault="00F95BFF" w:rsidP="00F95BFF">
      <w:pPr>
        <w:tabs>
          <w:tab w:val="left" w:pos="936"/>
        </w:tabs>
        <w:rPr>
          <w:rFonts w:ascii="Times New Roman" w:hAnsi="Times New Roman"/>
          <w:color w:val="000000" w:themeColor="text1"/>
          <w:sz w:val="24"/>
          <w:szCs w:val="24"/>
        </w:rPr>
      </w:pPr>
    </w:p>
    <w:p w14:paraId="584E7FE6" w14:textId="17AD8F2F" w:rsidR="00F95BFF" w:rsidRPr="00381A22" w:rsidRDefault="00F95BFF" w:rsidP="00F95BFF">
      <w:pPr>
        <w:tabs>
          <w:tab w:val="left" w:pos="936"/>
        </w:tabs>
        <w:rPr>
          <w:rFonts w:ascii="Times New Roman" w:hAnsi="Times New Roman"/>
          <w:color w:val="000000" w:themeColor="text1"/>
          <w:sz w:val="24"/>
          <w:szCs w:val="24"/>
          <w:u w:val="single"/>
        </w:rPr>
      </w:pPr>
      <w:r w:rsidRPr="00381A22">
        <w:rPr>
          <w:rFonts w:ascii="Times New Roman" w:hAnsi="Times New Roman"/>
          <w:color w:val="000000" w:themeColor="text1"/>
          <w:sz w:val="24"/>
          <w:szCs w:val="24"/>
        </w:rPr>
        <w:t>This item adds f</w:t>
      </w:r>
      <w:r w:rsidR="0034133B" w:rsidRPr="00381A22">
        <w:rPr>
          <w:rFonts w:ascii="Times New Roman" w:hAnsi="Times New Roman"/>
          <w:color w:val="000000" w:themeColor="text1"/>
          <w:sz w:val="24"/>
          <w:szCs w:val="24"/>
        </w:rPr>
        <w:t>our</w:t>
      </w:r>
      <w:r w:rsidRPr="00381A22">
        <w:rPr>
          <w:rFonts w:ascii="Times New Roman" w:hAnsi="Times New Roman"/>
          <w:color w:val="000000" w:themeColor="text1"/>
          <w:sz w:val="24"/>
          <w:szCs w:val="24"/>
        </w:rPr>
        <w:t xml:space="preserve"> new table items to Part 4 of Schedule 1AB to establish legislative authority for government spending on certain activities that </w:t>
      </w:r>
      <w:proofErr w:type="gramStart"/>
      <w:r w:rsidRPr="00381A22">
        <w:rPr>
          <w:rFonts w:ascii="Times New Roman" w:hAnsi="Times New Roman"/>
          <w:color w:val="000000" w:themeColor="text1"/>
          <w:sz w:val="24"/>
          <w:szCs w:val="24"/>
        </w:rPr>
        <w:t>will be administered</w:t>
      </w:r>
      <w:proofErr w:type="gramEnd"/>
      <w:r w:rsidRPr="00381A22">
        <w:rPr>
          <w:rFonts w:ascii="Times New Roman" w:hAnsi="Times New Roman"/>
          <w:color w:val="000000" w:themeColor="text1"/>
          <w:sz w:val="24"/>
          <w:szCs w:val="24"/>
        </w:rPr>
        <w:t xml:space="preserve"> by the department.</w:t>
      </w:r>
    </w:p>
    <w:p w14:paraId="203262F1" w14:textId="77777777" w:rsidR="00F95BFF" w:rsidRPr="00381A22" w:rsidRDefault="00F95BFF" w:rsidP="00AC5AD9">
      <w:pPr>
        <w:rPr>
          <w:rFonts w:ascii="Times New Roman" w:hAnsi="Times New Roman"/>
          <w:sz w:val="24"/>
          <w:szCs w:val="24"/>
        </w:rPr>
      </w:pPr>
    </w:p>
    <w:p w14:paraId="2E2C8257" w14:textId="3D2F5999" w:rsidR="004465BD" w:rsidRPr="00381A22" w:rsidRDefault="004465BD" w:rsidP="004465BD">
      <w:pPr>
        <w:rPr>
          <w:rFonts w:ascii="Times New Roman" w:hAnsi="Times New Roman"/>
          <w:sz w:val="24"/>
          <w:szCs w:val="24"/>
        </w:rPr>
      </w:pPr>
      <w:r w:rsidRPr="00381A22">
        <w:rPr>
          <w:rFonts w:ascii="Times New Roman" w:hAnsi="Times New Roman"/>
          <w:sz w:val="24"/>
          <w:szCs w:val="24"/>
        </w:rPr>
        <w:t xml:space="preserve">New </w:t>
      </w:r>
      <w:r w:rsidRPr="00381A22">
        <w:rPr>
          <w:rFonts w:ascii="Times New Roman" w:hAnsi="Times New Roman"/>
          <w:b/>
          <w:sz w:val="24"/>
          <w:szCs w:val="24"/>
        </w:rPr>
        <w:t xml:space="preserve">table item </w:t>
      </w:r>
      <w:r w:rsidR="0034133B" w:rsidRPr="00381A22">
        <w:rPr>
          <w:rFonts w:ascii="Times New Roman" w:hAnsi="Times New Roman"/>
          <w:b/>
          <w:sz w:val="24"/>
          <w:szCs w:val="24"/>
        </w:rPr>
        <w:t>430</w:t>
      </w:r>
      <w:r w:rsidRPr="00381A22">
        <w:rPr>
          <w:rFonts w:ascii="Times New Roman" w:hAnsi="Times New Roman"/>
          <w:b/>
          <w:sz w:val="24"/>
          <w:szCs w:val="24"/>
        </w:rPr>
        <w:t xml:space="preserve"> </w:t>
      </w:r>
      <w:r w:rsidRPr="00381A22">
        <w:rPr>
          <w:rFonts w:ascii="Times New Roman" w:hAnsi="Times New Roman"/>
          <w:sz w:val="24"/>
          <w:szCs w:val="24"/>
        </w:rPr>
        <w:t>establishes legislative authority for government spending to support the delivery of the Reading Writing Hotline (the Hotline), a national advisory and referral service, which links people seeking English language, literacy or numeracy assistance to appropriate training opportunities.</w:t>
      </w:r>
    </w:p>
    <w:p w14:paraId="7C911EB7" w14:textId="77777777" w:rsidR="004465BD" w:rsidRPr="00381A22" w:rsidRDefault="004465BD" w:rsidP="004465BD">
      <w:pPr>
        <w:rPr>
          <w:rFonts w:ascii="Times New Roman" w:hAnsi="Times New Roman"/>
          <w:sz w:val="24"/>
          <w:szCs w:val="24"/>
        </w:rPr>
      </w:pPr>
    </w:p>
    <w:p w14:paraId="66544DE3" w14:textId="77777777" w:rsidR="004465BD" w:rsidRPr="00381A22" w:rsidRDefault="004465BD" w:rsidP="004465BD">
      <w:pPr>
        <w:autoSpaceDE w:val="0"/>
        <w:autoSpaceDN w:val="0"/>
        <w:adjustRightInd w:val="0"/>
        <w:rPr>
          <w:rFonts w:ascii="Times New Roman" w:eastAsiaTheme="minorHAnsi" w:hAnsi="Times New Roman"/>
          <w:sz w:val="24"/>
          <w:szCs w:val="24"/>
          <w:lang w:eastAsia="en-US"/>
        </w:rPr>
      </w:pPr>
      <w:r w:rsidRPr="00381A22">
        <w:rPr>
          <w:rFonts w:ascii="Times New Roman" w:eastAsiaTheme="minorHAnsi" w:hAnsi="Times New Roman"/>
          <w:sz w:val="24"/>
          <w:szCs w:val="24"/>
          <w:lang w:eastAsia="en-US"/>
        </w:rPr>
        <w:t>The objectives of the Hotline are to provide a national focus on improving outcomes for working age Australians and help individuals overcome language, literacy and numeracy issues by connecting them to the training opportunities that they need. These are essential skills for individuals to be able to have access to, and participate in, employment and further education opportunities.</w:t>
      </w:r>
    </w:p>
    <w:p w14:paraId="4B3CDD99" w14:textId="77777777" w:rsidR="004465BD" w:rsidRPr="00381A22" w:rsidRDefault="004465BD" w:rsidP="004465BD">
      <w:pPr>
        <w:autoSpaceDE w:val="0"/>
        <w:autoSpaceDN w:val="0"/>
        <w:adjustRightInd w:val="0"/>
        <w:rPr>
          <w:rFonts w:ascii="Times New Roman" w:eastAsiaTheme="minorHAnsi" w:hAnsi="Times New Roman"/>
          <w:sz w:val="24"/>
          <w:szCs w:val="24"/>
          <w:lang w:eastAsia="en-US"/>
        </w:rPr>
      </w:pPr>
    </w:p>
    <w:p w14:paraId="790E1224" w14:textId="77777777" w:rsidR="004465BD" w:rsidRPr="00381A22" w:rsidRDefault="004465BD" w:rsidP="004465BD">
      <w:pPr>
        <w:autoSpaceDE w:val="0"/>
        <w:autoSpaceDN w:val="0"/>
        <w:adjustRightInd w:val="0"/>
        <w:rPr>
          <w:rFonts w:ascii="Times New Roman" w:eastAsiaTheme="minorHAnsi" w:hAnsi="Times New Roman"/>
          <w:sz w:val="24"/>
          <w:szCs w:val="24"/>
          <w:lang w:eastAsia="en-US"/>
        </w:rPr>
      </w:pPr>
      <w:r w:rsidRPr="00381A22">
        <w:rPr>
          <w:rFonts w:ascii="Times New Roman" w:eastAsiaTheme="minorHAnsi" w:hAnsi="Times New Roman"/>
          <w:sz w:val="24"/>
          <w:szCs w:val="24"/>
          <w:lang w:eastAsia="en-US"/>
        </w:rPr>
        <w:t xml:space="preserve">The Hotline is a free service, which supports individuals, teachers, </w:t>
      </w:r>
      <w:proofErr w:type="gramStart"/>
      <w:r w:rsidRPr="00381A22">
        <w:rPr>
          <w:rFonts w:ascii="Times New Roman" w:eastAsiaTheme="minorHAnsi" w:hAnsi="Times New Roman"/>
          <w:sz w:val="24"/>
          <w:szCs w:val="24"/>
          <w:lang w:eastAsia="en-US"/>
        </w:rPr>
        <w:t>employers</w:t>
      </w:r>
      <w:proofErr w:type="gramEnd"/>
      <w:r w:rsidRPr="00381A22">
        <w:rPr>
          <w:rFonts w:ascii="Times New Roman" w:eastAsiaTheme="minorHAnsi" w:hAnsi="Times New Roman"/>
          <w:sz w:val="24"/>
          <w:szCs w:val="24"/>
          <w:lang w:eastAsia="en-US"/>
        </w:rPr>
        <w:t xml:space="preserve"> looking to support their employees, employment services, librarians, tutors, community services, educational institutions, literacy councils, and government organisations.</w:t>
      </w:r>
    </w:p>
    <w:p w14:paraId="2BDAEDEF" w14:textId="77777777" w:rsidR="004465BD" w:rsidRPr="00381A22" w:rsidRDefault="004465BD" w:rsidP="004465BD">
      <w:pPr>
        <w:autoSpaceDE w:val="0"/>
        <w:autoSpaceDN w:val="0"/>
        <w:adjustRightInd w:val="0"/>
        <w:rPr>
          <w:rFonts w:ascii="Times New Roman" w:eastAsiaTheme="minorHAnsi" w:hAnsi="Times New Roman"/>
          <w:sz w:val="24"/>
          <w:szCs w:val="24"/>
          <w:lang w:eastAsia="en-US"/>
        </w:rPr>
      </w:pPr>
    </w:p>
    <w:p w14:paraId="08E6B13C" w14:textId="77777777" w:rsidR="004465BD" w:rsidRPr="00381A22" w:rsidRDefault="004465BD" w:rsidP="004465BD">
      <w:pPr>
        <w:pStyle w:val="Default"/>
        <w:rPr>
          <w:color w:val="auto"/>
        </w:rPr>
      </w:pPr>
      <w:r w:rsidRPr="00381A22">
        <w:rPr>
          <w:color w:val="auto"/>
        </w:rPr>
        <w:t xml:space="preserve">The Hotline services include: </w:t>
      </w:r>
    </w:p>
    <w:p w14:paraId="152A023F" w14:textId="77777777" w:rsidR="004465BD" w:rsidRPr="00381A22" w:rsidRDefault="004465BD" w:rsidP="004465BD">
      <w:pPr>
        <w:pStyle w:val="Default"/>
        <w:numPr>
          <w:ilvl w:val="0"/>
          <w:numId w:val="33"/>
        </w:numPr>
        <w:adjustRightInd/>
        <w:rPr>
          <w:color w:val="auto"/>
        </w:rPr>
      </w:pPr>
      <w:r w:rsidRPr="00381A22">
        <w:rPr>
          <w:color w:val="auto"/>
        </w:rPr>
        <w:t>referral to training providers, including distance education options;</w:t>
      </w:r>
    </w:p>
    <w:p w14:paraId="07A4EE40" w14:textId="77777777" w:rsidR="004465BD" w:rsidRPr="00381A22" w:rsidRDefault="004465BD" w:rsidP="004465BD">
      <w:pPr>
        <w:pStyle w:val="Default"/>
        <w:numPr>
          <w:ilvl w:val="0"/>
          <w:numId w:val="33"/>
        </w:numPr>
        <w:adjustRightInd/>
        <w:rPr>
          <w:color w:val="auto"/>
        </w:rPr>
      </w:pPr>
      <w:r w:rsidRPr="00381A22">
        <w:rPr>
          <w:color w:val="auto"/>
        </w:rPr>
        <w:t xml:space="preserve">development of resources for distribution to low level literacy learners; </w:t>
      </w:r>
    </w:p>
    <w:p w14:paraId="5D54CC0A" w14:textId="34F076BC" w:rsidR="004465BD" w:rsidRPr="00381A22" w:rsidRDefault="004465BD" w:rsidP="004465BD">
      <w:pPr>
        <w:pStyle w:val="Default"/>
        <w:numPr>
          <w:ilvl w:val="0"/>
          <w:numId w:val="33"/>
        </w:numPr>
        <w:adjustRightInd/>
        <w:rPr>
          <w:color w:val="auto"/>
        </w:rPr>
      </w:pPr>
      <w:r w:rsidRPr="00381A22">
        <w:rPr>
          <w:color w:val="auto"/>
        </w:rPr>
        <w:t>access to specialist literacy teachers who can provide people seeking to improve their language, literacy or numeracy skills with learning strategies, discuss strategies and options for study</w:t>
      </w:r>
      <w:r w:rsidR="00B6368C" w:rsidRPr="00381A22">
        <w:rPr>
          <w:color w:val="auto"/>
        </w:rPr>
        <w:t>,</w:t>
      </w:r>
      <w:r w:rsidRPr="00381A22">
        <w:rPr>
          <w:color w:val="auto"/>
        </w:rPr>
        <w:t xml:space="preserve"> and post hardcopy </w:t>
      </w:r>
      <w:r w:rsidR="005C6FA2" w:rsidRPr="00381A22">
        <w:rPr>
          <w:color w:val="auto"/>
        </w:rPr>
        <w:t>English writing, reading and numeracy learning material</w:t>
      </w:r>
      <w:r w:rsidRPr="00381A22">
        <w:rPr>
          <w:color w:val="auto"/>
        </w:rPr>
        <w:t>;</w:t>
      </w:r>
    </w:p>
    <w:p w14:paraId="19247DB7" w14:textId="77777777" w:rsidR="004465BD" w:rsidRPr="00381A22" w:rsidRDefault="004465BD" w:rsidP="004465BD">
      <w:pPr>
        <w:pStyle w:val="Default"/>
        <w:numPr>
          <w:ilvl w:val="0"/>
          <w:numId w:val="33"/>
        </w:numPr>
        <w:adjustRightInd/>
        <w:rPr>
          <w:color w:val="auto"/>
        </w:rPr>
      </w:pPr>
      <w:r w:rsidRPr="00381A22">
        <w:rPr>
          <w:color w:val="auto"/>
        </w:rPr>
        <w:t xml:space="preserve">referral to literacy tutors or other literacy programs; and/or </w:t>
      </w:r>
    </w:p>
    <w:p w14:paraId="27F7A668" w14:textId="77777777" w:rsidR="004465BD" w:rsidRPr="00381A22" w:rsidRDefault="004465BD" w:rsidP="004465BD">
      <w:pPr>
        <w:pStyle w:val="Default"/>
        <w:numPr>
          <w:ilvl w:val="0"/>
          <w:numId w:val="33"/>
        </w:numPr>
        <w:adjustRightInd/>
        <w:rPr>
          <w:color w:val="auto"/>
        </w:rPr>
      </w:pPr>
      <w:proofErr w:type="gramStart"/>
      <w:r w:rsidRPr="00381A22">
        <w:rPr>
          <w:color w:val="auto"/>
        </w:rPr>
        <w:t>provision</w:t>
      </w:r>
      <w:proofErr w:type="gramEnd"/>
      <w:r w:rsidRPr="00381A22">
        <w:rPr>
          <w:color w:val="auto"/>
        </w:rPr>
        <w:t xml:space="preserve"> of resources or specific strategies to support adult learners with special needs. </w:t>
      </w:r>
    </w:p>
    <w:p w14:paraId="62B79DD9" w14:textId="77777777" w:rsidR="004465BD" w:rsidRPr="00381A22" w:rsidRDefault="004465BD" w:rsidP="004465BD">
      <w:pPr>
        <w:pStyle w:val="Default"/>
        <w:adjustRightInd/>
        <w:ind w:left="720"/>
        <w:rPr>
          <w:color w:val="auto"/>
        </w:rPr>
      </w:pPr>
    </w:p>
    <w:p w14:paraId="179051BC" w14:textId="60007353" w:rsidR="004465BD" w:rsidRPr="00381A22" w:rsidRDefault="004465BD" w:rsidP="004465BD">
      <w:pPr>
        <w:autoSpaceDE w:val="0"/>
        <w:autoSpaceDN w:val="0"/>
        <w:adjustRightInd w:val="0"/>
        <w:rPr>
          <w:rFonts w:ascii="Times New Roman" w:eastAsiaTheme="minorHAnsi" w:hAnsi="Times New Roman"/>
          <w:sz w:val="24"/>
          <w:szCs w:val="24"/>
          <w:lang w:eastAsia="en-US"/>
        </w:rPr>
      </w:pPr>
      <w:r w:rsidRPr="00381A22">
        <w:rPr>
          <w:rFonts w:ascii="Times New Roman" w:eastAsiaTheme="minorHAnsi" w:hAnsi="Times New Roman"/>
          <w:sz w:val="24"/>
          <w:szCs w:val="24"/>
          <w:lang w:eastAsia="en-US"/>
        </w:rPr>
        <w:t>The Hotline also provides information and advice regardin</w:t>
      </w:r>
      <w:r w:rsidR="00B6368C" w:rsidRPr="00381A22">
        <w:rPr>
          <w:rFonts w:ascii="Times New Roman" w:eastAsiaTheme="minorHAnsi" w:hAnsi="Times New Roman"/>
          <w:sz w:val="24"/>
          <w:szCs w:val="24"/>
          <w:lang w:eastAsia="en-US"/>
        </w:rPr>
        <w:t>g successful models</w:t>
      </w:r>
      <w:r w:rsidRPr="00381A22">
        <w:rPr>
          <w:rFonts w:ascii="Times New Roman" w:eastAsiaTheme="minorHAnsi" w:hAnsi="Times New Roman"/>
          <w:sz w:val="24"/>
          <w:szCs w:val="24"/>
          <w:lang w:eastAsia="en-US"/>
        </w:rPr>
        <w:t xml:space="preserve"> </w:t>
      </w:r>
      <w:r w:rsidR="005C6FA2" w:rsidRPr="00381A22">
        <w:rPr>
          <w:rFonts w:ascii="Times New Roman" w:eastAsiaTheme="minorHAnsi" w:hAnsi="Times New Roman"/>
          <w:sz w:val="24"/>
          <w:szCs w:val="24"/>
          <w:lang w:eastAsia="en-US"/>
        </w:rPr>
        <w:t>of English literacy and numeracy</w:t>
      </w:r>
      <w:r w:rsidR="00B6368C" w:rsidRPr="00381A22">
        <w:rPr>
          <w:rFonts w:ascii="Times New Roman" w:eastAsiaTheme="minorHAnsi" w:hAnsi="Times New Roman"/>
          <w:sz w:val="24"/>
          <w:szCs w:val="24"/>
          <w:lang w:eastAsia="en-US"/>
        </w:rPr>
        <w:t xml:space="preserve"> provision, </w:t>
      </w:r>
      <w:r w:rsidRPr="00381A22">
        <w:rPr>
          <w:rFonts w:ascii="Times New Roman" w:eastAsiaTheme="minorHAnsi" w:hAnsi="Times New Roman"/>
          <w:sz w:val="24"/>
          <w:szCs w:val="24"/>
          <w:lang w:eastAsia="en-US"/>
        </w:rPr>
        <w:t xml:space="preserve">statistics on the needs of callers, learning resources and referrals. </w:t>
      </w:r>
    </w:p>
    <w:p w14:paraId="169C620E" w14:textId="77777777" w:rsidR="004465BD" w:rsidRPr="00381A22" w:rsidRDefault="004465BD" w:rsidP="004465BD">
      <w:pPr>
        <w:autoSpaceDE w:val="0"/>
        <w:autoSpaceDN w:val="0"/>
        <w:adjustRightInd w:val="0"/>
        <w:rPr>
          <w:rFonts w:ascii="Times New Roman" w:eastAsiaTheme="minorHAnsi" w:hAnsi="Times New Roman"/>
          <w:sz w:val="24"/>
          <w:szCs w:val="24"/>
          <w:lang w:eastAsia="en-US"/>
        </w:rPr>
      </w:pPr>
    </w:p>
    <w:p w14:paraId="086A74E0" w14:textId="5EDB3D99" w:rsidR="004465BD" w:rsidRPr="00381A22" w:rsidRDefault="004465BD" w:rsidP="004465BD">
      <w:pPr>
        <w:autoSpaceDE w:val="0"/>
        <w:autoSpaceDN w:val="0"/>
        <w:adjustRightInd w:val="0"/>
        <w:rPr>
          <w:rFonts w:ascii="Times New Roman" w:eastAsiaTheme="minorHAnsi" w:hAnsi="Times New Roman"/>
          <w:sz w:val="24"/>
          <w:szCs w:val="24"/>
          <w:lang w:eastAsia="en-US"/>
        </w:rPr>
      </w:pPr>
      <w:r w:rsidRPr="00381A22">
        <w:rPr>
          <w:rFonts w:ascii="Times New Roman" w:eastAsiaTheme="minorHAnsi" w:hAnsi="Times New Roman"/>
          <w:sz w:val="24"/>
          <w:szCs w:val="24"/>
          <w:lang w:eastAsia="en-US"/>
        </w:rPr>
        <w:t xml:space="preserve">The Hotline is the only national advisory and referral service of its kind, which has operated for over 20 years. It contributes to the priority areas and objectives of the Council of Australian Governments’ </w:t>
      </w:r>
      <w:r w:rsidRPr="00381A22">
        <w:rPr>
          <w:rFonts w:ascii="Times New Roman" w:eastAsiaTheme="minorHAnsi" w:hAnsi="Times New Roman"/>
          <w:i/>
          <w:sz w:val="24"/>
          <w:szCs w:val="24"/>
          <w:lang w:eastAsia="en-US"/>
        </w:rPr>
        <w:t>National Foundation Skills Strategy for Adults</w:t>
      </w:r>
      <w:r w:rsidRPr="00381A22">
        <w:rPr>
          <w:rFonts w:ascii="Times New Roman" w:eastAsiaTheme="minorHAnsi" w:hAnsi="Times New Roman"/>
          <w:sz w:val="24"/>
          <w:szCs w:val="24"/>
          <w:lang w:eastAsia="en-US"/>
        </w:rPr>
        <w:t xml:space="preserve"> (the Strategy), a</w:t>
      </w:r>
      <w:r w:rsidR="00B6368C" w:rsidRPr="00381A22">
        <w:rPr>
          <w:rFonts w:ascii="Times New Roman" w:eastAsiaTheme="minorHAnsi" w:hAnsi="Times New Roman"/>
          <w:sz w:val="24"/>
          <w:szCs w:val="24"/>
          <w:lang w:eastAsia="en-US"/>
        </w:rPr>
        <w:t> </w:t>
      </w:r>
      <w:r w:rsidRPr="00381A22">
        <w:rPr>
          <w:rFonts w:ascii="Times New Roman" w:eastAsiaTheme="minorHAnsi" w:hAnsi="Times New Roman"/>
          <w:sz w:val="24"/>
          <w:szCs w:val="24"/>
          <w:lang w:eastAsia="en-US"/>
        </w:rPr>
        <w:t>ten</w:t>
      </w:r>
      <w:r w:rsidR="00B6368C" w:rsidRPr="00381A22">
        <w:rPr>
          <w:rFonts w:ascii="Times New Roman" w:eastAsiaTheme="minorHAnsi" w:hAnsi="Times New Roman"/>
          <w:sz w:val="24"/>
          <w:szCs w:val="24"/>
          <w:lang w:eastAsia="en-US"/>
        </w:rPr>
        <w:noBreakHyphen/>
      </w:r>
      <w:r w:rsidRPr="00381A22">
        <w:rPr>
          <w:rFonts w:ascii="Times New Roman" w:eastAsiaTheme="minorHAnsi" w:hAnsi="Times New Roman"/>
          <w:sz w:val="24"/>
          <w:szCs w:val="24"/>
          <w:lang w:eastAsia="en-US"/>
        </w:rPr>
        <w:t xml:space="preserve">year framework that brings a national focus to improving education and employment outcomes for working age Australians with low levels of foundation skills: language, literacy, numeracy, and employability skills. The Strategy </w:t>
      </w:r>
      <w:proofErr w:type="gramStart"/>
      <w:r w:rsidRPr="00381A22">
        <w:rPr>
          <w:rFonts w:ascii="Times New Roman" w:eastAsiaTheme="minorHAnsi" w:hAnsi="Times New Roman"/>
          <w:sz w:val="24"/>
          <w:szCs w:val="24"/>
          <w:lang w:eastAsia="en-US"/>
        </w:rPr>
        <w:t>was endorsed</w:t>
      </w:r>
      <w:proofErr w:type="gramEnd"/>
      <w:r w:rsidRPr="00381A22">
        <w:rPr>
          <w:rFonts w:ascii="Times New Roman" w:eastAsiaTheme="minorHAnsi" w:hAnsi="Times New Roman"/>
          <w:sz w:val="24"/>
          <w:szCs w:val="24"/>
          <w:lang w:eastAsia="en-US"/>
        </w:rPr>
        <w:t xml:space="preserve"> by all Australian governments in 2012 and is available at </w:t>
      </w:r>
      <w:r w:rsidRPr="00381A22">
        <w:rPr>
          <w:rFonts w:ascii="Times New Roman" w:hAnsi="Times New Roman"/>
          <w:sz w:val="24"/>
          <w:szCs w:val="24"/>
          <w:u w:val="single"/>
        </w:rPr>
        <w:t>https://docs.employment.gov.au/system/files/doc/other/national-foundation-skills-strategy-for-adults_0.pdf</w:t>
      </w:r>
      <w:r w:rsidRPr="00381A22">
        <w:rPr>
          <w:rFonts w:ascii="Times New Roman" w:eastAsiaTheme="minorHAnsi" w:hAnsi="Times New Roman"/>
          <w:sz w:val="24"/>
          <w:szCs w:val="24"/>
          <w:lang w:eastAsia="en-US"/>
        </w:rPr>
        <w:t>.</w:t>
      </w:r>
    </w:p>
    <w:p w14:paraId="77127B48" w14:textId="77777777" w:rsidR="004465BD" w:rsidRPr="00381A22" w:rsidRDefault="004465BD" w:rsidP="004465BD">
      <w:pPr>
        <w:autoSpaceDE w:val="0"/>
        <w:autoSpaceDN w:val="0"/>
        <w:adjustRightInd w:val="0"/>
        <w:rPr>
          <w:rFonts w:ascii="Times New Roman" w:eastAsiaTheme="minorHAnsi" w:hAnsi="Times New Roman"/>
          <w:sz w:val="24"/>
          <w:szCs w:val="24"/>
          <w:lang w:eastAsia="en-US"/>
        </w:rPr>
      </w:pPr>
    </w:p>
    <w:p w14:paraId="1B10650E" w14:textId="77777777" w:rsidR="004465BD" w:rsidRPr="00381A22" w:rsidRDefault="004465BD" w:rsidP="004465BD">
      <w:pPr>
        <w:pStyle w:val="Default"/>
        <w:rPr>
          <w:color w:val="auto"/>
        </w:rPr>
      </w:pPr>
      <w:r w:rsidRPr="00381A22">
        <w:rPr>
          <w:color w:val="auto"/>
        </w:rPr>
        <w:t xml:space="preserve">The Strategy aims to achieve a nationally consistent environment within which Australian governments can work together to improve the foundation skills development of working age Australian through four priority areas for action: </w:t>
      </w:r>
    </w:p>
    <w:p w14:paraId="5F019324" w14:textId="77777777" w:rsidR="004465BD" w:rsidRPr="00381A22" w:rsidRDefault="004465BD" w:rsidP="004465BD">
      <w:pPr>
        <w:pStyle w:val="ListParagraph"/>
        <w:numPr>
          <w:ilvl w:val="0"/>
          <w:numId w:val="33"/>
        </w:numPr>
        <w:autoSpaceDE w:val="0"/>
        <w:autoSpaceDN w:val="0"/>
        <w:adjustRightInd w:val="0"/>
        <w:rPr>
          <w:rFonts w:cs="Times New Roman"/>
          <w:color w:val="auto"/>
          <w:szCs w:val="24"/>
        </w:rPr>
      </w:pPr>
      <w:r w:rsidRPr="00381A22">
        <w:rPr>
          <w:rFonts w:cs="Times New Roman"/>
          <w:color w:val="auto"/>
          <w:szCs w:val="24"/>
        </w:rPr>
        <w:lastRenderedPageBreak/>
        <w:t>raising awareness and commitment to action – building an understanding of foundation skills in the workplace and the community and removing the stigma associated with low adult foundation skills;</w:t>
      </w:r>
    </w:p>
    <w:p w14:paraId="5A76A9BD" w14:textId="77777777" w:rsidR="004465BD" w:rsidRPr="00381A22" w:rsidRDefault="004465BD" w:rsidP="004465BD">
      <w:pPr>
        <w:pStyle w:val="ListParagraph"/>
        <w:numPr>
          <w:ilvl w:val="0"/>
          <w:numId w:val="33"/>
        </w:numPr>
        <w:autoSpaceDE w:val="0"/>
        <w:autoSpaceDN w:val="0"/>
        <w:adjustRightInd w:val="0"/>
        <w:rPr>
          <w:rFonts w:cs="Times New Roman"/>
          <w:color w:val="auto"/>
          <w:szCs w:val="24"/>
        </w:rPr>
      </w:pPr>
      <w:r w:rsidRPr="00381A22">
        <w:rPr>
          <w:rFonts w:cs="Times New Roman"/>
          <w:color w:val="auto"/>
          <w:szCs w:val="24"/>
        </w:rPr>
        <w:t>adult learners have high quality learning opportunities and outcomes – providing a variety of foundation skills development opportunities that can be tailored to individual needs;</w:t>
      </w:r>
    </w:p>
    <w:p w14:paraId="155A9373" w14:textId="77777777" w:rsidR="004465BD" w:rsidRPr="00381A22" w:rsidRDefault="004465BD" w:rsidP="004465BD">
      <w:pPr>
        <w:pStyle w:val="Default"/>
        <w:numPr>
          <w:ilvl w:val="0"/>
          <w:numId w:val="33"/>
        </w:numPr>
        <w:adjustRightInd/>
        <w:rPr>
          <w:color w:val="auto"/>
        </w:rPr>
      </w:pPr>
      <w:r w:rsidRPr="00381A22">
        <w:rPr>
          <w:color w:val="auto"/>
        </w:rPr>
        <w:t>strengthening foundation skills in the workplace – establishing strong and lasting partnerships between government, industry, employers and unions and providing foundation skills training that is responsive to employers and industry needs; and</w:t>
      </w:r>
    </w:p>
    <w:p w14:paraId="4ED769CF" w14:textId="77777777" w:rsidR="004465BD" w:rsidRPr="00381A22" w:rsidRDefault="004465BD" w:rsidP="004465BD">
      <w:pPr>
        <w:pStyle w:val="ListParagraph"/>
        <w:numPr>
          <w:ilvl w:val="0"/>
          <w:numId w:val="33"/>
        </w:numPr>
        <w:autoSpaceDE w:val="0"/>
        <w:autoSpaceDN w:val="0"/>
        <w:adjustRightInd w:val="0"/>
        <w:rPr>
          <w:rFonts w:cs="Times New Roman"/>
          <w:color w:val="auto"/>
          <w:szCs w:val="24"/>
        </w:rPr>
      </w:pPr>
      <w:proofErr w:type="gramStart"/>
      <w:r w:rsidRPr="00381A22">
        <w:rPr>
          <w:rFonts w:cs="Times New Roman"/>
          <w:color w:val="auto"/>
          <w:szCs w:val="24"/>
        </w:rPr>
        <w:t>building</w:t>
      </w:r>
      <w:proofErr w:type="gramEnd"/>
      <w:r w:rsidRPr="00381A22">
        <w:rPr>
          <w:rFonts w:cs="Times New Roman"/>
          <w:color w:val="auto"/>
          <w:szCs w:val="24"/>
        </w:rPr>
        <w:t xml:space="preserve"> the capacity of the education and training workforces to deliver foundation skills – building the skills of specialist language, literacy and numeracy practitioners, developing the workforce to enable the effective teaching of employability skills and supporting vocational trainers to better integrate foundation skills with vocational training.</w:t>
      </w:r>
    </w:p>
    <w:p w14:paraId="39030B88" w14:textId="77777777" w:rsidR="004465BD" w:rsidRPr="00381A22" w:rsidRDefault="004465BD" w:rsidP="004465BD">
      <w:pPr>
        <w:autoSpaceDE w:val="0"/>
        <w:autoSpaceDN w:val="0"/>
        <w:adjustRightInd w:val="0"/>
        <w:rPr>
          <w:szCs w:val="24"/>
        </w:rPr>
      </w:pPr>
    </w:p>
    <w:p w14:paraId="44DE385F" w14:textId="77777777" w:rsidR="004465BD" w:rsidRPr="00381A22" w:rsidRDefault="004465BD" w:rsidP="004465BD">
      <w:pPr>
        <w:autoSpaceDE w:val="0"/>
        <w:autoSpaceDN w:val="0"/>
        <w:adjustRightInd w:val="0"/>
        <w:rPr>
          <w:rFonts w:ascii="Times New Roman" w:hAnsi="Times New Roman"/>
          <w:sz w:val="24"/>
          <w:szCs w:val="24"/>
        </w:rPr>
      </w:pPr>
      <w:r w:rsidRPr="00381A22">
        <w:rPr>
          <w:rFonts w:ascii="Times New Roman" w:hAnsi="Times New Roman"/>
          <w:sz w:val="24"/>
          <w:szCs w:val="24"/>
        </w:rPr>
        <w:t xml:space="preserve">The Hotline </w:t>
      </w:r>
      <w:proofErr w:type="gramStart"/>
      <w:r w:rsidRPr="00381A22">
        <w:rPr>
          <w:rFonts w:ascii="Times New Roman" w:hAnsi="Times New Roman"/>
          <w:sz w:val="24"/>
          <w:szCs w:val="24"/>
        </w:rPr>
        <w:t>was created</w:t>
      </w:r>
      <w:proofErr w:type="gramEnd"/>
      <w:r w:rsidRPr="00381A22">
        <w:rPr>
          <w:rFonts w:ascii="Times New Roman" w:hAnsi="Times New Roman"/>
          <w:sz w:val="24"/>
          <w:szCs w:val="24"/>
        </w:rPr>
        <w:t>, and is managed by the Technical and Further Education Commission New South Wales (trading as TAFE NSW) via a telephone hotline and digital platform. TAFE NSW continues to operate the Hotline.</w:t>
      </w:r>
    </w:p>
    <w:p w14:paraId="1C2577CB" w14:textId="77777777" w:rsidR="004465BD" w:rsidRPr="00381A22" w:rsidRDefault="004465BD" w:rsidP="004465BD">
      <w:pPr>
        <w:autoSpaceDE w:val="0"/>
        <w:autoSpaceDN w:val="0"/>
        <w:adjustRightInd w:val="0"/>
        <w:rPr>
          <w:rFonts w:ascii="Times New Roman" w:hAnsi="Times New Roman"/>
          <w:sz w:val="24"/>
          <w:szCs w:val="24"/>
        </w:rPr>
      </w:pPr>
    </w:p>
    <w:p w14:paraId="64717412" w14:textId="77777777" w:rsidR="004465BD" w:rsidRPr="00381A22" w:rsidRDefault="004465BD" w:rsidP="004465BD">
      <w:pPr>
        <w:autoSpaceDE w:val="0"/>
        <w:autoSpaceDN w:val="0"/>
        <w:adjustRightInd w:val="0"/>
        <w:rPr>
          <w:rFonts w:ascii="Times New Roman" w:eastAsiaTheme="minorHAnsi" w:hAnsi="Times New Roman"/>
          <w:sz w:val="24"/>
          <w:szCs w:val="24"/>
          <w:lang w:eastAsia="en-US"/>
        </w:rPr>
      </w:pPr>
      <w:r w:rsidRPr="00381A22">
        <w:rPr>
          <w:rFonts w:ascii="Times New Roman" w:eastAsiaTheme="minorHAnsi" w:hAnsi="Times New Roman"/>
          <w:sz w:val="24"/>
          <w:szCs w:val="24"/>
          <w:lang w:eastAsia="en-US"/>
        </w:rPr>
        <w:t>Funding will ensure:</w:t>
      </w:r>
    </w:p>
    <w:p w14:paraId="6F7EC1C2" w14:textId="77777777" w:rsidR="004465BD" w:rsidRPr="00381A22" w:rsidRDefault="004465BD" w:rsidP="004465BD">
      <w:pPr>
        <w:pStyle w:val="ListParagraph"/>
        <w:numPr>
          <w:ilvl w:val="0"/>
          <w:numId w:val="33"/>
        </w:numPr>
        <w:autoSpaceDE w:val="0"/>
        <w:autoSpaceDN w:val="0"/>
        <w:adjustRightInd w:val="0"/>
        <w:rPr>
          <w:rFonts w:cs="Times New Roman"/>
          <w:color w:val="auto"/>
          <w:szCs w:val="24"/>
        </w:rPr>
      </w:pPr>
      <w:r w:rsidRPr="00381A22">
        <w:rPr>
          <w:rFonts w:cs="Times New Roman"/>
          <w:color w:val="auto"/>
          <w:szCs w:val="24"/>
        </w:rPr>
        <w:t>continued delivery of the Hotline, as the national advisory and referral service for people seeking to improve their language, literacy and numeracy skills;</w:t>
      </w:r>
    </w:p>
    <w:p w14:paraId="6CDC2CE7" w14:textId="77777777" w:rsidR="004465BD" w:rsidRPr="00381A22" w:rsidRDefault="004465BD" w:rsidP="004465BD">
      <w:pPr>
        <w:pStyle w:val="ListParagraph"/>
        <w:numPr>
          <w:ilvl w:val="0"/>
          <w:numId w:val="33"/>
        </w:numPr>
        <w:autoSpaceDE w:val="0"/>
        <w:autoSpaceDN w:val="0"/>
        <w:adjustRightInd w:val="0"/>
        <w:rPr>
          <w:rFonts w:cs="Times New Roman"/>
          <w:color w:val="auto"/>
          <w:szCs w:val="24"/>
        </w:rPr>
      </w:pPr>
      <w:r w:rsidRPr="00381A22">
        <w:rPr>
          <w:rFonts w:cs="Times New Roman"/>
          <w:color w:val="auto"/>
          <w:szCs w:val="24"/>
        </w:rPr>
        <w:t>improved operation of the Hotline, including enhancements to the Hotline database to maximise visibility through web searches;</w:t>
      </w:r>
    </w:p>
    <w:p w14:paraId="55B39CD1" w14:textId="77777777" w:rsidR="004465BD" w:rsidRPr="00381A22" w:rsidRDefault="004465BD" w:rsidP="004465BD">
      <w:pPr>
        <w:pStyle w:val="ListParagraph"/>
        <w:numPr>
          <w:ilvl w:val="0"/>
          <w:numId w:val="33"/>
        </w:numPr>
        <w:autoSpaceDE w:val="0"/>
        <w:autoSpaceDN w:val="0"/>
        <w:adjustRightInd w:val="0"/>
        <w:rPr>
          <w:rFonts w:cs="Times New Roman"/>
          <w:color w:val="auto"/>
          <w:szCs w:val="24"/>
        </w:rPr>
      </w:pPr>
      <w:r w:rsidRPr="00381A22">
        <w:rPr>
          <w:rFonts w:cs="Times New Roman"/>
          <w:color w:val="auto"/>
          <w:szCs w:val="24"/>
        </w:rPr>
        <w:t>continued provision of accurate information and resources for employers on workplace language, literacy and numeracy training opportunities;</w:t>
      </w:r>
    </w:p>
    <w:p w14:paraId="6693E45A" w14:textId="77777777" w:rsidR="004465BD" w:rsidRPr="00381A22" w:rsidRDefault="004465BD" w:rsidP="004465BD">
      <w:pPr>
        <w:pStyle w:val="ListParagraph"/>
        <w:numPr>
          <w:ilvl w:val="0"/>
          <w:numId w:val="33"/>
        </w:numPr>
        <w:autoSpaceDE w:val="0"/>
        <w:autoSpaceDN w:val="0"/>
        <w:adjustRightInd w:val="0"/>
        <w:rPr>
          <w:rFonts w:cs="Times New Roman"/>
          <w:color w:val="auto"/>
          <w:szCs w:val="24"/>
        </w:rPr>
      </w:pPr>
      <w:r w:rsidRPr="00381A22">
        <w:rPr>
          <w:rFonts w:cs="Times New Roman"/>
          <w:color w:val="auto"/>
          <w:szCs w:val="24"/>
        </w:rPr>
        <w:t>implementation of a range of peer support and mentoring for Hotline practitioners to build best practice in the delivery of its services;</w:t>
      </w:r>
    </w:p>
    <w:p w14:paraId="52AC3626" w14:textId="77777777" w:rsidR="004465BD" w:rsidRPr="00381A22" w:rsidRDefault="004465BD" w:rsidP="004465BD">
      <w:pPr>
        <w:pStyle w:val="ListParagraph"/>
        <w:numPr>
          <w:ilvl w:val="0"/>
          <w:numId w:val="33"/>
        </w:numPr>
        <w:autoSpaceDE w:val="0"/>
        <w:autoSpaceDN w:val="0"/>
        <w:adjustRightInd w:val="0"/>
        <w:rPr>
          <w:rFonts w:cs="Times New Roman"/>
          <w:color w:val="auto"/>
          <w:szCs w:val="24"/>
        </w:rPr>
      </w:pPr>
      <w:r w:rsidRPr="00381A22">
        <w:rPr>
          <w:rFonts w:cs="Times New Roman"/>
          <w:color w:val="auto"/>
          <w:szCs w:val="24"/>
        </w:rPr>
        <w:t>continued public promotion of the Hotline (for example, through industry specific newsletters and digital media);</w:t>
      </w:r>
    </w:p>
    <w:p w14:paraId="33A62766" w14:textId="77777777" w:rsidR="004465BD" w:rsidRPr="00381A22" w:rsidRDefault="004465BD" w:rsidP="004465BD">
      <w:pPr>
        <w:pStyle w:val="ListParagraph"/>
        <w:numPr>
          <w:ilvl w:val="0"/>
          <w:numId w:val="33"/>
        </w:numPr>
        <w:autoSpaceDE w:val="0"/>
        <w:autoSpaceDN w:val="0"/>
        <w:adjustRightInd w:val="0"/>
        <w:rPr>
          <w:rFonts w:cs="Times New Roman"/>
          <w:color w:val="auto"/>
          <w:szCs w:val="24"/>
        </w:rPr>
      </w:pPr>
      <w:r w:rsidRPr="00381A22">
        <w:rPr>
          <w:rFonts w:cs="Times New Roman"/>
          <w:color w:val="auto"/>
          <w:szCs w:val="24"/>
        </w:rPr>
        <w:t>attendance at key state/territory and national literacy conferences, and travel to state/territory based stakeholders to ensure continued engagement;</w:t>
      </w:r>
    </w:p>
    <w:p w14:paraId="0842347F" w14:textId="77777777" w:rsidR="004465BD" w:rsidRPr="00381A22" w:rsidRDefault="004465BD" w:rsidP="004465BD">
      <w:pPr>
        <w:pStyle w:val="ListParagraph"/>
        <w:numPr>
          <w:ilvl w:val="0"/>
          <w:numId w:val="33"/>
        </w:numPr>
        <w:autoSpaceDE w:val="0"/>
        <w:autoSpaceDN w:val="0"/>
        <w:adjustRightInd w:val="0"/>
        <w:rPr>
          <w:rFonts w:cs="Times New Roman"/>
          <w:color w:val="auto"/>
          <w:szCs w:val="24"/>
        </w:rPr>
      </w:pPr>
      <w:r w:rsidRPr="00381A22">
        <w:rPr>
          <w:rFonts w:cs="Times New Roman"/>
          <w:color w:val="auto"/>
          <w:szCs w:val="24"/>
        </w:rPr>
        <w:t xml:space="preserve">continued support for activities that will contribute to the strategic enhancement of the Hotline; and </w:t>
      </w:r>
    </w:p>
    <w:p w14:paraId="6EE4A7B4" w14:textId="77777777" w:rsidR="004465BD" w:rsidRPr="00381A22" w:rsidRDefault="004465BD" w:rsidP="004465BD">
      <w:pPr>
        <w:pStyle w:val="ListParagraph"/>
        <w:numPr>
          <w:ilvl w:val="0"/>
          <w:numId w:val="33"/>
        </w:numPr>
        <w:autoSpaceDE w:val="0"/>
        <w:autoSpaceDN w:val="0"/>
        <w:adjustRightInd w:val="0"/>
        <w:rPr>
          <w:rFonts w:cs="Times New Roman"/>
          <w:color w:val="auto"/>
          <w:szCs w:val="24"/>
        </w:rPr>
      </w:pPr>
      <w:proofErr w:type="gramStart"/>
      <w:r w:rsidRPr="00381A22">
        <w:rPr>
          <w:rFonts w:cs="Times New Roman"/>
          <w:color w:val="auto"/>
          <w:szCs w:val="24"/>
        </w:rPr>
        <w:t>enhanced</w:t>
      </w:r>
      <w:proofErr w:type="gramEnd"/>
      <w:r w:rsidRPr="00381A22">
        <w:rPr>
          <w:rFonts w:cs="Times New Roman"/>
          <w:color w:val="auto"/>
          <w:szCs w:val="24"/>
        </w:rPr>
        <w:t xml:space="preserve"> referral processes.</w:t>
      </w:r>
    </w:p>
    <w:p w14:paraId="55028DBD" w14:textId="77777777" w:rsidR="004465BD" w:rsidRPr="00381A22" w:rsidRDefault="004465BD" w:rsidP="004465BD">
      <w:pPr>
        <w:autoSpaceDE w:val="0"/>
        <w:autoSpaceDN w:val="0"/>
        <w:adjustRightInd w:val="0"/>
        <w:rPr>
          <w:szCs w:val="24"/>
        </w:rPr>
      </w:pPr>
    </w:p>
    <w:p w14:paraId="5E04747C" w14:textId="3327705A" w:rsidR="004465BD" w:rsidRPr="00381A22" w:rsidRDefault="004465BD" w:rsidP="004465BD">
      <w:pPr>
        <w:autoSpaceDE w:val="0"/>
        <w:autoSpaceDN w:val="0"/>
        <w:adjustRightInd w:val="0"/>
        <w:rPr>
          <w:rFonts w:ascii="Times New Roman" w:eastAsiaTheme="minorHAnsi" w:hAnsi="Times New Roman"/>
          <w:sz w:val="24"/>
          <w:szCs w:val="24"/>
          <w:lang w:eastAsia="en-US"/>
        </w:rPr>
      </w:pPr>
      <w:r w:rsidRPr="00381A22">
        <w:rPr>
          <w:rFonts w:ascii="Times New Roman" w:eastAsiaTheme="minorHAnsi" w:hAnsi="Times New Roman"/>
          <w:sz w:val="24"/>
          <w:szCs w:val="24"/>
          <w:lang w:eastAsia="en-US"/>
        </w:rPr>
        <w:t xml:space="preserve">Funding </w:t>
      </w:r>
      <w:proofErr w:type="gramStart"/>
      <w:r w:rsidRPr="00381A22">
        <w:rPr>
          <w:rFonts w:ascii="Times New Roman" w:eastAsiaTheme="minorHAnsi" w:hAnsi="Times New Roman"/>
          <w:sz w:val="24"/>
          <w:szCs w:val="24"/>
          <w:lang w:eastAsia="en-US"/>
        </w:rPr>
        <w:t>will be provided</w:t>
      </w:r>
      <w:proofErr w:type="gramEnd"/>
      <w:r w:rsidRPr="00381A22">
        <w:rPr>
          <w:rFonts w:ascii="Times New Roman" w:eastAsiaTheme="minorHAnsi" w:hAnsi="Times New Roman"/>
          <w:sz w:val="24"/>
          <w:szCs w:val="24"/>
          <w:lang w:eastAsia="en-US"/>
        </w:rPr>
        <w:t xml:space="preserve"> to TAFE NSW, an organisation managing the Hotline, as a non</w:t>
      </w:r>
      <w:r w:rsidR="00B6368C" w:rsidRPr="00381A22">
        <w:rPr>
          <w:rFonts w:ascii="Times New Roman" w:eastAsiaTheme="minorHAnsi" w:hAnsi="Times New Roman"/>
          <w:sz w:val="24"/>
          <w:szCs w:val="24"/>
          <w:lang w:eastAsia="en-US"/>
        </w:rPr>
        <w:noBreakHyphen/>
      </w:r>
      <w:r w:rsidRPr="00381A22">
        <w:rPr>
          <w:rFonts w:ascii="Times New Roman" w:eastAsiaTheme="minorHAnsi" w:hAnsi="Times New Roman"/>
          <w:sz w:val="24"/>
          <w:szCs w:val="24"/>
          <w:lang w:eastAsia="en-US"/>
        </w:rPr>
        <w:t xml:space="preserve">competitive grant. The administration of the grant to TAFE NSW </w:t>
      </w:r>
      <w:proofErr w:type="gramStart"/>
      <w:r w:rsidRPr="00381A22">
        <w:rPr>
          <w:rFonts w:ascii="Times New Roman" w:eastAsiaTheme="minorHAnsi" w:hAnsi="Times New Roman"/>
          <w:sz w:val="24"/>
          <w:szCs w:val="24"/>
          <w:lang w:eastAsia="en-US"/>
        </w:rPr>
        <w:t>will be conducted</w:t>
      </w:r>
      <w:proofErr w:type="gramEnd"/>
      <w:r w:rsidRPr="00381A22">
        <w:rPr>
          <w:rFonts w:ascii="Times New Roman" w:eastAsiaTheme="minorHAnsi" w:hAnsi="Times New Roman"/>
          <w:sz w:val="24"/>
          <w:szCs w:val="24"/>
          <w:lang w:eastAsia="en-US"/>
        </w:rPr>
        <w:t xml:space="preserve"> in accordance with the Commonwealth resource management framework, including the </w:t>
      </w:r>
      <w:r w:rsidRPr="00381A22">
        <w:rPr>
          <w:rFonts w:ascii="Times New Roman" w:eastAsiaTheme="minorHAnsi" w:hAnsi="Times New Roman"/>
          <w:i/>
          <w:iCs/>
          <w:sz w:val="24"/>
          <w:szCs w:val="24"/>
          <w:lang w:eastAsia="en-US"/>
        </w:rPr>
        <w:t>Public Governance, Performance</w:t>
      </w:r>
      <w:r w:rsidRPr="00381A22">
        <w:rPr>
          <w:rFonts w:ascii="Times New Roman" w:eastAsiaTheme="minorHAnsi" w:hAnsi="Times New Roman"/>
          <w:sz w:val="24"/>
          <w:szCs w:val="24"/>
          <w:lang w:eastAsia="en-US"/>
        </w:rPr>
        <w:t xml:space="preserve"> </w:t>
      </w:r>
      <w:r w:rsidRPr="00381A22">
        <w:rPr>
          <w:rFonts w:ascii="Times New Roman" w:eastAsiaTheme="minorHAnsi" w:hAnsi="Times New Roman"/>
          <w:i/>
          <w:iCs/>
          <w:sz w:val="24"/>
          <w:szCs w:val="24"/>
          <w:lang w:eastAsia="en-US"/>
        </w:rPr>
        <w:t xml:space="preserve">and Accountability Act 2013 </w:t>
      </w:r>
      <w:r w:rsidRPr="00381A22">
        <w:rPr>
          <w:rFonts w:ascii="Times New Roman" w:eastAsiaTheme="minorHAnsi" w:hAnsi="Times New Roman"/>
          <w:sz w:val="24"/>
          <w:szCs w:val="24"/>
          <w:lang w:eastAsia="en-US"/>
        </w:rPr>
        <w:t xml:space="preserve">and the </w:t>
      </w:r>
      <w:r w:rsidRPr="00381A22">
        <w:rPr>
          <w:rFonts w:ascii="Times New Roman" w:eastAsiaTheme="minorHAnsi" w:hAnsi="Times New Roman"/>
          <w:i/>
          <w:iCs/>
          <w:sz w:val="24"/>
          <w:szCs w:val="24"/>
          <w:lang w:eastAsia="en-US"/>
        </w:rPr>
        <w:t>Commonwealth Grants Rules and Guidelines 2017</w:t>
      </w:r>
      <w:r w:rsidRPr="00381A22">
        <w:rPr>
          <w:rFonts w:ascii="Times New Roman" w:eastAsiaTheme="minorHAnsi" w:hAnsi="Times New Roman"/>
          <w:sz w:val="24"/>
          <w:szCs w:val="24"/>
          <w:lang w:eastAsia="en-US"/>
        </w:rPr>
        <w:t>.</w:t>
      </w:r>
    </w:p>
    <w:p w14:paraId="6BF5974E" w14:textId="77777777" w:rsidR="004465BD" w:rsidRPr="00381A22" w:rsidRDefault="004465BD" w:rsidP="004465BD">
      <w:pPr>
        <w:autoSpaceDE w:val="0"/>
        <w:autoSpaceDN w:val="0"/>
        <w:adjustRightInd w:val="0"/>
        <w:rPr>
          <w:rFonts w:ascii="Times New Roman" w:eastAsiaTheme="minorHAnsi" w:hAnsi="Times New Roman"/>
          <w:sz w:val="24"/>
          <w:szCs w:val="24"/>
          <w:lang w:eastAsia="en-US"/>
        </w:rPr>
      </w:pPr>
    </w:p>
    <w:p w14:paraId="47BA7882" w14:textId="219876ED" w:rsidR="004465BD" w:rsidRPr="00381A22" w:rsidRDefault="004465BD" w:rsidP="004465BD">
      <w:pPr>
        <w:autoSpaceDE w:val="0"/>
        <w:autoSpaceDN w:val="0"/>
        <w:adjustRightInd w:val="0"/>
        <w:rPr>
          <w:rFonts w:ascii="Times New Roman" w:eastAsiaTheme="minorHAnsi" w:hAnsi="Times New Roman"/>
          <w:sz w:val="24"/>
          <w:szCs w:val="24"/>
          <w:lang w:eastAsia="en-US"/>
        </w:rPr>
      </w:pPr>
      <w:r w:rsidRPr="00381A22">
        <w:rPr>
          <w:rFonts w:ascii="Times New Roman" w:eastAsiaTheme="minorHAnsi" w:hAnsi="Times New Roman"/>
          <w:sz w:val="24"/>
          <w:szCs w:val="24"/>
          <w:lang w:eastAsia="en-US"/>
        </w:rPr>
        <w:t xml:space="preserve">Information about the grant will be made available on the </w:t>
      </w:r>
      <w:proofErr w:type="spellStart"/>
      <w:r w:rsidRPr="00381A22">
        <w:rPr>
          <w:rFonts w:ascii="Times New Roman" w:eastAsiaTheme="minorHAnsi" w:hAnsi="Times New Roman"/>
          <w:sz w:val="24"/>
          <w:szCs w:val="24"/>
          <w:lang w:eastAsia="en-US"/>
        </w:rPr>
        <w:t>GrantConnect</w:t>
      </w:r>
      <w:proofErr w:type="spellEnd"/>
      <w:r w:rsidRPr="00381A22">
        <w:rPr>
          <w:rFonts w:ascii="Times New Roman" w:eastAsiaTheme="minorHAnsi" w:hAnsi="Times New Roman"/>
          <w:sz w:val="24"/>
          <w:szCs w:val="24"/>
          <w:lang w:eastAsia="en-US"/>
        </w:rPr>
        <w:t xml:space="preserve"> website (</w:t>
      </w:r>
      <w:proofErr w:type="spellStart"/>
      <w:r w:rsidRPr="00381A22">
        <w:rPr>
          <w:rFonts w:ascii="Times New Roman" w:eastAsiaTheme="minorHAnsi" w:hAnsi="Times New Roman"/>
          <w:sz w:val="24"/>
          <w:szCs w:val="24"/>
          <w:u w:val="single"/>
          <w:lang w:eastAsia="en-US"/>
        </w:rPr>
        <w:t>www.grants.gov.au</w:t>
      </w:r>
      <w:proofErr w:type="spellEnd"/>
      <w:r w:rsidRPr="00381A22">
        <w:rPr>
          <w:rFonts w:ascii="Times New Roman" w:eastAsiaTheme="minorHAnsi" w:hAnsi="Times New Roman"/>
          <w:sz w:val="24"/>
          <w:szCs w:val="24"/>
          <w:lang w:eastAsia="en-US"/>
        </w:rPr>
        <w:t xml:space="preserve">), and the </w:t>
      </w:r>
      <w:proofErr w:type="gramStart"/>
      <w:r w:rsidRPr="00381A22">
        <w:rPr>
          <w:rFonts w:ascii="Times New Roman" w:eastAsiaTheme="minorHAnsi" w:hAnsi="Times New Roman"/>
          <w:sz w:val="24"/>
          <w:szCs w:val="24"/>
          <w:lang w:eastAsia="en-US"/>
        </w:rPr>
        <w:t>grant will be administered by the Community Grants Hub</w:t>
      </w:r>
      <w:proofErr w:type="gramEnd"/>
      <w:r w:rsidRPr="00381A22">
        <w:rPr>
          <w:rFonts w:ascii="Times New Roman" w:eastAsiaTheme="minorHAnsi" w:hAnsi="Times New Roman"/>
          <w:sz w:val="24"/>
          <w:szCs w:val="24"/>
          <w:lang w:eastAsia="en-US"/>
        </w:rPr>
        <w:t xml:space="preserve">, which is part of the Department of Social Services. A delegate of the Secretary of the department under the </w:t>
      </w:r>
      <w:r w:rsidRPr="00381A22">
        <w:rPr>
          <w:rFonts w:ascii="Times New Roman" w:eastAsiaTheme="minorHAnsi" w:hAnsi="Times New Roman"/>
          <w:i/>
          <w:iCs/>
          <w:sz w:val="24"/>
          <w:szCs w:val="24"/>
          <w:lang w:eastAsia="en-US"/>
        </w:rPr>
        <w:t>Financial Framework (Supplementary Powers)</w:t>
      </w:r>
      <w:r w:rsidRPr="00381A22">
        <w:rPr>
          <w:rFonts w:ascii="Times New Roman" w:eastAsiaTheme="minorHAnsi" w:hAnsi="Times New Roman"/>
          <w:sz w:val="24"/>
          <w:szCs w:val="24"/>
          <w:lang w:eastAsia="en-US"/>
        </w:rPr>
        <w:t xml:space="preserve"> </w:t>
      </w:r>
      <w:r w:rsidRPr="00381A22">
        <w:rPr>
          <w:rFonts w:ascii="Times New Roman" w:eastAsiaTheme="minorHAnsi" w:hAnsi="Times New Roman"/>
          <w:i/>
          <w:iCs/>
          <w:sz w:val="24"/>
          <w:szCs w:val="24"/>
          <w:lang w:eastAsia="en-US"/>
        </w:rPr>
        <w:t xml:space="preserve">Act 1997 </w:t>
      </w:r>
      <w:r w:rsidRPr="00381A22">
        <w:rPr>
          <w:rFonts w:ascii="Times New Roman" w:eastAsiaTheme="minorHAnsi" w:hAnsi="Times New Roman"/>
          <w:sz w:val="24"/>
          <w:szCs w:val="24"/>
          <w:lang w:eastAsia="en-US"/>
        </w:rPr>
        <w:t>will be responsible for approving Commonwealth funding provided to TAFE NSW for the Hotline.</w:t>
      </w:r>
    </w:p>
    <w:p w14:paraId="57ADDFBA" w14:textId="77777777" w:rsidR="004465BD" w:rsidRPr="00381A22" w:rsidRDefault="004465BD" w:rsidP="004465BD">
      <w:pPr>
        <w:autoSpaceDE w:val="0"/>
        <w:autoSpaceDN w:val="0"/>
        <w:adjustRightInd w:val="0"/>
        <w:rPr>
          <w:rFonts w:ascii="Times New Roman" w:eastAsiaTheme="minorHAnsi" w:hAnsi="Times New Roman"/>
          <w:sz w:val="24"/>
          <w:szCs w:val="24"/>
          <w:lang w:eastAsia="en-US"/>
        </w:rPr>
      </w:pPr>
    </w:p>
    <w:p w14:paraId="446CCDDE" w14:textId="7CAEED76" w:rsidR="004465BD" w:rsidRPr="00381A22" w:rsidRDefault="004465BD" w:rsidP="004465BD">
      <w:pPr>
        <w:autoSpaceDE w:val="0"/>
        <w:autoSpaceDN w:val="0"/>
        <w:adjustRightInd w:val="0"/>
        <w:rPr>
          <w:rFonts w:ascii="Times New Roman" w:eastAsiaTheme="minorHAnsi" w:hAnsi="Times New Roman"/>
          <w:sz w:val="24"/>
          <w:szCs w:val="24"/>
          <w:lang w:eastAsia="en-US"/>
        </w:rPr>
      </w:pPr>
      <w:r w:rsidRPr="00381A22">
        <w:rPr>
          <w:rFonts w:ascii="Times New Roman" w:eastAsiaTheme="minorHAnsi" w:hAnsi="Times New Roman"/>
          <w:sz w:val="24"/>
          <w:szCs w:val="24"/>
          <w:lang w:eastAsia="en-US"/>
        </w:rPr>
        <w:lastRenderedPageBreak/>
        <w:t xml:space="preserve">The grant decision, once made, will be final and not subject to merits review. This is partly because the grant involves an allocation of a finite resource to TAFE NSW and overturning the original decision would affect the allocation that </w:t>
      </w:r>
      <w:proofErr w:type="gramStart"/>
      <w:r w:rsidRPr="00381A22">
        <w:rPr>
          <w:rFonts w:ascii="Times New Roman" w:eastAsiaTheme="minorHAnsi" w:hAnsi="Times New Roman"/>
          <w:sz w:val="24"/>
          <w:szCs w:val="24"/>
          <w:lang w:eastAsia="en-US"/>
        </w:rPr>
        <w:t>has already been made</w:t>
      </w:r>
      <w:proofErr w:type="gramEnd"/>
      <w:r w:rsidRPr="00381A22">
        <w:rPr>
          <w:rFonts w:ascii="Times New Roman" w:eastAsiaTheme="minorHAnsi" w:hAnsi="Times New Roman"/>
          <w:sz w:val="24"/>
          <w:szCs w:val="24"/>
          <w:lang w:eastAsia="en-US"/>
        </w:rPr>
        <w:t xml:space="preserve"> to TAFE NSW. The Administrative Review Council has recognised that it is justifiable to exclude merits review in relation to decisions of this nature (see paragraphs 4.11 to 4.14 of the </w:t>
      </w:r>
      <w:r w:rsidR="00B6368C" w:rsidRPr="00381A22">
        <w:rPr>
          <w:rFonts w:ascii="Times New Roman" w:hAnsi="Times New Roman"/>
          <w:bCs/>
          <w:sz w:val="24"/>
          <w:szCs w:val="24"/>
        </w:rPr>
        <w:t xml:space="preserve">guide, </w:t>
      </w:r>
      <w:proofErr w:type="gramStart"/>
      <w:r w:rsidR="00B6368C" w:rsidRPr="00381A22">
        <w:rPr>
          <w:rFonts w:ascii="Times New Roman" w:hAnsi="Times New Roman"/>
          <w:i/>
          <w:color w:val="000000" w:themeColor="text1"/>
          <w:sz w:val="24"/>
          <w:szCs w:val="24"/>
        </w:rPr>
        <w:t>What</w:t>
      </w:r>
      <w:proofErr w:type="gramEnd"/>
      <w:r w:rsidR="00B6368C" w:rsidRPr="00381A22">
        <w:rPr>
          <w:rFonts w:ascii="Times New Roman" w:hAnsi="Times New Roman"/>
          <w:i/>
          <w:color w:val="000000" w:themeColor="text1"/>
          <w:sz w:val="24"/>
          <w:szCs w:val="24"/>
        </w:rPr>
        <w:t xml:space="preserve"> decisions should be subject to merit review?</w:t>
      </w:r>
      <w:r w:rsidRPr="00381A22">
        <w:rPr>
          <w:rFonts w:ascii="Times New Roman" w:eastAsiaTheme="minorHAnsi" w:hAnsi="Times New Roman"/>
          <w:iCs/>
          <w:sz w:val="24"/>
          <w:szCs w:val="24"/>
          <w:lang w:eastAsia="en-US"/>
        </w:rPr>
        <w:t>).</w:t>
      </w:r>
    </w:p>
    <w:p w14:paraId="1D229BB0" w14:textId="77777777" w:rsidR="004465BD" w:rsidRPr="00381A22" w:rsidRDefault="004465BD" w:rsidP="004465BD">
      <w:pPr>
        <w:autoSpaceDE w:val="0"/>
        <w:autoSpaceDN w:val="0"/>
        <w:adjustRightInd w:val="0"/>
        <w:rPr>
          <w:rFonts w:ascii="Times New Roman" w:eastAsiaTheme="minorHAnsi" w:hAnsi="Times New Roman"/>
          <w:i/>
          <w:iCs/>
          <w:sz w:val="24"/>
          <w:szCs w:val="24"/>
          <w:lang w:eastAsia="en-US"/>
        </w:rPr>
      </w:pPr>
    </w:p>
    <w:p w14:paraId="53BB60D7" w14:textId="77777777" w:rsidR="004465BD" w:rsidRPr="00381A22" w:rsidRDefault="004465BD" w:rsidP="004465BD">
      <w:pPr>
        <w:autoSpaceDE w:val="0"/>
        <w:autoSpaceDN w:val="0"/>
        <w:adjustRightInd w:val="0"/>
        <w:rPr>
          <w:rFonts w:ascii="Times New Roman" w:eastAsiaTheme="minorHAnsi" w:hAnsi="Times New Roman"/>
          <w:sz w:val="24"/>
          <w:szCs w:val="24"/>
          <w:lang w:eastAsia="en-US"/>
        </w:rPr>
      </w:pPr>
      <w:proofErr w:type="gramStart"/>
      <w:r w:rsidRPr="00381A22">
        <w:rPr>
          <w:rFonts w:ascii="Times New Roman" w:eastAsiaTheme="minorHAnsi" w:hAnsi="Times New Roman"/>
          <w:sz w:val="24"/>
          <w:szCs w:val="24"/>
          <w:lang w:eastAsia="en-US"/>
        </w:rPr>
        <w:t>Further, re-making a decision after entry into an agreement is legally complex, impractical and would result in delays in implementation.</w:t>
      </w:r>
      <w:proofErr w:type="gramEnd"/>
      <w:r w:rsidRPr="00381A22">
        <w:rPr>
          <w:rFonts w:ascii="Times New Roman" w:eastAsiaTheme="minorHAnsi" w:hAnsi="Times New Roman"/>
          <w:sz w:val="24"/>
          <w:szCs w:val="24"/>
          <w:lang w:eastAsia="en-US"/>
        </w:rPr>
        <w:t xml:space="preserve"> Given TAFE NSW’s management, and over 20 year experience in delivery, of the Hotline, and the Government’s decision to provide funding to TAFE NSW, it is not reasonably foreseeable nor envisaged that any other organisation would receive funding in relation to this initiative.</w:t>
      </w:r>
    </w:p>
    <w:p w14:paraId="567EF0E5" w14:textId="77777777" w:rsidR="004465BD" w:rsidRPr="00381A22" w:rsidRDefault="004465BD" w:rsidP="004465BD">
      <w:pPr>
        <w:rPr>
          <w:rFonts w:ascii="Times New Roman" w:hAnsi="Times New Roman"/>
          <w:sz w:val="24"/>
          <w:szCs w:val="24"/>
        </w:rPr>
      </w:pPr>
    </w:p>
    <w:p w14:paraId="5EEC6465" w14:textId="6F44AAA1" w:rsidR="004465BD" w:rsidRPr="00381A22" w:rsidRDefault="002E5681" w:rsidP="004465BD">
      <w:pPr>
        <w:autoSpaceDE w:val="0"/>
        <w:autoSpaceDN w:val="0"/>
        <w:adjustRightInd w:val="0"/>
        <w:rPr>
          <w:rFonts w:ascii="Times New Roman" w:eastAsiaTheme="minorHAnsi" w:hAnsi="Times New Roman"/>
          <w:sz w:val="24"/>
          <w:szCs w:val="24"/>
          <w:lang w:eastAsia="en-US"/>
        </w:rPr>
      </w:pPr>
      <w:r w:rsidRPr="00381A22">
        <w:rPr>
          <w:rFonts w:ascii="Times New Roman" w:eastAsiaTheme="minorHAnsi" w:hAnsi="Times New Roman"/>
          <w:sz w:val="24"/>
          <w:szCs w:val="24"/>
          <w:lang w:eastAsia="en-US"/>
        </w:rPr>
        <w:t>Given the long</w:t>
      </w:r>
      <w:r w:rsidR="004465BD" w:rsidRPr="00381A22">
        <w:rPr>
          <w:rFonts w:ascii="Times New Roman" w:eastAsiaTheme="minorHAnsi" w:hAnsi="Times New Roman"/>
          <w:sz w:val="24"/>
          <w:szCs w:val="24"/>
          <w:lang w:eastAsia="en-US"/>
        </w:rPr>
        <w:t xml:space="preserve">standing operation of the Hotline, no additional consultation </w:t>
      </w:r>
      <w:proofErr w:type="gramStart"/>
      <w:r w:rsidR="004465BD" w:rsidRPr="00381A22">
        <w:rPr>
          <w:rFonts w:ascii="Times New Roman" w:eastAsiaTheme="minorHAnsi" w:hAnsi="Times New Roman"/>
          <w:sz w:val="24"/>
          <w:szCs w:val="24"/>
          <w:lang w:eastAsia="en-US"/>
        </w:rPr>
        <w:t>was undertaken</w:t>
      </w:r>
      <w:proofErr w:type="gramEnd"/>
      <w:r w:rsidR="004465BD" w:rsidRPr="00381A22">
        <w:rPr>
          <w:rFonts w:ascii="Times New Roman" w:eastAsiaTheme="minorHAnsi" w:hAnsi="Times New Roman"/>
          <w:sz w:val="24"/>
          <w:szCs w:val="24"/>
          <w:lang w:eastAsia="en-US"/>
        </w:rPr>
        <w:t xml:space="preserve"> in relation to the upcoming grant.</w:t>
      </w:r>
    </w:p>
    <w:p w14:paraId="2DD4636A" w14:textId="77777777" w:rsidR="004465BD" w:rsidRPr="00381A22" w:rsidRDefault="004465BD" w:rsidP="004465BD">
      <w:pPr>
        <w:autoSpaceDE w:val="0"/>
        <w:autoSpaceDN w:val="0"/>
        <w:adjustRightInd w:val="0"/>
        <w:rPr>
          <w:rFonts w:ascii="Times New Roman" w:eastAsiaTheme="minorHAnsi" w:hAnsi="Times New Roman"/>
          <w:sz w:val="24"/>
          <w:szCs w:val="24"/>
          <w:lang w:eastAsia="en-US"/>
        </w:rPr>
      </w:pPr>
    </w:p>
    <w:p w14:paraId="47F6A27D" w14:textId="77777777" w:rsidR="004465BD" w:rsidRPr="00381A22" w:rsidRDefault="004465BD" w:rsidP="004465BD">
      <w:pPr>
        <w:autoSpaceDE w:val="0"/>
        <w:autoSpaceDN w:val="0"/>
        <w:adjustRightInd w:val="0"/>
        <w:rPr>
          <w:rFonts w:ascii="Times New Roman" w:eastAsiaTheme="minorHAnsi" w:hAnsi="Times New Roman"/>
          <w:sz w:val="24"/>
          <w:szCs w:val="24"/>
          <w:lang w:eastAsia="en-US"/>
        </w:rPr>
      </w:pPr>
      <w:r w:rsidRPr="00381A22">
        <w:rPr>
          <w:rFonts w:ascii="Times New Roman" w:eastAsiaTheme="minorHAnsi" w:hAnsi="Times New Roman"/>
          <w:sz w:val="24"/>
          <w:szCs w:val="24"/>
          <w:lang w:eastAsia="en-US"/>
        </w:rPr>
        <w:t>Departmental officials are members of the Hotline Steering Committee, which currently has 21 representatives from both federal and state Departments of Education and Industry, Foundation Skills providers in TAFE, Adult Community Education (ACE) and university sectors, and Councils for Adult Literacy and Industry. The Committee meets a few times a year to discuss matters affecting both the Hotline and its operations as well as the English language, literacy and numeracy (LLN) field more generally. All Committee members provide state or sector based updates as well as feedback and advice on the operations of the Hotline and its projects.</w:t>
      </w:r>
    </w:p>
    <w:p w14:paraId="5BC46C1A" w14:textId="77777777" w:rsidR="004465BD" w:rsidRPr="00381A22" w:rsidRDefault="004465BD" w:rsidP="004465BD">
      <w:pPr>
        <w:rPr>
          <w:rFonts w:ascii="Times New Roman" w:hAnsi="Times New Roman"/>
          <w:sz w:val="24"/>
          <w:szCs w:val="24"/>
        </w:rPr>
      </w:pPr>
    </w:p>
    <w:p w14:paraId="1974015B" w14:textId="77777777" w:rsidR="004465BD" w:rsidRPr="00381A22" w:rsidRDefault="004465BD" w:rsidP="004465BD">
      <w:pPr>
        <w:rPr>
          <w:rFonts w:ascii="Times New Roman" w:hAnsi="Times New Roman"/>
          <w:sz w:val="24"/>
          <w:szCs w:val="24"/>
        </w:rPr>
      </w:pPr>
      <w:r w:rsidRPr="00381A22">
        <w:rPr>
          <w:rFonts w:ascii="Times New Roman" w:hAnsi="Times New Roman"/>
          <w:sz w:val="24"/>
          <w:szCs w:val="24"/>
        </w:rPr>
        <w:t xml:space="preserve">Funding for this item of $1.9 million over three years from 2020-21 will come from the National Training System Commonwealth Own Purpose Program (NTS COPE) under Program 3.1: Building Skills and Capability, which is part of Outcome 3. Details are set out in the </w:t>
      </w:r>
      <w:r w:rsidRPr="00381A22">
        <w:rPr>
          <w:rFonts w:ascii="Times New Roman" w:hAnsi="Times New Roman"/>
          <w:i/>
          <w:sz w:val="24"/>
          <w:szCs w:val="24"/>
        </w:rPr>
        <w:t>Portfolio Additional Estimates Statements 2019-20, Education, Skills and Employment Portfolio</w:t>
      </w:r>
      <w:r w:rsidRPr="00381A22">
        <w:rPr>
          <w:rFonts w:ascii="Times New Roman" w:hAnsi="Times New Roman"/>
          <w:sz w:val="24"/>
          <w:szCs w:val="24"/>
        </w:rPr>
        <w:t xml:space="preserve"> at page 54</w:t>
      </w:r>
      <w:r w:rsidRPr="00381A22">
        <w:rPr>
          <w:rFonts w:ascii="Times New Roman" w:hAnsi="Times New Roman"/>
          <w:i/>
          <w:sz w:val="24"/>
          <w:szCs w:val="24"/>
        </w:rPr>
        <w:t xml:space="preserve">. </w:t>
      </w:r>
    </w:p>
    <w:p w14:paraId="1264C6B8" w14:textId="77777777" w:rsidR="004465BD" w:rsidRPr="00381A22" w:rsidRDefault="004465BD" w:rsidP="004465BD">
      <w:pPr>
        <w:rPr>
          <w:rFonts w:ascii="Times New Roman" w:hAnsi="Times New Roman"/>
          <w:sz w:val="24"/>
          <w:szCs w:val="24"/>
        </w:rPr>
      </w:pPr>
    </w:p>
    <w:p w14:paraId="10A2F930" w14:textId="77777777" w:rsidR="004465BD" w:rsidRPr="00381A22" w:rsidRDefault="004465BD" w:rsidP="004465BD">
      <w:pPr>
        <w:autoSpaceDE w:val="0"/>
        <w:autoSpaceDN w:val="0"/>
        <w:adjustRightInd w:val="0"/>
        <w:rPr>
          <w:rFonts w:ascii="Times New Roman" w:eastAsiaTheme="minorHAnsi" w:hAnsi="Times New Roman"/>
          <w:sz w:val="24"/>
          <w:szCs w:val="24"/>
          <w:lang w:eastAsia="en-US"/>
        </w:rPr>
      </w:pPr>
      <w:r w:rsidRPr="00381A22">
        <w:rPr>
          <w:rFonts w:ascii="Times New Roman" w:eastAsiaTheme="minorHAnsi" w:hAnsi="Times New Roman"/>
          <w:sz w:val="24"/>
          <w:szCs w:val="24"/>
          <w:lang w:eastAsia="en-US"/>
        </w:rPr>
        <w:t>The NTS COPE funds essential national infrastructure that underpins the operation of the national training system. For example, the NTS COPE funds the National Centre for Vocational Education Research (NCVER), the National Register of VET (</w:t>
      </w:r>
      <w:r w:rsidRPr="00381A22">
        <w:rPr>
          <w:rFonts w:ascii="Times New Roman" w:eastAsiaTheme="minorHAnsi" w:hAnsi="Times New Roman"/>
          <w:sz w:val="24"/>
          <w:szCs w:val="24"/>
          <w:u w:val="single"/>
          <w:lang w:eastAsia="en-US"/>
        </w:rPr>
        <w:t>training.gov.au</w:t>
      </w:r>
      <w:r w:rsidRPr="00381A22">
        <w:rPr>
          <w:rFonts w:ascii="Times New Roman" w:eastAsiaTheme="minorHAnsi" w:hAnsi="Times New Roman"/>
          <w:sz w:val="24"/>
          <w:szCs w:val="24"/>
          <w:lang w:eastAsia="en-US"/>
        </w:rPr>
        <w:t>), and the Office of the Unique Student Identifier Registrar.</w:t>
      </w:r>
    </w:p>
    <w:p w14:paraId="573E5F02" w14:textId="77777777" w:rsidR="004465BD" w:rsidRPr="00381A22" w:rsidRDefault="004465BD" w:rsidP="004465BD">
      <w:pPr>
        <w:autoSpaceDE w:val="0"/>
        <w:autoSpaceDN w:val="0"/>
        <w:adjustRightInd w:val="0"/>
        <w:rPr>
          <w:rFonts w:ascii="Times New Roman" w:eastAsiaTheme="minorHAnsi" w:hAnsi="Times New Roman"/>
          <w:sz w:val="24"/>
          <w:szCs w:val="24"/>
          <w:lang w:eastAsia="en-US"/>
        </w:rPr>
      </w:pPr>
    </w:p>
    <w:p w14:paraId="0ECFAEE4" w14:textId="77777777" w:rsidR="004465BD" w:rsidRPr="00381A22" w:rsidRDefault="004465BD" w:rsidP="004465BD">
      <w:pPr>
        <w:autoSpaceDE w:val="0"/>
        <w:autoSpaceDN w:val="0"/>
        <w:adjustRightInd w:val="0"/>
        <w:rPr>
          <w:rFonts w:ascii="Times New Roman" w:eastAsiaTheme="minorHAnsi" w:hAnsi="Times New Roman"/>
          <w:sz w:val="24"/>
          <w:szCs w:val="24"/>
          <w:lang w:eastAsia="en-US"/>
        </w:rPr>
      </w:pPr>
      <w:r w:rsidRPr="00381A22">
        <w:rPr>
          <w:rFonts w:ascii="Times New Roman" w:eastAsiaTheme="minorHAnsi" w:hAnsi="Times New Roman"/>
          <w:sz w:val="24"/>
          <w:szCs w:val="24"/>
          <w:lang w:eastAsia="en-US"/>
        </w:rPr>
        <w:t>Noting that it is not a comprehensive statement of relevant constitutional considerations, the objective of the item references the communications power (section 51(v)) of the Constitution.</w:t>
      </w:r>
    </w:p>
    <w:p w14:paraId="5075082A" w14:textId="77777777" w:rsidR="004465BD" w:rsidRPr="00381A22" w:rsidRDefault="004465BD" w:rsidP="004465BD">
      <w:pPr>
        <w:autoSpaceDE w:val="0"/>
        <w:autoSpaceDN w:val="0"/>
        <w:adjustRightInd w:val="0"/>
        <w:rPr>
          <w:rFonts w:ascii="Times New Roman" w:eastAsiaTheme="minorHAnsi" w:hAnsi="Times New Roman"/>
          <w:sz w:val="24"/>
          <w:szCs w:val="24"/>
          <w:lang w:eastAsia="en-US"/>
        </w:rPr>
      </w:pPr>
    </w:p>
    <w:p w14:paraId="34C71AF6" w14:textId="77777777" w:rsidR="004465BD" w:rsidRPr="00381A22" w:rsidRDefault="004465BD" w:rsidP="004465BD">
      <w:pPr>
        <w:rPr>
          <w:rFonts w:ascii="Times New Roman" w:hAnsi="Times New Roman"/>
          <w:i/>
          <w:sz w:val="24"/>
          <w:szCs w:val="24"/>
          <w:u w:val="single"/>
          <w:lang w:val="en-GB" w:eastAsia="en-GB"/>
        </w:rPr>
      </w:pPr>
      <w:r w:rsidRPr="00381A22">
        <w:rPr>
          <w:rFonts w:ascii="Times New Roman" w:hAnsi="Times New Roman"/>
          <w:i/>
          <w:sz w:val="24"/>
          <w:szCs w:val="24"/>
          <w:u w:val="single"/>
          <w:lang w:val="en-GB" w:eastAsia="en-GB"/>
        </w:rPr>
        <w:t>Communications power</w:t>
      </w:r>
    </w:p>
    <w:p w14:paraId="3A0CFA9A" w14:textId="77777777" w:rsidR="004465BD" w:rsidRPr="00381A22" w:rsidRDefault="004465BD" w:rsidP="004465BD">
      <w:pPr>
        <w:rPr>
          <w:rFonts w:ascii="Times New Roman" w:hAnsi="Times New Roman"/>
          <w:sz w:val="24"/>
          <w:szCs w:val="24"/>
        </w:rPr>
      </w:pPr>
    </w:p>
    <w:p w14:paraId="33975D15" w14:textId="042DDBB3" w:rsidR="004465BD" w:rsidRPr="00381A22" w:rsidRDefault="004465BD" w:rsidP="004465BD">
      <w:pPr>
        <w:rPr>
          <w:rFonts w:ascii="Times New Roman" w:hAnsi="Times New Roman"/>
          <w:sz w:val="24"/>
          <w:szCs w:val="24"/>
        </w:rPr>
      </w:pPr>
      <w:r w:rsidRPr="00381A22">
        <w:rPr>
          <w:rFonts w:ascii="Times New Roman" w:hAnsi="Times New Roman"/>
          <w:sz w:val="24"/>
          <w:szCs w:val="24"/>
        </w:rPr>
        <w:t xml:space="preserve">Section 51(v) of the Constitution empowers the Parliament to make laws with respect to ‘postal, telegraphic, telephonic and other like services’. The Hotline </w:t>
      </w:r>
      <w:proofErr w:type="gramStart"/>
      <w:r w:rsidRPr="00381A22">
        <w:rPr>
          <w:rFonts w:ascii="Times New Roman" w:hAnsi="Times New Roman"/>
          <w:sz w:val="24"/>
          <w:szCs w:val="24"/>
        </w:rPr>
        <w:t>is delivered</w:t>
      </w:r>
      <w:proofErr w:type="gramEnd"/>
      <w:r w:rsidRPr="00381A22">
        <w:rPr>
          <w:rFonts w:ascii="Times New Roman" w:hAnsi="Times New Roman"/>
          <w:sz w:val="24"/>
          <w:szCs w:val="24"/>
        </w:rPr>
        <w:t xml:space="preserve"> via telephone and a digital platform, and provides a national advisory and referral service for people seeking English language, literacy and numeracy assistance.</w:t>
      </w:r>
    </w:p>
    <w:p w14:paraId="6E521E91" w14:textId="14B62164" w:rsidR="004465BD" w:rsidRPr="00381A22" w:rsidRDefault="004465BD" w:rsidP="004465BD">
      <w:pPr>
        <w:rPr>
          <w:rFonts w:ascii="Times New Roman" w:hAnsi="Times New Roman"/>
          <w:sz w:val="24"/>
          <w:szCs w:val="24"/>
        </w:rPr>
      </w:pPr>
    </w:p>
    <w:p w14:paraId="2A2BBDF7" w14:textId="08F7DD80" w:rsidR="004465BD" w:rsidRPr="00381A22" w:rsidRDefault="004465BD" w:rsidP="004465BD">
      <w:pPr>
        <w:rPr>
          <w:rFonts w:ascii="Times New Roman" w:hAnsi="Times New Roman"/>
          <w:sz w:val="24"/>
          <w:szCs w:val="24"/>
        </w:rPr>
      </w:pPr>
      <w:r w:rsidRPr="00381A22">
        <w:rPr>
          <w:rFonts w:ascii="Times New Roman" w:hAnsi="Times New Roman"/>
          <w:sz w:val="24"/>
          <w:szCs w:val="24"/>
        </w:rPr>
        <w:t xml:space="preserve">New </w:t>
      </w:r>
      <w:r w:rsidRPr="00381A22">
        <w:rPr>
          <w:rFonts w:ascii="Times New Roman" w:hAnsi="Times New Roman"/>
          <w:b/>
          <w:sz w:val="24"/>
          <w:szCs w:val="24"/>
        </w:rPr>
        <w:t xml:space="preserve">table item </w:t>
      </w:r>
      <w:r w:rsidR="002E5681" w:rsidRPr="00381A22">
        <w:rPr>
          <w:rFonts w:ascii="Times New Roman" w:hAnsi="Times New Roman"/>
          <w:b/>
          <w:sz w:val="24"/>
          <w:szCs w:val="24"/>
        </w:rPr>
        <w:t>431</w:t>
      </w:r>
      <w:r w:rsidRPr="00381A22">
        <w:rPr>
          <w:rFonts w:ascii="Times New Roman" w:hAnsi="Times New Roman"/>
          <w:b/>
          <w:sz w:val="24"/>
          <w:szCs w:val="24"/>
        </w:rPr>
        <w:t xml:space="preserve"> </w:t>
      </w:r>
      <w:r w:rsidRPr="00381A22">
        <w:rPr>
          <w:rFonts w:ascii="Times New Roman" w:hAnsi="Times New Roman"/>
          <w:sz w:val="24"/>
          <w:szCs w:val="24"/>
        </w:rPr>
        <w:t>establishes legislative authority for government spending to support the delivery of Adult Learners’ Week, which raises awareness of adult education and promotes participation by adults in further learning.</w:t>
      </w:r>
    </w:p>
    <w:p w14:paraId="0FB45A8A" w14:textId="498DBC56" w:rsidR="004465BD" w:rsidRPr="00381A22" w:rsidRDefault="004465BD" w:rsidP="004465BD">
      <w:pPr>
        <w:rPr>
          <w:rFonts w:ascii="Times New Roman" w:hAnsi="Times New Roman"/>
          <w:sz w:val="24"/>
          <w:szCs w:val="24"/>
        </w:rPr>
      </w:pPr>
    </w:p>
    <w:p w14:paraId="5D7EFD64" w14:textId="3EC42478" w:rsidR="004465BD" w:rsidRPr="00381A22" w:rsidRDefault="004465BD" w:rsidP="004465BD">
      <w:pPr>
        <w:rPr>
          <w:rFonts w:ascii="Times New Roman" w:hAnsi="Times New Roman"/>
          <w:sz w:val="24"/>
          <w:szCs w:val="24"/>
        </w:rPr>
      </w:pPr>
      <w:r w:rsidRPr="00381A22">
        <w:rPr>
          <w:rFonts w:ascii="Times New Roman" w:hAnsi="Times New Roman"/>
          <w:sz w:val="24"/>
          <w:szCs w:val="24"/>
        </w:rPr>
        <w:t xml:space="preserve">Adult Learners’ Week is a long-running international event </w:t>
      </w:r>
      <w:r w:rsidR="000114A6" w:rsidRPr="00381A22">
        <w:rPr>
          <w:rFonts w:ascii="Times New Roman" w:hAnsi="Times New Roman"/>
          <w:sz w:val="24"/>
          <w:szCs w:val="24"/>
        </w:rPr>
        <w:t>held</w:t>
      </w:r>
      <w:r w:rsidRPr="00381A22">
        <w:rPr>
          <w:rFonts w:ascii="Times New Roman" w:hAnsi="Times New Roman"/>
          <w:sz w:val="24"/>
          <w:szCs w:val="24"/>
        </w:rPr>
        <w:t xml:space="preserve"> in September each year. It </w:t>
      </w:r>
      <w:proofErr w:type="gramStart"/>
      <w:r w:rsidRPr="00381A22">
        <w:rPr>
          <w:rFonts w:ascii="Times New Roman" w:hAnsi="Times New Roman"/>
          <w:sz w:val="24"/>
          <w:szCs w:val="24"/>
        </w:rPr>
        <w:t xml:space="preserve">was first </w:t>
      </w:r>
      <w:r w:rsidR="00F66A19" w:rsidRPr="00381A22">
        <w:rPr>
          <w:rFonts w:ascii="Times New Roman" w:hAnsi="Times New Roman"/>
          <w:sz w:val="24"/>
          <w:szCs w:val="24"/>
        </w:rPr>
        <w:t>held</w:t>
      </w:r>
      <w:r w:rsidRPr="00381A22">
        <w:rPr>
          <w:rFonts w:ascii="Times New Roman" w:hAnsi="Times New Roman"/>
          <w:sz w:val="24"/>
          <w:szCs w:val="24"/>
        </w:rPr>
        <w:t xml:space="preserve"> in the United Kingdom in 1992, then included in the Hamburg Declaration o</w:t>
      </w:r>
      <w:r w:rsidR="005C43FF" w:rsidRPr="00381A22">
        <w:rPr>
          <w:rFonts w:ascii="Times New Roman" w:hAnsi="Times New Roman"/>
          <w:sz w:val="24"/>
          <w:szCs w:val="24"/>
        </w:rPr>
        <w:t>n</w:t>
      </w:r>
      <w:r w:rsidRPr="00381A22">
        <w:rPr>
          <w:rFonts w:ascii="Times New Roman" w:hAnsi="Times New Roman"/>
          <w:sz w:val="24"/>
          <w:szCs w:val="24"/>
        </w:rPr>
        <w:t xml:space="preserve"> Adult Learning in 1997 of which Australia is a signatory</w:t>
      </w:r>
      <w:proofErr w:type="gramEnd"/>
      <w:r w:rsidRPr="00381A22">
        <w:rPr>
          <w:rFonts w:ascii="Times New Roman" w:hAnsi="Times New Roman"/>
          <w:sz w:val="24"/>
          <w:szCs w:val="24"/>
        </w:rPr>
        <w:t>.</w:t>
      </w:r>
    </w:p>
    <w:p w14:paraId="4E073F2C" w14:textId="59FFCCA6" w:rsidR="004465BD" w:rsidRPr="00381A22" w:rsidRDefault="004465BD" w:rsidP="004465BD">
      <w:pPr>
        <w:rPr>
          <w:rFonts w:ascii="Times New Roman" w:hAnsi="Times New Roman"/>
          <w:sz w:val="24"/>
          <w:szCs w:val="24"/>
        </w:rPr>
      </w:pPr>
    </w:p>
    <w:p w14:paraId="45A8C6BD" w14:textId="4FF7A7DC" w:rsidR="004465BD" w:rsidRPr="00381A22" w:rsidRDefault="004465BD" w:rsidP="004465BD">
      <w:pPr>
        <w:rPr>
          <w:rFonts w:ascii="Times New Roman" w:hAnsi="Times New Roman"/>
          <w:sz w:val="24"/>
          <w:szCs w:val="24"/>
        </w:rPr>
      </w:pPr>
      <w:r w:rsidRPr="00381A22">
        <w:rPr>
          <w:rFonts w:ascii="Times New Roman" w:hAnsi="Times New Roman"/>
          <w:sz w:val="24"/>
          <w:szCs w:val="24"/>
        </w:rPr>
        <w:t xml:space="preserve">The Hamburg Declaration on Adult Learning and Agenda for the Future </w:t>
      </w:r>
      <w:proofErr w:type="gramStart"/>
      <w:r w:rsidRPr="00381A22">
        <w:rPr>
          <w:rFonts w:ascii="Times New Roman" w:hAnsi="Times New Roman"/>
          <w:sz w:val="24"/>
          <w:szCs w:val="24"/>
        </w:rPr>
        <w:t>was signed</w:t>
      </w:r>
      <w:proofErr w:type="gramEnd"/>
      <w:r w:rsidRPr="00381A22">
        <w:rPr>
          <w:rFonts w:ascii="Times New Roman" w:hAnsi="Times New Roman"/>
          <w:sz w:val="24"/>
          <w:szCs w:val="24"/>
        </w:rPr>
        <w:t xml:space="preserve"> as part of UNESCO’s Fifth International Conference on Adult Education, 14-18 July 1997. It was significant, as it not only declared adult education to be a right but also ‘the key to the twenty-first century.’ As a signatory, the Australian Government committed itself to the principles of lifelong learning outlined </w:t>
      </w:r>
      <w:proofErr w:type="gramStart"/>
      <w:r w:rsidRPr="00381A22">
        <w:rPr>
          <w:rFonts w:ascii="Times New Roman" w:hAnsi="Times New Roman"/>
          <w:sz w:val="24"/>
          <w:szCs w:val="24"/>
        </w:rPr>
        <w:t>in the Declaration and ‘to take the necessary measures to support individuals in expressing their educational needs and aspirations’.</w:t>
      </w:r>
      <w:proofErr w:type="gramEnd"/>
      <w:r w:rsidRPr="00381A22">
        <w:rPr>
          <w:rFonts w:ascii="Times New Roman" w:hAnsi="Times New Roman"/>
          <w:sz w:val="24"/>
          <w:szCs w:val="24"/>
        </w:rPr>
        <w:t xml:space="preserve"> It also represented a commitment to a ‘United Nations Week of Adult Learning’, turning the disparate adult learning festivals of seven countries into a truly international event that incorporated prior international literacy events, such as UNESCO’s International Literacy Day on 8 September. </w:t>
      </w:r>
    </w:p>
    <w:p w14:paraId="76DD27D5" w14:textId="77777777" w:rsidR="004465BD" w:rsidRPr="00381A22" w:rsidRDefault="004465BD" w:rsidP="004465BD">
      <w:pPr>
        <w:rPr>
          <w:rFonts w:ascii="Times New Roman" w:hAnsi="Times New Roman"/>
          <w:sz w:val="24"/>
          <w:szCs w:val="24"/>
        </w:rPr>
      </w:pPr>
    </w:p>
    <w:p w14:paraId="1D4E1B27" w14:textId="77777777" w:rsidR="004465BD" w:rsidRPr="00381A22" w:rsidRDefault="004465BD" w:rsidP="004465BD">
      <w:pPr>
        <w:rPr>
          <w:rFonts w:ascii="Times New Roman" w:hAnsi="Times New Roman"/>
          <w:sz w:val="24"/>
          <w:szCs w:val="24"/>
        </w:rPr>
      </w:pPr>
      <w:r w:rsidRPr="00381A22">
        <w:rPr>
          <w:rFonts w:ascii="Times New Roman" w:hAnsi="Times New Roman"/>
          <w:sz w:val="24"/>
          <w:szCs w:val="24"/>
        </w:rPr>
        <w:t>Adult Learners’ Week consists of activities that raise awareness of adult education and promotes participation by adults in further learning. Adult Learners’ Week includes events and activities designed to promote the benefits of adult learning and highlight the many options available for such learning in the home, at work and in the community.</w:t>
      </w:r>
    </w:p>
    <w:p w14:paraId="58747BE9" w14:textId="77777777" w:rsidR="004465BD" w:rsidRPr="00381A22" w:rsidRDefault="004465BD" w:rsidP="004465BD">
      <w:pPr>
        <w:rPr>
          <w:rFonts w:ascii="Times New Roman" w:hAnsi="Times New Roman"/>
          <w:sz w:val="24"/>
          <w:szCs w:val="24"/>
        </w:rPr>
      </w:pPr>
    </w:p>
    <w:p w14:paraId="07C28432" w14:textId="77777777" w:rsidR="004465BD" w:rsidRPr="00381A22" w:rsidRDefault="004465BD" w:rsidP="004465BD">
      <w:pPr>
        <w:rPr>
          <w:rFonts w:ascii="Times New Roman" w:eastAsia="Times New Roman" w:hAnsi="Times New Roman"/>
          <w:sz w:val="24"/>
          <w:szCs w:val="24"/>
        </w:rPr>
      </w:pPr>
      <w:r w:rsidRPr="00381A22">
        <w:rPr>
          <w:rFonts w:ascii="Times New Roman" w:hAnsi="Times New Roman"/>
          <w:sz w:val="24"/>
          <w:szCs w:val="24"/>
        </w:rPr>
        <w:t xml:space="preserve">Adult Learners’ Week promotes the role that the Adult Community Education (ACE) sector has in lifelong learning. Adult Learners’ Week </w:t>
      </w:r>
      <w:r w:rsidRPr="00381A22">
        <w:rPr>
          <w:rFonts w:ascii="Times New Roman" w:eastAsia="Times New Roman" w:hAnsi="Times New Roman"/>
          <w:sz w:val="24"/>
          <w:szCs w:val="24"/>
        </w:rPr>
        <w:t xml:space="preserve">aligns with the priorities for adult learning and education outlined in the 2008 </w:t>
      </w:r>
      <w:r w:rsidRPr="00381A22">
        <w:rPr>
          <w:rFonts w:ascii="Times New Roman" w:eastAsia="Times New Roman" w:hAnsi="Times New Roman"/>
          <w:i/>
          <w:sz w:val="24"/>
          <w:szCs w:val="24"/>
        </w:rPr>
        <w:t>Ministerial Declaration on Adult Community Education.</w:t>
      </w:r>
      <w:r w:rsidRPr="00381A22">
        <w:rPr>
          <w:rFonts w:ascii="Times New Roman" w:eastAsia="Times New Roman" w:hAnsi="Times New Roman"/>
          <w:sz w:val="24"/>
          <w:szCs w:val="24"/>
        </w:rPr>
        <w:t xml:space="preserve"> This Declaration acknowledges the role of the ACE sector in the provision of vocationally focused education and training; fostering skills development and economic and community participation; and providing pathways to further education and training or employment. </w:t>
      </w:r>
    </w:p>
    <w:p w14:paraId="4C5630E1" w14:textId="77777777" w:rsidR="004465BD" w:rsidRPr="00381A22" w:rsidRDefault="004465BD" w:rsidP="004465BD">
      <w:pPr>
        <w:rPr>
          <w:rFonts w:ascii="Times New Roman" w:hAnsi="Times New Roman"/>
          <w:sz w:val="24"/>
          <w:szCs w:val="24"/>
        </w:rPr>
      </w:pPr>
    </w:p>
    <w:p w14:paraId="219E02DA" w14:textId="3390466A" w:rsidR="004465BD" w:rsidRPr="00381A22" w:rsidRDefault="004465BD" w:rsidP="004465BD">
      <w:pPr>
        <w:rPr>
          <w:rFonts w:ascii="Times New Roman" w:eastAsia="Times New Roman" w:hAnsi="Times New Roman"/>
          <w:sz w:val="24"/>
          <w:szCs w:val="24"/>
        </w:rPr>
      </w:pPr>
      <w:r w:rsidRPr="00381A22">
        <w:rPr>
          <w:rFonts w:ascii="Times New Roman" w:eastAsia="Times New Roman" w:hAnsi="Times New Roman"/>
          <w:sz w:val="24"/>
          <w:szCs w:val="24"/>
        </w:rPr>
        <w:t xml:space="preserve">Adult Learners’ Week also supports the objectives of the Government’s $585.3 million </w:t>
      </w:r>
      <w:r w:rsidR="005C43FF" w:rsidRPr="00381A22">
        <w:rPr>
          <w:rFonts w:ascii="Times New Roman" w:eastAsia="Times New Roman" w:hAnsi="Times New Roman"/>
          <w:sz w:val="24"/>
          <w:szCs w:val="24"/>
        </w:rPr>
        <w:t>s</w:t>
      </w:r>
      <w:r w:rsidRPr="00381A22">
        <w:rPr>
          <w:rFonts w:ascii="Times New Roman" w:eastAsia="Times New Roman" w:hAnsi="Times New Roman"/>
          <w:sz w:val="24"/>
          <w:szCs w:val="24"/>
        </w:rPr>
        <w:t xml:space="preserve">kills </w:t>
      </w:r>
      <w:r w:rsidR="005C43FF" w:rsidRPr="00381A22">
        <w:rPr>
          <w:rFonts w:ascii="Times New Roman" w:eastAsia="Times New Roman" w:hAnsi="Times New Roman"/>
          <w:sz w:val="24"/>
          <w:szCs w:val="24"/>
        </w:rPr>
        <w:t>p</w:t>
      </w:r>
      <w:r w:rsidRPr="00381A22">
        <w:rPr>
          <w:rFonts w:ascii="Times New Roman" w:eastAsia="Times New Roman" w:hAnsi="Times New Roman"/>
          <w:sz w:val="24"/>
          <w:szCs w:val="24"/>
        </w:rPr>
        <w:t xml:space="preserve">ackage </w:t>
      </w:r>
      <w:r w:rsidRPr="00381A22">
        <w:rPr>
          <w:rFonts w:ascii="Times New Roman" w:eastAsia="Times New Roman" w:hAnsi="Times New Roman"/>
          <w:i/>
          <w:sz w:val="24"/>
          <w:szCs w:val="24"/>
        </w:rPr>
        <w:t xml:space="preserve">Delivering Skills for </w:t>
      </w:r>
      <w:proofErr w:type="gramStart"/>
      <w:r w:rsidRPr="00381A22">
        <w:rPr>
          <w:rFonts w:ascii="Times New Roman" w:eastAsia="Times New Roman" w:hAnsi="Times New Roman"/>
          <w:i/>
          <w:sz w:val="24"/>
          <w:szCs w:val="24"/>
        </w:rPr>
        <w:t>Today</w:t>
      </w:r>
      <w:proofErr w:type="gramEnd"/>
      <w:r w:rsidRPr="00381A22">
        <w:rPr>
          <w:rFonts w:ascii="Times New Roman" w:eastAsia="Times New Roman" w:hAnsi="Times New Roman"/>
          <w:i/>
          <w:sz w:val="24"/>
          <w:szCs w:val="24"/>
        </w:rPr>
        <w:t xml:space="preserve"> and Tomorrow</w:t>
      </w:r>
      <w:r w:rsidRPr="00381A22">
        <w:rPr>
          <w:rFonts w:ascii="Times New Roman" w:eastAsia="Times New Roman" w:hAnsi="Times New Roman"/>
          <w:sz w:val="24"/>
          <w:szCs w:val="24"/>
        </w:rPr>
        <w:t xml:space="preserve"> (details of which are available at </w:t>
      </w:r>
      <w:r w:rsidRPr="00381A22">
        <w:rPr>
          <w:rFonts w:ascii="Times New Roman" w:hAnsi="Times New Roman"/>
          <w:sz w:val="24"/>
          <w:szCs w:val="24"/>
          <w:u w:val="single"/>
        </w:rPr>
        <w:t>www.employment.gov.au/delivering-skills-today-and-tomorrow</w:t>
      </w:r>
      <w:r w:rsidRPr="00381A22">
        <w:rPr>
          <w:rFonts w:ascii="Times New Roman" w:eastAsia="Times New Roman" w:hAnsi="Times New Roman"/>
          <w:sz w:val="24"/>
          <w:szCs w:val="24"/>
        </w:rPr>
        <w:t xml:space="preserve">), by increasing the opportunities for Australians to benefit from the Vocational Education and Training (VET) sector. </w:t>
      </w:r>
    </w:p>
    <w:p w14:paraId="45E03A3D" w14:textId="77777777" w:rsidR="004465BD" w:rsidRPr="00381A22" w:rsidRDefault="004465BD" w:rsidP="004465BD">
      <w:pPr>
        <w:rPr>
          <w:rFonts w:ascii="Times New Roman" w:eastAsia="Times New Roman" w:hAnsi="Times New Roman"/>
          <w:sz w:val="24"/>
          <w:szCs w:val="24"/>
        </w:rPr>
      </w:pPr>
    </w:p>
    <w:p w14:paraId="46271638" w14:textId="77777777" w:rsidR="004465BD" w:rsidRPr="00381A22" w:rsidRDefault="004465BD" w:rsidP="004465BD">
      <w:pPr>
        <w:rPr>
          <w:rFonts w:ascii="Times New Roman" w:eastAsia="Times New Roman" w:hAnsi="Times New Roman"/>
          <w:sz w:val="24"/>
          <w:szCs w:val="24"/>
        </w:rPr>
      </w:pPr>
      <w:r w:rsidRPr="00381A22">
        <w:rPr>
          <w:rFonts w:ascii="Times New Roman" w:eastAsia="Times New Roman" w:hAnsi="Times New Roman"/>
          <w:sz w:val="24"/>
          <w:szCs w:val="24"/>
        </w:rPr>
        <w:t xml:space="preserve">Some examples of Adult Learners’ Week activities are informal social events including library morning teas, the official Ministerial launch and free classes such as workshops on financial literacy. There are also learning scholarships provided to a selection of students nominated by providers for their exceptional commitment to overcoming learning challenges. </w:t>
      </w:r>
    </w:p>
    <w:p w14:paraId="648C36F0" w14:textId="77777777" w:rsidR="004465BD" w:rsidRPr="00381A22" w:rsidRDefault="004465BD" w:rsidP="004465BD">
      <w:pPr>
        <w:rPr>
          <w:rFonts w:ascii="Times New Roman" w:eastAsia="Times New Roman" w:hAnsi="Times New Roman"/>
          <w:sz w:val="24"/>
          <w:szCs w:val="24"/>
        </w:rPr>
      </w:pPr>
    </w:p>
    <w:p w14:paraId="722471CC" w14:textId="77777777" w:rsidR="004465BD" w:rsidRPr="00381A22" w:rsidRDefault="004465BD" w:rsidP="004465BD">
      <w:pPr>
        <w:rPr>
          <w:rFonts w:ascii="Times New Roman" w:hAnsi="Times New Roman"/>
          <w:sz w:val="24"/>
          <w:szCs w:val="24"/>
          <w:lang w:val="en-GB"/>
        </w:rPr>
      </w:pPr>
      <w:r w:rsidRPr="00381A22">
        <w:rPr>
          <w:rFonts w:ascii="Times New Roman" w:hAnsi="Times New Roman"/>
          <w:sz w:val="24"/>
          <w:szCs w:val="24"/>
          <w:lang w:val="en-GB"/>
        </w:rPr>
        <w:t>Adult Learners’ Week is organised and conducted by Adult Learning Australia Ltd (Adult Learning Australia), an Australian public company that is a non-government organisation and registered charity. Adult Learning Australia is the peak national body for adult and community education in Australia, and has been involved in managing and organising Adult Learners’ Week since 1995.</w:t>
      </w:r>
    </w:p>
    <w:p w14:paraId="7B2E8C6D" w14:textId="77777777" w:rsidR="004465BD" w:rsidRPr="00381A22" w:rsidRDefault="004465BD" w:rsidP="004465BD">
      <w:pPr>
        <w:rPr>
          <w:rFonts w:ascii="Times New Roman" w:hAnsi="Times New Roman"/>
          <w:sz w:val="24"/>
          <w:szCs w:val="24"/>
          <w:u w:val="single"/>
          <w:lang w:val="en-GB" w:eastAsia="en-GB"/>
        </w:rPr>
      </w:pPr>
    </w:p>
    <w:p w14:paraId="43CE3266" w14:textId="77777777" w:rsidR="004465BD" w:rsidRPr="00381A22" w:rsidRDefault="004465BD" w:rsidP="004465BD">
      <w:pPr>
        <w:rPr>
          <w:rFonts w:ascii="Times New Roman" w:hAnsi="Times New Roman"/>
          <w:sz w:val="24"/>
          <w:szCs w:val="24"/>
        </w:rPr>
      </w:pPr>
      <w:r w:rsidRPr="00381A22">
        <w:rPr>
          <w:rFonts w:ascii="Times New Roman" w:hAnsi="Times New Roman"/>
          <w:sz w:val="24"/>
          <w:szCs w:val="24"/>
        </w:rPr>
        <w:t xml:space="preserve">The objective of Adult Learners’ Week is to promote lifelong learning, which can support improved workforce participation and productivity for adults through increased participation in education and training. Funding </w:t>
      </w:r>
      <w:proofErr w:type="gramStart"/>
      <w:r w:rsidRPr="00381A22">
        <w:rPr>
          <w:rFonts w:ascii="Times New Roman" w:hAnsi="Times New Roman"/>
          <w:sz w:val="24"/>
          <w:szCs w:val="24"/>
        </w:rPr>
        <w:t>will be provided</w:t>
      </w:r>
      <w:proofErr w:type="gramEnd"/>
      <w:r w:rsidRPr="00381A22">
        <w:rPr>
          <w:rFonts w:ascii="Times New Roman" w:hAnsi="Times New Roman"/>
          <w:sz w:val="24"/>
          <w:szCs w:val="24"/>
        </w:rPr>
        <w:t xml:space="preserve"> to Adult Learning Australia to organise and manage a national promotional campaign as well as an official launch for Adult Learners’ Week. </w:t>
      </w:r>
    </w:p>
    <w:p w14:paraId="5870562F" w14:textId="77777777" w:rsidR="004465BD" w:rsidRPr="00381A22" w:rsidRDefault="004465BD" w:rsidP="004465BD">
      <w:pPr>
        <w:rPr>
          <w:rFonts w:ascii="Times New Roman" w:hAnsi="Times New Roman"/>
          <w:sz w:val="24"/>
          <w:szCs w:val="24"/>
          <w:u w:val="single"/>
          <w:lang w:val="en-GB" w:eastAsia="en-GB"/>
        </w:rPr>
      </w:pPr>
    </w:p>
    <w:p w14:paraId="68A72ED3" w14:textId="77777777" w:rsidR="004465BD" w:rsidRPr="00381A22" w:rsidRDefault="004465BD" w:rsidP="004465BD">
      <w:pPr>
        <w:rPr>
          <w:rFonts w:ascii="Times New Roman" w:hAnsi="Times New Roman"/>
          <w:sz w:val="24"/>
          <w:szCs w:val="24"/>
        </w:rPr>
      </w:pPr>
      <w:r w:rsidRPr="00381A22">
        <w:rPr>
          <w:rFonts w:ascii="Times New Roman" w:hAnsi="Times New Roman"/>
          <w:sz w:val="24"/>
          <w:szCs w:val="24"/>
        </w:rPr>
        <w:t xml:space="preserve">Adult Learners’ Week </w:t>
      </w:r>
      <w:proofErr w:type="gramStart"/>
      <w:r w:rsidRPr="00381A22">
        <w:rPr>
          <w:rFonts w:ascii="Times New Roman" w:hAnsi="Times New Roman"/>
          <w:sz w:val="24"/>
          <w:szCs w:val="24"/>
        </w:rPr>
        <w:t>will be conducted</w:t>
      </w:r>
      <w:proofErr w:type="gramEnd"/>
      <w:r w:rsidRPr="00381A22">
        <w:rPr>
          <w:rFonts w:ascii="Times New Roman" w:hAnsi="Times New Roman"/>
          <w:sz w:val="24"/>
          <w:szCs w:val="24"/>
        </w:rPr>
        <w:t xml:space="preserve"> in September 2020. While it is unclear what the COVID-19 restrictions will be at that time, Adult Learners’ Week is able to adapt and host events and activities online and using other virtual environments.</w:t>
      </w:r>
    </w:p>
    <w:p w14:paraId="70BC481D" w14:textId="77777777" w:rsidR="004465BD" w:rsidRPr="00381A22" w:rsidRDefault="004465BD" w:rsidP="004465BD">
      <w:pPr>
        <w:rPr>
          <w:rFonts w:ascii="Times New Roman" w:hAnsi="Times New Roman"/>
          <w:sz w:val="24"/>
          <w:szCs w:val="24"/>
        </w:rPr>
      </w:pPr>
    </w:p>
    <w:p w14:paraId="02277D38" w14:textId="77777777" w:rsidR="004465BD" w:rsidRPr="00381A22" w:rsidRDefault="004465BD" w:rsidP="004465BD">
      <w:pPr>
        <w:rPr>
          <w:rFonts w:ascii="Times New Roman" w:hAnsi="Times New Roman"/>
          <w:sz w:val="24"/>
          <w:szCs w:val="24"/>
        </w:rPr>
      </w:pPr>
      <w:r w:rsidRPr="00381A22">
        <w:rPr>
          <w:rFonts w:ascii="Times New Roman" w:hAnsi="Times New Roman"/>
          <w:sz w:val="24"/>
          <w:szCs w:val="24"/>
        </w:rPr>
        <w:t>The target group for the promotional campaign and official launch are adults with some or all of the following characteristics:</w:t>
      </w:r>
    </w:p>
    <w:p w14:paraId="3FFB8A69" w14:textId="77777777" w:rsidR="004465BD" w:rsidRPr="00381A22" w:rsidRDefault="004465BD" w:rsidP="004465BD">
      <w:pPr>
        <w:pStyle w:val="ListParagraph"/>
        <w:numPr>
          <w:ilvl w:val="0"/>
          <w:numId w:val="36"/>
        </w:numPr>
        <w:rPr>
          <w:color w:val="auto"/>
          <w:szCs w:val="24"/>
        </w:rPr>
      </w:pPr>
      <w:r w:rsidRPr="00381A22">
        <w:rPr>
          <w:color w:val="auto"/>
          <w:szCs w:val="24"/>
        </w:rPr>
        <w:t>negative past experiences of formal education;</w:t>
      </w:r>
    </w:p>
    <w:p w14:paraId="2FF9B969" w14:textId="77777777" w:rsidR="004465BD" w:rsidRPr="00381A22" w:rsidRDefault="004465BD" w:rsidP="004465BD">
      <w:pPr>
        <w:pStyle w:val="ListParagraph"/>
        <w:numPr>
          <w:ilvl w:val="0"/>
          <w:numId w:val="36"/>
        </w:numPr>
        <w:rPr>
          <w:color w:val="auto"/>
          <w:szCs w:val="24"/>
        </w:rPr>
      </w:pPr>
      <w:r w:rsidRPr="00381A22">
        <w:rPr>
          <w:rFonts w:cs="Times New Roman"/>
          <w:color w:val="auto"/>
          <w:szCs w:val="24"/>
        </w:rPr>
        <w:t>low levels of literacy or numeracy skills;</w:t>
      </w:r>
    </w:p>
    <w:p w14:paraId="1A4AC4C4" w14:textId="77777777" w:rsidR="004465BD" w:rsidRPr="00381A22" w:rsidRDefault="004465BD" w:rsidP="004465BD">
      <w:pPr>
        <w:pStyle w:val="ListParagraph"/>
        <w:numPr>
          <w:ilvl w:val="0"/>
          <w:numId w:val="36"/>
        </w:numPr>
        <w:rPr>
          <w:color w:val="auto"/>
          <w:szCs w:val="24"/>
        </w:rPr>
      </w:pPr>
      <w:r w:rsidRPr="00381A22">
        <w:rPr>
          <w:rFonts w:cs="Times New Roman"/>
          <w:color w:val="auto"/>
          <w:szCs w:val="24"/>
        </w:rPr>
        <w:t>lack of engagement in formal or non-formal learning activities either in the workplace or community; and</w:t>
      </w:r>
    </w:p>
    <w:p w14:paraId="416B61F4" w14:textId="77777777" w:rsidR="004465BD" w:rsidRPr="00381A22" w:rsidRDefault="004465BD" w:rsidP="004465BD">
      <w:pPr>
        <w:pStyle w:val="ListParagraph"/>
        <w:numPr>
          <w:ilvl w:val="0"/>
          <w:numId w:val="36"/>
        </w:numPr>
        <w:rPr>
          <w:color w:val="auto"/>
          <w:szCs w:val="24"/>
        </w:rPr>
      </w:pPr>
      <w:proofErr w:type="gramStart"/>
      <w:r w:rsidRPr="00381A22">
        <w:rPr>
          <w:rFonts w:cs="Times New Roman"/>
          <w:color w:val="auto"/>
          <w:szCs w:val="24"/>
        </w:rPr>
        <w:t>lack</w:t>
      </w:r>
      <w:proofErr w:type="gramEnd"/>
      <w:r w:rsidRPr="00381A22">
        <w:rPr>
          <w:rFonts w:cs="Times New Roman"/>
          <w:color w:val="auto"/>
          <w:szCs w:val="24"/>
        </w:rPr>
        <w:t xml:space="preserve"> of understanding of the learning options available to them.</w:t>
      </w:r>
    </w:p>
    <w:p w14:paraId="4F99A3CF" w14:textId="77777777" w:rsidR="004465BD" w:rsidRPr="00381A22" w:rsidRDefault="004465BD" w:rsidP="004465BD">
      <w:pPr>
        <w:rPr>
          <w:rFonts w:ascii="Times New Roman" w:eastAsia="Times New Roman" w:hAnsi="Times New Roman"/>
          <w:sz w:val="24"/>
          <w:szCs w:val="24"/>
        </w:rPr>
      </w:pPr>
    </w:p>
    <w:p w14:paraId="542E11B1" w14:textId="77777777" w:rsidR="004465BD" w:rsidRPr="00381A22" w:rsidRDefault="004465BD" w:rsidP="004465BD">
      <w:pPr>
        <w:rPr>
          <w:rFonts w:ascii="Times New Roman" w:eastAsia="Times New Roman" w:hAnsi="Times New Roman"/>
          <w:sz w:val="24"/>
          <w:szCs w:val="24"/>
        </w:rPr>
      </w:pPr>
      <w:proofErr w:type="gramStart"/>
      <w:r w:rsidRPr="00381A22">
        <w:rPr>
          <w:rFonts w:ascii="Times New Roman" w:eastAsia="Times New Roman" w:hAnsi="Times New Roman"/>
          <w:sz w:val="24"/>
          <w:szCs w:val="24"/>
        </w:rPr>
        <w:t>Adult Learners’ Week’s</w:t>
      </w:r>
      <w:proofErr w:type="gramEnd"/>
      <w:r w:rsidRPr="00381A22">
        <w:rPr>
          <w:rFonts w:ascii="Times New Roman" w:eastAsia="Times New Roman" w:hAnsi="Times New Roman"/>
          <w:sz w:val="24"/>
          <w:szCs w:val="24"/>
        </w:rPr>
        <w:t xml:space="preserve"> objectives also include:</w:t>
      </w:r>
    </w:p>
    <w:p w14:paraId="066996CF" w14:textId="77777777" w:rsidR="004465BD" w:rsidRPr="00381A22" w:rsidRDefault="004465BD" w:rsidP="004465BD">
      <w:pPr>
        <w:pStyle w:val="ListParagraph"/>
        <w:numPr>
          <w:ilvl w:val="0"/>
          <w:numId w:val="37"/>
        </w:numPr>
        <w:rPr>
          <w:color w:val="auto"/>
          <w:szCs w:val="24"/>
        </w:rPr>
      </w:pPr>
      <w:r w:rsidRPr="00381A22">
        <w:rPr>
          <w:color w:val="auto"/>
          <w:szCs w:val="24"/>
        </w:rPr>
        <w:t>media and promotional activities that seek to raise awareness of adult learning opportunities on a national scale, and encourage adult learners to connect or re</w:t>
      </w:r>
      <w:r w:rsidRPr="00381A22">
        <w:rPr>
          <w:color w:val="auto"/>
          <w:szCs w:val="24"/>
        </w:rPr>
        <w:noBreakHyphen/>
        <w:t>connect with training and learning;</w:t>
      </w:r>
    </w:p>
    <w:p w14:paraId="1BCB3F12" w14:textId="77777777" w:rsidR="004465BD" w:rsidRPr="00381A22" w:rsidRDefault="004465BD" w:rsidP="004465BD">
      <w:pPr>
        <w:pStyle w:val="ListParagraph"/>
        <w:numPr>
          <w:ilvl w:val="0"/>
          <w:numId w:val="37"/>
        </w:numPr>
        <w:rPr>
          <w:color w:val="auto"/>
          <w:szCs w:val="24"/>
        </w:rPr>
      </w:pPr>
      <w:r w:rsidRPr="00381A22">
        <w:rPr>
          <w:rFonts w:cs="Times New Roman"/>
          <w:color w:val="auto"/>
          <w:szCs w:val="24"/>
        </w:rPr>
        <w:t>promoting the range of adult learning possibilities;</w:t>
      </w:r>
    </w:p>
    <w:p w14:paraId="5F3F4E09" w14:textId="77777777" w:rsidR="004465BD" w:rsidRPr="00381A22" w:rsidRDefault="004465BD" w:rsidP="004465BD">
      <w:pPr>
        <w:pStyle w:val="ListParagraph"/>
        <w:numPr>
          <w:ilvl w:val="0"/>
          <w:numId w:val="37"/>
        </w:numPr>
        <w:rPr>
          <w:color w:val="auto"/>
          <w:szCs w:val="24"/>
        </w:rPr>
      </w:pPr>
      <w:r w:rsidRPr="00381A22">
        <w:rPr>
          <w:rFonts w:cs="Times New Roman"/>
          <w:color w:val="auto"/>
          <w:szCs w:val="24"/>
        </w:rPr>
        <w:t>making adult learning options relevant and accessible to learners;</w:t>
      </w:r>
    </w:p>
    <w:p w14:paraId="1AA18776" w14:textId="77777777" w:rsidR="004465BD" w:rsidRPr="00381A22" w:rsidRDefault="004465BD" w:rsidP="004465BD">
      <w:pPr>
        <w:pStyle w:val="ListParagraph"/>
        <w:numPr>
          <w:ilvl w:val="0"/>
          <w:numId w:val="37"/>
        </w:numPr>
        <w:rPr>
          <w:color w:val="auto"/>
          <w:szCs w:val="24"/>
        </w:rPr>
      </w:pPr>
      <w:r w:rsidRPr="00381A22">
        <w:rPr>
          <w:rFonts w:cs="Times New Roman"/>
          <w:color w:val="auto"/>
          <w:szCs w:val="24"/>
        </w:rPr>
        <w:t>creating a culture of lifelong learning, and</w:t>
      </w:r>
    </w:p>
    <w:p w14:paraId="41D68BB0" w14:textId="77777777" w:rsidR="004465BD" w:rsidRPr="00381A22" w:rsidRDefault="004465BD" w:rsidP="004465BD">
      <w:pPr>
        <w:pStyle w:val="ListParagraph"/>
        <w:numPr>
          <w:ilvl w:val="0"/>
          <w:numId w:val="37"/>
        </w:numPr>
        <w:rPr>
          <w:color w:val="auto"/>
          <w:szCs w:val="24"/>
        </w:rPr>
      </w:pPr>
      <w:proofErr w:type="gramStart"/>
      <w:r w:rsidRPr="00381A22">
        <w:rPr>
          <w:rFonts w:cs="Times New Roman"/>
          <w:color w:val="auto"/>
          <w:szCs w:val="24"/>
        </w:rPr>
        <w:t>building</w:t>
      </w:r>
      <w:proofErr w:type="gramEnd"/>
      <w:r w:rsidRPr="00381A22">
        <w:rPr>
          <w:rFonts w:cs="Times New Roman"/>
          <w:color w:val="auto"/>
          <w:szCs w:val="24"/>
        </w:rPr>
        <w:t xml:space="preserve"> a bridge between basic, vocational and general adult education (including literacy and numeracy).</w:t>
      </w:r>
    </w:p>
    <w:p w14:paraId="1C0D0071" w14:textId="323A8636" w:rsidR="004465BD" w:rsidRPr="00381A22" w:rsidRDefault="004465BD" w:rsidP="004465BD">
      <w:pPr>
        <w:rPr>
          <w:rFonts w:ascii="Times New Roman" w:hAnsi="Times New Roman"/>
          <w:sz w:val="24"/>
          <w:szCs w:val="24"/>
        </w:rPr>
      </w:pPr>
    </w:p>
    <w:p w14:paraId="39D6B3FC" w14:textId="19570A78" w:rsidR="004465BD" w:rsidRPr="00381A22" w:rsidRDefault="004465BD" w:rsidP="004465BD">
      <w:pPr>
        <w:rPr>
          <w:rFonts w:ascii="Times New Roman" w:hAnsi="Times New Roman"/>
          <w:sz w:val="24"/>
          <w:szCs w:val="24"/>
          <w:lang w:val="en-GB"/>
        </w:rPr>
      </w:pPr>
      <w:r w:rsidRPr="00381A22">
        <w:rPr>
          <w:rFonts w:ascii="Times New Roman" w:hAnsi="Times New Roman"/>
          <w:sz w:val="24"/>
          <w:szCs w:val="24"/>
          <w:lang w:val="en-GB"/>
        </w:rPr>
        <w:t xml:space="preserve">Funding for Adult Learners’ Week </w:t>
      </w:r>
      <w:proofErr w:type="gramStart"/>
      <w:r w:rsidRPr="00381A22">
        <w:rPr>
          <w:rFonts w:ascii="Times New Roman" w:hAnsi="Times New Roman"/>
          <w:sz w:val="24"/>
          <w:szCs w:val="24"/>
          <w:lang w:val="en-GB"/>
        </w:rPr>
        <w:t>will be provided</w:t>
      </w:r>
      <w:proofErr w:type="gramEnd"/>
      <w:r w:rsidRPr="00381A22">
        <w:rPr>
          <w:rFonts w:ascii="Times New Roman" w:hAnsi="Times New Roman"/>
          <w:sz w:val="24"/>
          <w:szCs w:val="24"/>
          <w:lang w:val="en-GB"/>
        </w:rPr>
        <w:t xml:space="preserve"> to Adult Learning Australia as a non</w:t>
      </w:r>
      <w:r w:rsidR="00EF277F" w:rsidRPr="00381A22">
        <w:rPr>
          <w:rFonts w:ascii="Times New Roman" w:hAnsi="Times New Roman"/>
          <w:sz w:val="24"/>
          <w:szCs w:val="24"/>
          <w:lang w:val="en-GB"/>
        </w:rPr>
        <w:noBreakHyphen/>
      </w:r>
      <w:r w:rsidRPr="00381A22">
        <w:rPr>
          <w:rFonts w:ascii="Times New Roman" w:hAnsi="Times New Roman"/>
          <w:sz w:val="24"/>
          <w:szCs w:val="24"/>
          <w:lang w:val="en-GB"/>
        </w:rPr>
        <w:t xml:space="preserve">competitive grant. </w:t>
      </w:r>
      <w:r w:rsidRPr="00381A22">
        <w:rPr>
          <w:rFonts w:ascii="Times New Roman" w:hAnsi="Times New Roman"/>
          <w:sz w:val="24"/>
          <w:szCs w:val="24"/>
        </w:rPr>
        <w:t xml:space="preserve">The administration of the grant to Adult Learning Australia </w:t>
      </w:r>
      <w:proofErr w:type="gramStart"/>
      <w:r w:rsidRPr="00381A22">
        <w:rPr>
          <w:rFonts w:ascii="Times New Roman" w:hAnsi="Times New Roman"/>
          <w:sz w:val="24"/>
          <w:szCs w:val="24"/>
        </w:rPr>
        <w:t>will be conducted</w:t>
      </w:r>
      <w:proofErr w:type="gramEnd"/>
      <w:r w:rsidRPr="00381A22">
        <w:rPr>
          <w:rFonts w:ascii="Times New Roman" w:hAnsi="Times New Roman"/>
          <w:sz w:val="24"/>
          <w:szCs w:val="24"/>
        </w:rPr>
        <w:t xml:space="preserve"> in accordance with the Commonwealth resource management framework, including the </w:t>
      </w:r>
      <w:r w:rsidRPr="00381A22">
        <w:rPr>
          <w:rFonts w:ascii="Times New Roman" w:hAnsi="Times New Roman"/>
          <w:i/>
          <w:sz w:val="24"/>
          <w:szCs w:val="24"/>
        </w:rPr>
        <w:t>Public Governance, Performance and Accountability Act 2013</w:t>
      </w:r>
      <w:r w:rsidRPr="00381A22">
        <w:rPr>
          <w:rFonts w:ascii="Times New Roman" w:hAnsi="Times New Roman"/>
          <w:sz w:val="24"/>
          <w:szCs w:val="24"/>
        </w:rPr>
        <w:t xml:space="preserve"> and the </w:t>
      </w:r>
      <w:r w:rsidRPr="00381A22">
        <w:rPr>
          <w:rFonts w:ascii="Times New Roman" w:hAnsi="Times New Roman"/>
          <w:i/>
          <w:iCs/>
          <w:sz w:val="24"/>
          <w:szCs w:val="24"/>
        </w:rPr>
        <w:t>Commonwealth Grants Rules and Guidelines</w:t>
      </w:r>
      <w:r w:rsidRPr="00381A22">
        <w:rPr>
          <w:rFonts w:ascii="Times New Roman" w:hAnsi="Times New Roman"/>
          <w:sz w:val="24"/>
          <w:szCs w:val="24"/>
        </w:rPr>
        <w:t xml:space="preserve"> </w:t>
      </w:r>
      <w:r w:rsidRPr="00381A22">
        <w:rPr>
          <w:rFonts w:ascii="Times New Roman" w:hAnsi="Times New Roman"/>
          <w:i/>
          <w:iCs/>
          <w:sz w:val="24"/>
          <w:szCs w:val="24"/>
        </w:rPr>
        <w:t>2017</w:t>
      </w:r>
      <w:r w:rsidRPr="00381A22">
        <w:rPr>
          <w:rFonts w:ascii="Times New Roman" w:hAnsi="Times New Roman"/>
          <w:sz w:val="24"/>
          <w:szCs w:val="24"/>
        </w:rPr>
        <w:t>.</w:t>
      </w:r>
    </w:p>
    <w:p w14:paraId="7CC3A894" w14:textId="77777777" w:rsidR="004465BD" w:rsidRPr="00381A22" w:rsidRDefault="004465BD" w:rsidP="004465BD">
      <w:pPr>
        <w:rPr>
          <w:rFonts w:ascii="Times New Roman" w:hAnsi="Times New Roman"/>
          <w:sz w:val="24"/>
          <w:szCs w:val="24"/>
        </w:rPr>
      </w:pPr>
    </w:p>
    <w:p w14:paraId="79273464" w14:textId="77777777" w:rsidR="004465BD" w:rsidRPr="00381A22" w:rsidRDefault="004465BD" w:rsidP="004465BD">
      <w:pPr>
        <w:rPr>
          <w:rFonts w:ascii="Times New Roman" w:hAnsi="Times New Roman"/>
          <w:sz w:val="24"/>
          <w:szCs w:val="24"/>
          <w:lang w:val="en-GB"/>
        </w:rPr>
      </w:pPr>
      <w:r w:rsidRPr="00381A22">
        <w:rPr>
          <w:rFonts w:ascii="Times New Roman" w:hAnsi="Times New Roman"/>
          <w:sz w:val="24"/>
          <w:szCs w:val="24"/>
        </w:rPr>
        <w:t xml:space="preserve">Information about the grant will be made available on the </w:t>
      </w:r>
      <w:proofErr w:type="spellStart"/>
      <w:r w:rsidRPr="00381A22">
        <w:rPr>
          <w:rFonts w:ascii="Times New Roman" w:hAnsi="Times New Roman"/>
          <w:sz w:val="24"/>
          <w:szCs w:val="24"/>
        </w:rPr>
        <w:t>GrantConnect</w:t>
      </w:r>
      <w:proofErr w:type="spellEnd"/>
      <w:r w:rsidRPr="00381A22">
        <w:rPr>
          <w:rFonts w:ascii="Times New Roman" w:hAnsi="Times New Roman"/>
          <w:sz w:val="24"/>
          <w:szCs w:val="24"/>
        </w:rPr>
        <w:t xml:space="preserve"> website (</w:t>
      </w:r>
      <w:proofErr w:type="spellStart"/>
      <w:r w:rsidRPr="00381A22">
        <w:rPr>
          <w:rFonts w:ascii="Times New Roman" w:hAnsi="Times New Roman"/>
          <w:sz w:val="24"/>
          <w:szCs w:val="24"/>
          <w:u w:val="single"/>
        </w:rPr>
        <w:t>www.grants.gov.au</w:t>
      </w:r>
      <w:proofErr w:type="spellEnd"/>
      <w:r w:rsidRPr="00381A22">
        <w:rPr>
          <w:rFonts w:ascii="Times New Roman" w:hAnsi="Times New Roman"/>
          <w:sz w:val="24"/>
          <w:szCs w:val="24"/>
        </w:rPr>
        <w:t xml:space="preserve">), and the </w:t>
      </w:r>
      <w:proofErr w:type="gramStart"/>
      <w:r w:rsidRPr="00381A22">
        <w:rPr>
          <w:rFonts w:ascii="Times New Roman" w:hAnsi="Times New Roman"/>
          <w:sz w:val="24"/>
          <w:szCs w:val="24"/>
        </w:rPr>
        <w:t>grant will be administered by the Community Grants Hub</w:t>
      </w:r>
      <w:proofErr w:type="gramEnd"/>
      <w:r w:rsidRPr="00381A22">
        <w:rPr>
          <w:rFonts w:ascii="Times New Roman" w:hAnsi="Times New Roman"/>
          <w:sz w:val="24"/>
          <w:szCs w:val="24"/>
        </w:rPr>
        <w:t>, which is part of the Department of Social Services. A</w:t>
      </w:r>
      <w:r w:rsidRPr="00381A22">
        <w:rPr>
          <w:rFonts w:ascii="Times New Roman" w:hAnsi="Times New Roman"/>
          <w:sz w:val="24"/>
          <w:szCs w:val="24"/>
          <w:lang w:val="en-GB"/>
        </w:rPr>
        <w:t xml:space="preserve"> delegate of the Secretary of the department under the </w:t>
      </w:r>
      <w:r w:rsidRPr="00381A22">
        <w:rPr>
          <w:rFonts w:ascii="Times New Roman" w:hAnsi="Times New Roman"/>
          <w:i/>
          <w:sz w:val="24"/>
          <w:szCs w:val="24"/>
          <w:lang w:val="en-GB"/>
        </w:rPr>
        <w:t>Financial Framework (Supplementary Powers) Act 1997</w:t>
      </w:r>
      <w:r w:rsidRPr="00381A22">
        <w:rPr>
          <w:rFonts w:ascii="Times New Roman" w:hAnsi="Times New Roman"/>
          <w:sz w:val="24"/>
          <w:szCs w:val="24"/>
          <w:lang w:val="en-GB"/>
        </w:rPr>
        <w:t xml:space="preserve"> will be responsible for approving Commonwealth funding provided to Adult Learning Australia for Adult Learners’ Week.</w:t>
      </w:r>
    </w:p>
    <w:p w14:paraId="7011DFA1" w14:textId="77777777" w:rsidR="004465BD" w:rsidRPr="00381A22" w:rsidRDefault="004465BD" w:rsidP="004465BD">
      <w:pPr>
        <w:rPr>
          <w:rFonts w:ascii="Times New Roman" w:hAnsi="Times New Roman"/>
          <w:sz w:val="24"/>
          <w:szCs w:val="24"/>
          <w:lang w:val="en-GB"/>
        </w:rPr>
      </w:pPr>
    </w:p>
    <w:p w14:paraId="78BD14B4" w14:textId="6AB5DBE5" w:rsidR="004465BD" w:rsidRPr="00381A22" w:rsidRDefault="004465BD" w:rsidP="004465BD">
      <w:pPr>
        <w:rPr>
          <w:rFonts w:ascii="Times New Roman" w:hAnsi="Times New Roman"/>
          <w:sz w:val="24"/>
          <w:szCs w:val="24"/>
        </w:rPr>
      </w:pPr>
      <w:r w:rsidRPr="00381A22">
        <w:rPr>
          <w:rFonts w:ascii="Times New Roman" w:hAnsi="Times New Roman"/>
          <w:sz w:val="24"/>
          <w:szCs w:val="24"/>
        </w:rPr>
        <w:t xml:space="preserve">The grant decision, once made, will be final and not subject to merits review. This is partly because the grant involves an allocation of a finite resource to Adult Learning Australia and overturning the original decision would affect the allocation that </w:t>
      </w:r>
      <w:proofErr w:type="gramStart"/>
      <w:r w:rsidRPr="00381A22">
        <w:rPr>
          <w:rFonts w:ascii="Times New Roman" w:hAnsi="Times New Roman"/>
          <w:sz w:val="24"/>
          <w:szCs w:val="24"/>
        </w:rPr>
        <w:t>has already been made</w:t>
      </w:r>
      <w:proofErr w:type="gramEnd"/>
      <w:r w:rsidRPr="00381A22">
        <w:rPr>
          <w:rFonts w:ascii="Times New Roman" w:hAnsi="Times New Roman"/>
          <w:sz w:val="24"/>
          <w:szCs w:val="24"/>
        </w:rPr>
        <w:t xml:space="preserve"> to Adult Learning Australia. The Administrative Review Council has recognised that it is justifiable to exclude merits review in relation to decisions of this nature (see paragraphs 4.11 to 4.14 of the </w:t>
      </w:r>
      <w:r w:rsidR="00512E37" w:rsidRPr="00381A22">
        <w:rPr>
          <w:rFonts w:ascii="Times New Roman" w:hAnsi="Times New Roman"/>
          <w:bCs/>
          <w:sz w:val="24"/>
          <w:szCs w:val="24"/>
        </w:rPr>
        <w:t xml:space="preserve">guide, </w:t>
      </w:r>
      <w:proofErr w:type="gramStart"/>
      <w:r w:rsidR="00512E37" w:rsidRPr="00381A22">
        <w:rPr>
          <w:rFonts w:ascii="Times New Roman" w:hAnsi="Times New Roman"/>
          <w:i/>
          <w:color w:val="000000" w:themeColor="text1"/>
          <w:sz w:val="24"/>
          <w:szCs w:val="24"/>
        </w:rPr>
        <w:t>What</w:t>
      </w:r>
      <w:proofErr w:type="gramEnd"/>
      <w:r w:rsidR="00512E37" w:rsidRPr="00381A22">
        <w:rPr>
          <w:rFonts w:ascii="Times New Roman" w:hAnsi="Times New Roman"/>
          <w:i/>
          <w:color w:val="000000" w:themeColor="text1"/>
          <w:sz w:val="24"/>
          <w:szCs w:val="24"/>
        </w:rPr>
        <w:t xml:space="preserve"> decisions should be subject to merit review?</w:t>
      </w:r>
      <w:r w:rsidRPr="00381A22">
        <w:rPr>
          <w:rFonts w:ascii="Times New Roman" w:hAnsi="Times New Roman"/>
          <w:sz w:val="24"/>
          <w:szCs w:val="24"/>
        </w:rPr>
        <w:t>).</w:t>
      </w:r>
    </w:p>
    <w:p w14:paraId="08D028EB" w14:textId="77777777" w:rsidR="004465BD" w:rsidRPr="00381A22" w:rsidRDefault="004465BD" w:rsidP="004465BD">
      <w:pPr>
        <w:rPr>
          <w:rFonts w:ascii="Times New Roman" w:hAnsi="Times New Roman"/>
          <w:sz w:val="24"/>
          <w:szCs w:val="24"/>
        </w:rPr>
      </w:pPr>
    </w:p>
    <w:p w14:paraId="34BE65A9" w14:textId="77777777" w:rsidR="004465BD" w:rsidRPr="00381A22" w:rsidRDefault="004465BD" w:rsidP="004465BD">
      <w:pPr>
        <w:rPr>
          <w:rFonts w:ascii="Times New Roman" w:hAnsi="Times New Roman"/>
          <w:sz w:val="24"/>
          <w:szCs w:val="24"/>
        </w:rPr>
      </w:pPr>
      <w:proofErr w:type="gramStart"/>
      <w:r w:rsidRPr="00381A22">
        <w:rPr>
          <w:rFonts w:ascii="Times New Roman" w:hAnsi="Times New Roman"/>
          <w:sz w:val="24"/>
          <w:szCs w:val="24"/>
        </w:rPr>
        <w:t>Further, re-making a decision after entry into an agreement is legally complex, impractical and would result in delays in implementation.</w:t>
      </w:r>
      <w:proofErr w:type="gramEnd"/>
      <w:r w:rsidRPr="00381A22">
        <w:rPr>
          <w:rFonts w:ascii="Times New Roman" w:hAnsi="Times New Roman"/>
          <w:sz w:val="24"/>
          <w:szCs w:val="24"/>
        </w:rPr>
        <w:t xml:space="preserve"> Given Adult Learning Australia’s existing role in managing and organising Adult Learners’ Week over a significant period of time, and the Government’s decision to provide funding to Adult Learning Australia, it is not reasonably foreseeable nor envisaged that any other organisation would receive funding in relation to this initiative.</w:t>
      </w:r>
    </w:p>
    <w:p w14:paraId="074ED745" w14:textId="77777777" w:rsidR="004465BD" w:rsidRPr="00381A22" w:rsidRDefault="004465BD" w:rsidP="004465BD">
      <w:pPr>
        <w:rPr>
          <w:rFonts w:ascii="Times New Roman" w:hAnsi="Times New Roman"/>
          <w:sz w:val="24"/>
          <w:szCs w:val="24"/>
        </w:rPr>
      </w:pPr>
    </w:p>
    <w:p w14:paraId="76A5217E" w14:textId="181B4258" w:rsidR="004465BD" w:rsidRPr="00381A22" w:rsidRDefault="005401E2" w:rsidP="004465BD">
      <w:pPr>
        <w:rPr>
          <w:rFonts w:ascii="Times New Roman" w:hAnsi="Times New Roman"/>
          <w:sz w:val="24"/>
          <w:szCs w:val="24"/>
        </w:rPr>
      </w:pPr>
      <w:r w:rsidRPr="00381A22">
        <w:rPr>
          <w:rFonts w:ascii="Times New Roman" w:hAnsi="Times New Roman"/>
          <w:sz w:val="24"/>
          <w:szCs w:val="24"/>
        </w:rPr>
        <w:lastRenderedPageBreak/>
        <w:t>Given the long</w:t>
      </w:r>
      <w:r w:rsidR="004465BD" w:rsidRPr="00381A22">
        <w:rPr>
          <w:rFonts w:ascii="Times New Roman" w:hAnsi="Times New Roman"/>
          <w:sz w:val="24"/>
          <w:szCs w:val="24"/>
        </w:rPr>
        <w:t xml:space="preserve">standing operation of Adult Learners’ Week, no additional consultation </w:t>
      </w:r>
      <w:proofErr w:type="gramStart"/>
      <w:r w:rsidR="004465BD" w:rsidRPr="00381A22">
        <w:rPr>
          <w:rFonts w:ascii="Times New Roman" w:hAnsi="Times New Roman"/>
          <w:sz w:val="24"/>
          <w:szCs w:val="24"/>
        </w:rPr>
        <w:t>was undertaken</w:t>
      </w:r>
      <w:proofErr w:type="gramEnd"/>
      <w:r w:rsidR="004465BD" w:rsidRPr="00381A22">
        <w:rPr>
          <w:rFonts w:ascii="Times New Roman" w:hAnsi="Times New Roman"/>
          <w:sz w:val="24"/>
          <w:szCs w:val="24"/>
        </w:rPr>
        <w:t xml:space="preserve"> in relation to the upcoming grant. The department consults with Adult Learning Australia around March each year on proposals that Adult Learning Australia has for funding as part of Adult Learners</w:t>
      </w:r>
      <w:r w:rsidR="00AC1E62" w:rsidRPr="00381A22">
        <w:rPr>
          <w:rFonts w:ascii="Times New Roman" w:hAnsi="Times New Roman"/>
          <w:sz w:val="24"/>
          <w:szCs w:val="24"/>
        </w:rPr>
        <w:t>’</w:t>
      </w:r>
      <w:r w:rsidR="004465BD" w:rsidRPr="00381A22">
        <w:rPr>
          <w:rFonts w:ascii="Times New Roman" w:hAnsi="Times New Roman"/>
          <w:sz w:val="24"/>
          <w:szCs w:val="24"/>
        </w:rPr>
        <w:t xml:space="preserve"> Week. The department also works with the relevant Ministers each year to assist with promotion of the event. For example, in 2019 the Assistant Minister for Vocational Education, Training and Apprenticeships, the Hon Steve Irons MP, opened the week at an event in Western Australia.</w:t>
      </w:r>
    </w:p>
    <w:p w14:paraId="3802DE27" w14:textId="77777777" w:rsidR="004465BD" w:rsidRPr="00381A22" w:rsidRDefault="004465BD" w:rsidP="004465BD">
      <w:pPr>
        <w:pStyle w:val="Quotation1"/>
        <w:numPr>
          <w:ilvl w:val="0"/>
          <w:numId w:val="0"/>
        </w:numPr>
        <w:spacing w:after="0" w:line="240" w:lineRule="auto"/>
        <w:rPr>
          <w:rFonts w:ascii="Times New Roman" w:hAnsi="Times New Roman" w:cs="Times New Roman"/>
          <w:sz w:val="24"/>
          <w:szCs w:val="24"/>
        </w:rPr>
      </w:pPr>
    </w:p>
    <w:p w14:paraId="61114FEA" w14:textId="20219D7F" w:rsidR="004465BD" w:rsidRPr="00381A22" w:rsidRDefault="004465BD" w:rsidP="004465BD">
      <w:pPr>
        <w:rPr>
          <w:rFonts w:ascii="Times New Roman" w:hAnsi="Times New Roman"/>
          <w:sz w:val="24"/>
          <w:szCs w:val="24"/>
        </w:rPr>
      </w:pPr>
      <w:r w:rsidRPr="00381A22">
        <w:rPr>
          <w:rFonts w:ascii="Times New Roman" w:hAnsi="Times New Roman"/>
          <w:sz w:val="24"/>
          <w:szCs w:val="24"/>
        </w:rPr>
        <w:t xml:space="preserve">Funding for this item of $0.6 million over three years from 2020-21 will come from the Industry Workforce Training Program under Program 3.1: Building Skills and Capability, </w:t>
      </w:r>
      <w:r w:rsidR="00D63707" w:rsidRPr="00381A22">
        <w:rPr>
          <w:rFonts w:ascii="Times New Roman" w:hAnsi="Times New Roman"/>
          <w:sz w:val="24"/>
          <w:szCs w:val="24"/>
        </w:rPr>
        <w:t xml:space="preserve">which is </w:t>
      </w:r>
      <w:r w:rsidRPr="00381A22">
        <w:rPr>
          <w:rFonts w:ascii="Times New Roman" w:hAnsi="Times New Roman"/>
          <w:sz w:val="24"/>
          <w:szCs w:val="24"/>
        </w:rPr>
        <w:t xml:space="preserve">part of Outcome 3. Details are set out in the </w:t>
      </w:r>
      <w:r w:rsidRPr="00381A22">
        <w:rPr>
          <w:rFonts w:ascii="Times New Roman" w:hAnsi="Times New Roman"/>
          <w:i/>
          <w:sz w:val="24"/>
          <w:szCs w:val="24"/>
        </w:rPr>
        <w:t>Portfolio Additional Estimates Statements 2019–20, Education, Skills and Employment Portfolio</w:t>
      </w:r>
      <w:r w:rsidRPr="00381A22">
        <w:rPr>
          <w:rFonts w:ascii="Times New Roman" w:hAnsi="Times New Roman"/>
          <w:sz w:val="24"/>
          <w:szCs w:val="24"/>
        </w:rPr>
        <w:t xml:space="preserve"> at page 54. </w:t>
      </w:r>
    </w:p>
    <w:p w14:paraId="7033A45D" w14:textId="77777777" w:rsidR="004465BD" w:rsidRPr="00381A22" w:rsidRDefault="004465BD" w:rsidP="004465BD">
      <w:pPr>
        <w:rPr>
          <w:rFonts w:ascii="Times New Roman" w:hAnsi="Times New Roman"/>
          <w:sz w:val="24"/>
          <w:szCs w:val="24"/>
        </w:rPr>
      </w:pPr>
    </w:p>
    <w:p w14:paraId="3F4DFA5A" w14:textId="77777777" w:rsidR="004465BD" w:rsidRPr="00381A22" w:rsidRDefault="004465BD" w:rsidP="004465BD">
      <w:pPr>
        <w:pStyle w:val="Quotation1"/>
        <w:numPr>
          <w:ilvl w:val="0"/>
          <w:numId w:val="0"/>
        </w:numPr>
        <w:spacing w:after="0" w:line="240" w:lineRule="auto"/>
        <w:rPr>
          <w:rFonts w:ascii="Times New Roman" w:hAnsi="Times New Roman" w:cs="Times New Roman"/>
          <w:sz w:val="24"/>
          <w:szCs w:val="24"/>
        </w:rPr>
      </w:pPr>
      <w:r w:rsidRPr="00381A22">
        <w:rPr>
          <w:rFonts w:ascii="Times New Roman" w:hAnsi="Times New Roman" w:cs="Times New Roman"/>
          <w:sz w:val="24"/>
          <w:szCs w:val="24"/>
        </w:rPr>
        <w:t>Noting that it is not a comprehensive statement of relevant constitutional considerations, the objective of the item references the express incidental power and the executive power (sections 51(xxxix) and 61) of the Constitution, including the nationhood aspect.</w:t>
      </w:r>
    </w:p>
    <w:p w14:paraId="2D8A16DA" w14:textId="77777777" w:rsidR="004465BD" w:rsidRPr="00381A22" w:rsidRDefault="004465BD" w:rsidP="004465BD">
      <w:pPr>
        <w:rPr>
          <w:rFonts w:ascii="Times New Roman" w:hAnsi="Times New Roman"/>
          <w:sz w:val="24"/>
          <w:szCs w:val="24"/>
        </w:rPr>
      </w:pPr>
    </w:p>
    <w:p w14:paraId="259B7FF7" w14:textId="77777777" w:rsidR="004465BD" w:rsidRPr="00381A22" w:rsidRDefault="004465BD" w:rsidP="004465BD">
      <w:pPr>
        <w:pStyle w:val="Quotation1"/>
        <w:numPr>
          <w:ilvl w:val="0"/>
          <w:numId w:val="0"/>
        </w:numPr>
        <w:spacing w:after="0" w:line="240" w:lineRule="auto"/>
        <w:rPr>
          <w:rFonts w:ascii="Times New Roman" w:hAnsi="Times New Roman" w:cs="Times New Roman"/>
          <w:i/>
          <w:sz w:val="24"/>
          <w:szCs w:val="24"/>
          <w:u w:val="single"/>
        </w:rPr>
      </w:pPr>
      <w:r w:rsidRPr="00381A22">
        <w:rPr>
          <w:rFonts w:ascii="Times New Roman" w:hAnsi="Times New Roman" w:cs="Times New Roman"/>
          <w:i/>
          <w:sz w:val="24"/>
          <w:szCs w:val="24"/>
          <w:u w:val="single"/>
        </w:rPr>
        <w:t>Executive power and express incidental power, including the nationhood aspect</w:t>
      </w:r>
    </w:p>
    <w:p w14:paraId="5988E73E" w14:textId="77777777" w:rsidR="004465BD" w:rsidRPr="00381A22" w:rsidRDefault="004465BD" w:rsidP="004465BD">
      <w:pPr>
        <w:pStyle w:val="Quotation1"/>
        <w:numPr>
          <w:ilvl w:val="0"/>
          <w:numId w:val="0"/>
        </w:numPr>
        <w:spacing w:after="0" w:line="240" w:lineRule="auto"/>
        <w:rPr>
          <w:rFonts w:ascii="Times New Roman" w:hAnsi="Times New Roman" w:cs="Times New Roman"/>
          <w:sz w:val="24"/>
          <w:szCs w:val="24"/>
        </w:rPr>
      </w:pPr>
    </w:p>
    <w:p w14:paraId="688D9A45" w14:textId="77777777" w:rsidR="006550B7" w:rsidRPr="00381A22" w:rsidRDefault="006550B7" w:rsidP="006550B7">
      <w:pPr>
        <w:pStyle w:val="Quotation1"/>
        <w:numPr>
          <w:ilvl w:val="0"/>
          <w:numId w:val="0"/>
        </w:numPr>
        <w:tabs>
          <w:tab w:val="left" w:pos="720"/>
        </w:tabs>
        <w:spacing w:after="0" w:line="240" w:lineRule="auto"/>
        <w:rPr>
          <w:rFonts w:ascii="Times New Roman" w:eastAsiaTheme="minorHAnsi" w:hAnsi="Times New Roman" w:cs="Times New Roman"/>
          <w:sz w:val="24"/>
          <w:szCs w:val="24"/>
        </w:rPr>
      </w:pPr>
      <w:r w:rsidRPr="00381A22">
        <w:rPr>
          <w:rFonts w:ascii="Times New Roman" w:hAnsi="Times New Roman" w:cs="Times New Roman"/>
          <w:sz w:val="24"/>
          <w:szCs w:val="24"/>
        </w:rPr>
        <w:t xml:space="preserve">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w:t>
      </w:r>
      <w:proofErr w:type="gramStart"/>
      <w:r w:rsidRPr="00381A22">
        <w:rPr>
          <w:rFonts w:ascii="Times New Roman" w:hAnsi="Times New Roman" w:cs="Times New Roman"/>
          <w:sz w:val="24"/>
          <w:szCs w:val="24"/>
        </w:rPr>
        <w:t>cannot be carried out</w:t>
      </w:r>
      <w:proofErr w:type="gramEnd"/>
      <w:r w:rsidRPr="00381A22">
        <w:rPr>
          <w:rFonts w:ascii="Times New Roman" w:hAnsi="Times New Roman" w:cs="Times New Roman"/>
          <w:sz w:val="24"/>
          <w:szCs w:val="24"/>
        </w:rPr>
        <w:t xml:space="preserve"> for the benefit of the nation otherwise than by the Commonwealth. </w:t>
      </w:r>
    </w:p>
    <w:p w14:paraId="1B643650" w14:textId="77777777" w:rsidR="006550B7" w:rsidRPr="00381A22" w:rsidRDefault="006550B7" w:rsidP="006550B7">
      <w:pPr>
        <w:pStyle w:val="Quotation1"/>
        <w:numPr>
          <w:ilvl w:val="0"/>
          <w:numId w:val="0"/>
        </w:numPr>
        <w:tabs>
          <w:tab w:val="left" w:pos="720"/>
        </w:tabs>
        <w:spacing w:after="0" w:line="240" w:lineRule="auto"/>
        <w:rPr>
          <w:rFonts w:ascii="Times New Roman" w:hAnsi="Times New Roman" w:cs="Times New Roman"/>
          <w:sz w:val="24"/>
          <w:szCs w:val="24"/>
        </w:rPr>
      </w:pPr>
    </w:p>
    <w:p w14:paraId="6E846E75" w14:textId="5D74B4D5" w:rsidR="006550B7" w:rsidRPr="00381A22" w:rsidRDefault="006550B7" w:rsidP="006550B7">
      <w:pPr>
        <w:pStyle w:val="Quotation1"/>
        <w:numPr>
          <w:ilvl w:val="0"/>
          <w:numId w:val="0"/>
        </w:numPr>
        <w:tabs>
          <w:tab w:val="left" w:pos="720"/>
        </w:tabs>
        <w:spacing w:after="0" w:line="240" w:lineRule="auto"/>
        <w:rPr>
          <w:rFonts w:ascii="Times New Roman" w:hAnsi="Times New Roman" w:cs="Times New Roman"/>
          <w:sz w:val="24"/>
          <w:szCs w:val="24"/>
        </w:rPr>
      </w:pPr>
      <w:r w:rsidRPr="00381A22">
        <w:rPr>
          <w:rFonts w:ascii="Times New Roman" w:hAnsi="Times New Roman" w:cs="Times New Roman"/>
          <w:sz w:val="24"/>
          <w:szCs w:val="24"/>
        </w:rPr>
        <w:t>Adult Learners’ Week is an internationally</w:t>
      </w:r>
      <w:r w:rsidR="00D63707" w:rsidRPr="00381A22">
        <w:rPr>
          <w:rFonts w:ascii="Times New Roman" w:hAnsi="Times New Roman" w:cs="Times New Roman"/>
          <w:sz w:val="24"/>
          <w:szCs w:val="24"/>
        </w:rPr>
        <w:t xml:space="preserve"> </w:t>
      </w:r>
      <w:r w:rsidRPr="00381A22">
        <w:rPr>
          <w:rFonts w:ascii="Times New Roman" w:hAnsi="Times New Roman" w:cs="Times New Roman"/>
          <w:sz w:val="24"/>
          <w:szCs w:val="24"/>
        </w:rPr>
        <w:t xml:space="preserve">recognised event of national scope and significance, arising from Australia being a signatory to the Hamburg Declaration on Adult Learning.  </w:t>
      </w:r>
    </w:p>
    <w:p w14:paraId="619B057F" w14:textId="77777777" w:rsidR="004465BD" w:rsidRPr="00381A22" w:rsidRDefault="004465BD" w:rsidP="004465BD">
      <w:pPr>
        <w:rPr>
          <w:rFonts w:ascii="Times New Roman" w:hAnsi="Times New Roman"/>
          <w:color w:val="244061" w:themeColor="accent1" w:themeShade="80"/>
          <w:sz w:val="24"/>
          <w:szCs w:val="24"/>
        </w:rPr>
      </w:pPr>
    </w:p>
    <w:p w14:paraId="450D4636" w14:textId="1D982CEE" w:rsidR="00151C3A" w:rsidRPr="00381A22" w:rsidRDefault="00151C3A" w:rsidP="00151C3A">
      <w:pPr>
        <w:rPr>
          <w:rFonts w:ascii="Times New Roman" w:hAnsi="Times New Roman"/>
          <w:sz w:val="24"/>
          <w:szCs w:val="24"/>
        </w:rPr>
      </w:pPr>
      <w:r w:rsidRPr="00381A22">
        <w:rPr>
          <w:rFonts w:ascii="Times New Roman" w:hAnsi="Times New Roman"/>
          <w:sz w:val="24"/>
          <w:szCs w:val="24"/>
        </w:rPr>
        <w:t xml:space="preserve">New </w:t>
      </w:r>
      <w:r w:rsidRPr="00381A22">
        <w:rPr>
          <w:rFonts w:ascii="Times New Roman" w:hAnsi="Times New Roman"/>
          <w:b/>
          <w:sz w:val="24"/>
          <w:szCs w:val="24"/>
        </w:rPr>
        <w:t xml:space="preserve">table item </w:t>
      </w:r>
      <w:r w:rsidR="0097176A" w:rsidRPr="00381A22">
        <w:rPr>
          <w:rFonts w:ascii="Times New Roman" w:hAnsi="Times New Roman"/>
          <w:b/>
          <w:sz w:val="24"/>
          <w:szCs w:val="24"/>
        </w:rPr>
        <w:t>432</w:t>
      </w:r>
      <w:r w:rsidRPr="00381A22">
        <w:rPr>
          <w:rFonts w:ascii="Times New Roman" w:hAnsi="Times New Roman"/>
          <w:b/>
          <w:sz w:val="24"/>
          <w:szCs w:val="24"/>
        </w:rPr>
        <w:t xml:space="preserve"> </w:t>
      </w:r>
      <w:r w:rsidRPr="00381A22">
        <w:rPr>
          <w:rFonts w:ascii="Times New Roman" w:hAnsi="Times New Roman"/>
          <w:sz w:val="24"/>
          <w:szCs w:val="24"/>
        </w:rPr>
        <w:t xml:space="preserve">establishes legislative authority for </w:t>
      </w:r>
      <w:r w:rsidR="00E15889" w:rsidRPr="00381A22">
        <w:rPr>
          <w:rFonts w:ascii="Times New Roman" w:hAnsi="Times New Roman"/>
          <w:sz w:val="24"/>
          <w:szCs w:val="24"/>
        </w:rPr>
        <w:t>government spending on</w:t>
      </w:r>
      <w:r w:rsidRPr="00381A22">
        <w:rPr>
          <w:rFonts w:ascii="Times New Roman" w:hAnsi="Times New Roman"/>
          <w:sz w:val="24"/>
          <w:szCs w:val="24"/>
        </w:rPr>
        <w:t xml:space="preserve"> a targeted career information kit and hotline</w:t>
      </w:r>
      <w:r w:rsidR="00985785" w:rsidRPr="00381A22">
        <w:rPr>
          <w:rFonts w:ascii="Times New Roman" w:hAnsi="Times New Roman"/>
          <w:sz w:val="24"/>
          <w:szCs w:val="24"/>
        </w:rPr>
        <w:t xml:space="preserve"> </w:t>
      </w:r>
      <w:r w:rsidR="00871CB7" w:rsidRPr="00381A22">
        <w:rPr>
          <w:rFonts w:ascii="Times New Roman" w:hAnsi="Times New Roman"/>
          <w:sz w:val="24"/>
          <w:szCs w:val="24"/>
        </w:rPr>
        <w:t>for</w:t>
      </w:r>
      <w:r w:rsidR="00985785" w:rsidRPr="00381A22">
        <w:rPr>
          <w:rFonts w:ascii="Times New Roman" w:hAnsi="Times New Roman"/>
          <w:sz w:val="24"/>
          <w:szCs w:val="24"/>
        </w:rPr>
        <w:t xml:space="preserve"> school leavers</w:t>
      </w:r>
      <w:r w:rsidRPr="00381A22">
        <w:rPr>
          <w:rFonts w:ascii="Times New Roman" w:hAnsi="Times New Roman"/>
          <w:sz w:val="24"/>
          <w:szCs w:val="24"/>
        </w:rPr>
        <w:t xml:space="preserve"> (the School Leaver Program) to </w:t>
      </w:r>
      <w:proofErr w:type="gramStart"/>
      <w:r w:rsidRPr="00381A22">
        <w:rPr>
          <w:rFonts w:ascii="Times New Roman" w:hAnsi="Times New Roman"/>
          <w:sz w:val="24"/>
          <w:szCs w:val="24"/>
        </w:rPr>
        <w:t>be delivered</w:t>
      </w:r>
      <w:proofErr w:type="gramEnd"/>
      <w:r w:rsidRPr="00381A22">
        <w:rPr>
          <w:rFonts w:ascii="Times New Roman" w:hAnsi="Times New Roman"/>
          <w:sz w:val="24"/>
          <w:szCs w:val="24"/>
        </w:rPr>
        <w:t xml:space="preserve"> by the National Careers Institute (NCI)</w:t>
      </w:r>
      <w:r w:rsidR="00F0705E" w:rsidRPr="00381A22">
        <w:rPr>
          <w:rFonts w:ascii="Times New Roman" w:hAnsi="Times New Roman"/>
          <w:sz w:val="24"/>
          <w:szCs w:val="24"/>
        </w:rPr>
        <w:t>, part of</w:t>
      </w:r>
      <w:r w:rsidRPr="00381A22">
        <w:rPr>
          <w:rFonts w:ascii="Times New Roman" w:hAnsi="Times New Roman"/>
          <w:sz w:val="24"/>
          <w:szCs w:val="24"/>
        </w:rPr>
        <w:t xml:space="preserve"> the department</w:t>
      </w:r>
      <w:r w:rsidR="00E15889" w:rsidRPr="00381A22">
        <w:rPr>
          <w:rFonts w:ascii="Times New Roman" w:hAnsi="Times New Roman"/>
          <w:sz w:val="24"/>
          <w:szCs w:val="24"/>
        </w:rPr>
        <w:t>. Under the School Leaver Program</w:t>
      </w:r>
      <w:r w:rsidRPr="00381A22">
        <w:rPr>
          <w:rFonts w:ascii="Times New Roman" w:hAnsi="Times New Roman"/>
          <w:sz w:val="24"/>
          <w:szCs w:val="24"/>
        </w:rPr>
        <w:t xml:space="preserve">, </w:t>
      </w:r>
      <w:r w:rsidR="00E15889" w:rsidRPr="00381A22">
        <w:rPr>
          <w:rFonts w:ascii="Times New Roman" w:hAnsi="Times New Roman"/>
          <w:sz w:val="24"/>
          <w:szCs w:val="24"/>
        </w:rPr>
        <w:t xml:space="preserve">the NCI </w:t>
      </w:r>
      <w:r w:rsidRPr="00381A22">
        <w:rPr>
          <w:rFonts w:ascii="Times New Roman" w:hAnsi="Times New Roman"/>
          <w:sz w:val="24"/>
          <w:szCs w:val="24"/>
        </w:rPr>
        <w:t>will provide information and support services to school leavers (</w:t>
      </w:r>
      <w:r w:rsidR="00E15889" w:rsidRPr="00381A22">
        <w:rPr>
          <w:rFonts w:ascii="Times New Roman" w:hAnsi="Times New Roman"/>
          <w:sz w:val="24"/>
          <w:szCs w:val="24"/>
        </w:rPr>
        <w:t>Y</w:t>
      </w:r>
      <w:r w:rsidRPr="00381A22">
        <w:rPr>
          <w:rFonts w:ascii="Times New Roman" w:hAnsi="Times New Roman"/>
          <w:sz w:val="24"/>
          <w:szCs w:val="24"/>
        </w:rPr>
        <w:t>ears 10</w:t>
      </w:r>
      <w:r w:rsidR="00E15889" w:rsidRPr="00381A22">
        <w:rPr>
          <w:rFonts w:ascii="Times New Roman" w:hAnsi="Times New Roman"/>
          <w:sz w:val="24"/>
          <w:szCs w:val="24"/>
        </w:rPr>
        <w:t xml:space="preserve"> to </w:t>
      </w:r>
      <w:r w:rsidRPr="00381A22">
        <w:rPr>
          <w:rFonts w:ascii="Times New Roman" w:hAnsi="Times New Roman"/>
          <w:sz w:val="24"/>
          <w:szCs w:val="24"/>
        </w:rPr>
        <w:t>12) in 2020 and 2021</w:t>
      </w:r>
      <w:r w:rsidR="00E15889" w:rsidRPr="00381A22">
        <w:rPr>
          <w:rFonts w:ascii="Times New Roman" w:hAnsi="Times New Roman"/>
          <w:sz w:val="24"/>
          <w:szCs w:val="24"/>
        </w:rPr>
        <w:t xml:space="preserve">, who </w:t>
      </w:r>
      <w:proofErr w:type="gramStart"/>
      <w:r w:rsidR="00E15889" w:rsidRPr="00381A22">
        <w:rPr>
          <w:rFonts w:ascii="Times New Roman" w:hAnsi="Times New Roman"/>
          <w:sz w:val="24"/>
          <w:szCs w:val="24"/>
        </w:rPr>
        <w:t xml:space="preserve">will be disproportionately </w:t>
      </w:r>
      <w:r w:rsidR="00F0705E" w:rsidRPr="00381A22">
        <w:rPr>
          <w:rFonts w:ascii="Times New Roman" w:hAnsi="Times New Roman"/>
          <w:sz w:val="24"/>
          <w:szCs w:val="24"/>
        </w:rPr>
        <w:t>affected</w:t>
      </w:r>
      <w:proofErr w:type="gramEnd"/>
      <w:r w:rsidR="00E15889" w:rsidRPr="00381A22">
        <w:rPr>
          <w:rFonts w:ascii="Times New Roman" w:hAnsi="Times New Roman"/>
          <w:sz w:val="24"/>
          <w:szCs w:val="24"/>
        </w:rPr>
        <w:t xml:space="preserve"> by the COVID-19 pandemic,</w:t>
      </w:r>
      <w:r w:rsidRPr="00381A22">
        <w:rPr>
          <w:rFonts w:ascii="Times New Roman" w:hAnsi="Times New Roman"/>
          <w:sz w:val="24"/>
          <w:szCs w:val="24"/>
        </w:rPr>
        <w:t xml:space="preserve"> to </w:t>
      </w:r>
      <w:r w:rsidR="00E15889" w:rsidRPr="00381A22">
        <w:rPr>
          <w:rFonts w:ascii="Times New Roman" w:hAnsi="Times New Roman"/>
          <w:sz w:val="24"/>
          <w:szCs w:val="24"/>
        </w:rPr>
        <w:t xml:space="preserve">assist them to </w:t>
      </w:r>
      <w:r w:rsidRPr="00381A22">
        <w:rPr>
          <w:rFonts w:ascii="Times New Roman" w:hAnsi="Times New Roman"/>
          <w:sz w:val="24"/>
          <w:szCs w:val="24"/>
        </w:rPr>
        <w:t>navigate post-school pathways</w:t>
      </w:r>
      <w:r w:rsidR="00CB2CBF" w:rsidRPr="00381A22">
        <w:rPr>
          <w:rFonts w:ascii="Times New Roman" w:hAnsi="Times New Roman"/>
          <w:sz w:val="24"/>
          <w:szCs w:val="24"/>
        </w:rPr>
        <w:t xml:space="preserve"> and make informed decisions about their future and transition to post-school employment.</w:t>
      </w:r>
    </w:p>
    <w:p w14:paraId="294B5591" w14:textId="77777777" w:rsidR="00151C3A" w:rsidRPr="00381A22" w:rsidRDefault="00151C3A" w:rsidP="00151C3A">
      <w:pPr>
        <w:rPr>
          <w:rFonts w:ascii="Times New Roman" w:hAnsi="Times New Roman"/>
          <w:sz w:val="24"/>
          <w:szCs w:val="24"/>
        </w:rPr>
      </w:pPr>
    </w:p>
    <w:p w14:paraId="4A1E6E3F" w14:textId="6ED2D5A5" w:rsidR="00151C3A" w:rsidRPr="00381A22" w:rsidRDefault="00151C3A" w:rsidP="00151C3A">
      <w:pPr>
        <w:rPr>
          <w:rFonts w:ascii="Times New Roman" w:hAnsi="Times New Roman"/>
          <w:sz w:val="24"/>
          <w:szCs w:val="24"/>
        </w:rPr>
      </w:pPr>
      <w:r w:rsidRPr="00381A22">
        <w:rPr>
          <w:rFonts w:ascii="Times New Roman" w:hAnsi="Times New Roman"/>
          <w:sz w:val="24"/>
          <w:szCs w:val="24"/>
        </w:rPr>
        <w:t xml:space="preserve">The School Leaver Program will </w:t>
      </w:r>
      <w:r w:rsidR="00F0705E" w:rsidRPr="00381A22">
        <w:rPr>
          <w:rFonts w:ascii="Times New Roman" w:hAnsi="Times New Roman"/>
          <w:sz w:val="24"/>
          <w:szCs w:val="24"/>
        </w:rPr>
        <w:t xml:space="preserve">be a national service </w:t>
      </w:r>
      <w:r w:rsidRPr="00381A22">
        <w:rPr>
          <w:rFonts w:ascii="Times New Roman" w:hAnsi="Times New Roman"/>
          <w:sz w:val="24"/>
          <w:szCs w:val="24"/>
        </w:rPr>
        <w:t>consist</w:t>
      </w:r>
      <w:r w:rsidR="00F0705E" w:rsidRPr="00381A22">
        <w:rPr>
          <w:rFonts w:ascii="Times New Roman" w:hAnsi="Times New Roman"/>
          <w:sz w:val="24"/>
          <w:szCs w:val="24"/>
        </w:rPr>
        <w:t>ing</w:t>
      </w:r>
      <w:r w:rsidRPr="00381A22">
        <w:rPr>
          <w:rFonts w:ascii="Times New Roman" w:hAnsi="Times New Roman"/>
          <w:sz w:val="24"/>
          <w:szCs w:val="24"/>
        </w:rPr>
        <w:t xml:space="preserve"> of two components: a targeted career information kit and a hotline service. The information kit </w:t>
      </w:r>
      <w:r w:rsidR="00E15889" w:rsidRPr="00381A22">
        <w:rPr>
          <w:rFonts w:ascii="Times New Roman" w:hAnsi="Times New Roman"/>
          <w:sz w:val="24"/>
          <w:szCs w:val="24"/>
        </w:rPr>
        <w:t xml:space="preserve">will </w:t>
      </w:r>
      <w:r w:rsidRPr="00381A22">
        <w:rPr>
          <w:rFonts w:ascii="Times New Roman" w:hAnsi="Times New Roman"/>
          <w:sz w:val="24"/>
          <w:szCs w:val="24"/>
        </w:rPr>
        <w:t>provide school leavers with a clear understanding of the post-school education and training and employment pathways that closely align with jobs in demand. The hotline will provide referral services for school leavers requiring additional support to make informed decisions about their future or other support.</w:t>
      </w:r>
    </w:p>
    <w:p w14:paraId="0C78472C" w14:textId="77777777" w:rsidR="00151C3A" w:rsidRPr="00381A22" w:rsidRDefault="00151C3A" w:rsidP="00151C3A">
      <w:pPr>
        <w:rPr>
          <w:rFonts w:ascii="Times New Roman" w:hAnsi="Times New Roman"/>
          <w:sz w:val="24"/>
          <w:szCs w:val="24"/>
        </w:rPr>
      </w:pPr>
    </w:p>
    <w:p w14:paraId="7D4F261E" w14:textId="6E013C68" w:rsidR="00151C3A" w:rsidRPr="00381A22" w:rsidRDefault="00151C3A" w:rsidP="00151C3A">
      <w:pPr>
        <w:pStyle w:val="BodyText"/>
        <w:spacing w:before="0" w:after="0" w:line="240" w:lineRule="auto"/>
        <w:rPr>
          <w:rFonts w:ascii="Times New Roman" w:hAnsi="Times New Roman"/>
          <w:color w:val="auto"/>
          <w:sz w:val="24"/>
          <w:szCs w:val="24"/>
        </w:rPr>
      </w:pPr>
      <w:r w:rsidRPr="00381A22">
        <w:rPr>
          <w:rFonts w:ascii="Times New Roman" w:hAnsi="Times New Roman"/>
          <w:color w:val="auto"/>
          <w:sz w:val="24"/>
          <w:szCs w:val="24"/>
        </w:rPr>
        <w:t>The targeted career information kits will reach an estimated 250,000 school leavers in 2020 as a prompt for discussions with parents and influencers. The targeted information kits will encourage school leavers to seek additional material from the NCI website, which will hold a range of resources on career pathways for people of all ages and stages of their career and tools to help them make work and learning decisions.</w:t>
      </w:r>
    </w:p>
    <w:p w14:paraId="60764382" w14:textId="77777777" w:rsidR="00151C3A" w:rsidRPr="00381A22" w:rsidRDefault="00151C3A" w:rsidP="00151C3A">
      <w:pPr>
        <w:rPr>
          <w:rFonts w:ascii="Times New Roman" w:hAnsi="Times New Roman"/>
          <w:sz w:val="24"/>
          <w:szCs w:val="24"/>
        </w:rPr>
      </w:pPr>
    </w:p>
    <w:p w14:paraId="3408C0BF" w14:textId="0A09AB13" w:rsidR="00151C3A" w:rsidRPr="00381A22" w:rsidRDefault="00151C3A" w:rsidP="00151C3A">
      <w:pPr>
        <w:pStyle w:val="BodyText"/>
        <w:spacing w:before="0" w:after="0" w:line="240" w:lineRule="auto"/>
        <w:rPr>
          <w:color w:val="auto"/>
        </w:rPr>
      </w:pPr>
      <w:r w:rsidRPr="00381A22">
        <w:rPr>
          <w:rFonts w:ascii="Times New Roman" w:hAnsi="Times New Roman"/>
          <w:color w:val="auto"/>
          <w:sz w:val="24"/>
          <w:szCs w:val="24"/>
        </w:rPr>
        <w:lastRenderedPageBreak/>
        <w:t xml:space="preserve">The NCI, which </w:t>
      </w:r>
      <w:proofErr w:type="gramStart"/>
      <w:r w:rsidRPr="00381A22">
        <w:rPr>
          <w:rFonts w:ascii="Times New Roman" w:hAnsi="Times New Roman"/>
          <w:color w:val="auto"/>
          <w:sz w:val="24"/>
          <w:szCs w:val="24"/>
        </w:rPr>
        <w:t>was announced</w:t>
      </w:r>
      <w:proofErr w:type="gramEnd"/>
      <w:r w:rsidRPr="00381A22">
        <w:rPr>
          <w:rFonts w:ascii="Times New Roman" w:hAnsi="Times New Roman"/>
          <w:color w:val="auto"/>
          <w:sz w:val="24"/>
          <w:szCs w:val="24"/>
        </w:rPr>
        <w:t xml:space="preserve"> as part of the 2019-20 Budget</w:t>
      </w:r>
      <w:r w:rsidR="00E37472" w:rsidRPr="00381A22">
        <w:rPr>
          <w:rFonts w:ascii="Times New Roman" w:hAnsi="Times New Roman"/>
          <w:color w:val="auto"/>
          <w:sz w:val="24"/>
          <w:szCs w:val="24"/>
        </w:rPr>
        <w:t>,</w:t>
      </w:r>
      <w:r w:rsidRPr="00381A22">
        <w:rPr>
          <w:rFonts w:ascii="Times New Roman" w:hAnsi="Times New Roman"/>
          <w:i/>
          <w:color w:val="auto"/>
          <w:sz w:val="24"/>
          <w:szCs w:val="24"/>
        </w:rPr>
        <w:t xml:space="preserve"> </w:t>
      </w:r>
      <w:r w:rsidR="00E37472" w:rsidRPr="00381A22">
        <w:rPr>
          <w:rFonts w:ascii="Times New Roman" w:hAnsi="Times New Roman"/>
          <w:color w:val="auto"/>
          <w:sz w:val="24"/>
          <w:szCs w:val="24"/>
        </w:rPr>
        <w:t xml:space="preserve">was established </w:t>
      </w:r>
      <w:r w:rsidRPr="00381A22">
        <w:rPr>
          <w:rFonts w:ascii="Times New Roman" w:hAnsi="Times New Roman"/>
          <w:color w:val="auto"/>
          <w:sz w:val="24"/>
          <w:szCs w:val="24"/>
        </w:rPr>
        <w:t>to ensure Australians of all ages and career stages have access to accurate and up to date career information</w:t>
      </w:r>
      <w:r w:rsidR="00E37472" w:rsidRPr="00381A22">
        <w:rPr>
          <w:rFonts w:ascii="Times New Roman" w:hAnsi="Times New Roman"/>
          <w:color w:val="auto"/>
          <w:sz w:val="24"/>
          <w:szCs w:val="24"/>
        </w:rPr>
        <w:t xml:space="preserve"> and support</w:t>
      </w:r>
      <w:r w:rsidRPr="00381A22">
        <w:rPr>
          <w:rFonts w:ascii="Times New Roman" w:hAnsi="Times New Roman"/>
          <w:color w:val="auto"/>
          <w:sz w:val="24"/>
          <w:szCs w:val="24"/>
        </w:rPr>
        <w:t xml:space="preserve">. </w:t>
      </w:r>
      <w:r w:rsidR="00E37472" w:rsidRPr="00381A22">
        <w:rPr>
          <w:rFonts w:ascii="Times New Roman" w:hAnsi="Times New Roman"/>
          <w:color w:val="auto"/>
          <w:sz w:val="24"/>
          <w:szCs w:val="24"/>
        </w:rPr>
        <w:t xml:space="preserve">As </w:t>
      </w:r>
      <w:r w:rsidRPr="00381A22">
        <w:rPr>
          <w:rFonts w:ascii="Times New Roman" w:hAnsi="Times New Roman"/>
          <w:color w:val="auto"/>
          <w:sz w:val="24"/>
          <w:szCs w:val="24"/>
        </w:rPr>
        <w:t>recommend</w:t>
      </w:r>
      <w:r w:rsidR="00E37472" w:rsidRPr="00381A22">
        <w:rPr>
          <w:rFonts w:ascii="Times New Roman" w:hAnsi="Times New Roman"/>
          <w:color w:val="auto"/>
          <w:sz w:val="24"/>
          <w:szCs w:val="24"/>
        </w:rPr>
        <w:t>ed</w:t>
      </w:r>
      <w:r w:rsidRPr="00381A22">
        <w:rPr>
          <w:rFonts w:ascii="Times New Roman" w:hAnsi="Times New Roman"/>
          <w:color w:val="auto"/>
          <w:sz w:val="24"/>
          <w:szCs w:val="24"/>
        </w:rPr>
        <w:t xml:space="preserve"> </w:t>
      </w:r>
      <w:r w:rsidR="00E37472" w:rsidRPr="00381A22">
        <w:rPr>
          <w:rFonts w:ascii="Times New Roman" w:hAnsi="Times New Roman"/>
          <w:color w:val="auto"/>
          <w:sz w:val="24"/>
          <w:szCs w:val="24"/>
        </w:rPr>
        <w:t xml:space="preserve">by </w:t>
      </w:r>
      <w:r w:rsidRPr="00381A22">
        <w:rPr>
          <w:rFonts w:ascii="Times New Roman" w:hAnsi="Times New Roman"/>
          <w:color w:val="auto"/>
          <w:sz w:val="24"/>
          <w:szCs w:val="24"/>
        </w:rPr>
        <w:t xml:space="preserve">the </w:t>
      </w:r>
      <w:r w:rsidRPr="00381A22">
        <w:rPr>
          <w:rFonts w:ascii="Times New Roman" w:hAnsi="Times New Roman"/>
          <w:i/>
          <w:iCs/>
          <w:color w:val="auto"/>
          <w:sz w:val="24"/>
          <w:szCs w:val="24"/>
        </w:rPr>
        <w:t>Strengthening Skills: Expert Review of Australia’s Vocational Education and Training System</w:t>
      </w:r>
      <w:r w:rsidR="00E37472" w:rsidRPr="00381A22">
        <w:rPr>
          <w:rFonts w:ascii="Times New Roman" w:hAnsi="Times New Roman"/>
          <w:iCs/>
          <w:color w:val="auto"/>
          <w:sz w:val="24"/>
          <w:szCs w:val="24"/>
        </w:rPr>
        <w:t xml:space="preserve"> (</w:t>
      </w:r>
      <w:r w:rsidR="00E37472" w:rsidRPr="00381A22">
        <w:rPr>
          <w:rFonts w:ascii="Times New Roman" w:hAnsi="Times New Roman"/>
          <w:iCs/>
          <w:color w:val="auto"/>
          <w:sz w:val="24"/>
          <w:szCs w:val="24"/>
          <w:u w:val="single"/>
        </w:rPr>
        <w:t>https://www.pmc.gov.au/resource-centre/domestic-policy/vet-review/strengthening-skills-expert-review-australias-vocational-education-and-training-system</w:t>
      </w:r>
      <w:r w:rsidR="00E37472" w:rsidRPr="00381A22">
        <w:rPr>
          <w:rFonts w:ascii="Times New Roman" w:hAnsi="Times New Roman"/>
          <w:iCs/>
          <w:color w:val="auto"/>
          <w:sz w:val="24"/>
          <w:szCs w:val="24"/>
        </w:rPr>
        <w:t>)</w:t>
      </w:r>
      <w:r w:rsidRPr="00381A22">
        <w:rPr>
          <w:rFonts w:ascii="Times New Roman" w:hAnsi="Times New Roman"/>
          <w:color w:val="auto"/>
          <w:sz w:val="24"/>
          <w:szCs w:val="24"/>
        </w:rPr>
        <w:t xml:space="preserve">, the NCI will provide a single, independent and impartial government source of careers information, with a particular focus on marketing and promoting vocational </w:t>
      </w:r>
      <w:r w:rsidR="00E37472" w:rsidRPr="00381A22">
        <w:rPr>
          <w:rFonts w:ascii="Times New Roman" w:hAnsi="Times New Roman"/>
          <w:color w:val="auto"/>
          <w:sz w:val="24"/>
          <w:szCs w:val="24"/>
        </w:rPr>
        <w:t xml:space="preserve">careers and </w:t>
      </w:r>
      <w:r w:rsidRPr="00381A22">
        <w:rPr>
          <w:rFonts w:ascii="Times New Roman" w:hAnsi="Times New Roman"/>
          <w:color w:val="auto"/>
          <w:sz w:val="24"/>
          <w:szCs w:val="24"/>
        </w:rPr>
        <w:t>pathways.</w:t>
      </w:r>
    </w:p>
    <w:p w14:paraId="4ED73627" w14:textId="77777777" w:rsidR="00151C3A" w:rsidRPr="00381A22" w:rsidRDefault="00151C3A" w:rsidP="00151C3A">
      <w:pPr>
        <w:rPr>
          <w:rFonts w:ascii="Times New Roman" w:hAnsi="Times New Roman"/>
          <w:sz w:val="24"/>
          <w:szCs w:val="24"/>
        </w:rPr>
      </w:pPr>
    </w:p>
    <w:p w14:paraId="60ABD16B" w14:textId="480CF183" w:rsidR="00151C3A" w:rsidRPr="00381A22" w:rsidRDefault="00151C3A" w:rsidP="00151C3A">
      <w:pPr>
        <w:pStyle w:val="BodyText"/>
        <w:spacing w:before="0" w:after="0" w:line="240" w:lineRule="auto"/>
        <w:rPr>
          <w:rFonts w:ascii="Times New Roman" w:hAnsi="Times New Roman"/>
          <w:color w:val="auto"/>
          <w:sz w:val="24"/>
          <w:szCs w:val="24"/>
        </w:rPr>
      </w:pPr>
      <w:r w:rsidRPr="00381A22">
        <w:rPr>
          <w:rFonts w:ascii="Times New Roman" w:hAnsi="Times New Roman"/>
          <w:color w:val="auto"/>
          <w:sz w:val="24"/>
          <w:szCs w:val="24"/>
        </w:rPr>
        <w:t>The School Leaver Program will draw on the National Skills Commission</w:t>
      </w:r>
      <w:r w:rsidR="00AA1325" w:rsidRPr="00381A22">
        <w:rPr>
          <w:rFonts w:ascii="Times New Roman" w:hAnsi="Times New Roman"/>
          <w:color w:val="auto"/>
          <w:sz w:val="24"/>
          <w:szCs w:val="24"/>
        </w:rPr>
        <w:t>’s</w:t>
      </w:r>
      <w:r w:rsidRPr="00381A22">
        <w:rPr>
          <w:rFonts w:ascii="Times New Roman" w:hAnsi="Times New Roman"/>
          <w:color w:val="auto"/>
          <w:sz w:val="24"/>
          <w:szCs w:val="24"/>
        </w:rPr>
        <w:t xml:space="preserve"> (NSC) skills and labour market forecasts, along with the career pathways information on the NCI website, to outline the pathways that will enable school leavers to attain skills and/or a qualification that will support them to pursue current and future jobs available in the labour market.</w:t>
      </w:r>
      <w:r w:rsidR="00E37472" w:rsidRPr="00381A22">
        <w:rPr>
          <w:rFonts w:ascii="Times New Roman" w:hAnsi="Times New Roman"/>
          <w:color w:val="auto"/>
          <w:sz w:val="24"/>
          <w:szCs w:val="24"/>
        </w:rPr>
        <w:t xml:space="preserve"> </w:t>
      </w:r>
      <w:r w:rsidRPr="00381A22">
        <w:rPr>
          <w:rFonts w:ascii="Times New Roman" w:hAnsi="Times New Roman"/>
          <w:color w:val="auto"/>
          <w:sz w:val="24"/>
          <w:szCs w:val="24"/>
        </w:rPr>
        <w:t xml:space="preserve">The </w:t>
      </w:r>
      <w:r w:rsidR="00E37472" w:rsidRPr="00381A22">
        <w:rPr>
          <w:rFonts w:ascii="Times New Roman" w:hAnsi="Times New Roman"/>
          <w:color w:val="auto"/>
          <w:sz w:val="24"/>
          <w:szCs w:val="24"/>
        </w:rPr>
        <w:t>Program</w:t>
      </w:r>
      <w:r w:rsidRPr="00381A22">
        <w:rPr>
          <w:rFonts w:ascii="Times New Roman" w:hAnsi="Times New Roman"/>
          <w:color w:val="auto"/>
          <w:sz w:val="24"/>
          <w:szCs w:val="24"/>
        </w:rPr>
        <w:t xml:space="preserve"> will provide a </w:t>
      </w:r>
      <w:r w:rsidR="00D908D8" w:rsidRPr="00381A22">
        <w:rPr>
          <w:rFonts w:ascii="Times New Roman" w:hAnsi="Times New Roman"/>
          <w:color w:val="auto"/>
          <w:sz w:val="24"/>
          <w:szCs w:val="24"/>
        </w:rPr>
        <w:t xml:space="preserve">timely </w:t>
      </w:r>
      <w:r w:rsidRPr="00381A22">
        <w:rPr>
          <w:rFonts w:ascii="Times New Roman" w:hAnsi="Times New Roman"/>
          <w:color w:val="auto"/>
          <w:sz w:val="24"/>
          <w:szCs w:val="24"/>
        </w:rPr>
        <w:t>intervention to direct this more vulnerable cohort of school leavers toward an education pathway, enabling them to attain skills and/or a qualification that will support them to pursue employment at a time when the labour market has stabilised.</w:t>
      </w:r>
    </w:p>
    <w:p w14:paraId="3A8DDEEC" w14:textId="77777777" w:rsidR="00151C3A" w:rsidRPr="00381A22" w:rsidRDefault="00151C3A" w:rsidP="00151C3A">
      <w:pPr>
        <w:pStyle w:val="BodyText"/>
        <w:spacing w:before="0" w:after="0" w:line="240" w:lineRule="auto"/>
        <w:rPr>
          <w:rFonts w:ascii="Times New Roman" w:hAnsi="Times New Roman"/>
          <w:color w:val="auto"/>
          <w:sz w:val="24"/>
          <w:szCs w:val="24"/>
        </w:rPr>
      </w:pPr>
    </w:p>
    <w:p w14:paraId="6FADD089" w14:textId="321E49F5" w:rsidR="00151C3A" w:rsidRPr="00381A22" w:rsidRDefault="00151C3A" w:rsidP="00151C3A">
      <w:pPr>
        <w:rPr>
          <w:rFonts w:ascii="Times New Roman" w:hAnsi="Times New Roman"/>
          <w:sz w:val="24"/>
          <w:szCs w:val="24"/>
        </w:rPr>
      </w:pPr>
      <w:r w:rsidRPr="00381A22">
        <w:rPr>
          <w:rFonts w:ascii="Times New Roman" w:hAnsi="Times New Roman"/>
          <w:sz w:val="24"/>
          <w:szCs w:val="24"/>
        </w:rPr>
        <w:t>The targeted career information kits</w:t>
      </w:r>
      <w:r w:rsidR="00D908D8" w:rsidRPr="00381A22">
        <w:rPr>
          <w:rFonts w:ascii="Times New Roman" w:hAnsi="Times New Roman"/>
          <w:sz w:val="24"/>
          <w:szCs w:val="24"/>
        </w:rPr>
        <w:t>, which</w:t>
      </w:r>
      <w:r w:rsidRPr="00381A22">
        <w:rPr>
          <w:rFonts w:ascii="Times New Roman" w:hAnsi="Times New Roman"/>
          <w:sz w:val="24"/>
          <w:szCs w:val="24"/>
        </w:rPr>
        <w:t xml:space="preserve"> </w:t>
      </w:r>
      <w:proofErr w:type="gramStart"/>
      <w:r w:rsidRPr="00381A22">
        <w:rPr>
          <w:rFonts w:ascii="Times New Roman" w:hAnsi="Times New Roman"/>
          <w:sz w:val="24"/>
          <w:szCs w:val="24"/>
        </w:rPr>
        <w:t>will be developed</w:t>
      </w:r>
      <w:proofErr w:type="gramEnd"/>
      <w:r w:rsidRPr="00381A22">
        <w:rPr>
          <w:rFonts w:ascii="Times New Roman" w:hAnsi="Times New Roman"/>
          <w:sz w:val="24"/>
          <w:szCs w:val="24"/>
        </w:rPr>
        <w:t xml:space="preserve"> in partnership with relevant experts and draw on </w:t>
      </w:r>
      <w:r w:rsidR="00D908D8" w:rsidRPr="00381A22">
        <w:rPr>
          <w:rFonts w:ascii="Times New Roman" w:hAnsi="Times New Roman"/>
          <w:sz w:val="24"/>
          <w:szCs w:val="24"/>
        </w:rPr>
        <w:t xml:space="preserve">the </w:t>
      </w:r>
      <w:r w:rsidRPr="00381A22">
        <w:rPr>
          <w:rFonts w:ascii="Times New Roman" w:hAnsi="Times New Roman"/>
          <w:sz w:val="24"/>
          <w:szCs w:val="24"/>
        </w:rPr>
        <w:t>NSC</w:t>
      </w:r>
      <w:r w:rsidR="00D908D8" w:rsidRPr="00381A22">
        <w:rPr>
          <w:rFonts w:ascii="Times New Roman" w:hAnsi="Times New Roman"/>
          <w:sz w:val="24"/>
          <w:szCs w:val="24"/>
        </w:rPr>
        <w:t>’s</w:t>
      </w:r>
      <w:r w:rsidRPr="00381A22">
        <w:rPr>
          <w:rFonts w:ascii="Times New Roman" w:hAnsi="Times New Roman"/>
          <w:sz w:val="24"/>
          <w:szCs w:val="24"/>
        </w:rPr>
        <w:t xml:space="preserve"> labour demand information</w:t>
      </w:r>
      <w:r w:rsidR="00D908D8" w:rsidRPr="00381A22">
        <w:rPr>
          <w:rFonts w:ascii="Times New Roman" w:hAnsi="Times New Roman"/>
          <w:sz w:val="24"/>
          <w:szCs w:val="24"/>
        </w:rPr>
        <w:t>, will</w:t>
      </w:r>
      <w:r w:rsidRPr="00381A22">
        <w:rPr>
          <w:rFonts w:ascii="Times New Roman" w:hAnsi="Times New Roman"/>
          <w:sz w:val="24"/>
          <w:szCs w:val="24"/>
        </w:rPr>
        <w:t xml:space="preserve"> includ</w:t>
      </w:r>
      <w:r w:rsidR="00D908D8" w:rsidRPr="00381A22">
        <w:rPr>
          <w:rFonts w:ascii="Times New Roman" w:hAnsi="Times New Roman"/>
          <w:sz w:val="24"/>
          <w:szCs w:val="24"/>
        </w:rPr>
        <w:t>e</w:t>
      </w:r>
      <w:r w:rsidRPr="00381A22">
        <w:rPr>
          <w:rFonts w:ascii="Times New Roman" w:hAnsi="Times New Roman"/>
          <w:sz w:val="24"/>
          <w:szCs w:val="24"/>
        </w:rPr>
        <w:t>:</w:t>
      </w:r>
    </w:p>
    <w:p w14:paraId="7A25F893" w14:textId="74613AF7" w:rsidR="00151C3A" w:rsidRPr="00381A22" w:rsidRDefault="00871CB7" w:rsidP="00151C3A">
      <w:pPr>
        <w:pStyle w:val="ListParagraph"/>
        <w:numPr>
          <w:ilvl w:val="0"/>
          <w:numId w:val="31"/>
        </w:numPr>
        <w:spacing w:after="160"/>
        <w:rPr>
          <w:rFonts w:cs="Times New Roman"/>
          <w:color w:val="auto"/>
          <w:szCs w:val="24"/>
        </w:rPr>
      </w:pPr>
      <w:r w:rsidRPr="00381A22">
        <w:rPr>
          <w:rFonts w:cs="Times New Roman"/>
          <w:color w:val="auto"/>
          <w:szCs w:val="24"/>
        </w:rPr>
        <w:t>post</w:t>
      </w:r>
      <w:r w:rsidR="00151C3A" w:rsidRPr="00381A22">
        <w:rPr>
          <w:rFonts w:cs="Times New Roman"/>
          <w:color w:val="auto"/>
          <w:szCs w:val="24"/>
        </w:rPr>
        <w:t>cards highlighting work areas in demand at both national and localised levels;</w:t>
      </w:r>
    </w:p>
    <w:p w14:paraId="1DBE1352" w14:textId="4F080E20" w:rsidR="00151C3A" w:rsidRPr="00381A22" w:rsidRDefault="00151C3A" w:rsidP="00151C3A">
      <w:pPr>
        <w:pStyle w:val="ListParagraph"/>
        <w:numPr>
          <w:ilvl w:val="0"/>
          <w:numId w:val="31"/>
        </w:numPr>
        <w:spacing w:after="160"/>
        <w:rPr>
          <w:rFonts w:cs="Times New Roman"/>
          <w:color w:val="auto"/>
          <w:szCs w:val="24"/>
        </w:rPr>
      </w:pPr>
      <w:r w:rsidRPr="00381A22">
        <w:rPr>
          <w:rFonts w:cs="Times New Roman"/>
          <w:color w:val="auto"/>
          <w:szCs w:val="24"/>
        </w:rPr>
        <w:t xml:space="preserve">details of skills and qualifications where employment outcomes are high and </w:t>
      </w:r>
      <w:r w:rsidR="00D908D8" w:rsidRPr="00381A22">
        <w:rPr>
          <w:rFonts w:cs="Times New Roman"/>
          <w:color w:val="auto"/>
          <w:szCs w:val="24"/>
        </w:rPr>
        <w:t>g</w:t>
      </w:r>
      <w:r w:rsidRPr="00381A22">
        <w:rPr>
          <w:rFonts w:cs="Times New Roman"/>
          <w:color w:val="auto"/>
          <w:szCs w:val="24"/>
        </w:rPr>
        <w:t xml:space="preserve">overnment subsidies are in place; </w:t>
      </w:r>
    </w:p>
    <w:p w14:paraId="1FF7E444" w14:textId="3AEA48E3" w:rsidR="00151C3A" w:rsidRPr="00381A22" w:rsidRDefault="00151C3A" w:rsidP="00151C3A">
      <w:pPr>
        <w:pStyle w:val="ListParagraph"/>
        <w:numPr>
          <w:ilvl w:val="0"/>
          <w:numId w:val="31"/>
        </w:numPr>
        <w:spacing w:after="160"/>
        <w:rPr>
          <w:rFonts w:cs="Times New Roman"/>
          <w:color w:val="auto"/>
          <w:szCs w:val="24"/>
        </w:rPr>
      </w:pPr>
      <w:r w:rsidRPr="00381A22">
        <w:rPr>
          <w:rFonts w:cs="Times New Roman"/>
          <w:color w:val="auto"/>
          <w:szCs w:val="24"/>
        </w:rPr>
        <w:t>promoti</w:t>
      </w:r>
      <w:r w:rsidR="00D908D8" w:rsidRPr="00381A22">
        <w:rPr>
          <w:rFonts w:cs="Times New Roman"/>
          <w:color w:val="auto"/>
          <w:szCs w:val="24"/>
        </w:rPr>
        <w:t>on of</w:t>
      </w:r>
      <w:r w:rsidRPr="00381A22">
        <w:rPr>
          <w:rFonts w:cs="Times New Roman"/>
          <w:color w:val="auto"/>
          <w:szCs w:val="24"/>
        </w:rPr>
        <w:t xml:space="preserve"> vocational education and training (VET) pathways including Australian Apprenticeships and skills sets; and</w:t>
      </w:r>
    </w:p>
    <w:p w14:paraId="03FCD661" w14:textId="7FBA23EF" w:rsidR="00151C3A" w:rsidRPr="00381A22" w:rsidRDefault="00151C3A" w:rsidP="00871CB7">
      <w:pPr>
        <w:pStyle w:val="ListParagraph"/>
        <w:numPr>
          <w:ilvl w:val="0"/>
          <w:numId w:val="31"/>
        </w:numPr>
        <w:ind w:left="714" w:hanging="357"/>
        <w:rPr>
          <w:rFonts w:cs="Times New Roman"/>
          <w:color w:val="auto"/>
          <w:szCs w:val="24"/>
        </w:rPr>
      </w:pPr>
      <w:r w:rsidRPr="00381A22">
        <w:rPr>
          <w:rFonts w:cs="Times New Roman"/>
          <w:color w:val="auto"/>
          <w:szCs w:val="24"/>
        </w:rPr>
        <w:t xml:space="preserve">information on the importance of career planning and management, including the </w:t>
      </w:r>
      <w:r w:rsidR="00D908D8" w:rsidRPr="00381A22">
        <w:rPr>
          <w:rFonts w:cs="Times New Roman"/>
          <w:color w:val="auto"/>
          <w:szCs w:val="24"/>
        </w:rPr>
        <w:t xml:space="preserve">value </w:t>
      </w:r>
      <w:r w:rsidRPr="00381A22">
        <w:rPr>
          <w:rFonts w:cs="Times New Roman"/>
          <w:color w:val="auto"/>
          <w:szCs w:val="24"/>
        </w:rPr>
        <w:t>of pursuing post-school skills development and further learning while the post-COVID</w:t>
      </w:r>
      <w:r w:rsidR="00D908D8" w:rsidRPr="00381A22">
        <w:rPr>
          <w:rFonts w:cs="Times New Roman"/>
          <w:color w:val="auto"/>
          <w:szCs w:val="24"/>
        </w:rPr>
        <w:t>-</w:t>
      </w:r>
      <w:r w:rsidRPr="00381A22">
        <w:rPr>
          <w:rFonts w:cs="Times New Roman"/>
          <w:color w:val="auto"/>
          <w:szCs w:val="24"/>
        </w:rPr>
        <w:t>19 labour market stabilises.</w:t>
      </w:r>
    </w:p>
    <w:p w14:paraId="5292456B" w14:textId="77777777" w:rsidR="00871CB7" w:rsidRPr="00381A22" w:rsidRDefault="00871CB7" w:rsidP="00151C3A">
      <w:pPr>
        <w:pStyle w:val="Default"/>
        <w:rPr>
          <w:color w:val="auto"/>
        </w:rPr>
      </w:pPr>
    </w:p>
    <w:p w14:paraId="66A2CDF3" w14:textId="3EE0D683" w:rsidR="00535341" w:rsidRPr="00381A22" w:rsidRDefault="00535341" w:rsidP="00151C3A">
      <w:pPr>
        <w:pStyle w:val="Default"/>
        <w:rPr>
          <w:color w:val="auto"/>
        </w:rPr>
      </w:pPr>
      <w:r w:rsidRPr="00381A22">
        <w:rPr>
          <w:color w:val="auto"/>
        </w:rPr>
        <w:t xml:space="preserve">The targeted career information kits and supporting materials for the hotline (such as an operations manual, scripts and training modules) </w:t>
      </w:r>
      <w:proofErr w:type="gramStart"/>
      <w:r w:rsidRPr="00381A22">
        <w:rPr>
          <w:color w:val="auto"/>
        </w:rPr>
        <w:t>will be developed</w:t>
      </w:r>
      <w:proofErr w:type="gramEnd"/>
      <w:r w:rsidRPr="00381A22">
        <w:rPr>
          <w:color w:val="auto"/>
        </w:rPr>
        <w:t xml:space="preserve"> through a procurement of services. Quotes </w:t>
      </w:r>
      <w:proofErr w:type="gramStart"/>
      <w:r w:rsidRPr="00381A22">
        <w:rPr>
          <w:color w:val="auto"/>
        </w:rPr>
        <w:t>will be sought</w:t>
      </w:r>
      <w:proofErr w:type="gramEnd"/>
      <w:r w:rsidRPr="00381A22">
        <w:rPr>
          <w:color w:val="auto"/>
        </w:rPr>
        <w:t xml:space="preserve"> from members of the department’s Research and Evaluation Panel who have pre-existing, demonstrated expertise in designing and delivering career intervention of this sort.</w:t>
      </w:r>
    </w:p>
    <w:p w14:paraId="3150A264" w14:textId="2868A271" w:rsidR="00535341" w:rsidRPr="00381A22" w:rsidRDefault="00535341" w:rsidP="00151C3A">
      <w:pPr>
        <w:pStyle w:val="Default"/>
        <w:rPr>
          <w:color w:val="auto"/>
        </w:rPr>
      </w:pPr>
    </w:p>
    <w:p w14:paraId="512C98C6" w14:textId="230E1A64" w:rsidR="00535341" w:rsidRPr="00381A22" w:rsidRDefault="00535341" w:rsidP="00151C3A">
      <w:pPr>
        <w:pStyle w:val="Default"/>
        <w:rPr>
          <w:color w:val="auto"/>
        </w:rPr>
      </w:pPr>
      <w:r w:rsidRPr="00381A22">
        <w:rPr>
          <w:color w:val="auto"/>
        </w:rPr>
        <w:t>To oversee rapid implementation of this initiative, the NCI will establish a steering group made up of internal experts who can advise on the most effective and efficient method to deliver key project milestones, including delivery of the kits to schools, training processes for hotline staff, and methodologies for communicating effectively with young people.</w:t>
      </w:r>
    </w:p>
    <w:p w14:paraId="7219163E" w14:textId="2F8D8B7E" w:rsidR="00535341" w:rsidRPr="00381A22" w:rsidRDefault="00535341" w:rsidP="00151C3A">
      <w:pPr>
        <w:pStyle w:val="Default"/>
        <w:rPr>
          <w:color w:val="auto"/>
        </w:rPr>
      </w:pPr>
    </w:p>
    <w:p w14:paraId="642D22C9" w14:textId="3A7CC40F" w:rsidR="00535341" w:rsidRPr="00381A22" w:rsidRDefault="00535341" w:rsidP="00151C3A">
      <w:pPr>
        <w:pStyle w:val="Default"/>
        <w:rPr>
          <w:color w:val="auto"/>
        </w:rPr>
      </w:pPr>
      <w:r w:rsidRPr="00381A22">
        <w:rPr>
          <w:color w:val="auto"/>
        </w:rPr>
        <w:t xml:space="preserve">To support rollout of the NCI website in September 2020, a hotline will provide a triage and connection service to help users navigate the NCI’s web-based career information. The hotline will provide career information and referrals to existing available services that guide and connect school </w:t>
      </w:r>
      <w:proofErr w:type="gramStart"/>
      <w:r w:rsidRPr="00381A22">
        <w:rPr>
          <w:color w:val="auto"/>
        </w:rPr>
        <w:t>leavers,</w:t>
      </w:r>
      <w:proofErr w:type="gramEnd"/>
      <w:r w:rsidRPr="00381A22">
        <w:rPr>
          <w:color w:val="auto"/>
        </w:rPr>
        <w:t xml:space="preserve"> including wage and training subsidies and other government programs and support services, along with referrals to an established list of industry endorsed pr</w:t>
      </w:r>
      <w:r w:rsidR="00A071EF" w:rsidRPr="00381A22">
        <w:rPr>
          <w:color w:val="auto"/>
        </w:rPr>
        <w:t>ofessional careers advise</w:t>
      </w:r>
      <w:r w:rsidRPr="00381A22">
        <w:rPr>
          <w:color w:val="auto"/>
        </w:rPr>
        <w:t>rs for a short career counselling session.</w:t>
      </w:r>
    </w:p>
    <w:p w14:paraId="4DCB6021" w14:textId="2A4B4471" w:rsidR="00535341" w:rsidRPr="00381A22" w:rsidRDefault="00535341" w:rsidP="00151C3A">
      <w:pPr>
        <w:pStyle w:val="Default"/>
        <w:rPr>
          <w:color w:val="auto"/>
        </w:rPr>
      </w:pPr>
    </w:p>
    <w:p w14:paraId="248D65F7" w14:textId="68C4B37B" w:rsidR="00535341" w:rsidRPr="00381A22" w:rsidRDefault="00535341" w:rsidP="00151C3A">
      <w:pPr>
        <w:pStyle w:val="Default"/>
        <w:rPr>
          <w:i/>
          <w:color w:val="auto"/>
        </w:rPr>
      </w:pPr>
      <w:r w:rsidRPr="00381A22">
        <w:rPr>
          <w:color w:val="auto"/>
        </w:rPr>
        <w:t xml:space="preserve">The department will procure a number of services to deliver the School Leaver Program, in accordance with applicable legislative requirements under the </w:t>
      </w:r>
      <w:r w:rsidRPr="00381A22">
        <w:rPr>
          <w:i/>
          <w:color w:val="auto"/>
        </w:rPr>
        <w:t>Public</w:t>
      </w:r>
      <w:r w:rsidRPr="00381A22">
        <w:rPr>
          <w:i/>
          <w:iCs/>
          <w:color w:val="auto"/>
        </w:rPr>
        <w:t xml:space="preserve"> Governance, Performance and Accountability Act 2013 </w:t>
      </w:r>
      <w:r w:rsidRPr="00381A22">
        <w:rPr>
          <w:color w:val="auto"/>
        </w:rPr>
        <w:t xml:space="preserve">(PGPA Act), the </w:t>
      </w:r>
      <w:r w:rsidRPr="00381A22">
        <w:rPr>
          <w:i/>
          <w:iCs/>
          <w:color w:val="auto"/>
        </w:rPr>
        <w:t xml:space="preserve">Commonwealth Procurement Rules </w:t>
      </w:r>
      <w:r w:rsidRPr="00381A22">
        <w:rPr>
          <w:color w:val="auto"/>
        </w:rPr>
        <w:t xml:space="preserve">(CPRs) and the department’s Accountable Authority Instructions. A range of </w:t>
      </w:r>
      <w:r w:rsidRPr="00381A22">
        <w:rPr>
          <w:color w:val="auto"/>
        </w:rPr>
        <w:lastRenderedPageBreak/>
        <w:t xml:space="preserve">procurement methods </w:t>
      </w:r>
      <w:proofErr w:type="gramStart"/>
      <w:r w:rsidRPr="00381A22">
        <w:rPr>
          <w:color w:val="auto"/>
        </w:rPr>
        <w:t>may be used</w:t>
      </w:r>
      <w:proofErr w:type="gramEnd"/>
      <w:r w:rsidRPr="00381A22">
        <w:rPr>
          <w:color w:val="auto"/>
        </w:rPr>
        <w:t xml:space="preserve"> such as open and limited tenders or procurements under existing arrangements. The selection of which procurement method to use will depend on the activity. </w:t>
      </w:r>
      <w:proofErr w:type="gramStart"/>
      <w:r w:rsidRPr="00381A22">
        <w:rPr>
          <w:color w:val="auto"/>
        </w:rPr>
        <w:t>Final spending decisions will be made by the Secretary of the department or an appropriate delegate</w:t>
      </w:r>
      <w:proofErr w:type="gramEnd"/>
      <w:r w:rsidRPr="00381A22">
        <w:rPr>
          <w:color w:val="auto"/>
        </w:rPr>
        <w:t xml:space="preserve">. </w:t>
      </w:r>
    </w:p>
    <w:p w14:paraId="66EBDA20" w14:textId="77777777" w:rsidR="00535341" w:rsidRPr="00381A22" w:rsidRDefault="00535341" w:rsidP="00151C3A">
      <w:pPr>
        <w:pStyle w:val="Default"/>
        <w:rPr>
          <w:color w:val="auto"/>
        </w:rPr>
      </w:pPr>
    </w:p>
    <w:p w14:paraId="4E35AF8D" w14:textId="77777777" w:rsidR="00151C3A" w:rsidRPr="00381A22" w:rsidRDefault="00151C3A" w:rsidP="00151C3A">
      <w:pPr>
        <w:pStyle w:val="Default"/>
        <w:rPr>
          <w:color w:val="auto"/>
        </w:rPr>
      </w:pPr>
      <w:r w:rsidRPr="00381A22">
        <w:rPr>
          <w:color w:val="auto"/>
        </w:rPr>
        <w:t>The department will procure the following services:</w:t>
      </w:r>
    </w:p>
    <w:p w14:paraId="7C9C945A" w14:textId="516D4AD8" w:rsidR="00151C3A" w:rsidRPr="00381A22" w:rsidRDefault="00151C3A" w:rsidP="00151C3A">
      <w:pPr>
        <w:pStyle w:val="Default"/>
        <w:numPr>
          <w:ilvl w:val="0"/>
          <w:numId w:val="32"/>
        </w:numPr>
        <w:adjustRightInd/>
        <w:rPr>
          <w:color w:val="auto"/>
        </w:rPr>
      </w:pPr>
      <w:r w:rsidRPr="00381A22">
        <w:rPr>
          <w:color w:val="auto"/>
        </w:rPr>
        <w:t>the design, development, production and distribution of the information kit</w:t>
      </w:r>
      <w:r w:rsidR="00710657" w:rsidRPr="00381A22">
        <w:rPr>
          <w:color w:val="auto"/>
        </w:rPr>
        <w:t>s</w:t>
      </w:r>
      <w:r w:rsidRPr="00381A22">
        <w:rPr>
          <w:color w:val="auto"/>
        </w:rPr>
        <w:t>;</w:t>
      </w:r>
    </w:p>
    <w:p w14:paraId="1DF442A0" w14:textId="77777777" w:rsidR="00151C3A" w:rsidRPr="00381A22" w:rsidRDefault="00151C3A" w:rsidP="00151C3A">
      <w:pPr>
        <w:pStyle w:val="Default"/>
        <w:numPr>
          <w:ilvl w:val="0"/>
          <w:numId w:val="32"/>
        </w:numPr>
        <w:adjustRightInd/>
        <w:rPr>
          <w:color w:val="auto"/>
        </w:rPr>
      </w:pPr>
      <w:r w:rsidRPr="00381A22">
        <w:rPr>
          <w:color w:val="auto"/>
        </w:rPr>
        <w:t xml:space="preserve">the design, development and production of an operations manual for the hotline, including a training module for hotline operators; </w:t>
      </w:r>
    </w:p>
    <w:p w14:paraId="3EACA667" w14:textId="77777777" w:rsidR="00151C3A" w:rsidRPr="00381A22" w:rsidRDefault="00151C3A" w:rsidP="00151C3A">
      <w:pPr>
        <w:pStyle w:val="Default"/>
        <w:numPr>
          <w:ilvl w:val="0"/>
          <w:numId w:val="32"/>
        </w:numPr>
        <w:adjustRightInd/>
        <w:rPr>
          <w:color w:val="auto"/>
        </w:rPr>
      </w:pPr>
      <w:r w:rsidRPr="00381A22">
        <w:rPr>
          <w:color w:val="auto"/>
        </w:rPr>
        <w:t>in-house, contracted hotline staff; and</w:t>
      </w:r>
    </w:p>
    <w:p w14:paraId="007892B1" w14:textId="75D23902" w:rsidR="00151C3A" w:rsidRPr="00381A22" w:rsidRDefault="00151C3A" w:rsidP="00151C3A">
      <w:pPr>
        <w:pStyle w:val="Default"/>
        <w:numPr>
          <w:ilvl w:val="0"/>
          <w:numId w:val="32"/>
        </w:numPr>
        <w:adjustRightInd/>
        <w:rPr>
          <w:color w:val="auto"/>
        </w:rPr>
      </w:pPr>
      <w:proofErr w:type="gramStart"/>
      <w:r w:rsidRPr="00381A22">
        <w:rPr>
          <w:color w:val="auto"/>
        </w:rPr>
        <w:t>consultation</w:t>
      </w:r>
      <w:proofErr w:type="gramEnd"/>
      <w:r w:rsidRPr="00381A22">
        <w:rPr>
          <w:color w:val="auto"/>
        </w:rPr>
        <w:t xml:space="preserve"> with key career sector stakeholders.</w:t>
      </w:r>
    </w:p>
    <w:p w14:paraId="2CA0388A" w14:textId="77777777" w:rsidR="00151C3A" w:rsidRPr="00381A22" w:rsidRDefault="00151C3A" w:rsidP="00151C3A">
      <w:pPr>
        <w:pStyle w:val="Default"/>
        <w:adjustRightInd/>
        <w:rPr>
          <w:color w:val="auto"/>
        </w:rPr>
      </w:pPr>
    </w:p>
    <w:p w14:paraId="19A5CE5E" w14:textId="77777777" w:rsidR="00151C3A" w:rsidRPr="00381A22" w:rsidRDefault="00151C3A" w:rsidP="00151C3A">
      <w:pPr>
        <w:pStyle w:val="Default"/>
        <w:rPr>
          <w:color w:val="auto"/>
        </w:rPr>
      </w:pPr>
      <w:r w:rsidRPr="00381A22">
        <w:rPr>
          <w:color w:val="auto"/>
        </w:rPr>
        <w:t xml:space="preserve">The department will: </w:t>
      </w:r>
    </w:p>
    <w:p w14:paraId="08EAAF07" w14:textId="19278C0B" w:rsidR="00151C3A" w:rsidRPr="00381A22" w:rsidRDefault="00151C3A" w:rsidP="00151C3A">
      <w:pPr>
        <w:pStyle w:val="Default"/>
        <w:numPr>
          <w:ilvl w:val="0"/>
          <w:numId w:val="33"/>
        </w:numPr>
        <w:adjustRightInd/>
        <w:rPr>
          <w:color w:val="auto"/>
        </w:rPr>
      </w:pPr>
      <w:r w:rsidRPr="00381A22">
        <w:rPr>
          <w:color w:val="auto"/>
        </w:rPr>
        <w:t xml:space="preserve">manage all </w:t>
      </w:r>
      <w:r w:rsidR="00710657" w:rsidRPr="00381A22">
        <w:rPr>
          <w:color w:val="auto"/>
        </w:rPr>
        <w:t>contracts</w:t>
      </w:r>
      <w:r w:rsidRPr="00381A22">
        <w:rPr>
          <w:color w:val="auto"/>
        </w:rPr>
        <w:t xml:space="preserve"> </w:t>
      </w:r>
      <w:r w:rsidR="00710657" w:rsidRPr="00381A22">
        <w:rPr>
          <w:color w:val="auto"/>
        </w:rPr>
        <w:t xml:space="preserve">for </w:t>
      </w:r>
      <w:r w:rsidRPr="00381A22">
        <w:rPr>
          <w:color w:val="auto"/>
        </w:rPr>
        <w:t xml:space="preserve">the </w:t>
      </w:r>
      <w:r w:rsidR="00710657" w:rsidRPr="00381A22">
        <w:rPr>
          <w:color w:val="auto"/>
        </w:rPr>
        <w:t>above services</w:t>
      </w:r>
      <w:r w:rsidRPr="00381A22">
        <w:rPr>
          <w:color w:val="auto"/>
        </w:rPr>
        <w:t>;</w:t>
      </w:r>
    </w:p>
    <w:p w14:paraId="2E494439" w14:textId="77777777" w:rsidR="00151C3A" w:rsidRPr="00381A22" w:rsidRDefault="00151C3A" w:rsidP="00151C3A">
      <w:pPr>
        <w:pStyle w:val="Default"/>
        <w:numPr>
          <w:ilvl w:val="0"/>
          <w:numId w:val="33"/>
        </w:numPr>
        <w:adjustRightInd/>
        <w:rPr>
          <w:color w:val="auto"/>
        </w:rPr>
      </w:pPr>
      <w:r w:rsidRPr="00381A22">
        <w:rPr>
          <w:color w:val="auto"/>
        </w:rPr>
        <w:t xml:space="preserve">contract, train and manage in-house hotline operators; </w:t>
      </w:r>
    </w:p>
    <w:p w14:paraId="4BCB0208" w14:textId="77777777" w:rsidR="00151C3A" w:rsidRPr="00381A22" w:rsidRDefault="00151C3A" w:rsidP="00151C3A">
      <w:pPr>
        <w:pStyle w:val="Default"/>
        <w:numPr>
          <w:ilvl w:val="0"/>
          <w:numId w:val="33"/>
        </w:numPr>
        <w:adjustRightInd/>
        <w:rPr>
          <w:color w:val="auto"/>
        </w:rPr>
      </w:pPr>
      <w:r w:rsidRPr="00381A22">
        <w:rPr>
          <w:color w:val="auto"/>
        </w:rPr>
        <w:t xml:space="preserve">facilitate escalation and referral process from the hotline; and </w:t>
      </w:r>
    </w:p>
    <w:p w14:paraId="4619BB65" w14:textId="1D343DA4" w:rsidR="00151C3A" w:rsidRPr="00381A22" w:rsidRDefault="00151C3A" w:rsidP="00151C3A">
      <w:pPr>
        <w:pStyle w:val="Default"/>
        <w:numPr>
          <w:ilvl w:val="0"/>
          <w:numId w:val="33"/>
        </w:numPr>
        <w:adjustRightInd/>
        <w:rPr>
          <w:color w:val="auto"/>
        </w:rPr>
      </w:pPr>
      <w:proofErr w:type="gramStart"/>
      <w:r w:rsidRPr="00381A22">
        <w:rPr>
          <w:color w:val="auto"/>
        </w:rPr>
        <w:t>report</w:t>
      </w:r>
      <w:proofErr w:type="gramEnd"/>
      <w:r w:rsidRPr="00381A22">
        <w:rPr>
          <w:color w:val="auto"/>
        </w:rPr>
        <w:t xml:space="preserve"> on performance of the hotline and evaluate the</w:t>
      </w:r>
      <w:r w:rsidR="00710657" w:rsidRPr="00381A22">
        <w:rPr>
          <w:color w:val="auto"/>
        </w:rPr>
        <w:t xml:space="preserve"> School Leaver Program</w:t>
      </w:r>
      <w:r w:rsidRPr="00381A22">
        <w:rPr>
          <w:color w:val="auto"/>
        </w:rPr>
        <w:t xml:space="preserve"> in its entirety. </w:t>
      </w:r>
    </w:p>
    <w:p w14:paraId="6436E29D" w14:textId="77777777" w:rsidR="00151C3A" w:rsidRPr="00381A22" w:rsidRDefault="00151C3A" w:rsidP="00151C3A">
      <w:pPr>
        <w:pStyle w:val="Default"/>
        <w:rPr>
          <w:color w:val="auto"/>
        </w:rPr>
      </w:pPr>
    </w:p>
    <w:p w14:paraId="2BE0CD21" w14:textId="2BCCF837" w:rsidR="00151C3A" w:rsidRPr="00381A22" w:rsidRDefault="00151C3A" w:rsidP="00151C3A">
      <w:pPr>
        <w:pStyle w:val="Default"/>
        <w:rPr>
          <w:color w:val="auto"/>
        </w:rPr>
      </w:pPr>
      <w:r w:rsidRPr="00381A22">
        <w:rPr>
          <w:color w:val="auto"/>
        </w:rPr>
        <w:t>Procureme</w:t>
      </w:r>
      <w:r w:rsidR="00712B9C" w:rsidRPr="00381A22">
        <w:rPr>
          <w:color w:val="auto"/>
        </w:rPr>
        <w:t xml:space="preserve">nt decisions </w:t>
      </w:r>
      <w:proofErr w:type="gramStart"/>
      <w:r w:rsidR="00712B9C" w:rsidRPr="00381A22">
        <w:rPr>
          <w:color w:val="auto"/>
        </w:rPr>
        <w:t>will be made</w:t>
      </w:r>
      <w:proofErr w:type="gramEnd"/>
      <w:r w:rsidR="00712B9C" w:rsidRPr="00381A22">
        <w:rPr>
          <w:color w:val="auto"/>
        </w:rPr>
        <w:t xml:space="preserve"> in acc</w:t>
      </w:r>
      <w:r w:rsidRPr="00381A22">
        <w:rPr>
          <w:color w:val="auto"/>
        </w:rPr>
        <w:t xml:space="preserve">ordance with the Commonwealth </w:t>
      </w:r>
      <w:r w:rsidR="00710657" w:rsidRPr="00381A22">
        <w:rPr>
          <w:color w:val="auto"/>
        </w:rPr>
        <w:t>r</w:t>
      </w:r>
      <w:r w:rsidRPr="00381A22">
        <w:rPr>
          <w:color w:val="auto"/>
        </w:rPr>
        <w:t xml:space="preserve">esource </w:t>
      </w:r>
      <w:r w:rsidR="00710657" w:rsidRPr="00381A22">
        <w:rPr>
          <w:color w:val="auto"/>
        </w:rPr>
        <w:t>m</w:t>
      </w:r>
      <w:r w:rsidRPr="00381A22">
        <w:rPr>
          <w:color w:val="auto"/>
        </w:rPr>
        <w:t xml:space="preserve">anagement </w:t>
      </w:r>
      <w:r w:rsidR="00710657" w:rsidRPr="00381A22">
        <w:rPr>
          <w:color w:val="auto"/>
        </w:rPr>
        <w:t>f</w:t>
      </w:r>
      <w:r w:rsidRPr="00381A22">
        <w:rPr>
          <w:color w:val="auto"/>
        </w:rPr>
        <w:t xml:space="preserve">ramework, including the PGPA Act and the CPRs. The department will provide an opportunity for suppliers and tenderers to make complaints if they wish, and to receive feedback. These complaints and inquiries can </w:t>
      </w:r>
      <w:proofErr w:type="gramStart"/>
      <w:r w:rsidRPr="00381A22">
        <w:rPr>
          <w:color w:val="auto"/>
        </w:rPr>
        <w:t>be made</w:t>
      </w:r>
      <w:proofErr w:type="gramEnd"/>
      <w:r w:rsidRPr="00381A22">
        <w:rPr>
          <w:color w:val="auto"/>
        </w:rPr>
        <w:t xml:space="preserve"> at any time during the procurement process, and will be handled in accordance with probity requirements.</w:t>
      </w:r>
      <w:r w:rsidR="00710657" w:rsidRPr="00381A22">
        <w:rPr>
          <w:color w:val="auto"/>
        </w:rPr>
        <w:t xml:space="preserve"> </w:t>
      </w:r>
      <w:r w:rsidRPr="00381A22">
        <w:rPr>
          <w:color w:val="auto"/>
        </w:rPr>
        <w:t xml:space="preserve">Information </w:t>
      </w:r>
      <w:r w:rsidR="003F7497" w:rsidRPr="00381A22">
        <w:rPr>
          <w:color w:val="auto"/>
        </w:rPr>
        <w:t>about</w:t>
      </w:r>
      <w:r w:rsidRPr="00381A22">
        <w:rPr>
          <w:color w:val="auto"/>
        </w:rPr>
        <w:t xml:space="preserve"> the tender and the resultant contracts </w:t>
      </w:r>
      <w:proofErr w:type="gramStart"/>
      <w:r w:rsidRPr="00381A22">
        <w:rPr>
          <w:color w:val="auto"/>
        </w:rPr>
        <w:t>will be made</w:t>
      </w:r>
      <w:proofErr w:type="gramEnd"/>
      <w:r w:rsidRPr="00381A22">
        <w:rPr>
          <w:color w:val="auto"/>
        </w:rPr>
        <w:t xml:space="preserve"> available on </w:t>
      </w:r>
      <w:proofErr w:type="spellStart"/>
      <w:r w:rsidRPr="00381A22">
        <w:rPr>
          <w:color w:val="auto"/>
        </w:rPr>
        <w:t>AusTender</w:t>
      </w:r>
      <w:proofErr w:type="spellEnd"/>
      <w:r w:rsidRPr="00381A22">
        <w:rPr>
          <w:color w:val="auto"/>
        </w:rPr>
        <w:t xml:space="preserve"> (</w:t>
      </w:r>
      <w:proofErr w:type="spellStart"/>
      <w:r w:rsidRPr="00381A22">
        <w:rPr>
          <w:color w:val="auto"/>
          <w:u w:val="single"/>
        </w:rPr>
        <w:t>www.tenders.gov.au</w:t>
      </w:r>
      <w:proofErr w:type="spellEnd"/>
      <w:r w:rsidRPr="00381A22">
        <w:rPr>
          <w:color w:val="auto"/>
        </w:rPr>
        <w:t xml:space="preserve">) once the contracts are signed. Procurement decisions </w:t>
      </w:r>
      <w:proofErr w:type="gramStart"/>
      <w:r w:rsidRPr="00381A22">
        <w:rPr>
          <w:color w:val="auto"/>
        </w:rPr>
        <w:t>will be based</w:t>
      </w:r>
      <w:proofErr w:type="gramEnd"/>
      <w:r w:rsidRPr="00381A22">
        <w:rPr>
          <w:color w:val="auto"/>
        </w:rPr>
        <w:t xml:space="preserve"> on value for money, including capability and capacity to deliver</w:t>
      </w:r>
      <w:r w:rsidR="00710657" w:rsidRPr="00381A22">
        <w:rPr>
          <w:color w:val="auto"/>
        </w:rPr>
        <w:t>, and price and risk considerations</w:t>
      </w:r>
      <w:r w:rsidRPr="00381A22">
        <w:rPr>
          <w:color w:val="auto"/>
        </w:rPr>
        <w:t>.</w:t>
      </w:r>
    </w:p>
    <w:p w14:paraId="6A2A33D1" w14:textId="77777777" w:rsidR="00151C3A" w:rsidRPr="00381A22" w:rsidRDefault="00151C3A" w:rsidP="00151C3A">
      <w:pPr>
        <w:pStyle w:val="Default"/>
        <w:rPr>
          <w:color w:val="auto"/>
        </w:rPr>
      </w:pPr>
    </w:p>
    <w:p w14:paraId="7012C80B" w14:textId="4C5B9EEF" w:rsidR="00151C3A" w:rsidRPr="00381A22" w:rsidRDefault="00151C3A" w:rsidP="00151C3A">
      <w:pPr>
        <w:pStyle w:val="Default"/>
        <w:rPr>
          <w:color w:val="auto"/>
        </w:rPr>
      </w:pPr>
      <w:r w:rsidRPr="00381A22">
        <w:rPr>
          <w:color w:val="auto"/>
        </w:rPr>
        <w:t xml:space="preserve">Procurement decisions, once made, will be final, and not subject to merits review. The Administrative Review Council takes the view that decisions to provide one-off payments to certain service providers, over other service providers, should be excluded from merits review (see paragraph 4.16 of the </w:t>
      </w:r>
      <w:r w:rsidR="00A071EF" w:rsidRPr="00381A22">
        <w:rPr>
          <w:bCs/>
        </w:rPr>
        <w:t xml:space="preserve">guide, </w:t>
      </w:r>
      <w:proofErr w:type="gramStart"/>
      <w:r w:rsidR="00A071EF" w:rsidRPr="00381A22">
        <w:rPr>
          <w:i/>
          <w:color w:val="000000" w:themeColor="text1"/>
        </w:rPr>
        <w:t>What</w:t>
      </w:r>
      <w:proofErr w:type="gramEnd"/>
      <w:r w:rsidR="00A071EF" w:rsidRPr="00381A22">
        <w:rPr>
          <w:i/>
          <w:color w:val="000000" w:themeColor="text1"/>
        </w:rPr>
        <w:t xml:space="preserve"> decisions should be subject to merit review?</w:t>
      </w:r>
      <w:r w:rsidRPr="00381A22">
        <w:rPr>
          <w:color w:val="auto"/>
        </w:rPr>
        <w:t xml:space="preserve">). </w:t>
      </w:r>
      <w:proofErr w:type="gramStart"/>
      <w:r w:rsidRPr="00381A22">
        <w:rPr>
          <w:color w:val="auto"/>
        </w:rPr>
        <w:t>Re-making a procurement decision after entry into contractual arrangements with a successful provider is legally complex, impractical, and could result in delays to providing services to school leavers.</w:t>
      </w:r>
      <w:proofErr w:type="gramEnd"/>
    </w:p>
    <w:p w14:paraId="1B913626" w14:textId="77777777" w:rsidR="00151C3A" w:rsidRPr="00381A22" w:rsidRDefault="00151C3A" w:rsidP="00151C3A">
      <w:pPr>
        <w:pStyle w:val="Default"/>
        <w:rPr>
          <w:color w:val="auto"/>
        </w:rPr>
      </w:pPr>
    </w:p>
    <w:p w14:paraId="2CD715DD" w14:textId="263CDEBE" w:rsidR="00151C3A" w:rsidRPr="00381A22" w:rsidRDefault="00151C3A" w:rsidP="00151C3A">
      <w:pPr>
        <w:pStyle w:val="Default"/>
        <w:rPr>
          <w:color w:val="auto"/>
        </w:rPr>
      </w:pPr>
      <w:r w:rsidRPr="00381A22">
        <w:rPr>
          <w:color w:val="auto"/>
        </w:rPr>
        <w:t xml:space="preserve">The </w:t>
      </w:r>
      <w:r w:rsidRPr="00381A22">
        <w:rPr>
          <w:i/>
          <w:iCs/>
          <w:color w:val="auto"/>
        </w:rPr>
        <w:t xml:space="preserve">Government Procurement (Judicial Review) Act 2018 </w:t>
      </w:r>
      <w:r w:rsidRPr="00381A22">
        <w:rPr>
          <w:color w:val="auto"/>
        </w:rPr>
        <w:t xml:space="preserve">enables suppliers to challenge some procurement processes for alleged breaches of certain procurement rules. This legislative framework may provide an additional avenue of redress (compensation or injunction) for dissatisfied providers or potential providers, depending on the circumstances. </w:t>
      </w:r>
    </w:p>
    <w:p w14:paraId="0839E89B" w14:textId="2EED4018" w:rsidR="0077558E" w:rsidRPr="00381A22" w:rsidRDefault="0077558E" w:rsidP="00151C3A">
      <w:pPr>
        <w:pStyle w:val="Default"/>
        <w:rPr>
          <w:color w:val="auto"/>
        </w:rPr>
      </w:pPr>
    </w:p>
    <w:p w14:paraId="7014E549" w14:textId="4636C3BB" w:rsidR="0077558E" w:rsidRPr="00381A22" w:rsidRDefault="0077558E" w:rsidP="0077558E">
      <w:pPr>
        <w:rPr>
          <w:rFonts w:ascii="Times New Roman" w:hAnsi="Times New Roman"/>
          <w:sz w:val="24"/>
          <w:szCs w:val="24"/>
        </w:rPr>
      </w:pPr>
      <w:proofErr w:type="gramStart"/>
      <w:r w:rsidRPr="00381A22">
        <w:rPr>
          <w:rFonts w:ascii="Times New Roman" w:hAnsi="Times New Roman"/>
          <w:sz w:val="24"/>
          <w:szCs w:val="24"/>
        </w:rPr>
        <w:t>The School Leaver targeted information kit and hotline will be developed in collaboration and consultation with youth, employers and experts in labour market and career practice (for example, NSC, VET Stakeholder Committee, the Career Industry Council of Australia and Year 13) to ensure the content and advice provided is based on contemporary best practice in a way that will resonate and be effective in communicating with young people.</w:t>
      </w:r>
      <w:proofErr w:type="gramEnd"/>
      <w:r w:rsidRPr="00381A22">
        <w:rPr>
          <w:rFonts w:ascii="Times New Roman" w:hAnsi="Times New Roman"/>
          <w:sz w:val="24"/>
          <w:szCs w:val="24"/>
        </w:rPr>
        <w:t xml:space="preserve"> Stakeholders </w:t>
      </w:r>
      <w:proofErr w:type="gramStart"/>
      <w:r w:rsidRPr="00381A22">
        <w:rPr>
          <w:rFonts w:ascii="Times New Roman" w:hAnsi="Times New Roman"/>
          <w:sz w:val="24"/>
          <w:szCs w:val="24"/>
        </w:rPr>
        <w:t>are expected</w:t>
      </w:r>
      <w:proofErr w:type="gramEnd"/>
      <w:r w:rsidRPr="00381A22">
        <w:rPr>
          <w:rFonts w:ascii="Times New Roman" w:hAnsi="Times New Roman"/>
          <w:sz w:val="24"/>
          <w:szCs w:val="24"/>
        </w:rPr>
        <w:t xml:space="preserve"> to welcome the School Leaver Program, noting it is in alignment with feedback gathered through a comprehensive, national consultation process between October and December 2019 </w:t>
      </w:r>
      <w:r w:rsidR="00243BC3" w:rsidRPr="00381A22">
        <w:rPr>
          <w:rFonts w:ascii="Times New Roman" w:hAnsi="Times New Roman"/>
          <w:sz w:val="24"/>
          <w:szCs w:val="24"/>
        </w:rPr>
        <w:t>to engage stakeholders in a process of co-designing roles and functions of the NCI.</w:t>
      </w:r>
    </w:p>
    <w:p w14:paraId="5EC0981B" w14:textId="77777777" w:rsidR="0077558E" w:rsidRPr="00381A22" w:rsidRDefault="0077558E" w:rsidP="00136CF7">
      <w:pPr>
        <w:pStyle w:val="Default"/>
        <w:rPr>
          <w:color w:val="auto"/>
        </w:rPr>
      </w:pPr>
    </w:p>
    <w:p w14:paraId="424D2515" w14:textId="2457778C" w:rsidR="00136CF7" w:rsidRPr="00381A22" w:rsidRDefault="0077558E" w:rsidP="00136CF7">
      <w:pPr>
        <w:rPr>
          <w:rFonts w:ascii="Times New Roman" w:hAnsi="Times New Roman"/>
          <w:sz w:val="24"/>
          <w:szCs w:val="24"/>
        </w:rPr>
      </w:pPr>
      <w:r w:rsidRPr="00381A22">
        <w:rPr>
          <w:rFonts w:ascii="Times New Roman" w:hAnsi="Times New Roman"/>
          <w:sz w:val="24"/>
          <w:szCs w:val="24"/>
        </w:rPr>
        <w:t>F</w:t>
      </w:r>
      <w:r w:rsidR="00151C3A" w:rsidRPr="00381A22">
        <w:rPr>
          <w:rFonts w:ascii="Times New Roman" w:hAnsi="Times New Roman"/>
          <w:sz w:val="24"/>
          <w:szCs w:val="24"/>
        </w:rPr>
        <w:t xml:space="preserve">unding for the School Leaver Program of $0.9 million </w:t>
      </w:r>
      <w:r w:rsidRPr="00381A22">
        <w:rPr>
          <w:rFonts w:ascii="Times New Roman" w:hAnsi="Times New Roman"/>
          <w:sz w:val="24"/>
          <w:szCs w:val="24"/>
        </w:rPr>
        <w:t xml:space="preserve">in 2020-21 </w:t>
      </w:r>
      <w:r w:rsidR="00151C3A" w:rsidRPr="00381A22">
        <w:rPr>
          <w:rFonts w:ascii="Times New Roman" w:hAnsi="Times New Roman"/>
          <w:sz w:val="24"/>
          <w:szCs w:val="24"/>
        </w:rPr>
        <w:t>w</w:t>
      </w:r>
      <w:r w:rsidR="00136CF7" w:rsidRPr="00381A22">
        <w:rPr>
          <w:rFonts w:ascii="Times New Roman" w:hAnsi="Times New Roman"/>
          <w:sz w:val="24"/>
          <w:szCs w:val="24"/>
        </w:rPr>
        <w:t>as</w:t>
      </w:r>
      <w:r w:rsidR="00151C3A" w:rsidRPr="00381A22">
        <w:rPr>
          <w:rFonts w:ascii="Times New Roman" w:hAnsi="Times New Roman"/>
          <w:sz w:val="24"/>
          <w:szCs w:val="24"/>
        </w:rPr>
        <w:t xml:space="preserve"> </w:t>
      </w:r>
      <w:r w:rsidR="00D913F8" w:rsidRPr="00381A22">
        <w:rPr>
          <w:rFonts w:ascii="Times New Roman" w:hAnsi="Times New Roman"/>
          <w:sz w:val="24"/>
          <w:szCs w:val="24"/>
        </w:rPr>
        <w:t>included</w:t>
      </w:r>
      <w:r w:rsidR="00151C3A" w:rsidRPr="00381A22">
        <w:rPr>
          <w:rFonts w:ascii="Times New Roman" w:hAnsi="Times New Roman"/>
          <w:sz w:val="24"/>
          <w:szCs w:val="24"/>
        </w:rPr>
        <w:t xml:space="preserve"> in the </w:t>
      </w:r>
      <w:r w:rsidR="00D913F8" w:rsidRPr="00381A22">
        <w:rPr>
          <w:rFonts w:ascii="Times New Roman" w:hAnsi="Times New Roman"/>
          <w:sz w:val="24"/>
          <w:szCs w:val="24"/>
        </w:rPr>
        <w:t>July Economic and Fiscal Update</w:t>
      </w:r>
      <w:r w:rsidR="00136CF7" w:rsidRPr="00381A22">
        <w:rPr>
          <w:rFonts w:ascii="Times New Roman" w:hAnsi="Times New Roman"/>
          <w:sz w:val="24"/>
          <w:szCs w:val="24"/>
        </w:rPr>
        <w:t xml:space="preserve"> under the measure ‘COVID-19 Response Package – </w:t>
      </w:r>
      <w:proofErr w:type="spellStart"/>
      <w:r w:rsidR="00136CF7" w:rsidRPr="00381A22">
        <w:rPr>
          <w:rFonts w:ascii="Times New Roman" w:hAnsi="Times New Roman"/>
          <w:sz w:val="24"/>
          <w:szCs w:val="24"/>
        </w:rPr>
        <w:t>JobTrainer</w:t>
      </w:r>
      <w:proofErr w:type="spellEnd"/>
      <w:r w:rsidR="00136CF7" w:rsidRPr="00381A22">
        <w:rPr>
          <w:rFonts w:ascii="Times New Roman" w:hAnsi="Times New Roman"/>
          <w:sz w:val="24"/>
          <w:szCs w:val="24"/>
        </w:rPr>
        <w:t xml:space="preserve"> Fund – establishment’. Details are set out in the </w:t>
      </w:r>
      <w:r w:rsidR="00136CF7" w:rsidRPr="00381A22">
        <w:rPr>
          <w:rFonts w:ascii="Times New Roman" w:hAnsi="Times New Roman"/>
          <w:i/>
          <w:sz w:val="24"/>
          <w:szCs w:val="24"/>
        </w:rPr>
        <w:t>Economic and Fiscal Update July 2020</w:t>
      </w:r>
      <w:r w:rsidR="00136CF7" w:rsidRPr="00381A22">
        <w:rPr>
          <w:rFonts w:ascii="Times New Roman" w:hAnsi="Times New Roman"/>
          <w:sz w:val="24"/>
          <w:szCs w:val="24"/>
        </w:rPr>
        <w:t xml:space="preserve">, Appendix A: Policy decisions taken since the 2019-20 MYEFO at page 117. </w:t>
      </w:r>
    </w:p>
    <w:p w14:paraId="4A92091B" w14:textId="77777777" w:rsidR="00136CF7" w:rsidRPr="00381A22" w:rsidRDefault="00136CF7" w:rsidP="00136CF7">
      <w:pPr>
        <w:rPr>
          <w:rFonts w:ascii="Times New Roman" w:hAnsi="Times New Roman"/>
          <w:sz w:val="24"/>
          <w:szCs w:val="24"/>
        </w:rPr>
      </w:pPr>
    </w:p>
    <w:p w14:paraId="599E9028" w14:textId="6635A662" w:rsidR="00D913F8" w:rsidRPr="00381A22" w:rsidRDefault="00136CF7" w:rsidP="00136CF7">
      <w:pPr>
        <w:rPr>
          <w:rFonts w:ascii="Times New Roman" w:hAnsi="Times New Roman"/>
          <w:sz w:val="24"/>
          <w:szCs w:val="24"/>
        </w:rPr>
      </w:pPr>
      <w:r w:rsidRPr="00381A22">
        <w:rPr>
          <w:rFonts w:ascii="Times New Roman" w:hAnsi="Times New Roman"/>
          <w:sz w:val="24"/>
          <w:szCs w:val="24"/>
        </w:rPr>
        <w:t>Funding will come from Program 3.1: Building Skills and Capability, which is part of Outcome 3. Details will be set out in</w:t>
      </w:r>
      <w:r w:rsidR="00D913F8" w:rsidRPr="00381A22">
        <w:rPr>
          <w:rFonts w:ascii="Times New Roman" w:hAnsi="Times New Roman"/>
          <w:sz w:val="24"/>
          <w:szCs w:val="24"/>
        </w:rPr>
        <w:t xml:space="preserve"> the 2020-21 </w:t>
      </w:r>
      <w:r w:rsidR="00D52AEB" w:rsidRPr="00381A22">
        <w:rPr>
          <w:rFonts w:ascii="Times New Roman" w:hAnsi="Times New Roman"/>
          <w:sz w:val="24"/>
          <w:szCs w:val="24"/>
        </w:rPr>
        <w:t>Portfolio Budget Statements</w:t>
      </w:r>
      <w:r w:rsidR="00151C3A" w:rsidRPr="00381A22">
        <w:rPr>
          <w:rFonts w:ascii="Times New Roman" w:hAnsi="Times New Roman"/>
          <w:sz w:val="24"/>
          <w:szCs w:val="24"/>
        </w:rPr>
        <w:t xml:space="preserve"> </w:t>
      </w:r>
      <w:r w:rsidR="00D913F8" w:rsidRPr="00381A22">
        <w:rPr>
          <w:rFonts w:ascii="Times New Roman" w:hAnsi="Times New Roman"/>
          <w:sz w:val="24"/>
          <w:szCs w:val="24"/>
        </w:rPr>
        <w:t xml:space="preserve">for the </w:t>
      </w:r>
      <w:r w:rsidR="00151C3A" w:rsidRPr="00381A22">
        <w:rPr>
          <w:rFonts w:ascii="Times New Roman" w:hAnsi="Times New Roman"/>
          <w:sz w:val="24"/>
          <w:szCs w:val="24"/>
        </w:rPr>
        <w:t xml:space="preserve">Education, Skills and Employment Portfolio. </w:t>
      </w:r>
    </w:p>
    <w:p w14:paraId="20AE9C36" w14:textId="77777777" w:rsidR="00136CF7" w:rsidRPr="00381A22" w:rsidRDefault="00136CF7" w:rsidP="00136CF7">
      <w:pPr>
        <w:rPr>
          <w:rFonts w:ascii="Times New Roman" w:hAnsi="Times New Roman"/>
          <w:sz w:val="24"/>
          <w:szCs w:val="24"/>
        </w:rPr>
      </w:pPr>
    </w:p>
    <w:p w14:paraId="6CD3AF88" w14:textId="1A25877F" w:rsidR="00151C3A" w:rsidRPr="00381A22" w:rsidRDefault="00151C3A" w:rsidP="00136CF7">
      <w:pPr>
        <w:rPr>
          <w:rFonts w:ascii="Times New Roman" w:hAnsi="Times New Roman"/>
          <w:sz w:val="24"/>
          <w:szCs w:val="24"/>
        </w:rPr>
      </w:pPr>
      <w:r w:rsidRPr="00381A22">
        <w:rPr>
          <w:rFonts w:ascii="Times New Roman" w:hAnsi="Times New Roman"/>
          <w:sz w:val="24"/>
          <w:szCs w:val="24"/>
        </w:rPr>
        <w:t xml:space="preserve">Noting that it is not a comprehensive statement of relevant constitutional considerations, the objective of the item references the following powers </w:t>
      </w:r>
      <w:r w:rsidR="00D1379F" w:rsidRPr="00381A22">
        <w:rPr>
          <w:rFonts w:ascii="Times New Roman" w:hAnsi="Times New Roman"/>
          <w:sz w:val="24"/>
          <w:szCs w:val="24"/>
        </w:rPr>
        <w:t>of</w:t>
      </w:r>
      <w:r w:rsidRPr="00381A22">
        <w:rPr>
          <w:rFonts w:ascii="Times New Roman" w:hAnsi="Times New Roman"/>
          <w:sz w:val="24"/>
          <w:szCs w:val="24"/>
        </w:rPr>
        <w:t xml:space="preserve"> the Constitution:</w:t>
      </w:r>
    </w:p>
    <w:p w14:paraId="5C31C842" w14:textId="77777777" w:rsidR="00D1379F" w:rsidRPr="00381A22" w:rsidRDefault="00D1379F" w:rsidP="00151C3A">
      <w:pPr>
        <w:pStyle w:val="ListParagraph"/>
        <w:numPr>
          <w:ilvl w:val="0"/>
          <w:numId w:val="28"/>
        </w:numPr>
        <w:ind w:left="720" w:right="-46"/>
        <w:rPr>
          <w:rFonts w:cs="Times New Roman"/>
          <w:color w:val="auto"/>
          <w:szCs w:val="24"/>
        </w:rPr>
      </w:pPr>
      <w:r w:rsidRPr="00381A22">
        <w:rPr>
          <w:rFonts w:cs="Times New Roman"/>
          <w:color w:val="auto"/>
          <w:szCs w:val="24"/>
        </w:rPr>
        <w:t>the external affairs power (section 51(xxix)); and</w:t>
      </w:r>
    </w:p>
    <w:p w14:paraId="330F7914" w14:textId="6091552C" w:rsidR="00151C3A" w:rsidRPr="00381A22" w:rsidRDefault="00151C3A" w:rsidP="008047B8">
      <w:pPr>
        <w:pStyle w:val="ListParagraph"/>
        <w:numPr>
          <w:ilvl w:val="0"/>
          <w:numId w:val="28"/>
        </w:numPr>
        <w:ind w:left="720" w:right="-46"/>
        <w:rPr>
          <w:rFonts w:cs="Times New Roman"/>
          <w:color w:val="auto"/>
          <w:szCs w:val="24"/>
        </w:rPr>
      </w:pPr>
      <w:proofErr w:type="gramStart"/>
      <w:r w:rsidRPr="00381A22">
        <w:rPr>
          <w:color w:val="auto"/>
          <w:szCs w:val="24"/>
        </w:rPr>
        <w:t>the</w:t>
      </w:r>
      <w:proofErr w:type="gramEnd"/>
      <w:r w:rsidRPr="00381A22">
        <w:rPr>
          <w:color w:val="auto"/>
          <w:szCs w:val="24"/>
        </w:rPr>
        <w:t xml:space="preserve"> communications </w:t>
      </w:r>
      <w:r w:rsidRPr="00381A22">
        <w:rPr>
          <w:rFonts w:cs="Times New Roman"/>
          <w:color w:val="auto"/>
          <w:szCs w:val="24"/>
        </w:rPr>
        <w:t xml:space="preserve">power </w:t>
      </w:r>
      <w:r w:rsidRPr="00381A22">
        <w:rPr>
          <w:rFonts w:cs="Times New Roman"/>
          <w:color w:val="auto"/>
          <w:szCs w:val="24"/>
          <w:lang w:val="en-GB" w:eastAsia="en-GB"/>
        </w:rPr>
        <w:t>(s</w:t>
      </w:r>
      <w:r w:rsidR="00D1379F" w:rsidRPr="00381A22">
        <w:rPr>
          <w:rFonts w:cs="Times New Roman"/>
          <w:color w:val="auto"/>
          <w:szCs w:val="24"/>
          <w:lang w:val="en-GB" w:eastAsia="en-GB"/>
        </w:rPr>
        <w:t>ection</w:t>
      </w:r>
      <w:r w:rsidRPr="00381A22">
        <w:rPr>
          <w:rFonts w:cs="Times New Roman"/>
          <w:color w:val="auto"/>
          <w:szCs w:val="24"/>
          <w:lang w:val="en-GB" w:eastAsia="en-GB"/>
        </w:rPr>
        <w:t xml:space="preserve"> 51(v))</w:t>
      </w:r>
      <w:r w:rsidR="00D1379F" w:rsidRPr="00381A22">
        <w:rPr>
          <w:rFonts w:cs="Times New Roman"/>
          <w:color w:val="auto"/>
          <w:szCs w:val="24"/>
        </w:rPr>
        <w:t>.</w:t>
      </w:r>
    </w:p>
    <w:p w14:paraId="14C22EE3" w14:textId="4E979CB0" w:rsidR="00151C3A" w:rsidRPr="00381A22" w:rsidRDefault="00151C3A" w:rsidP="00151C3A">
      <w:pPr>
        <w:pStyle w:val="Quotation"/>
        <w:numPr>
          <w:ilvl w:val="0"/>
          <w:numId w:val="0"/>
        </w:numPr>
        <w:spacing w:after="0" w:line="240" w:lineRule="auto"/>
        <w:rPr>
          <w:rFonts w:ascii="Times New Roman" w:hAnsi="Times New Roman" w:cs="Times New Roman"/>
          <w:sz w:val="24"/>
          <w:szCs w:val="24"/>
        </w:rPr>
      </w:pPr>
    </w:p>
    <w:p w14:paraId="788D6B2A" w14:textId="77777777" w:rsidR="00151C3A" w:rsidRPr="00381A22" w:rsidRDefault="00151C3A" w:rsidP="00712B9C">
      <w:pPr>
        <w:pStyle w:val="NumberLevel6"/>
        <w:numPr>
          <w:ilvl w:val="0"/>
          <w:numId w:val="0"/>
        </w:numPr>
        <w:spacing w:after="0" w:line="240" w:lineRule="auto"/>
        <w:rPr>
          <w:rFonts w:ascii="Times New Roman" w:hAnsi="Times New Roman" w:cs="Times New Roman"/>
          <w:i/>
          <w:sz w:val="24"/>
          <w:szCs w:val="24"/>
          <w:u w:val="single"/>
          <w:lang w:val="en-GB" w:eastAsia="en-GB"/>
        </w:rPr>
      </w:pPr>
      <w:r w:rsidRPr="00381A22">
        <w:rPr>
          <w:rFonts w:ascii="Times New Roman" w:hAnsi="Times New Roman" w:cs="Times New Roman"/>
          <w:i/>
          <w:sz w:val="24"/>
          <w:szCs w:val="24"/>
          <w:u w:val="single"/>
          <w:lang w:val="en-GB" w:eastAsia="en-GB"/>
        </w:rPr>
        <w:t>External affairs power</w:t>
      </w:r>
    </w:p>
    <w:p w14:paraId="1C8F3E3E" w14:textId="77777777" w:rsidR="00712B9C" w:rsidRPr="00381A22" w:rsidRDefault="00712B9C" w:rsidP="00712B9C">
      <w:pPr>
        <w:pStyle w:val="Default"/>
      </w:pPr>
    </w:p>
    <w:p w14:paraId="53FE93CC" w14:textId="35366B20" w:rsidR="001E272A" w:rsidRPr="00381A22" w:rsidRDefault="001E272A" w:rsidP="00712B9C">
      <w:pPr>
        <w:pStyle w:val="Default"/>
      </w:pPr>
      <w:r w:rsidRPr="00381A22">
        <w:t xml:space="preserve">Section 51(xxix) of the Constitution empowers the Parliament to make the laws with respect to ‘external affairs’. The external affairs power supports legislation implementing Australia’s obligations under </w:t>
      </w:r>
      <w:r w:rsidR="00712B9C" w:rsidRPr="00381A22">
        <w:t xml:space="preserve">international </w:t>
      </w:r>
      <w:r w:rsidRPr="00381A22">
        <w:t xml:space="preserve">treaties to which it is a party. </w:t>
      </w:r>
    </w:p>
    <w:p w14:paraId="6878E1EF" w14:textId="77777777" w:rsidR="001E272A" w:rsidRPr="00381A22" w:rsidRDefault="001E272A" w:rsidP="00712B9C">
      <w:pPr>
        <w:pStyle w:val="Default"/>
      </w:pPr>
    </w:p>
    <w:p w14:paraId="00806C17" w14:textId="258098F5" w:rsidR="001E272A" w:rsidRPr="00381A22" w:rsidRDefault="001E272A" w:rsidP="00712B9C">
      <w:pPr>
        <w:pStyle w:val="Default"/>
        <w:rPr>
          <w:lang w:eastAsia="en-AU"/>
        </w:rPr>
      </w:pPr>
      <w:r w:rsidRPr="00381A22">
        <w:rPr>
          <w:shd w:val="clear" w:color="auto" w:fill="FFFFFF"/>
        </w:rPr>
        <w:t>Article 3(1) of</w:t>
      </w:r>
      <w:r w:rsidR="00712B9C" w:rsidRPr="00381A22">
        <w:rPr>
          <w:shd w:val="clear" w:color="auto" w:fill="FFFFFF"/>
        </w:rPr>
        <w:t xml:space="preserve"> the International Labour Organization’s </w:t>
      </w:r>
      <w:r w:rsidRPr="00381A22">
        <w:rPr>
          <w:i/>
          <w:iCs/>
          <w:shd w:val="clear" w:color="auto" w:fill="FFFFFF"/>
        </w:rPr>
        <w:t>Convention concerning Vocational Guidance and Vocational Training in the Development of Human Resources</w:t>
      </w:r>
      <w:r w:rsidRPr="00381A22">
        <w:rPr>
          <w:shd w:val="clear" w:color="auto" w:fill="FFFFFF"/>
        </w:rPr>
        <w:t xml:space="preserve"> requires Australia to extend its systems of vocational guidance, including continuing employment information. Article 3(2) provides that </w:t>
      </w:r>
      <w:r w:rsidRPr="00381A22">
        <w:rPr>
          <w:lang w:eastAsia="en-AU"/>
        </w:rPr>
        <w:t xml:space="preserve">such guidance is to cover choice of occupation and VET opportunities, among other things. </w:t>
      </w:r>
    </w:p>
    <w:p w14:paraId="59BF4ECC" w14:textId="77777777" w:rsidR="001E272A" w:rsidRPr="00381A22" w:rsidRDefault="001E272A" w:rsidP="00712B9C">
      <w:pPr>
        <w:pStyle w:val="Default"/>
        <w:rPr>
          <w:lang w:eastAsia="en-AU"/>
        </w:rPr>
      </w:pPr>
    </w:p>
    <w:p w14:paraId="1B3EDAE7" w14:textId="77777777" w:rsidR="001E272A" w:rsidRPr="00381A22" w:rsidRDefault="001E272A" w:rsidP="00712B9C">
      <w:pPr>
        <w:pStyle w:val="Default"/>
        <w:rPr>
          <w:rFonts w:ascii="Calibri" w:hAnsi="Calibri" w:cs="Calibri"/>
        </w:rPr>
      </w:pPr>
      <w:r w:rsidRPr="00381A22">
        <w:rPr>
          <w:shd w:val="clear" w:color="auto" w:fill="FFFFFF"/>
        </w:rPr>
        <w:t xml:space="preserve">The information kit and hotline to </w:t>
      </w:r>
      <w:proofErr w:type="gramStart"/>
      <w:r w:rsidRPr="00381A22">
        <w:rPr>
          <w:shd w:val="clear" w:color="auto" w:fill="FFFFFF"/>
        </w:rPr>
        <w:t>be delivered</w:t>
      </w:r>
      <w:proofErr w:type="gramEnd"/>
      <w:r w:rsidRPr="00381A22">
        <w:rPr>
          <w:shd w:val="clear" w:color="auto" w:fill="FFFFFF"/>
        </w:rPr>
        <w:t xml:space="preserve"> under the School Leaver Program will provide school leavers with information and support services to </w:t>
      </w:r>
      <w:r w:rsidRPr="00381A22">
        <w:rPr>
          <w:color w:val="auto"/>
        </w:rPr>
        <w:t>navigate post-school education and training and employment pathways,</w:t>
      </w:r>
      <w:r w:rsidRPr="00381A22">
        <w:rPr>
          <w:shd w:val="clear" w:color="auto" w:fill="FFFFFF"/>
        </w:rPr>
        <w:t xml:space="preserve"> including guidance in relation to their choice of occupation and</w:t>
      </w:r>
      <w:r w:rsidRPr="00381A22">
        <w:t xml:space="preserve"> promoting the range of career opportunities to which vocational education and training can lead.</w:t>
      </w:r>
    </w:p>
    <w:p w14:paraId="64AB2202" w14:textId="77777777" w:rsidR="00712B9C" w:rsidRPr="00381A22" w:rsidRDefault="00712B9C" w:rsidP="00712B9C">
      <w:pPr>
        <w:rPr>
          <w:rFonts w:ascii="Times New Roman" w:hAnsi="Times New Roman"/>
          <w:i/>
          <w:sz w:val="24"/>
          <w:szCs w:val="24"/>
          <w:u w:val="single"/>
          <w:lang w:val="en-GB" w:eastAsia="en-GB"/>
        </w:rPr>
      </w:pPr>
    </w:p>
    <w:p w14:paraId="6A033864" w14:textId="747FC4BB" w:rsidR="00D1379F" w:rsidRPr="00381A22" w:rsidRDefault="00D1379F" w:rsidP="00712B9C">
      <w:pPr>
        <w:rPr>
          <w:rFonts w:ascii="Times New Roman" w:hAnsi="Times New Roman"/>
          <w:i/>
          <w:sz w:val="24"/>
          <w:szCs w:val="24"/>
          <w:u w:val="single"/>
          <w:lang w:val="en-GB" w:eastAsia="en-GB"/>
        </w:rPr>
      </w:pPr>
      <w:r w:rsidRPr="00381A22">
        <w:rPr>
          <w:rFonts w:ascii="Times New Roman" w:hAnsi="Times New Roman"/>
          <w:i/>
          <w:sz w:val="24"/>
          <w:szCs w:val="24"/>
          <w:u w:val="single"/>
          <w:lang w:val="en-GB" w:eastAsia="en-GB"/>
        </w:rPr>
        <w:t>Communications power</w:t>
      </w:r>
    </w:p>
    <w:p w14:paraId="189752BC" w14:textId="77777777" w:rsidR="00D1379F" w:rsidRPr="00381A22" w:rsidRDefault="00D1379F" w:rsidP="00712B9C">
      <w:pPr>
        <w:rPr>
          <w:rFonts w:ascii="Times New Roman" w:hAnsi="Times New Roman"/>
          <w:sz w:val="24"/>
          <w:szCs w:val="24"/>
          <w:u w:val="single"/>
          <w:lang w:val="en-GB" w:eastAsia="en-GB"/>
        </w:rPr>
      </w:pPr>
    </w:p>
    <w:p w14:paraId="50873338" w14:textId="77777777" w:rsidR="001E272A" w:rsidRPr="00381A22" w:rsidRDefault="001E272A" w:rsidP="00712B9C">
      <w:pPr>
        <w:numPr>
          <w:ilvl w:val="0"/>
          <w:numId w:val="16"/>
        </w:numPr>
        <w:tabs>
          <w:tab w:val="clear" w:pos="425"/>
          <w:tab w:val="num" w:pos="-295"/>
        </w:tabs>
        <w:ind w:left="0"/>
        <w:rPr>
          <w:rFonts w:ascii="Times New Roman" w:hAnsi="Times New Roman"/>
          <w:sz w:val="24"/>
          <w:szCs w:val="24"/>
        </w:rPr>
      </w:pPr>
      <w:r w:rsidRPr="00381A22">
        <w:rPr>
          <w:rFonts w:ascii="Times New Roman" w:hAnsi="Times New Roman"/>
          <w:sz w:val="24"/>
          <w:szCs w:val="24"/>
        </w:rPr>
        <w:t xml:space="preserve">Section 51(v) of the Constitution empowers the Parliament to make laws with respect to ‘postal, telegraphic, telephonic and other like services’. </w:t>
      </w:r>
    </w:p>
    <w:p w14:paraId="6DC4D3CB" w14:textId="77777777" w:rsidR="001E272A" w:rsidRPr="00381A22" w:rsidRDefault="001E272A" w:rsidP="00712B9C">
      <w:pPr>
        <w:numPr>
          <w:ilvl w:val="0"/>
          <w:numId w:val="16"/>
        </w:numPr>
        <w:tabs>
          <w:tab w:val="clear" w:pos="425"/>
          <w:tab w:val="num" w:pos="-295"/>
        </w:tabs>
        <w:ind w:left="0"/>
        <w:rPr>
          <w:rFonts w:ascii="Times New Roman" w:hAnsi="Times New Roman"/>
          <w:sz w:val="24"/>
          <w:szCs w:val="24"/>
        </w:rPr>
      </w:pPr>
    </w:p>
    <w:p w14:paraId="32FDF487" w14:textId="77777777" w:rsidR="001E272A" w:rsidRPr="00381A22" w:rsidRDefault="001E272A" w:rsidP="00712B9C">
      <w:pPr>
        <w:rPr>
          <w:rFonts w:ascii="Times New Roman" w:hAnsi="Times New Roman"/>
          <w:color w:val="1F497D"/>
          <w:sz w:val="24"/>
          <w:szCs w:val="24"/>
        </w:rPr>
      </w:pPr>
      <w:r w:rsidRPr="00381A22">
        <w:rPr>
          <w:rFonts w:ascii="Times New Roman" w:hAnsi="Times New Roman"/>
          <w:sz w:val="24"/>
          <w:szCs w:val="24"/>
        </w:rPr>
        <w:t xml:space="preserve">The School Leaver Program will include a hotline delivered via telephone and information kits </w:t>
      </w:r>
      <w:r w:rsidRPr="00381A22">
        <w:rPr>
          <w:rFonts w:ascii="Times New Roman" w:hAnsi="Times New Roman"/>
          <w:color w:val="000000" w:themeColor="text1"/>
          <w:sz w:val="24"/>
          <w:szCs w:val="24"/>
        </w:rPr>
        <w:t xml:space="preserve">provided predominantly through </w:t>
      </w:r>
      <w:r w:rsidRPr="00381A22">
        <w:rPr>
          <w:rFonts w:ascii="Times New Roman" w:hAnsi="Times New Roman"/>
          <w:sz w:val="24"/>
          <w:szCs w:val="24"/>
        </w:rPr>
        <w:t>internet services.</w:t>
      </w:r>
      <w:r w:rsidRPr="00381A22">
        <w:rPr>
          <w:rFonts w:ascii="Times New Roman" w:hAnsi="Times New Roman"/>
          <w:color w:val="1F497D"/>
          <w:sz w:val="24"/>
          <w:szCs w:val="24"/>
        </w:rPr>
        <w:t xml:space="preserve"> </w:t>
      </w:r>
    </w:p>
    <w:p w14:paraId="004DBA30" w14:textId="76658058" w:rsidR="00D1379F" w:rsidRPr="00381A22" w:rsidRDefault="00D1379F" w:rsidP="001E272A">
      <w:pPr>
        <w:rPr>
          <w:rFonts w:ascii="Times New Roman" w:hAnsi="Times New Roman"/>
          <w:sz w:val="24"/>
          <w:szCs w:val="24"/>
          <w:u w:val="single"/>
          <w:lang w:val="en-GB" w:eastAsia="en-GB"/>
        </w:rPr>
      </w:pPr>
    </w:p>
    <w:p w14:paraId="743ABC68" w14:textId="051555E0" w:rsidR="006E66FB" w:rsidRPr="00381A22" w:rsidRDefault="006E66FB" w:rsidP="006E66FB">
      <w:pPr>
        <w:tabs>
          <w:tab w:val="left" w:pos="936"/>
        </w:tabs>
        <w:rPr>
          <w:rFonts w:ascii="Times New Roman" w:hAnsi="Times New Roman"/>
          <w:sz w:val="24"/>
          <w:szCs w:val="24"/>
          <w:lang w:val="en-GB"/>
        </w:rPr>
      </w:pPr>
      <w:proofErr w:type="gramStart"/>
      <w:r w:rsidRPr="00381A22">
        <w:rPr>
          <w:rFonts w:ascii="Times New Roman" w:hAnsi="Times New Roman"/>
          <w:color w:val="000000" w:themeColor="text1"/>
          <w:sz w:val="24"/>
          <w:szCs w:val="24"/>
        </w:rPr>
        <w:t xml:space="preserve">New </w:t>
      </w:r>
      <w:r w:rsidRPr="00381A22">
        <w:rPr>
          <w:rFonts w:ascii="Times New Roman" w:hAnsi="Times New Roman"/>
          <w:b/>
          <w:color w:val="000000" w:themeColor="text1"/>
          <w:sz w:val="24"/>
          <w:szCs w:val="24"/>
        </w:rPr>
        <w:t>table item</w:t>
      </w:r>
      <w:r w:rsidR="00AA1325" w:rsidRPr="00381A22">
        <w:rPr>
          <w:rFonts w:ascii="Times New Roman" w:hAnsi="Times New Roman"/>
          <w:b/>
          <w:color w:val="000000" w:themeColor="text1"/>
          <w:sz w:val="24"/>
          <w:szCs w:val="24"/>
        </w:rPr>
        <w:t xml:space="preserve"> 433</w:t>
      </w:r>
      <w:r w:rsidRPr="00381A22">
        <w:rPr>
          <w:rFonts w:ascii="Times New Roman" w:hAnsi="Times New Roman"/>
          <w:color w:val="000000" w:themeColor="text1"/>
          <w:sz w:val="24"/>
          <w:szCs w:val="24"/>
        </w:rPr>
        <w:t xml:space="preserve"> </w:t>
      </w:r>
      <w:r w:rsidRPr="00381A22">
        <w:rPr>
          <w:rFonts w:ascii="Times New Roman" w:hAnsi="Times New Roman"/>
          <w:sz w:val="24"/>
          <w:szCs w:val="24"/>
        </w:rPr>
        <w:t xml:space="preserve">establishes legislative authority for government spending on the Local Jobs – COVID-19 Recovery Pilot (the Local Jobs Pilot), which </w:t>
      </w:r>
      <w:r w:rsidR="00711B8A" w:rsidRPr="00381A22">
        <w:rPr>
          <w:rFonts w:ascii="Times New Roman" w:hAnsi="Times New Roman"/>
          <w:sz w:val="24"/>
          <w:szCs w:val="24"/>
        </w:rPr>
        <w:t>will</w:t>
      </w:r>
      <w:r w:rsidRPr="00381A22">
        <w:rPr>
          <w:rFonts w:ascii="Times New Roman" w:hAnsi="Times New Roman"/>
          <w:sz w:val="24"/>
          <w:szCs w:val="24"/>
        </w:rPr>
        <w:t xml:space="preserve"> support </w:t>
      </w:r>
      <w:r w:rsidRPr="00381A22">
        <w:rPr>
          <w:rFonts w:ascii="Times New Roman" w:hAnsi="Times New Roman"/>
          <w:sz w:val="24"/>
          <w:szCs w:val="24"/>
          <w:lang w:val="en-GB"/>
        </w:rPr>
        <w:t xml:space="preserve">local organisations and stakeholders to develop and implement tailored approaches to accelerate reskilling, upskilling and employment of job seekers in </w:t>
      </w:r>
      <w:r w:rsidR="00897E20" w:rsidRPr="00381A22">
        <w:rPr>
          <w:rFonts w:ascii="Times New Roman" w:hAnsi="Times New Roman"/>
          <w:sz w:val="24"/>
          <w:szCs w:val="24"/>
          <w:lang w:val="en-GB"/>
        </w:rPr>
        <w:t xml:space="preserve">selected </w:t>
      </w:r>
      <w:r w:rsidRPr="00381A22">
        <w:rPr>
          <w:rFonts w:ascii="Times New Roman" w:hAnsi="Times New Roman"/>
          <w:sz w:val="24"/>
          <w:szCs w:val="24"/>
          <w:lang w:val="en-GB"/>
        </w:rPr>
        <w:t xml:space="preserve">Employment Regions </w:t>
      </w:r>
      <w:r w:rsidR="00F14AE9" w:rsidRPr="00381A22">
        <w:rPr>
          <w:rFonts w:ascii="Times New Roman" w:hAnsi="Times New Roman"/>
          <w:sz w:val="24"/>
          <w:szCs w:val="24"/>
          <w:lang w:val="en-GB"/>
        </w:rPr>
        <w:t>in</w:t>
      </w:r>
      <w:r w:rsidRPr="00381A22">
        <w:rPr>
          <w:rFonts w:ascii="Times New Roman" w:hAnsi="Times New Roman"/>
          <w:sz w:val="24"/>
          <w:szCs w:val="24"/>
          <w:lang w:val="en-GB"/>
        </w:rPr>
        <w:t xml:space="preserve"> Australia</w:t>
      </w:r>
      <w:r w:rsidR="00711B8A" w:rsidRPr="00381A22">
        <w:rPr>
          <w:rFonts w:ascii="Times New Roman" w:hAnsi="Times New Roman"/>
          <w:sz w:val="24"/>
          <w:szCs w:val="24"/>
          <w:lang w:val="en-GB"/>
        </w:rPr>
        <w:t xml:space="preserve"> through the engagement of Employment Facilitators and the establishment of Local Jobs and Skills Taskforces</w:t>
      </w:r>
      <w:r w:rsidRPr="00381A22">
        <w:rPr>
          <w:rFonts w:ascii="Times New Roman" w:hAnsi="Times New Roman"/>
          <w:sz w:val="24"/>
          <w:szCs w:val="24"/>
          <w:lang w:val="en-GB"/>
        </w:rPr>
        <w:t>.</w:t>
      </w:r>
      <w:proofErr w:type="gramEnd"/>
    </w:p>
    <w:p w14:paraId="0C5AD76C" w14:textId="77777777" w:rsidR="006E66FB" w:rsidRPr="00381A22" w:rsidRDefault="006E66FB" w:rsidP="006E66FB">
      <w:pPr>
        <w:tabs>
          <w:tab w:val="left" w:pos="936"/>
        </w:tabs>
        <w:rPr>
          <w:rFonts w:ascii="Times New Roman" w:hAnsi="Times New Roman"/>
          <w:sz w:val="24"/>
          <w:szCs w:val="24"/>
        </w:rPr>
      </w:pPr>
    </w:p>
    <w:p w14:paraId="1407049B" w14:textId="74E98120" w:rsidR="006E66FB" w:rsidRPr="00381A22" w:rsidRDefault="006E66FB" w:rsidP="006E66FB">
      <w:pPr>
        <w:tabs>
          <w:tab w:val="left" w:pos="936"/>
        </w:tabs>
        <w:rPr>
          <w:rFonts w:ascii="Times New Roman" w:hAnsi="Times New Roman"/>
          <w:iCs/>
          <w:sz w:val="24"/>
          <w:szCs w:val="24"/>
        </w:rPr>
      </w:pPr>
      <w:r w:rsidRPr="00381A22">
        <w:rPr>
          <w:rFonts w:ascii="Times New Roman" w:hAnsi="Times New Roman"/>
          <w:iCs/>
          <w:sz w:val="24"/>
          <w:szCs w:val="24"/>
        </w:rPr>
        <w:lastRenderedPageBreak/>
        <w:t xml:space="preserve">The aim of the </w:t>
      </w:r>
      <w:r w:rsidR="00711B8A" w:rsidRPr="00381A22">
        <w:rPr>
          <w:rFonts w:ascii="Times New Roman" w:hAnsi="Times New Roman"/>
          <w:iCs/>
          <w:sz w:val="24"/>
          <w:szCs w:val="24"/>
        </w:rPr>
        <w:t>Local Jobs Pilot</w:t>
      </w:r>
      <w:r w:rsidRPr="00381A22">
        <w:rPr>
          <w:rFonts w:ascii="Times New Roman" w:hAnsi="Times New Roman"/>
          <w:iCs/>
          <w:sz w:val="24"/>
          <w:szCs w:val="24"/>
        </w:rPr>
        <w:t xml:space="preserve"> is to ensure that, from July 2020, as many people as possible are placed in appropriate employment or training opportunities, as quickly as possible, as the labour market recovers from the COVID-19 pandemic.</w:t>
      </w:r>
    </w:p>
    <w:p w14:paraId="2622CCEA" w14:textId="77777777" w:rsidR="00DB611E" w:rsidRPr="00381A22" w:rsidRDefault="00DB611E" w:rsidP="006E66FB">
      <w:pPr>
        <w:tabs>
          <w:tab w:val="left" w:pos="936"/>
        </w:tabs>
        <w:rPr>
          <w:rFonts w:ascii="Times New Roman" w:hAnsi="Times New Roman"/>
          <w:color w:val="000000" w:themeColor="text1"/>
          <w:sz w:val="24"/>
          <w:szCs w:val="24"/>
        </w:rPr>
      </w:pPr>
    </w:p>
    <w:p w14:paraId="32B92CB7" w14:textId="384ABC33"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Under the </w:t>
      </w:r>
      <w:r w:rsidR="00504628" w:rsidRPr="00381A22">
        <w:rPr>
          <w:rFonts w:ascii="Times New Roman" w:hAnsi="Times New Roman"/>
          <w:color w:val="000000" w:themeColor="text1"/>
          <w:sz w:val="24"/>
          <w:szCs w:val="24"/>
        </w:rPr>
        <w:t>Local Jobs Pilot</w:t>
      </w:r>
      <w:r w:rsidRPr="00381A22">
        <w:rPr>
          <w:rFonts w:ascii="Times New Roman" w:hAnsi="Times New Roman"/>
          <w:color w:val="000000" w:themeColor="text1"/>
          <w:sz w:val="24"/>
          <w:szCs w:val="24"/>
        </w:rPr>
        <w:t>, there will be:</w:t>
      </w:r>
    </w:p>
    <w:p w14:paraId="04F532E3" w14:textId="40F97542" w:rsidR="006E66FB" w:rsidRPr="00381A22" w:rsidRDefault="00AA1325" w:rsidP="006E66FB">
      <w:pPr>
        <w:numPr>
          <w:ilvl w:val="0"/>
          <w:numId w:val="35"/>
        </w:numPr>
        <w:tabs>
          <w:tab w:val="left" w:pos="936"/>
        </w:tabs>
        <w:rPr>
          <w:rFonts w:ascii="Times New Roman" w:hAnsi="Times New Roman"/>
          <w:sz w:val="24"/>
          <w:szCs w:val="24"/>
        </w:rPr>
      </w:pPr>
      <w:r w:rsidRPr="00381A22">
        <w:rPr>
          <w:rFonts w:ascii="Times New Roman" w:hAnsi="Times New Roman"/>
          <w:sz w:val="24"/>
          <w:szCs w:val="24"/>
        </w:rPr>
        <w:t>o</w:t>
      </w:r>
      <w:r w:rsidR="00897E20" w:rsidRPr="00381A22">
        <w:rPr>
          <w:rFonts w:ascii="Times New Roman" w:hAnsi="Times New Roman"/>
          <w:sz w:val="24"/>
          <w:szCs w:val="24"/>
        </w:rPr>
        <w:t xml:space="preserve">ne or two </w:t>
      </w:r>
      <w:r w:rsidR="006E66FB" w:rsidRPr="00381A22">
        <w:rPr>
          <w:rFonts w:ascii="Times New Roman" w:hAnsi="Times New Roman"/>
          <w:sz w:val="24"/>
          <w:szCs w:val="24"/>
        </w:rPr>
        <w:t xml:space="preserve">Employment Facilitators </w:t>
      </w:r>
      <w:r w:rsidR="00504628" w:rsidRPr="00381A22">
        <w:rPr>
          <w:rFonts w:ascii="Times New Roman" w:hAnsi="Times New Roman"/>
          <w:sz w:val="24"/>
          <w:szCs w:val="24"/>
        </w:rPr>
        <w:t xml:space="preserve">engaged </w:t>
      </w:r>
      <w:r w:rsidR="00897E20" w:rsidRPr="00381A22">
        <w:rPr>
          <w:rFonts w:ascii="Times New Roman" w:hAnsi="Times New Roman"/>
          <w:sz w:val="24"/>
          <w:szCs w:val="24"/>
        </w:rPr>
        <w:t xml:space="preserve">in each </w:t>
      </w:r>
      <w:r w:rsidR="006E66FB" w:rsidRPr="00381A22">
        <w:rPr>
          <w:rFonts w:ascii="Times New Roman" w:hAnsi="Times New Roman"/>
          <w:sz w:val="24"/>
          <w:szCs w:val="24"/>
        </w:rPr>
        <w:t xml:space="preserve">Employment </w:t>
      </w:r>
      <w:r w:rsidR="00897E20" w:rsidRPr="00381A22">
        <w:rPr>
          <w:rFonts w:ascii="Times New Roman" w:hAnsi="Times New Roman"/>
          <w:sz w:val="24"/>
          <w:szCs w:val="24"/>
        </w:rPr>
        <w:t>Region involved</w:t>
      </w:r>
      <w:r w:rsidR="006E66FB" w:rsidRPr="00381A22">
        <w:rPr>
          <w:rFonts w:ascii="Times New Roman" w:hAnsi="Times New Roman"/>
          <w:sz w:val="24"/>
          <w:szCs w:val="24"/>
        </w:rPr>
        <w:t>;</w:t>
      </w:r>
    </w:p>
    <w:p w14:paraId="4DADF01A" w14:textId="1DE0E4A9" w:rsidR="006E66FB" w:rsidRPr="00381A22" w:rsidRDefault="00504628" w:rsidP="006E66FB">
      <w:pPr>
        <w:numPr>
          <w:ilvl w:val="0"/>
          <w:numId w:val="35"/>
        </w:num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Local </w:t>
      </w:r>
      <w:r w:rsidR="006E66FB" w:rsidRPr="00381A22">
        <w:rPr>
          <w:rFonts w:ascii="Times New Roman" w:hAnsi="Times New Roman"/>
          <w:color w:val="000000" w:themeColor="text1"/>
          <w:sz w:val="24"/>
          <w:szCs w:val="24"/>
        </w:rPr>
        <w:t>Jobs and Skills Taskforces established in each Employment Region</w:t>
      </w:r>
      <w:r w:rsidR="00DC608B" w:rsidRPr="00381A22">
        <w:rPr>
          <w:rFonts w:ascii="Times New Roman" w:hAnsi="Times New Roman"/>
          <w:color w:val="000000" w:themeColor="text1"/>
          <w:sz w:val="24"/>
          <w:szCs w:val="24"/>
        </w:rPr>
        <w:t xml:space="preserve"> involved</w:t>
      </w:r>
      <w:r w:rsidR="006E66FB" w:rsidRPr="00381A22">
        <w:rPr>
          <w:rFonts w:ascii="Times New Roman" w:hAnsi="Times New Roman"/>
          <w:color w:val="000000" w:themeColor="text1"/>
          <w:sz w:val="24"/>
          <w:szCs w:val="24"/>
        </w:rPr>
        <w:t>;</w:t>
      </w:r>
    </w:p>
    <w:p w14:paraId="24E0F3C8" w14:textId="394FDE7B" w:rsidR="006E66FB" w:rsidRPr="00381A22" w:rsidRDefault="006E66FB" w:rsidP="006E66FB">
      <w:pPr>
        <w:numPr>
          <w:ilvl w:val="0"/>
          <w:numId w:val="35"/>
        </w:num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a Local Jobs Plan</w:t>
      </w:r>
      <w:r w:rsidRPr="00381A22" w:rsidDel="00F51A2D">
        <w:rPr>
          <w:rFonts w:ascii="Times New Roman" w:hAnsi="Times New Roman"/>
          <w:color w:val="000000" w:themeColor="text1"/>
          <w:sz w:val="24"/>
          <w:szCs w:val="24"/>
        </w:rPr>
        <w:t xml:space="preserve"> </w:t>
      </w:r>
      <w:r w:rsidRPr="00381A22">
        <w:rPr>
          <w:rFonts w:ascii="Times New Roman" w:hAnsi="Times New Roman"/>
          <w:color w:val="000000" w:themeColor="text1"/>
          <w:sz w:val="24"/>
          <w:szCs w:val="24"/>
        </w:rPr>
        <w:t xml:space="preserve">for each Employment Region, developed by the </w:t>
      </w:r>
      <w:r w:rsidR="007F67A1" w:rsidRPr="00381A22">
        <w:rPr>
          <w:rFonts w:ascii="Times New Roman" w:hAnsi="Times New Roman"/>
          <w:color w:val="000000" w:themeColor="text1"/>
          <w:sz w:val="24"/>
          <w:szCs w:val="24"/>
        </w:rPr>
        <w:t>Local</w:t>
      </w:r>
      <w:r w:rsidR="00504628" w:rsidRPr="00381A22">
        <w:rPr>
          <w:rFonts w:ascii="Times New Roman" w:hAnsi="Times New Roman"/>
          <w:color w:val="000000" w:themeColor="text1"/>
          <w:sz w:val="24"/>
          <w:szCs w:val="24"/>
        </w:rPr>
        <w:t xml:space="preserve"> </w:t>
      </w:r>
      <w:r w:rsidRPr="00381A22">
        <w:rPr>
          <w:rFonts w:ascii="Times New Roman" w:hAnsi="Times New Roman"/>
          <w:color w:val="000000" w:themeColor="text1"/>
          <w:sz w:val="24"/>
          <w:szCs w:val="24"/>
        </w:rPr>
        <w:t>Jobs and Skills Taskforces through engagement with their members, local stakeholders and other organisations where appropriate; and</w:t>
      </w:r>
    </w:p>
    <w:p w14:paraId="64F50D6E" w14:textId="77777777" w:rsidR="006E66FB" w:rsidRPr="00381A22" w:rsidRDefault="006E66FB" w:rsidP="006E66FB">
      <w:pPr>
        <w:numPr>
          <w:ilvl w:val="0"/>
          <w:numId w:val="35"/>
        </w:numPr>
        <w:tabs>
          <w:tab w:val="left" w:pos="936"/>
        </w:tabs>
        <w:rPr>
          <w:rFonts w:ascii="Times New Roman" w:hAnsi="Times New Roman"/>
          <w:color w:val="000000" w:themeColor="text1"/>
          <w:sz w:val="24"/>
          <w:szCs w:val="24"/>
        </w:rPr>
      </w:pPr>
      <w:proofErr w:type="gramStart"/>
      <w:r w:rsidRPr="00381A22">
        <w:rPr>
          <w:rFonts w:ascii="Times New Roman" w:hAnsi="Times New Roman"/>
          <w:color w:val="000000" w:themeColor="text1"/>
          <w:sz w:val="24"/>
          <w:szCs w:val="24"/>
        </w:rPr>
        <w:t>projects</w:t>
      </w:r>
      <w:proofErr w:type="gramEnd"/>
      <w:r w:rsidRPr="00381A22">
        <w:rPr>
          <w:rFonts w:ascii="Times New Roman" w:hAnsi="Times New Roman"/>
          <w:color w:val="000000" w:themeColor="text1"/>
          <w:sz w:val="24"/>
          <w:szCs w:val="24"/>
        </w:rPr>
        <w:t xml:space="preserve"> in each Employment Region, funded through a Local Recovery Fund. </w:t>
      </w:r>
    </w:p>
    <w:p w14:paraId="281123A2" w14:textId="77777777" w:rsidR="006E66FB" w:rsidRPr="00381A22" w:rsidRDefault="006E66FB" w:rsidP="006E66FB">
      <w:pPr>
        <w:tabs>
          <w:tab w:val="left" w:pos="936"/>
        </w:tabs>
        <w:rPr>
          <w:rFonts w:ascii="Times New Roman" w:hAnsi="Times New Roman"/>
          <w:color w:val="000000" w:themeColor="text1"/>
          <w:sz w:val="24"/>
          <w:szCs w:val="24"/>
        </w:rPr>
      </w:pPr>
    </w:p>
    <w:p w14:paraId="3490BC31" w14:textId="730403D9" w:rsidR="006E66FB" w:rsidRPr="00381A22" w:rsidRDefault="006E66FB" w:rsidP="006E66FB">
      <w:pPr>
        <w:tabs>
          <w:tab w:val="left" w:pos="936"/>
        </w:tabs>
        <w:rPr>
          <w:rFonts w:ascii="Times New Roman" w:hAnsi="Times New Roman"/>
          <w:color w:val="000000" w:themeColor="text1"/>
          <w:sz w:val="24"/>
          <w:szCs w:val="24"/>
        </w:rPr>
      </w:pPr>
      <w:proofErr w:type="gramStart"/>
      <w:r w:rsidRPr="00381A22">
        <w:rPr>
          <w:rFonts w:ascii="Times New Roman" w:hAnsi="Times New Roman"/>
          <w:color w:val="000000" w:themeColor="text1"/>
          <w:sz w:val="24"/>
          <w:szCs w:val="24"/>
        </w:rPr>
        <w:t xml:space="preserve">Recognising that the impact of </w:t>
      </w:r>
      <w:r w:rsidR="00AA1325" w:rsidRPr="00381A22">
        <w:rPr>
          <w:rFonts w:ascii="Times New Roman" w:hAnsi="Times New Roman"/>
          <w:color w:val="000000" w:themeColor="text1"/>
          <w:sz w:val="24"/>
          <w:szCs w:val="24"/>
        </w:rPr>
        <w:t xml:space="preserve">the </w:t>
      </w:r>
      <w:r w:rsidRPr="00381A22">
        <w:rPr>
          <w:rFonts w:ascii="Times New Roman" w:hAnsi="Times New Roman"/>
          <w:color w:val="000000" w:themeColor="text1"/>
          <w:sz w:val="24"/>
          <w:szCs w:val="24"/>
        </w:rPr>
        <w:t>COVID-19</w:t>
      </w:r>
      <w:r w:rsidR="00504628" w:rsidRPr="00381A22">
        <w:rPr>
          <w:rFonts w:ascii="Times New Roman" w:hAnsi="Times New Roman"/>
          <w:color w:val="000000" w:themeColor="text1"/>
          <w:sz w:val="24"/>
          <w:szCs w:val="24"/>
        </w:rPr>
        <w:t xml:space="preserve"> pandemic</w:t>
      </w:r>
      <w:r w:rsidRPr="00381A22">
        <w:rPr>
          <w:rFonts w:ascii="Times New Roman" w:hAnsi="Times New Roman"/>
          <w:color w:val="000000" w:themeColor="text1"/>
          <w:sz w:val="24"/>
          <w:szCs w:val="24"/>
        </w:rPr>
        <w:t xml:space="preserve"> has been different across labour markets, information will be provided by the National Skills Commission and the National Careers Institute to each Taskforce so that they can understand the changing occupational requirements of their region, and drive and coordinate local projects that identify transferable skills and equip persons seeking employment (‘job seekers’) to meet labour market demand.</w:t>
      </w:r>
      <w:proofErr w:type="gramEnd"/>
      <w:r w:rsidRPr="00381A22">
        <w:rPr>
          <w:rFonts w:ascii="Times New Roman" w:hAnsi="Times New Roman"/>
          <w:color w:val="000000" w:themeColor="text1"/>
          <w:sz w:val="24"/>
          <w:szCs w:val="24"/>
        </w:rPr>
        <w:t xml:space="preserve"> </w:t>
      </w:r>
    </w:p>
    <w:p w14:paraId="2F908270" w14:textId="77777777" w:rsidR="006E66FB" w:rsidRPr="00381A22" w:rsidRDefault="006E66FB" w:rsidP="006E66FB">
      <w:pPr>
        <w:tabs>
          <w:tab w:val="left" w:pos="936"/>
        </w:tabs>
        <w:rPr>
          <w:rFonts w:ascii="Times New Roman" w:hAnsi="Times New Roman"/>
          <w:color w:val="000000" w:themeColor="text1"/>
          <w:sz w:val="24"/>
          <w:szCs w:val="24"/>
        </w:rPr>
      </w:pPr>
    </w:p>
    <w:p w14:paraId="55E8C5F9" w14:textId="2E04F9D2"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The National Skills Commission and </w:t>
      </w:r>
      <w:r w:rsidR="00504628" w:rsidRPr="00381A22">
        <w:rPr>
          <w:rFonts w:ascii="Times New Roman" w:hAnsi="Times New Roman"/>
          <w:color w:val="000000" w:themeColor="text1"/>
          <w:sz w:val="24"/>
          <w:szCs w:val="24"/>
        </w:rPr>
        <w:t xml:space="preserve">the </w:t>
      </w:r>
      <w:r w:rsidRPr="00381A22">
        <w:rPr>
          <w:rFonts w:ascii="Times New Roman" w:hAnsi="Times New Roman"/>
          <w:color w:val="000000" w:themeColor="text1"/>
          <w:sz w:val="24"/>
          <w:szCs w:val="24"/>
        </w:rPr>
        <w:t xml:space="preserve">National Careers </w:t>
      </w:r>
      <w:r w:rsidR="00504628" w:rsidRPr="00381A22">
        <w:rPr>
          <w:rFonts w:ascii="Times New Roman" w:hAnsi="Times New Roman"/>
          <w:color w:val="000000" w:themeColor="text1"/>
          <w:sz w:val="24"/>
          <w:szCs w:val="24"/>
        </w:rPr>
        <w:t>I</w:t>
      </w:r>
      <w:r w:rsidRPr="00381A22">
        <w:rPr>
          <w:rFonts w:ascii="Times New Roman" w:hAnsi="Times New Roman"/>
          <w:color w:val="000000" w:themeColor="text1"/>
          <w:sz w:val="24"/>
          <w:szCs w:val="24"/>
        </w:rPr>
        <w:t>nstitute</w:t>
      </w:r>
      <w:r w:rsidR="00504628" w:rsidRPr="00381A22">
        <w:rPr>
          <w:rFonts w:ascii="Times New Roman" w:hAnsi="Times New Roman"/>
          <w:color w:val="000000" w:themeColor="text1"/>
          <w:sz w:val="24"/>
          <w:szCs w:val="24"/>
        </w:rPr>
        <w:t xml:space="preserve"> (part of the department)</w:t>
      </w:r>
      <w:r w:rsidRPr="00381A22">
        <w:rPr>
          <w:rFonts w:ascii="Times New Roman" w:hAnsi="Times New Roman"/>
          <w:color w:val="000000" w:themeColor="text1"/>
          <w:sz w:val="24"/>
          <w:szCs w:val="24"/>
        </w:rPr>
        <w:t xml:space="preserve"> both have a role in the analysis of skills forecasting data and dissemination of careers information to support identifying skills gaps and employment opportunities. The national scope of these organisations will support the provision of local-level intelligence to the Taskforces and their appointed Employment Facilitator</w:t>
      </w:r>
      <w:r w:rsidR="00504628" w:rsidRPr="00381A22">
        <w:rPr>
          <w:rFonts w:ascii="Times New Roman" w:hAnsi="Times New Roman"/>
          <w:color w:val="000000" w:themeColor="text1"/>
          <w:sz w:val="24"/>
          <w:szCs w:val="24"/>
        </w:rPr>
        <w:t>s,</w:t>
      </w:r>
      <w:r w:rsidRPr="00381A22">
        <w:rPr>
          <w:rFonts w:ascii="Times New Roman" w:hAnsi="Times New Roman"/>
          <w:color w:val="000000" w:themeColor="text1"/>
          <w:sz w:val="24"/>
          <w:szCs w:val="24"/>
        </w:rPr>
        <w:t xml:space="preserve"> which </w:t>
      </w:r>
      <w:proofErr w:type="gramStart"/>
      <w:r w:rsidRPr="00381A22">
        <w:rPr>
          <w:rFonts w:ascii="Times New Roman" w:hAnsi="Times New Roman"/>
          <w:color w:val="000000" w:themeColor="text1"/>
          <w:sz w:val="24"/>
          <w:szCs w:val="24"/>
        </w:rPr>
        <w:t>will be used</w:t>
      </w:r>
      <w:proofErr w:type="gramEnd"/>
      <w:r w:rsidRPr="00381A22">
        <w:rPr>
          <w:rFonts w:ascii="Times New Roman" w:hAnsi="Times New Roman"/>
          <w:color w:val="000000" w:themeColor="text1"/>
          <w:sz w:val="24"/>
          <w:szCs w:val="24"/>
        </w:rPr>
        <w:t xml:space="preserve"> to inform th</w:t>
      </w:r>
      <w:r w:rsidR="00504628" w:rsidRPr="00381A22">
        <w:rPr>
          <w:rFonts w:ascii="Times New Roman" w:hAnsi="Times New Roman"/>
          <w:color w:val="000000" w:themeColor="text1"/>
          <w:sz w:val="24"/>
          <w:szCs w:val="24"/>
        </w:rPr>
        <w:t>e</w:t>
      </w:r>
      <w:r w:rsidRPr="00381A22">
        <w:rPr>
          <w:rFonts w:ascii="Times New Roman" w:hAnsi="Times New Roman"/>
          <w:color w:val="000000" w:themeColor="text1"/>
          <w:sz w:val="24"/>
          <w:szCs w:val="24"/>
        </w:rPr>
        <w:t xml:space="preserve"> development of a Local Jobs Plan for their region. The Taskforce for instance may leverage digital platforms designed by the National Careers Institute to assist job seekers navigate and use information available in an in-demand sector or industry in their region.</w:t>
      </w:r>
    </w:p>
    <w:p w14:paraId="5DFFBFA4" w14:textId="77777777" w:rsidR="006E66FB" w:rsidRPr="00381A22" w:rsidRDefault="006E66FB" w:rsidP="006E66FB">
      <w:pPr>
        <w:tabs>
          <w:tab w:val="left" w:pos="936"/>
        </w:tabs>
        <w:rPr>
          <w:rFonts w:ascii="Times New Roman" w:hAnsi="Times New Roman"/>
          <w:color w:val="000000" w:themeColor="text1"/>
          <w:sz w:val="24"/>
          <w:szCs w:val="24"/>
        </w:rPr>
      </w:pPr>
    </w:p>
    <w:p w14:paraId="3767DCC8" w14:textId="77777777" w:rsidR="006E66FB" w:rsidRPr="00381A22" w:rsidRDefault="006E66FB" w:rsidP="006E66FB">
      <w:pPr>
        <w:tabs>
          <w:tab w:val="left" w:pos="936"/>
        </w:tabs>
        <w:rPr>
          <w:rFonts w:ascii="Times New Roman" w:hAnsi="Times New Roman"/>
          <w:i/>
          <w:color w:val="000000" w:themeColor="text1"/>
          <w:sz w:val="24"/>
          <w:szCs w:val="24"/>
        </w:rPr>
      </w:pPr>
      <w:r w:rsidRPr="00381A22">
        <w:rPr>
          <w:rFonts w:ascii="Times New Roman" w:hAnsi="Times New Roman"/>
          <w:i/>
          <w:color w:val="000000" w:themeColor="text1"/>
          <w:sz w:val="24"/>
          <w:szCs w:val="24"/>
        </w:rPr>
        <w:t>Employment Facilitators</w:t>
      </w:r>
    </w:p>
    <w:p w14:paraId="268DB535" w14:textId="77777777" w:rsidR="006E66FB" w:rsidRPr="00381A22" w:rsidRDefault="006E66FB" w:rsidP="006E66FB">
      <w:pPr>
        <w:tabs>
          <w:tab w:val="left" w:pos="936"/>
        </w:tabs>
        <w:rPr>
          <w:rFonts w:ascii="Times New Roman" w:hAnsi="Times New Roman"/>
          <w:color w:val="000000" w:themeColor="text1"/>
          <w:sz w:val="24"/>
          <w:szCs w:val="24"/>
        </w:rPr>
      </w:pPr>
    </w:p>
    <w:p w14:paraId="256D6FD9" w14:textId="6DB7DDAA" w:rsidR="006E66FB" w:rsidRPr="00381A22" w:rsidRDefault="006E66FB" w:rsidP="006E66FB">
      <w:pPr>
        <w:tabs>
          <w:tab w:val="left" w:pos="936"/>
        </w:tabs>
        <w:rPr>
          <w:rFonts w:ascii="Times New Roman" w:hAnsi="Times New Roman"/>
          <w:b/>
          <w:color w:val="000000" w:themeColor="text1"/>
          <w:sz w:val="24"/>
          <w:szCs w:val="24"/>
        </w:rPr>
      </w:pPr>
      <w:r w:rsidRPr="00381A22">
        <w:rPr>
          <w:rFonts w:ascii="Times New Roman" w:hAnsi="Times New Roman"/>
          <w:color w:val="000000" w:themeColor="text1"/>
          <w:sz w:val="24"/>
          <w:szCs w:val="24"/>
        </w:rPr>
        <w:t xml:space="preserve">The key role of each Employment Facilitator is to support the delivery of place-based training and employment outcomes under the </w:t>
      </w:r>
      <w:r w:rsidR="00504628" w:rsidRPr="00381A22">
        <w:rPr>
          <w:rFonts w:ascii="Times New Roman" w:hAnsi="Times New Roman"/>
          <w:color w:val="000000" w:themeColor="text1"/>
          <w:sz w:val="24"/>
          <w:szCs w:val="24"/>
        </w:rPr>
        <w:t>Local Jobs Pilot</w:t>
      </w:r>
      <w:r w:rsidRPr="00381A22">
        <w:rPr>
          <w:rFonts w:ascii="Times New Roman" w:hAnsi="Times New Roman"/>
          <w:color w:val="000000" w:themeColor="text1"/>
          <w:sz w:val="24"/>
          <w:szCs w:val="24"/>
        </w:rPr>
        <w:t xml:space="preserve">. Employment Facilitators will be responsible for liaising with the wider community to connect job seekers with employment and training programs and providers, including employment services providers. Employment Facilitators will work with employers to improve job seeker participation in </w:t>
      </w:r>
      <w:proofErr w:type="gramStart"/>
      <w:r w:rsidRPr="00381A22">
        <w:rPr>
          <w:rFonts w:ascii="Times New Roman" w:hAnsi="Times New Roman"/>
          <w:color w:val="000000" w:themeColor="text1"/>
          <w:sz w:val="24"/>
          <w:szCs w:val="24"/>
        </w:rPr>
        <w:t>government funded</w:t>
      </w:r>
      <w:proofErr w:type="gramEnd"/>
      <w:r w:rsidRPr="00381A22">
        <w:rPr>
          <w:rFonts w:ascii="Times New Roman" w:hAnsi="Times New Roman"/>
          <w:color w:val="000000" w:themeColor="text1"/>
          <w:sz w:val="24"/>
          <w:szCs w:val="24"/>
        </w:rPr>
        <w:t xml:space="preserve"> programs. They will build and sustain productive working relationships with employment service</w:t>
      </w:r>
      <w:r w:rsidR="00504628" w:rsidRPr="00381A22">
        <w:rPr>
          <w:rFonts w:ascii="Times New Roman" w:hAnsi="Times New Roman"/>
          <w:color w:val="000000" w:themeColor="text1"/>
          <w:sz w:val="24"/>
          <w:szCs w:val="24"/>
        </w:rPr>
        <w:t>s</w:t>
      </w:r>
      <w:r w:rsidRPr="00381A22">
        <w:rPr>
          <w:rFonts w:ascii="Times New Roman" w:hAnsi="Times New Roman"/>
          <w:color w:val="000000" w:themeColor="text1"/>
          <w:sz w:val="24"/>
          <w:szCs w:val="24"/>
        </w:rPr>
        <w:t xml:space="preserve"> providers, training and peak body organisations, community organisations and education providers that will maximise support to the unemployed and align with local economic recovery priorities.</w:t>
      </w:r>
      <w:r w:rsidRPr="00381A22">
        <w:rPr>
          <w:rFonts w:ascii="Times New Roman" w:hAnsi="Times New Roman"/>
          <w:b/>
          <w:color w:val="000000" w:themeColor="text1"/>
          <w:sz w:val="24"/>
          <w:szCs w:val="24"/>
        </w:rPr>
        <w:t xml:space="preserve"> </w:t>
      </w:r>
    </w:p>
    <w:p w14:paraId="72689725" w14:textId="1A4422E3" w:rsidR="006E66FB" w:rsidRPr="00381A22" w:rsidRDefault="006E66FB" w:rsidP="006E66FB">
      <w:pPr>
        <w:tabs>
          <w:tab w:val="left" w:pos="936"/>
        </w:tabs>
        <w:rPr>
          <w:rFonts w:ascii="Times New Roman" w:hAnsi="Times New Roman"/>
          <w:sz w:val="24"/>
          <w:szCs w:val="24"/>
        </w:rPr>
      </w:pPr>
    </w:p>
    <w:p w14:paraId="317B52F0" w14:textId="5431F47B" w:rsidR="006E66FB" w:rsidRPr="00381A22" w:rsidRDefault="00333731" w:rsidP="006E66FB">
      <w:pPr>
        <w:tabs>
          <w:tab w:val="left" w:pos="936"/>
        </w:tabs>
        <w:rPr>
          <w:rFonts w:ascii="Times New Roman" w:hAnsi="Times New Roman"/>
          <w:b/>
          <w:sz w:val="24"/>
          <w:szCs w:val="24"/>
        </w:rPr>
      </w:pPr>
      <w:r w:rsidRPr="00381A22">
        <w:rPr>
          <w:rFonts w:ascii="Times New Roman" w:hAnsi="Times New Roman"/>
          <w:sz w:val="24"/>
          <w:szCs w:val="24"/>
        </w:rPr>
        <w:t xml:space="preserve">The Employment Regions under the Local Jobs Pilot </w:t>
      </w:r>
      <w:proofErr w:type="gramStart"/>
      <w:r w:rsidRPr="00381A22">
        <w:rPr>
          <w:rFonts w:ascii="Times New Roman" w:hAnsi="Times New Roman"/>
          <w:sz w:val="24"/>
          <w:szCs w:val="24"/>
        </w:rPr>
        <w:t>will be selected</w:t>
      </w:r>
      <w:proofErr w:type="gramEnd"/>
      <w:r w:rsidRPr="00381A22">
        <w:rPr>
          <w:rFonts w:ascii="Times New Roman" w:hAnsi="Times New Roman"/>
          <w:sz w:val="24"/>
          <w:szCs w:val="24"/>
        </w:rPr>
        <w:t xml:space="preserve"> from the 51 functional economic regions used by </w:t>
      </w:r>
      <w:proofErr w:type="spellStart"/>
      <w:r w:rsidRPr="00381A22">
        <w:rPr>
          <w:rFonts w:ascii="Times New Roman" w:hAnsi="Times New Roman"/>
          <w:i/>
          <w:sz w:val="24"/>
          <w:szCs w:val="24"/>
        </w:rPr>
        <w:t>jobactive</w:t>
      </w:r>
      <w:proofErr w:type="spellEnd"/>
      <w:r w:rsidRPr="00381A22">
        <w:rPr>
          <w:rFonts w:ascii="Times New Roman" w:hAnsi="Times New Roman"/>
          <w:sz w:val="24"/>
          <w:szCs w:val="24"/>
        </w:rPr>
        <w:t xml:space="preserve"> and other employment services programs.</w:t>
      </w:r>
      <w:r w:rsidR="00DB611E" w:rsidRPr="00381A22">
        <w:rPr>
          <w:rFonts w:ascii="Times New Roman" w:hAnsi="Times New Roman"/>
          <w:sz w:val="24"/>
          <w:szCs w:val="24"/>
        </w:rPr>
        <w:t xml:space="preserve"> </w:t>
      </w:r>
    </w:p>
    <w:p w14:paraId="0773F5DA" w14:textId="6E6100E4" w:rsidR="00333731" w:rsidRPr="00381A22" w:rsidRDefault="00333731" w:rsidP="00333731">
      <w:pPr>
        <w:tabs>
          <w:tab w:val="left" w:pos="936"/>
        </w:tabs>
        <w:rPr>
          <w:rFonts w:ascii="Times New Roman" w:hAnsi="Times New Roman"/>
          <w:sz w:val="24"/>
          <w:szCs w:val="24"/>
        </w:rPr>
      </w:pPr>
      <w:r w:rsidRPr="00381A22">
        <w:rPr>
          <w:rFonts w:ascii="Times New Roman" w:hAnsi="Times New Roman"/>
          <w:sz w:val="24"/>
          <w:szCs w:val="24"/>
        </w:rPr>
        <w:t>The</w:t>
      </w:r>
      <w:r w:rsidR="00DB611E" w:rsidRPr="00381A22">
        <w:rPr>
          <w:rFonts w:ascii="Times New Roman" w:hAnsi="Times New Roman"/>
          <w:sz w:val="24"/>
          <w:szCs w:val="24"/>
        </w:rPr>
        <w:t>se Employment R</w:t>
      </w:r>
      <w:r w:rsidRPr="00381A22">
        <w:rPr>
          <w:rFonts w:ascii="Times New Roman" w:hAnsi="Times New Roman"/>
          <w:sz w:val="24"/>
          <w:szCs w:val="24"/>
        </w:rPr>
        <w:t xml:space="preserve">egions </w:t>
      </w:r>
      <w:proofErr w:type="gramStart"/>
      <w:r w:rsidRPr="00381A22">
        <w:rPr>
          <w:rFonts w:ascii="Times New Roman" w:hAnsi="Times New Roman"/>
          <w:sz w:val="24"/>
          <w:szCs w:val="24"/>
        </w:rPr>
        <w:t>will be selected</w:t>
      </w:r>
      <w:proofErr w:type="gramEnd"/>
      <w:r w:rsidRPr="00381A22">
        <w:rPr>
          <w:rFonts w:ascii="Times New Roman" w:hAnsi="Times New Roman"/>
          <w:sz w:val="24"/>
          <w:szCs w:val="24"/>
        </w:rPr>
        <w:t xml:space="preserve"> based on the impact of COVID-19 on local labour market conditions. Regions with a large number of job seekers on their employment services caseload will receive two Employment Facilitators. Employment Regions where there are smaller numbers of job seekers will receive one Employment Facilitator.</w:t>
      </w:r>
    </w:p>
    <w:p w14:paraId="2588B7A5" w14:textId="77777777" w:rsidR="00333731" w:rsidRPr="00381A22" w:rsidRDefault="00333731" w:rsidP="006E66FB">
      <w:pPr>
        <w:tabs>
          <w:tab w:val="left" w:pos="936"/>
        </w:tabs>
        <w:rPr>
          <w:rFonts w:ascii="Times New Roman" w:hAnsi="Times New Roman"/>
          <w:b/>
          <w:color w:val="000000" w:themeColor="text1"/>
          <w:sz w:val="24"/>
          <w:szCs w:val="24"/>
        </w:rPr>
      </w:pPr>
    </w:p>
    <w:p w14:paraId="7C423C5B" w14:textId="0E3DDA10"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The services of Employment Facilitators </w:t>
      </w:r>
      <w:proofErr w:type="gramStart"/>
      <w:r w:rsidRPr="00381A22">
        <w:rPr>
          <w:rFonts w:ascii="Times New Roman" w:hAnsi="Times New Roman"/>
          <w:color w:val="000000" w:themeColor="text1"/>
          <w:sz w:val="24"/>
          <w:szCs w:val="24"/>
        </w:rPr>
        <w:t>will be procured</w:t>
      </w:r>
      <w:proofErr w:type="gramEnd"/>
      <w:r w:rsidRPr="00381A22">
        <w:rPr>
          <w:rFonts w:ascii="Times New Roman" w:hAnsi="Times New Roman"/>
          <w:color w:val="000000" w:themeColor="text1"/>
          <w:sz w:val="24"/>
          <w:szCs w:val="24"/>
        </w:rPr>
        <w:t xml:space="preserve"> through an open competitive tender. Funds </w:t>
      </w:r>
      <w:proofErr w:type="gramStart"/>
      <w:r w:rsidRPr="00381A22">
        <w:rPr>
          <w:rFonts w:ascii="Times New Roman" w:hAnsi="Times New Roman"/>
          <w:color w:val="000000" w:themeColor="text1"/>
          <w:sz w:val="24"/>
          <w:szCs w:val="24"/>
        </w:rPr>
        <w:t>will also be made</w:t>
      </w:r>
      <w:proofErr w:type="gramEnd"/>
      <w:r w:rsidRPr="00381A22">
        <w:rPr>
          <w:rFonts w:ascii="Times New Roman" w:hAnsi="Times New Roman"/>
          <w:color w:val="000000" w:themeColor="text1"/>
          <w:sz w:val="24"/>
          <w:szCs w:val="24"/>
        </w:rPr>
        <w:t xml:space="preserve"> available through the Local Recovery Fund to procure projects that address the training and employment needs of the local community. </w:t>
      </w:r>
    </w:p>
    <w:p w14:paraId="14126B5E" w14:textId="77777777" w:rsidR="006E66FB" w:rsidRPr="00381A22" w:rsidRDefault="006E66FB" w:rsidP="006E66FB">
      <w:pPr>
        <w:tabs>
          <w:tab w:val="left" w:pos="936"/>
        </w:tabs>
        <w:rPr>
          <w:rFonts w:ascii="Times New Roman" w:hAnsi="Times New Roman"/>
          <w:color w:val="000000" w:themeColor="text1"/>
          <w:sz w:val="24"/>
          <w:szCs w:val="24"/>
        </w:rPr>
      </w:pPr>
    </w:p>
    <w:p w14:paraId="21ADB5D0" w14:textId="2B4BC203" w:rsidR="006E66FB" w:rsidRPr="00381A22" w:rsidRDefault="00454194" w:rsidP="006E66FB">
      <w:pPr>
        <w:tabs>
          <w:tab w:val="left" w:pos="936"/>
        </w:tabs>
        <w:rPr>
          <w:rFonts w:ascii="Times New Roman" w:hAnsi="Times New Roman"/>
          <w:i/>
          <w:color w:val="000000" w:themeColor="text1"/>
          <w:sz w:val="24"/>
          <w:szCs w:val="24"/>
        </w:rPr>
      </w:pPr>
      <w:r w:rsidRPr="00381A22">
        <w:rPr>
          <w:rFonts w:ascii="Times New Roman" w:hAnsi="Times New Roman"/>
          <w:i/>
          <w:color w:val="000000" w:themeColor="text1"/>
          <w:sz w:val="24"/>
          <w:szCs w:val="24"/>
        </w:rPr>
        <w:lastRenderedPageBreak/>
        <w:t>Local</w:t>
      </w:r>
      <w:r w:rsidR="00DB611E" w:rsidRPr="00381A22">
        <w:rPr>
          <w:rFonts w:ascii="Times New Roman" w:hAnsi="Times New Roman"/>
          <w:i/>
          <w:color w:val="000000" w:themeColor="text1"/>
          <w:sz w:val="24"/>
          <w:szCs w:val="24"/>
        </w:rPr>
        <w:t xml:space="preserve"> </w:t>
      </w:r>
      <w:r w:rsidR="006E66FB" w:rsidRPr="00381A22">
        <w:rPr>
          <w:rFonts w:ascii="Times New Roman" w:hAnsi="Times New Roman"/>
          <w:i/>
          <w:color w:val="000000" w:themeColor="text1"/>
          <w:sz w:val="24"/>
          <w:szCs w:val="24"/>
        </w:rPr>
        <w:t>Jobs and Skills Taskforces (the Taskforces)</w:t>
      </w:r>
    </w:p>
    <w:p w14:paraId="2024BD0A" w14:textId="77777777" w:rsidR="006E66FB" w:rsidRPr="00381A22" w:rsidRDefault="006E66FB" w:rsidP="006E66FB">
      <w:pPr>
        <w:tabs>
          <w:tab w:val="left" w:pos="936"/>
        </w:tabs>
        <w:rPr>
          <w:rFonts w:ascii="Times New Roman" w:hAnsi="Times New Roman"/>
          <w:color w:val="000000" w:themeColor="text1"/>
          <w:sz w:val="24"/>
          <w:szCs w:val="24"/>
        </w:rPr>
      </w:pPr>
    </w:p>
    <w:p w14:paraId="3C74DF42" w14:textId="39E7178F"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The key role of the Taskforces is to develop a Local Jobs Plan and drive local projects that meet the employment priorities identified in this plan, as well as bring together key organisations involved in local economic development, social support organisations, local and state governments, and employment service</w:t>
      </w:r>
      <w:r w:rsidR="00DC127E" w:rsidRPr="00381A22">
        <w:rPr>
          <w:rFonts w:ascii="Times New Roman" w:hAnsi="Times New Roman"/>
          <w:color w:val="000000" w:themeColor="text1"/>
          <w:sz w:val="24"/>
          <w:szCs w:val="24"/>
        </w:rPr>
        <w:t>s</w:t>
      </w:r>
      <w:r w:rsidRPr="00381A22">
        <w:rPr>
          <w:rFonts w:ascii="Times New Roman" w:hAnsi="Times New Roman"/>
          <w:color w:val="000000" w:themeColor="text1"/>
          <w:sz w:val="24"/>
          <w:szCs w:val="24"/>
        </w:rPr>
        <w:t xml:space="preserve"> providers.</w:t>
      </w:r>
    </w:p>
    <w:p w14:paraId="6AA5AA69" w14:textId="77777777" w:rsidR="006E66FB" w:rsidRPr="00381A22" w:rsidRDefault="006E66FB" w:rsidP="006E66FB">
      <w:pPr>
        <w:tabs>
          <w:tab w:val="left" w:pos="936"/>
        </w:tabs>
        <w:rPr>
          <w:rFonts w:ascii="Times New Roman" w:hAnsi="Times New Roman"/>
          <w:color w:val="000000" w:themeColor="text1"/>
          <w:sz w:val="24"/>
          <w:szCs w:val="24"/>
        </w:rPr>
      </w:pPr>
    </w:p>
    <w:p w14:paraId="70876A43" w14:textId="7777777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Each Employment Region will have a Taskforce comprised of a maximum of 10 members and will be chaired or co-chaired by the Employment Facilitator(s). The decision on the membership of each Taskforce </w:t>
      </w:r>
      <w:proofErr w:type="gramStart"/>
      <w:r w:rsidRPr="00381A22">
        <w:rPr>
          <w:rFonts w:ascii="Times New Roman" w:hAnsi="Times New Roman"/>
          <w:color w:val="000000" w:themeColor="text1"/>
          <w:sz w:val="24"/>
          <w:szCs w:val="24"/>
        </w:rPr>
        <w:t>will be made</w:t>
      </w:r>
      <w:proofErr w:type="gramEnd"/>
      <w:r w:rsidRPr="00381A22">
        <w:rPr>
          <w:rFonts w:ascii="Times New Roman" w:hAnsi="Times New Roman"/>
          <w:color w:val="000000" w:themeColor="text1"/>
          <w:sz w:val="24"/>
          <w:szCs w:val="24"/>
        </w:rPr>
        <w:t xml:space="preserve"> by a departmental official, the delegate of the Secretary of the department, based on recommendations from the relevant Employment Facilitator(s). Members will consist of key stakeholders who can support local employment facilitation, such as representatives from local and state governments, Chambers of Commerce, Regional Development Australia Committees, </w:t>
      </w:r>
      <w:proofErr w:type="gramStart"/>
      <w:r w:rsidRPr="00381A22">
        <w:rPr>
          <w:rFonts w:ascii="Times New Roman" w:hAnsi="Times New Roman"/>
          <w:color w:val="000000" w:themeColor="text1"/>
          <w:sz w:val="24"/>
          <w:szCs w:val="24"/>
        </w:rPr>
        <w:t>Registered</w:t>
      </w:r>
      <w:proofErr w:type="gramEnd"/>
      <w:r w:rsidRPr="00381A22">
        <w:rPr>
          <w:rFonts w:ascii="Times New Roman" w:hAnsi="Times New Roman"/>
          <w:color w:val="000000" w:themeColor="text1"/>
          <w:sz w:val="24"/>
          <w:szCs w:val="24"/>
        </w:rPr>
        <w:t xml:space="preserve"> Training </w:t>
      </w:r>
    </w:p>
    <w:p w14:paraId="160490AB" w14:textId="7777777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Organisations, social support organisations, unions, and employment services providers. </w:t>
      </w:r>
    </w:p>
    <w:p w14:paraId="482E9B34" w14:textId="77777777" w:rsidR="006E66FB" w:rsidRPr="00381A22" w:rsidRDefault="006E66FB" w:rsidP="006E66FB">
      <w:pPr>
        <w:tabs>
          <w:tab w:val="left" w:pos="936"/>
        </w:tabs>
        <w:rPr>
          <w:rFonts w:ascii="Times New Roman" w:hAnsi="Times New Roman"/>
          <w:color w:val="000000" w:themeColor="text1"/>
          <w:sz w:val="24"/>
          <w:szCs w:val="24"/>
        </w:rPr>
      </w:pPr>
    </w:p>
    <w:p w14:paraId="3F0504BD" w14:textId="5C353B15"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The Taskforces will run from their establishment (between July and October 2020) until the end of the </w:t>
      </w:r>
      <w:r w:rsidR="00DC127E" w:rsidRPr="00381A22">
        <w:rPr>
          <w:rFonts w:ascii="Times New Roman" w:hAnsi="Times New Roman"/>
          <w:color w:val="000000" w:themeColor="text1"/>
          <w:sz w:val="24"/>
          <w:szCs w:val="24"/>
        </w:rPr>
        <w:t>Pilot</w:t>
      </w:r>
      <w:r w:rsidRPr="00381A22">
        <w:rPr>
          <w:rFonts w:ascii="Times New Roman" w:hAnsi="Times New Roman"/>
          <w:color w:val="000000" w:themeColor="text1"/>
          <w:sz w:val="24"/>
          <w:szCs w:val="24"/>
        </w:rPr>
        <w:t xml:space="preserve"> (June 2022). They </w:t>
      </w:r>
      <w:proofErr w:type="gramStart"/>
      <w:r w:rsidRPr="00381A22">
        <w:rPr>
          <w:rFonts w:ascii="Times New Roman" w:hAnsi="Times New Roman"/>
          <w:color w:val="000000" w:themeColor="text1"/>
          <w:sz w:val="24"/>
          <w:szCs w:val="24"/>
        </w:rPr>
        <w:t>will be governed</w:t>
      </w:r>
      <w:proofErr w:type="gramEnd"/>
      <w:r w:rsidRPr="00381A22">
        <w:rPr>
          <w:rFonts w:ascii="Times New Roman" w:hAnsi="Times New Roman"/>
          <w:color w:val="000000" w:themeColor="text1"/>
          <w:sz w:val="24"/>
          <w:szCs w:val="24"/>
        </w:rPr>
        <w:t xml:space="preserve"> by terms of reference, which will set out quorum, meeting frequency, changes in membership and administrative requirements, including how meetings will be documented. The chair or co-chairs </w:t>
      </w:r>
      <w:proofErr w:type="gramStart"/>
      <w:r w:rsidRPr="00381A22">
        <w:rPr>
          <w:rFonts w:ascii="Times New Roman" w:hAnsi="Times New Roman"/>
          <w:color w:val="000000" w:themeColor="text1"/>
          <w:sz w:val="24"/>
          <w:szCs w:val="24"/>
        </w:rPr>
        <w:t>may, on advice from members, invite</w:t>
      </w:r>
      <w:proofErr w:type="gramEnd"/>
      <w:r w:rsidRPr="00381A22">
        <w:rPr>
          <w:rFonts w:ascii="Times New Roman" w:hAnsi="Times New Roman"/>
          <w:color w:val="000000" w:themeColor="text1"/>
          <w:sz w:val="24"/>
          <w:szCs w:val="24"/>
        </w:rPr>
        <w:t xml:space="preserve"> additional observers, project proposers and expert advisers to attend Taskforce meetings.</w:t>
      </w:r>
    </w:p>
    <w:p w14:paraId="3E93A140" w14:textId="77777777" w:rsidR="006E66FB" w:rsidRPr="00381A22" w:rsidRDefault="006E66FB" w:rsidP="006E66FB">
      <w:pPr>
        <w:tabs>
          <w:tab w:val="left" w:pos="936"/>
        </w:tabs>
        <w:rPr>
          <w:rFonts w:ascii="Times New Roman" w:hAnsi="Times New Roman"/>
          <w:color w:val="000000" w:themeColor="text1"/>
          <w:sz w:val="24"/>
          <w:szCs w:val="24"/>
        </w:rPr>
      </w:pPr>
    </w:p>
    <w:p w14:paraId="409DDEE1" w14:textId="5CB06DDE"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Members of the Taskforce </w:t>
      </w:r>
      <w:proofErr w:type="gramStart"/>
      <w:r w:rsidRPr="00381A22">
        <w:rPr>
          <w:rFonts w:ascii="Times New Roman" w:hAnsi="Times New Roman"/>
          <w:color w:val="000000" w:themeColor="text1"/>
          <w:sz w:val="24"/>
          <w:szCs w:val="24"/>
        </w:rPr>
        <w:t>will not be paid</w:t>
      </w:r>
      <w:proofErr w:type="gramEnd"/>
      <w:r w:rsidRPr="00381A22">
        <w:rPr>
          <w:rFonts w:ascii="Times New Roman" w:hAnsi="Times New Roman"/>
          <w:color w:val="000000" w:themeColor="text1"/>
          <w:sz w:val="24"/>
          <w:szCs w:val="24"/>
        </w:rPr>
        <w:t xml:space="preserve"> for their involvement. The department will be responsible for both the provision of secretariat support and the overarching management of the Taskforces, to ensure they fulfil the functions outlined in the</w:t>
      </w:r>
      <w:r w:rsidR="00DC127E" w:rsidRPr="00381A22">
        <w:rPr>
          <w:rFonts w:ascii="Times New Roman" w:hAnsi="Times New Roman"/>
          <w:color w:val="000000" w:themeColor="text1"/>
          <w:sz w:val="24"/>
          <w:szCs w:val="24"/>
        </w:rPr>
        <w:t>ir</w:t>
      </w:r>
      <w:r w:rsidRPr="00381A22">
        <w:rPr>
          <w:rFonts w:ascii="Times New Roman" w:hAnsi="Times New Roman"/>
          <w:color w:val="000000" w:themeColor="text1"/>
          <w:sz w:val="24"/>
          <w:szCs w:val="24"/>
        </w:rPr>
        <w:t xml:space="preserve"> terms of reference.</w:t>
      </w:r>
    </w:p>
    <w:p w14:paraId="037C3449" w14:textId="77777777" w:rsidR="006E66FB" w:rsidRPr="00381A22" w:rsidRDefault="006E66FB" w:rsidP="006E66FB">
      <w:pPr>
        <w:tabs>
          <w:tab w:val="left" w:pos="936"/>
        </w:tabs>
        <w:rPr>
          <w:rFonts w:ascii="Times New Roman" w:hAnsi="Times New Roman"/>
          <w:color w:val="000000" w:themeColor="text1"/>
          <w:sz w:val="24"/>
          <w:szCs w:val="24"/>
        </w:rPr>
      </w:pPr>
    </w:p>
    <w:p w14:paraId="4EEE8021" w14:textId="77777777" w:rsidR="006E66FB" w:rsidRPr="00381A22" w:rsidRDefault="006E66FB" w:rsidP="006E66FB">
      <w:pPr>
        <w:tabs>
          <w:tab w:val="left" w:pos="936"/>
        </w:tabs>
        <w:rPr>
          <w:rFonts w:ascii="Times New Roman" w:hAnsi="Times New Roman"/>
          <w:i/>
          <w:color w:val="000000" w:themeColor="text1"/>
          <w:sz w:val="24"/>
          <w:szCs w:val="24"/>
        </w:rPr>
      </w:pPr>
      <w:r w:rsidRPr="00381A22">
        <w:rPr>
          <w:rFonts w:ascii="Times New Roman" w:hAnsi="Times New Roman"/>
          <w:i/>
          <w:color w:val="000000" w:themeColor="text1"/>
          <w:sz w:val="24"/>
          <w:szCs w:val="24"/>
        </w:rPr>
        <w:t>Development of Local Jobs Plans</w:t>
      </w:r>
    </w:p>
    <w:p w14:paraId="2EB640E4" w14:textId="77777777" w:rsidR="006E66FB" w:rsidRPr="00381A22" w:rsidRDefault="006E66FB" w:rsidP="006E66FB">
      <w:pPr>
        <w:tabs>
          <w:tab w:val="left" w:pos="936"/>
        </w:tabs>
        <w:rPr>
          <w:rFonts w:ascii="Times New Roman" w:hAnsi="Times New Roman"/>
          <w:color w:val="000000" w:themeColor="text1"/>
          <w:sz w:val="24"/>
          <w:szCs w:val="24"/>
        </w:rPr>
      </w:pPr>
    </w:p>
    <w:p w14:paraId="20E42892" w14:textId="7777777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A Local Jobs Plan </w:t>
      </w:r>
      <w:proofErr w:type="gramStart"/>
      <w:r w:rsidRPr="00381A22">
        <w:rPr>
          <w:rFonts w:ascii="Times New Roman" w:hAnsi="Times New Roman"/>
          <w:color w:val="000000" w:themeColor="text1"/>
          <w:sz w:val="24"/>
          <w:szCs w:val="24"/>
        </w:rPr>
        <w:t>will be developed</w:t>
      </w:r>
      <w:proofErr w:type="gramEnd"/>
      <w:r w:rsidRPr="00381A22">
        <w:rPr>
          <w:rFonts w:ascii="Times New Roman" w:hAnsi="Times New Roman"/>
          <w:color w:val="000000" w:themeColor="text1"/>
          <w:sz w:val="24"/>
          <w:szCs w:val="24"/>
        </w:rPr>
        <w:t xml:space="preserve"> by each Taskforce to identify key employment priorities for each region and opportunities to improve the skills of job seekers in order to better meet employer demand. The plans </w:t>
      </w:r>
      <w:proofErr w:type="gramStart"/>
      <w:r w:rsidRPr="00381A22">
        <w:rPr>
          <w:rFonts w:ascii="Times New Roman" w:hAnsi="Times New Roman"/>
          <w:color w:val="000000" w:themeColor="text1"/>
          <w:sz w:val="24"/>
          <w:szCs w:val="24"/>
        </w:rPr>
        <w:t>will be presented</w:t>
      </w:r>
      <w:proofErr w:type="gramEnd"/>
      <w:r w:rsidRPr="00381A22">
        <w:rPr>
          <w:rFonts w:ascii="Times New Roman" w:hAnsi="Times New Roman"/>
          <w:color w:val="000000" w:themeColor="text1"/>
          <w:sz w:val="24"/>
          <w:szCs w:val="24"/>
        </w:rPr>
        <w:t xml:space="preserve"> to the department for approval. </w:t>
      </w:r>
    </w:p>
    <w:p w14:paraId="6BF5364A" w14:textId="77777777" w:rsidR="006E66FB" w:rsidRPr="00381A22" w:rsidRDefault="006E66FB" w:rsidP="006E66FB">
      <w:pPr>
        <w:tabs>
          <w:tab w:val="left" w:pos="936"/>
        </w:tabs>
        <w:rPr>
          <w:rFonts w:ascii="Times New Roman" w:hAnsi="Times New Roman"/>
          <w:color w:val="000000" w:themeColor="text1"/>
          <w:sz w:val="24"/>
          <w:szCs w:val="24"/>
        </w:rPr>
      </w:pPr>
    </w:p>
    <w:p w14:paraId="39309923" w14:textId="7777777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Once a plan </w:t>
      </w:r>
      <w:proofErr w:type="gramStart"/>
      <w:r w:rsidRPr="00381A22">
        <w:rPr>
          <w:rFonts w:ascii="Times New Roman" w:hAnsi="Times New Roman"/>
          <w:color w:val="000000" w:themeColor="text1"/>
          <w:sz w:val="24"/>
          <w:szCs w:val="24"/>
        </w:rPr>
        <w:t>has been approved</w:t>
      </w:r>
      <w:proofErr w:type="gramEnd"/>
      <w:r w:rsidRPr="00381A22">
        <w:rPr>
          <w:rFonts w:ascii="Times New Roman" w:hAnsi="Times New Roman"/>
          <w:color w:val="000000" w:themeColor="text1"/>
          <w:sz w:val="24"/>
          <w:szCs w:val="24"/>
        </w:rPr>
        <w:t xml:space="preserve">, the Employment Facilitators will work with the broader community, including local and state governments, employers, training organisations, employment services providers, Regional Development Australia Committees and other community organisations or stakeholders to drive, identify and develop employment-related projects to assist job seekers. </w:t>
      </w:r>
    </w:p>
    <w:p w14:paraId="186FAF0E" w14:textId="77777777" w:rsidR="006E66FB" w:rsidRPr="00381A22" w:rsidRDefault="006E66FB" w:rsidP="006E66FB">
      <w:pPr>
        <w:tabs>
          <w:tab w:val="left" w:pos="936"/>
        </w:tabs>
        <w:rPr>
          <w:rFonts w:ascii="Times New Roman" w:hAnsi="Times New Roman"/>
          <w:color w:val="000000" w:themeColor="text1"/>
          <w:sz w:val="24"/>
          <w:szCs w:val="24"/>
        </w:rPr>
      </w:pPr>
    </w:p>
    <w:p w14:paraId="0F9B6FAD" w14:textId="7777777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Where necessary, the department will provide administrative support to Employment Facilitators.</w:t>
      </w:r>
    </w:p>
    <w:p w14:paraId="5917ED2E" w14:textId="77777777" w:rsidR="006E66FB" w:rsidRPr="00381A22" w:rsidRDefault="006E66FB" w:rsidP="006E66FB">
      <w:pPr>
        <w:tabs>
          <w:tab w:val="left" w:pos="936"/>
        </w:tabs>
        <w:rPr>
          <w:rFonts w:ascii="Times New Roman" w:hAnsi="Times New Roman"/>
          <w:color w:val="000000" w:themeColor="text1"/>
          <w:sz w:val="24"/>
          <w:szCs w:val="24"/>
        </w:rPr>
      </w:pPr>
    </w:p>
    <w:p w14:paraId="05F2D36F" w14:textId="77777777" w:rsidR="006E66FB" w:rsidRPr="00381A22" w:rsidRDefault="006E66FB" w:rsidP="006E66FB">
      <w:pPr>
        <w:tabs>
          <w:tab w:val="left" w:pos="936"/>
        </w:tabs>
        <w:rPr>
          <w:rFonts w:ascii="Times New Roman" w:hAnsi="Times New Roman"/>
          <w:i/>
          <w:color w:val="000000" w:themeColor="text1"/>
          <w:sz w:val="24"/>
          <w:szCs w:val="24"/>
        </w:rPr>
      </w:pPr>
      <w:r w:rsidRPr="00381A22">
        <w:rPr>
          <w:rFonts w:ascii="Times New Roman" w:hAnsi="Times New Roman"/>
          <w:i/>
          <w:color w:val="000000" w:themeColor="text1"/>
          <w:sz w:val="24"/>
          <w:szCs w:val="24"/>
        </w:rPr>
        <w:t>Local Recovery Fund</w:t>
      </w:r>
    </w:p>
    <w:p w14:paraId="4FA5F502" w14:textId="77777777" w:rsidR="006E66FB" w:rsidRPr="00381A22" w:rsidRDefault="006E66FB" w:rsidP="006E66FB">
      <w:pPr>
        <w:tabs>
          <w:tab w:val="left" w:pos="936"/>
        </w:tabs>
        <w:rPr>
          <w:rFonts w:ascii="Times New Roman" w:hAnsi="Times New Roman"/>
          <w:color w:val="000000" w:themeColor="text1"/>
          <w:sz w:val="24"/>
          <w:szCs w:val="24"/>
        </w:rPr>
      </w:pPr>
    </w:p>
    <w:p w14:paraId="2CB52399" w14:textId="3CAFBDCE"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sz w:val="24"/>
          <w:szCs w:val="24"/>
        </w:rPr>
        <w:t xml:space="preserve">A Local Recovery Fund </w:t>
      </w:r>
      <w:r w:rsidR="00454194" w:rsidRPr="00381A22">
        <w:rPr>
          <w:rFonts w:ascii="Times New Roman" w:hAnsi="Times New Roman"/>
          <w:sz w:val="24"/>
          <w:szCs w:val="24"/>
        </w:rPr>
        <w:t xml:space="preserve">(up to $14 </w:t>
      </w:r>
      <w:r w:rsidRPr="00381A22">
        <w:rPr>
          <w:rFonts w:ascii="Times New Roman" w:hAnsi="Times New Roman"/>
          <w:sz w:val="24"/>
          <w:szCs w:val="24"/>
        </w:rPr>
        <w:t xml:space="preserve">million over two years from 2020-21) will be available </w:t>
      </w:r>
      <w:r w:rsidRPr="00381A22">
        <w:rPr>
          <w:rFonts w:ascii="Times New Roman" w:hAnsi="Times New Roman"/>
          <w:color w:val="000000" w:themeColor="text1"/>
          <w:sz w:val="24"/>
          <w:szCs w:val="24"/>
        </w:rPr>
        <w:t>across the Employment Regions for projects that meet the employment and training priorities identified in the Local Jobs Plan</w:t>
      </w:r>
      <w:r w:rsidR="00DC127E" w:rsidRPr="00381A22">
        <w:rPr>
          <w:rFonts w:ascii="Times New Roman" w:hAnsi="Times New Roman"/>
          <w:color w:val="000000" w:themeColor="text1"/>
          <w:sz w:val="24"/>
          <w:szCs w:val="24"/>
        </w:rPr>
        <w:t>s</w:t>
      </w:r>
      <w:r w:rsidRPr="00381A22">
        <w:rPr>
          <w:rFonts w:ascii="Times New Roman" w:hAnsi="Times New Roman"/>
          <w:color w:val="000000" w:themeColor="text1"/>
          <w:sz w:val="24"/>
          <w:szCs w:val="24"/>
        </w:rPr>
        <w:t xml:space="preserve">, which will be tailored to the opportunities and needs identified in each region. </w:t>
      </w:r>
    </w:p>
    <w:p w14:paraId="3C235E34" w14:textId="77777777" w:rsidR="006E66FB" w:rsidRPr="00381A22" w:rsidRDefault="006E66FB" w:rsidP="006E66FB">
      <w:pPr>
        <w:tabs>
          <w:tab w:val="left" w:pos="936"/>
        </w:tabs>
        <w:rPr>
          <w:rFonts w:ascii="Times New Roman" w:hAnsi="Times New Roman"/>
          <w:color w:val="000000" w:themeColor="text1"/>
          <w:sz w:val="24"/>
          <w:szCs w:val="24"/>
        </w:rPr>
      </w:pPr>
    </w:p>
    <w:p w14:paraId="76785C84" w14:textId="37FDD5E8"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lastRenderedPageBreak/>
        <w:t xml:space="preserve">An open competitive tender process will be run by the department to determine how funding will be allocated for the projects identified in the Local Jobs Plans. It </w:t>
      </w:r>
      <w:proofErr w:type="gramStart"/>
      <w:r w:rsidRPr="00381A22">
        <w:rPr>
          <w:rFonts w:ascii="Times New Roman" w:hAnsi="Times New Roman"/>
          <w:color w:val="000000" w:themeColor="text1"/>
          <w:sz w:val="24"/>
          <w:szCs w:val="24"/>
        </w:rPr>
        <w:t>is envisaged</w:t>
      </w:r>
      <w:proofErr w:type="gramEnd"/>
      <w:r w:rsidRPr="00381A22">
        <w:rPr>
          <w:rFonts w:ascii="Times New Roman" w:hAnsi="Times New Roman"/>
          <w:color w:val="000000" w:themeColor="text1"/>
          <w:sz w:val="24"/>
          <w:szCs w:val="24"/>
        </w:rPr>
        <w:t xml:space="preserve"> that applicants will be local not-for-profit organisations, for-profit employers and training providers. For example, a local council may develop an aged </w:t>
      </w:r>
      <w:proofErr w:type="gramStart"/>
      <w:r w:rsidRPr="00381A22">
        <w:rPr>
          <w:rFonts w:ascii="Times New Roman" w:hAnsi="Times New Roman"/>
          <w:color w:val="000000" w:themeColor="text1"/>
          <w:sz w:val="24"/>
          <w:szCs w:val="24"/>
        </w:rPr>
        <w:t>care training</w:t>
      </w:r>
      <w:proofErr w:type="gramEnd"/>
      <w:r w:rsidRPr="00381A22">
        <w:rPr>
          <w:rFonts w:ascii="Times New Roman" w:hAnsi="Times New Roman"/>
          <w:color w:val="000000" w:themeColor="text1"/>
          <w:sz w:val="24"/>
          <w:szCs w:val="24"/>
        </w:rPr>
        <w:t xml:space="preserve"> course, or providers may work with employers to upskill job seekers for an upcoming infrastructure project. </w:t>
      </w:r>
    </w:p>
    <w:p w14:paraId="0282385B" w14:textId="77777777" w:rsidR="006E66FB" w:rsidRPr="00381A22" w:rsidRDefault="006E66FB" w:rsidP="006E66FB">
      <w:pPr>
        <w:tabs>
          <w:tab w:val="left" w:pos="936"/>
        </w:tabs>
        <w:rPr>
          <w:rFonts w:ascii="Times New Roman" w:hAnsi="Times New Roman"/>
          <w:color w:val="000000" w:themeColor="text1"/>
          <w:sz w:val="24"/>
          <w:szCs w:val="24"/>
        </w:rPr>
      </w:pPr>
    </w:p>
    <w:p w14:paraId="1F678CA2" w14:textId="320A1CB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It </w:t>
      </w:r>
      <w:proofErr w:type="gramStart"/>
      <w:r w:rsidRPr="00381A22">
        <w:rPr>
          <w:rFonts w:ascii="Times New Roman" w:hAnsi="Times New Roman"/>
          <w:color w:val="000000" w:themeColor="text1"/>
          <w:sz w:val="24"/>
          <w:szCs w:val="24"/>
        </w:rPr>
        <w:t>is anticipated</w:t>
      </w:r>
      <w:proofErr w:type="gramEnd"/>
      <w:r w:rsidRPr="00381A22">
        <w:rPr>
          <w:rFonts w:ascii="Times New Roman" w:hAnsi="Times New Roman"/>
          <w:color w:val="000000" w:themeColor="text1"/>
          <w:sz w:val="24"/>
          <w:szCs w:val="24"/>
        </w:rPr>
        <w:t xml:space="preserve"> that all projects will need to have at least one employment services provider as a delivery partner. For the purposes of th</w:t>
      </w:r>
      <w:r w:rsidR="00DC127E" w:rsidRPr="00381A22">
        <w:rPr>
          <w:rFonts w:ascii="Times New Roman" w:hAnsi="Times New Roman"/>
          <w:color w:val="000000" w:themeColor="text1"/>
          <w:sz w:val="24"/>
          <w:szCs w:val="24"/>
        </w:rPr>
        <w:t>e Local Jobs Pilot</w:t>
      </w:r>
      <w:r w:rsidRPr="00381A22">
        <w:rPr>
          <w:rFonts w:ascii="Times New Roman" w:hAnsi="Times New Roman"/>
          <w:color w:val="000000" w:themeColor="text1"/>
          <w:sz w:val="24"/>
          <w:szCs w:val="24"/>
        </w:rPr>
        <w:t xml:space="preserve">, employment services providers include </w:t>
      </w:r>
      <w:proofErr w:type="spellStart"/>
      <w:r w:rsidRPr="00381A22">
        <w:rPr>
          <w:rFonts w:ascii="Times New Roman" w:hAnsi="Times New Roman"/>
          <w:i/>
          <w:color w:val="000000" w:themeColor="text1"/>
          <w:sz w:val="24"/>
          <w:szCs w:val="24"/>
        </w:rPr>
        <w:t>jobactive</w:t>
      </w:r>
      <w:proofErr w:type="spellEnd"/>
      <w:r w:rsidRPr="00381A22">
        <w:rPr>
          <w:rFonts w:ascii="Times New Roman" w:hAnsi="Times New Roman"/>
          <w:color w:val="000000" w:themeColor="text1"/>
          <w:sz w:val="24"/>
          <w:szCs w:val="24"/>
        </w:rPr>
        <w:t xml:space="preserve">, Transition to Work, New Employment Services Trial and </w:t>
      </w:r>
      <w:proofErr w:type="spellStart"/>
      <w:r w:rsidRPr="00381A22">
        <w:rPr>
          <w:rFonts w:ascii="Times New Roman" w:hAnsi="Times New Roman"/>
          <w:color w:val="000000" w:themeColor="text1"/>
          <w:sz w:val="24"/>
          <w:szCs w:val="24"/>
        </w:rPr>
        <w:t>ParentsNext</w:t>
      </w:r>
      <w:proofErr w:type="spellEnd"/>
      <w:r w:rsidRPr="00381A22">
        <w:rPr>
          <w:rFonts w:ascii="Times New Roman" w:hAnsi="Times New Roman"/>
          <w:color w:val="000000" w:themeColor="text1"/>
          <w:sz w:val="24"/>
          <w:szCs w:val="24"/>
        </w:rPr>
        <w:t xml:space="preserve"> providers. The department will be responsible for engaging and managing contracts with project proponents. The contracted party will be responsible for delivering their projects, which will align with the priorities set out in each region’s Local Jobs Plan. </w:t>
      </w:r>
    </w:p>
    <w:p w14:paraId="628AE084" w14:textId="77777777" w:rsidR="006E66FB" w:rsidRPr="00381A22" w:rsidRDefault="006E66FB" w:rsidP="006E66FB">
      <w:pPr>
        <w:tabs>
          <w:tab w:val="left" w:pos="936"/>
        </w:tabs>
        <w:rPr>
          <w:rFonts w:ascii="Times New Roman" w:hAnsi="Times New Roman"/>
          <w:color w:val="000000" w:themeColor="text1"/>
          <w:sz w:val="24"/>
          <w:szCs w:val="24"/>
        </w:rPr>
      </w:pPr>
    </w:p>
    <w:p w14:paraId="04D4149A" w14:textId="7777777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The department will procure services of Employment Facilitators and deliver projects under the Local Recovery Fund through an open competitive tender process. The procurement process will be undertaken in accordance with applicable requirements under the </w:t>
      </w:r>
      <w:r w:rsidRPr="00381A22">
        <w:rPr>
          <w:rFonts w:ascii="Times New Roman" w:hAnsi="Times New Roman"/>
          <w:i/>
          <w:color w:val="000000" w:themeColor="text1"/>
          <w:sz w:val="24"/>
          <w:szCs w:val="24"/>
        </w:rPr>
        <w:t xml:space="preserve">Public Governance, Performance and Accountability Act 2013, </w:t>
      </w:r>
      <w:r w:rsidRPr="00381A22">
        <w:rPr>
          <w:rFonts w:ascii="Times New Roman" w:hAnsi="Times New Roman"/>
          <w:color w:val="000000" w:themeColor="text1"/>
          <w:sz w:val="24"/>
          <w:szCs w:val="24"/>
        </w:rPr>
        <w:t xml:space="preserve">the </w:t>
      </w:r>
      <w:r w:rsidRPr="00381A22">
        <w:rPr>
          <w:rFonts w:ascii="Times New Roman" w:hAnsi="Times New Roman"/>
          <w:i/>
          <w:color w:val="000000" w:themeColor="text1"/>
          <w:sz w:val="24"/>
          <w:szCs w:val="24"/>
        </w:rPr>
        <w:t>Commonwealth Procurement Rules</w:t>
      </w:r>
      <w:r w:rsidRPr="00381A22">
        <w:rPr>
          <w:rFonts w:ascii="Times New Roman" w:hAnsi="Times New Roman"/>
          <w:color w:val="000000" w:themeColor="text1"/>
          <w:sz w:val="24"/>
          <w:szCs w:val="24"/>
        </w:rPr>
        <w:t xml:space="preserve"> (CPRs) and the department’s Accountable Authority Instructions, to ensure a robust and transparent procurement </w:t>
      </w:r>
      <w:proofErr w:type="gramStart"/>
      <w:r w:rsidRPr="00381A22">
        <w:rPr>
          <w:rFonts w:ascii="Times New Roman" w:hAnsi="Times New Roman"/>
          <w:color w:val="000000" w:themeColor="text1"/>
          <w:sz w:val="24"/>
          <w:szCs w:val="24"/>
        </w:rPr>
        <w:t>decision making</w:t>
      </w:r>
      <w:proofErr w:type="gramEnd"/>
      <w:r w:rsidRPr="00381A22">
        <w:rPr>
          <w:rFonts w:ascii="Times New Roman" w:hAnsi="Times New Roman"/>
          <w:color w:val="000000" w:themeColor="text1"/>
          <w:sz w:val="24"/>
          <w:szCs w:val="24"/>
        </w:rPr>
        <w:t xml:space="preserve"> process that provides value for money to the Commonwealth. The resultant contracts </w:t>
      </w:r>
      <w:proofErr w:type="gramStart"/>
      <w:r w:rsidRPr="00381A22">
        <w:rPr>
          <w:rFonts w:ascii="Times New Roman" w:hAnsi="Times New Roman"/>
          <w:color w:val="000000" w:themeColor="text1"/>
          <w:sz w:val="24"/>
          <w:szCs w:val="24"/>
        </w:rPr>
        <w:t>will be reported</w:t>
      </w:r>
      <w:proofErr w:type="gramEnd"/>
      <w:r w:rsidRPr="00381A22">
        <w:rPr>
          <w:rFonts w:ascii="Times New Roman" w:hAnsi="Times New Roman"/>
          <w:color w:val="000000" w:themeColor="text1"/>
          <w:sz w:val="24"/>
          <w:szCs w:val="24"/>
        </w:rPr>
        <w:t xml:space="preserve"> on the </w:t>
      </w:r>
      <w:proofErr w:type="spellStart"/>
      <w:r w:rsidRPr="00381A22">
        <w:rPr>
          <w:rFonts w:ascii="Times New Roman" w:hAnsi="Times New Roman"/>
          <w:color w:val="000000" w:themeColor="text1"/>
          <w:sz w:val="24"/>
          <w:szCs w:val="24"/>
        </w:rPr>
        <w:t>AusTender</w:t>
      </w:r>
      <w:proofErr w:type="spellEnd"/>
      <w:r w:rsidRPr="00381A22">
        <w:rPr>
          <w:rFonts w:ascii="Times New Roman" w:hAnsi="Times New Roman"/>
          <w:color w:val="000000" w:themeColor="text1"/>
          <w:sz w:val="24"/>
          <w:szCs w:val="24"/>
        </w:rPr>
        <w:t xml:space="preserve"> website after signing. </w:t>
      </w:r>
    </w:p>
    <w:p w14:paraId="572719F5" w14:textId="77777777" w:rsidR="006E66FB" w:rsidRPr="00381A22" w:rsidRDefault="006E66FB" w:rsidP="006E66FB">
      <w:pPr>
        <w:tabs>
          <w:tab w:val="left" w:pos="936"/>
        </w:tabs>
        <w:rPr>
          <w:rFonts w:ascii="Times New Roman" w:hAnsi="Times New Roman"/>
          <w:color w:val="000000" w:themeColor="text1"/>
          <w:sz w:val="24"/>
          <w:szCs w:val="24"/>
        </w:rPr>
      </w:pPr>
    </w:p>
    <w:p w14:paraId="121BA6D2" w14:textId="71834697" w:rsidR="006E66FB" w:rsidRPr="00381A22" w:rsidRDefault="006E66FB" w:rsidP="006E66FB">
      <w:pPr>
        <w:tabs>
          <w:tab w:val="left" w:pos="936"/>
        </w:tabs>
        <w:rPr>
          <w:rFonts w:ascii="Times New Roman" w:hAnsi="Times New Roman"/>
          <w:color w:val="000000" w:themeColor="text1"/>
          <w:sz w:val="24"/>
          <w:szCs w:val="24"/>
        </w:rPr>
      </w:pPr>
      <w:proofErr w:type="gramStart"/>
      <w:r w:rsidRPr="00381A22">
        <w:rPr>
          <w:rFonts w:ascii="Times New Roman" w:hAnsi="Times New Roman"/>
          <w:color w:val="000000" w:themeColor="text1"/>
          <w:sz w:val="24"/>
          <w:szCs w:val="24"/>
        </w:rPr>
        <w:t>Decisions on successful tenderers will be made by a departmental official, the delegate of the Secretary of the department</w:t>
      </w:r>
      <w:proofErr w:type="gramEnd"/>
      <w:r w:rsidRPr="00381A22">
        <w:rPr>
          <w:rFonts w:ascii="Times New Roman" w:hAnsi="Times New Roman"/>
          <w:color w:val="000000" w:themeColor="text1"/>
          <w:sz w:val="24"/>
          <w:szCs w:val="24"/>
        </w:rPr>
        <w:t>. In accordance with usual practice, and paragraphs 4.11</w:t>
      </w:r>
      <w:r w:rsidR="00DC127E" w:rsidRPr="00381A22">
        <w:rPr>
          <w:rFonts w:ascii="Times New Roman" w:hAnsi="Times New Roman"/>
          <w:color w:val="000000" w:themeColor="text1"/>
          <w:sz w:val="24"/>
          <w:szCs w:val="24"/>
        </w:rPr>
        <w:t xml:space="preserve"> to</w:t>
      </w:r>
      <w:r w:rsidRPr="00381A22">
        <w:rPr>
          <w:rFonts w:ascii="Times New Roman" w:hAnsi="Times New Roman"/>
          <w:color w:val="000000" w:themeColor="text1"/>
          <w:sz w:val="24"/>
          <w:szCs w:val="24"/>
        </w:rPr>
        <w:t xml:space="preserve"> 4.19 of the A</w:t>
      </w:r>
      <w:r w:rsidR="00DC127E" w:rsidRPr="00381A22">
        <w:rPr>
          <w:rFonts w:ascii="Times New Roman" w:hAnsi="Times New Roman"/>
          <w:color w:val="000000" w:themeColor="text1"/>
          <w:sz w:val="24"/>
          <w:szCs w:val="24"/>
        </w:rPr>
        <w:t>dministrative</w:t>
      </w:r>
      <w:r w:rsidRPr="00381A22">
        <w:rPr>
          <w:rFonts w:ascii="Times New Roman" w:hAnsi="Times New Roman"/>
          <w:color w:val="000000" w:themeColor="text1"/>
          <w:sz w:val="24"/>
          <w:szCs w:val="24"/>
        </w:rPr>
        <w:t xml:space="preserve"> Review Council’s guide, </w:t>
      </w:r>
      <w:r w:rsidRPr="00381A22">
        <w:rPr>
          <w:rFonts w:ascii="Times New Roman" w:hAnsi="Times New Roman"/>
          <w:i/>
          <w:color w:val="000000" w:themeColor="text1"/>
          <w:sz w:val="24"/>
          <w:szCs w:val="24"/>
        </w:rPr>
        <w:t>What decisions should be subject to merit review?</w:t>
      </w:r>
      <w:r w:rsidRPr="00381A22">
        <w:rPr>
          <w:rFonts w:ascii="Times New Roman" w:hAnsi="Times New Roman"/>
          <w:color w:val="000000" w:themeColor="text1"/>
          <w:sz w:val="24"/>
          <w:szCs w:val="24"/>
        </w:rPr>
        <w:t>,</w:t>
      </w:r>
      <w:r w:rsidRPr="00381A22">
        <w:rPr>
          <w:rFonts w:ascii="Times New Roman" w:hAnsi="Times New Roman"/>
          <w:i/>
          <w:color w:val="000000" w:themeColor="text1"/>
          <w:sz w:val="24"/>
          <w:szCs w:val="24"/>
        </w:rPr>
        <w:t xml:space="preserve"> </w:t>
      </w:r>
      <w:r w:rsidRPr="00381A22">
        <w:rPr>
          <w:rFonts w:ascii="Times New Roman" w:hAnsi="Times New Roman"/>
          <w:color w:val="000000" w:themeColor="text1"/>
          <w:sz w:val="24"/>
          <w:szCs w:val="24"/>
        </w:rPr>
        <w:t xml:space="preserve">procurement decisions, once made, will be final and not subject to merits review. Re-making a procurement decision after entry into contractual arrangements with a successful tenderer would be legally complex, impractical (given that an </w:t>
      </w:r>
      <w:proofErr w:type="gramStart"/>
      <w:r w:rsidRPr="00381A22">
        <w:rPr>
          <w:rFonts w:ascii="Times New Roman" w:hAnsi="Times New Roman"/>
          <w:color w:val="000000" w:themeColor="text1"/>
          <w:sz w:val="24"/>
          <w:szCs w:val="24"/>
        </w:rPr>
        <w:t>allocation which has already been made to one party</w:t>
      </w:r>
      <w:proofErr w:type="gramEnd"/>
      <w:r w:rsidRPr="00381A22">
        <w:rPr>
          <w:rFonts w:ascii="Times New Roman" w:hAnsi="Times New Roman"/>
          <w:color w:val="000000" w:themeColor="text1"/>
          <w:sz w:val="24"/>
          <w:szCs w:val="24"/>
        </w:rPr>
        <w:t xml:space="preserve"> would be affected by overturning the original decision) and result in unacceptable delays to the implementation of the </w:t>
      </w:r>
      <w:r w:rsidR="00DC127E" w:rsidRPr="00381A22">
        <w:rPr>
          <w:rFonts w:ascii="Times New Roman" w:hAnsi="Times New Roman"/>
          <w:color w:val="000000" w:themeColor="text1"/>
          <w:sz w:val="24"/>
          <w:szCs w:val="24"/>
        </w:rPr>
        <w:t>Local Jobs Pilot</w:t>
      </w:r>
      <w:r w:rsidRPr="00381A22">
        <w:rPr>
          <w:rFonts w:ascii="Times New Roman" w:hAnsi="Times New Roman"/>
          <w:color w:val="000000" w:themeColor="text1"/>
          <w:sz w:val="24"/>
          <w:szCs w:val="24"/>
        </w:rPr>
        <w:t xml:space="preserve">. </w:t>
      </w:r>
    </w:p>
    <w:p w14:paraId="49DB7F76" w14:textId="77777777" w:rsidR="006E66FB" w:rsidRPr="00381A22" w:rsidRDefault="006E66FB" w:rsidP="006E66FB">
      <w:pPr>
        <w:tabs>
          <w:tab w:val="left" w:pos="936"/>
        </w:tabs>
        <w:rPr>
          <w:rFonts w:ascii="Times New Roman" w:hAnsi="Times New Roman"/>
          <w:color w:val="000000" w:themeColor="text1"/>
          <w:sz w:val="24"/>
          <w:szCs w:val="24"/>
        </w:rPr>
      </w:pPr>
    </w:p>
    <w:p w14:paraId="04B59C0D" w14:textId="7777777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The </w:t>
      </w:r>
      <w:r w:rsidRPr="00381A22">
        <w:rPr>
          <w:rFonts w:ascii="Times New Roman" w:hAnsi="Times New Roman"/>
          <w:i/>
          <w:color w:val="000000" w:themeColor="text1"/>
          <w:sz w:val="24"/>
          <w:szCs w:val="24"/>
        </w:rPr>
        <w:t xml:space="preserve">Government Procurement (Judicial Review) Act 2018 </w:t>
      </w:r>
      <w:r w:rsidRPr="00381A22">
        <w:rPr>
          <w:rFonts w:ascii="Times New Roman" w:hAnsi="Times New Roman"/>
          <w:color w:val="000000" w:themeColor="text1"/>
          <w:sz w:val="24"/>
          <w:szCs w:val="24"/>
        </w:rPr>
        <w:t>enables suppliers to challenge some procurement processes for alleged breaches of certain procurement rules. This legislation might provide an additional avenue for redress (compensation or injunction) for dissatisfied tenderers, depending on the circumstances.</w:t>
      </w:r>
    </w:p>
    <w:p w14:paraId="46304B74" w14:textId="77777777" w:rsidR="006E66FB" w:rsidRPr="00381A22" w:rsidRDefault="006E66FB" w:rsidP="006E66FB">
      <w:pPr>
        <w:tabs>
          <w:tab w:val="left" w:pos="936"/>
        </w:tabs>
        <w:rPr>
          <w:rFonts w:ascii="Times New Roman" w:hAnsi="Times New Roman"/>
          <w:color w:val="000000" w:themeColor="text1"/>
          <w:sz w:val="24"/>
          <w:szCs w:val="24"/>
        </w:rPr>
      </w:pPr>
    </w:p>
    <w:p w14:paraId="45CB8BD7" w14:textId="7777777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The department will provide opportunity for tenderers to make inquiries and complaints, and provide feedback to unsuccessful tenderers. These complaints and inquiries can be made at any time during the procurement process, and will be handled in accordance with the probity processes for the </w:t>
      </w:r>
      <w:proofErr w:type="gramStart"/>
      <w:r w:rsidRPr="00381A22">
        <w:rPr>
          <w:rFonts w:ascii="Times New Roman" w:hAnsi="Times New Roman"/>
          <w:color w:val="000000" w:themeColor="text1"/>
          <w:sz w:val="24"/>
          <w:szCs w:val="24"/>
        </w:rPr>
        <w:t>procurement which</w:t>
      </w:r>
      <w:proofErr w:type="gramEnd"/>
      <w:r w:rsidRPr="00381A22">
        <w:rPr>
          <w:rFonts w:ascii="Times New Roman" w:hAnsi="Times New Roman"/>
          <w:color w:val="000000" w:themeColor="text1"/>
          <w:sz w:val="24"/>
          <w:szCs w:val="24"/>
        </w:rPr>
        <w:t xml:space="preserve"> will be made available on </w:t>
      </w:r>
      <w:proofErr w:type="spellStart"/>
      <w:r w:rsidRPr="00381A22">
        <w:rPr>
          <w:rFonts w:ascii="Times New Roman" w:hAnsi="Times New Roman"/>
          <w:color w:val="000000" w:themeColor="text1"/>
          <w:sz w:val="24"/>
          <w:szCs w:val="24"/>
        </w:rPr>
        <w:t>AusTender</w:t>
      </w:r>
      <w:proofErr w:type="spellEnd"/>
      <w:r w:rsidRPr="00381A22">
        <w:rPr>
          <w:rFonts w:ascii="Times New Roman" w:hAnsi="Times New Roman"/>
          <w:color w:val="000000" w:themeColor="text1"/>
          <w:sz w:val="24"/>
          <w:szCs w:val="24"/>
        </w:rPr>
        <w:t>.</w:t>
      </w:r>
    </w:p>
    <w:p w14:paraId="2CC083C2" w14:textId="77777777" w:rsidR="006E66FB" w:rsidRPr="00381A22" w:rsidRDefault="006E66FB" w:rsidP="006E66FB">
      <w:pPr>
        <w:tabs>
          <w:tab w:val="left" w:pos="936"/>
        </w:tabs>
        <w:rPr>
          <w:rFonts w:ascii="Times New Roman" w:hAnsi="Times New Roman"/>
          <w:color w:val="000000" w:themeColor="text1"/>
          <w:sz w:val="24"/>
          <w:szCs w:val="24"/>
        </w:rPr>
      </w:pPr>
    </w:p>
    <w:p w14:paraId="708B7C58" w14:textId="735E6058"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The decisions to select members for the Taskforces </w:t>
      </w:r>
      <w:proofErr w:type="gramStart"/>
      <w:r w:rsidRPr="00381A22">
        <w:rPr>
          <w:rFonts w:ascii="Times New Roman" w:hAnsi="Times New Roman"/>
          <w:color w:val="000000" w:themeColor="text1"/>
          <w:sz w:val="24"/>
          <w:szCs w:val="24"/>
        </w:rPr>
        <w:t>will be made</w:t>
      </w:r>
      <w:proofErr w:type="gramEnd"/>
      <w:r w:rsidRPr="00381A22">
        <w:rPr>
          <w:rFonts w:ascii="Times New Roman" w:hAnsi="Times New Roman"/>
          <w:color w:val="000000" w:themeColor="text1"/>
          <w:sz w:val="24"/>
          <w:szCs w:val="24"/>
        </w:rPr>
        <w:t xml:space="preserve"> by the department in consultation with the Employment Facilitators and will not be subject to independent merits review. Membership </w:t>
      </w:r>
      <w:proofErr w:type="gramStart"/>
      <w:r w:rsidRPr="00381A22">
        <w:rPr>
          <w:rFonts w:ascii="Times New Roman" w:hAnsi="Times New Roman"/>
          <w:color w:val="000000" w:themeColor="text1"/>
          <w:sz w:val="24"/>
          <w:szCs w:val="24"/>
        </w:rPr>
        <w:t>is not paid</w:t>
      </w:r>
      <w:proofErr w:type="gramEnd"/>
      <w:r w:rsidRPr="00381A22">
        <w:rPr>
          <w:rFonts w:ascii="Times New Roman" w:hAnsi="Times New Roman"/>
          <w:color w:val="000000" w:themeColor="text1"/>
          <w:sz w:val="24"/>
          <w:szCs w:val="24"/>
        </w:rPr>
        <w:t xml:space="preserve"> so not being on the Taskforce would have no adverse financial impact on a person. </w:t>
      </w:r>
      <w:proofErr w:type="gramStart"/>
      <w:r w:rsidRPr="00381A22">
        <w:rPr>
          <w:rFonts w:ascii="Times New Roman" w:hAnsi="Times New Roman"/>
          <w:color w:val="000000" w:themeColor="text1"/>
          <w:sz w:val="24"/>
          <w:szCs w:val="24"/>
        </w:rPr>
        <w:t>Also</w:t>
      </w:r>
      <w:proofErr w:type="gramEnd"/>
      <w:r w:rsidRPr="00381A22">
        <w:rPr>
          <w:rFonts w:ascii="Times New Roman" w:hAnsi="Times New Roman"/>
          <w:color w:val="000000" w:themeColor="text1"/>
          <w:sz w:val="24"/>
          <w:szCs w:val="24"/>
        </w:rPr>
        <w:t>, if they wished to do so, the</w:t>
      </w:r>
      <w:r w:rsidR="00DC127E" w:rsidRPr="00381A22">
        <w:rPr>
          <w:rFonts w:ascii="Times New Roman" w:hAnsi="Times New Roman"/>
          <w:color w:val="000000" w:themeColor="text1"/>
          <w:sz w:val="24"/>
          <w:szCs w:val="24"/>
        </w:rPr>
        <w:t>se persons</w:t>
      </w:r>
      <w:r w:rsidRPr="00381A22">
        <w:rPr>
          <w:rFonts w:ascii="Times New Roman" w:hAnsi="Times New Roman"/>
          <w:color w:val="000000" w:themeColor="text1"/>
          <w:sz w:val="24"/>
          <w:szCs w:val="24"/>
        </w:rPr>
        <w:t xml:space="preserve"> could nonetheless contact a Taskforce or Employment Facilitator to provide their feedback and input about the </w:t>
      </w:r>
      <w:r w:rsidR="00DC127E" w:rsidRPr="00381A22">
        <w:rPr>
          <w:rFonts w:ascii="Times New Roman" w:hAnsi="Times New Roman"/>
          <w:color w:val="000000" w:themeColor="text1"/>
          <w:sz w:val="24"/>
          <w:szCs w:val="24"/>
        </w:rPr>
        <w:t>Local Jobs Pilot</w:t>
      </w:r>
      <w:r w:rsidRPr="00381A22">
        <w:rPr>
          <w:rFonts w:ascii="Times New Roman" w:hAnsi="Times New Roman"/>
          <w:color w:val="000000" w:themeColor="text1"/>
          <w:sz w:val="24"/>
          <w:szCs w:val="24"/>
        </w:rPr>
        <w:t>.</w:t>
      </w:r>
    </w:p>
    <w:p w14:paraId="322E3820" w14:textId="77777777" w:rsidR="006E66FB" w:rsidRPr="00381A22" w:rsidRDefault="006E66FB" w:rsidP="006E66FB">
      <w:pPr>
        <w:tabs>
          <w:tab w:val="left" w:pos="936"/>
        </w:tabs>
        <w:rPr>
          <w:rFonts w:ascii="Times New Roman" w:hAnsi="Times New Roman"/>
          <w:color w:val="000000" w:themeColor="text1"/>
          <w:sz w:val="24"/>
          <w:szCs w:val="24"/>
        </w:rPr>
      </w:pPr>
    </w:p>
    <w:p w14:paraId="322BFCB7" w14:textId="20F0E16D"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lastRenderedPageBreak/>
        <w:t>Accordingly, a decision that a particular person will not be a Taskforce member would have such limited impact on the person that the costs of review could not be justified. Therefore</w:t>
      </w:r>
      <w:r w:rsidR="00DC127E" w:rsidRPr="00381A22">
        <w:rPr>
          <w:rFonts w:ascii="Times New Roman" w:hAnsi="Times New Roman"/>
          <w:color w:val="000000" w:themeColor="text1"/>
          <w:sz w:val="24"/>
          <w:szCs w:val="24"/>
        </w:rPr>
        <w:t>,</w:t>
      </w:r>
      <w:r w:rsidRPr="00381A22">
        <w:rPr>
          <w:rFonts w:ascii="Times New Roman" w:hAnsi="Times New Roman"/>
          <w:color w:val="000000" w:themeColor="text1"/>
          <w:sz w:val="24"/>
          <w:szCs w:val="24"/>
        </w:rPr>
        <w:t xml:space="preserve"> consistently with </w:t>
      </w:r>
      <w:r w:rsidR="00DC127E" w:rsidRPr="00381A22">
        <w:rPr>
          <w:rFonts w:ascii="Times New Roman" w:hAnsi="Times New Roman"/>
          <w:color w:val="000000" w:themeColor="text1"/>
          <w:sz w:val="24"/>
          <w:szCs w:val="24"/>
        </w:rPr>
        <w:t>paragraphs</w:t>
      </w:r>
      <w:r w:rsidRPr="00381A22">
        <w:rPr>
          <w:rFonts w:ascii="Times New Roman" w:hAnsi="Times New Roman"/>
          <w:color w:val="000000" w:themeColor="text1"/>
          <w:sz w:val="24"/>
          <w:szCs w:val="24"/>
        </w:rPr>
        <w:t xml:space="preserve"> 4.56 </w:t>
      </w:r>
      <w:r w:rsidR="00DC127E" w:rsidRPr="00381A22">
        <w:rPr>
          <w:rFonts w:ascii="Times New Roman" w:hAnsi="Times New Roman"/>
          <w:color w:val="000000" w:themeColor="text1"/>
          <w:sz w:val="24"/>
          <w:szCs w:val="24"/>
        </w:rPr>
        <w:t>to</w:t>
      </w:r>
      <w:r w:rsidRPr="00381A22">
        <w:rPr>
          <w:rFonts w:ascii="Times New Roman" w:hAnsi="Times New Roman"/>
          <w:color w:val="000000" w:themeColor="text1"/>
          <w:sz w:val="24"/>
          <w:szCs w:val="24"/>
        </w:rPr>
        <w:t xml:space="preserve"> 4.57 of the A</w:t>
      </w:r>
      <w:r w:rsidR="00DC127E" w:rsidRPr="00381A22">
        <w:rPr>
          <w:rFonts w:ascii="Times New Roman" w:hAnsi="Times New Roman"/>
          <w:color w:val="000000" w:themeColor="text1"/>
          <w:sz w:val="24"/>
          <w:szCs w:val="24"/>
        </w:rPr>
        <w:t>dministrative</w:t>
      </w:r>
      <w:r w:rsidRPr="00381A22">
        <w:rPr>
          <w:rFonts w:ascii="Times New Roman" w:hAnsi="Times New Roman"/>
          <w:color w:val="000000" w:themeColor="text1"/>
          <w:sz w:val="24"/>
          <w:szCs w:val="24"/>
        </w:rPr>
        <w:t xml:space="preserve"> Review Council’s guide, </w:t>
      </w:r>
      <w:r w:rsidR="00DA0E57" w:rsidRPr="00381A22">
        <w:rPr>
          <w:rFonts w:ascii="Times New Roman" w:hAnsi="Times New Roman"/>
          <w:i/>
          <w:color w:val="000000" w:themeColor="text1"/>
          <w:sz w:val="24"/>
          <w:szCs w:val="24"/>
        </w:rPr>
        <w:t>What decisions should be subject to merit review?</w:t>
      </w:r>
      <w:r w:rsidR="00DA0E57" w:rsidRPr="00381A22">
        <w:rPr>
          <w:rFonts w:ascii="Times New Roman" w:hAnsi="Times New Roman"/>
          <w:color w:val="000000" w:themeColor="text1"/>
          <w:sz w:val="24"/>
          <w:szCs w:val="24"/>
        </w:rPr>
        <w:t>,</w:t>
      </w:r>
      <w:r w:rsidR="00DA0E57" w:rsidRPr="00381A22">
        <w:rPr>
          <w:rFonts w:ascii="Times New Roman" w:hAnsi="Times New Roman"/>
          <w:i/>
          <w:color w:val="000000" w:themeColor="text1"/>
          <w:sz w:val="24"/>
          <w:szCs w:val="24"/>
        </w:rPr>
        <w:t xml:space="preserve"> </w:t>
      </w:r>
      <w:r w:rsidRPr="00381A22">
        <w:rPr>
          <w:rFonts w:ascii="Times New Roman" w:hAnsi="Times New Roman"/>
          <w:color w:val="000000" w:themeColor="text1"/>
          <w:sz w:val="24"/>
          <w:szCs w:val="24"/>
        </w:rPr>
        <w:t>merits review of decisions about whether a person could be selected to be a member of a local Taskforce is not needed.</w:t>
      </w:r>
    </w:p>
    <w:p w14:paraId="5C8AD132" w14:textId="77777777" w:rsidR="006E66FB" w:rsidRPr="00381A22" w:rsidRDefault="006E66FB" w:rsidP="006E66FB">
      <w:pPr>
        <w:tabs>
          <w:tab w:val="left" w:pos="936"/>
        </w:tabs>
        <w:rPr>
          <w:rFonts w:ascii="Times New Roman" w:hAnsi="Times New Roman"/>
          <w:color w:val="000000" w:themeColor="text1"/>
          <w:sz w:val="24"/>
          <w:szCs w:val="24"/>
        </w:rPr>
      </w:pPr>
    </w:p>
    <w:p w14:paraId="2D4F9A4A" w14:textId="3FFD2FE6"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The decisions relating to funding projects under the Local Recovery Fund, including funding for Employment </w:t>
      </w:r>
      <w:proofErr w:type="gramStart"/>
      <w:r w:rsidRPr="00381A22">
        <w:rPr>
          <w:rFonts w:ascii="Times New Roman" w:hAnsi="Times New Roman"/>
          <w:color w:val="000000" w:themeColor="text1"/>
          <w:sz w:val="24"/>
          <w:szCs w:val="24"/>
        </w:rPr>
        <w:t>Facilitators,</w:t>
      </w:r>
      <w:proofErr w:type="gramEnd"/>
      <w:r w:rsidRPr="00381A22">
        <w:rPr>
          <w:rFonts w:ascii="Times New Roman" w:hAnsi="Times New Roman"/>
          <w:color w:val="000000" w:themeColor="text1"/>
          <w:sz w:val="24"/>
          <w:szCs w:val="24"/>
        </w:rPr>
        <w:t xml:space="preserve"> will not be subject to independent merits review on the grounds that they will be decisions allocating a finite resource between competing applicants.</w:t>
      </w:r>
      <w:r w:rsidR="00DA5B8A" w:rsidRPr="00381A22">
        <w:rPr>
          <w:rFonts w:ascii="Times New Roman" w:hAnsi="Times New Roman"/>
          <w:color w:val="000000" w:themeColor="text1"/>
          <w:sz w:val="24"/>
          <w:szCs w:val="24"/>
        </w:rPr>
        <w:t xml:space="preserve"> </w:t>
      </w:r>
      <w:r w:rsidRPr="00381A22">
        <w:rPr>
          <w:rFonts w:ascii="Times New Roman" w:hAnsi="Times New Roman"/>
          <w:sz w:val="24"/>
          <w:szCs w:val="24"/>
        </w:rPr>
        <w:t>This means there is a likelihood that only a proportion of applications in each</w:t>
      </w:r>
      <w:r w:rsidR="00446AE2" w:rsidRPr="00381A22">
        <w:rPr>
          <w:rFonts w:ascii="Times New Roman" w:hAnsi="Times New Roman"/>
          <w:sz w:val="24"/>
          <w:szCs w:val="24"/>
        </w:rPr>
        <w:t xml:space="preserve"> Employment Region </w:t>
      </w:r>
      <w:r w:rsidRPr="00381A22">
        <w:rPr>
          <w:rFonts w:ascii="Times New Roman" w:hAnsi="Times New Roman"/>
          <w:sz w:val="24"/>
          <w:szCs w:val="24"/>
        </w:rPr>
        <w:t xml:space="preserve">will be met, and therefore an </w:t>
      </w:r>
      <w:proofErr w:type="gramStart"/>
      <w:r w:rsidRPr="00381A22">
        <w:rPr>
          <w:rFonts w:ascii="Times New Roman" w:hAnsi="Times New Roman"/>
          <w:sz w:val="24"/>
          <w:szCs w:val="24"/>
        </w:rPr>
        <w:t>allocation which has already been made to one party</w:t>
      </w:r>
      <w:proofErr w:type="gramEnd"/>
      <w:r w:rsidRPr="00381A22">
        <w:rPr>
          <w:rFonts w:ascii="Times New Roman" w:hAnsi="Times New Roman"/>
          <w:sz w:val="24"/>
          <w:szCs w:val="24"/>
        </w:rPr>
        <w:t xml:space="preserve"> would be affected by overturning the original decision.</w:t>
      </w:r>
      <w:r w:rsidR="00DA5B8A" w:rsidRPr="00381A22">
        <w:rPr>
          <w:rFonts w:ascii="Times New Roman" w:hAnsi="Times New Roman"/>
          <w:sz w:val="24"/>
          <w:szCs w:val="24"/>
        </w:rPr>
        <w:t xml:space="preserve"> </w:t>
      </w:r>
      <w:r w:rsidRPr="00381A22">
        <w:rPr>
          <w:rFonts w:ascii="Times New Roman" w:hAnsi="Times New Roman"/>
          <w:color w:val="000000" w:themeColor="text1"/>
          <w:sz w:val="24"/>
          <w:szCs w:val="24"/>
        </w:rPr>
        <w:t xml:space="preserve">The Administrative Review Council has recognised that it is justifiable to exclude merits review in relation to decisions of this nature (see </w:t>
      </w:r>
      <w:r w:rsidR="00E44FD9" w:rsidRPr="00381A22">
        <w:rPr>
          <w:rFonts w:ascii="Times New Roman" w:hAnsi="Times New Roman"/>
          <w:color w:val="000000" w:themeColor="text1"/>
          <w:sz w:val="24"/>
          <w:szCs w:val="24"/>
        </w:rPr>
        <w:t>paragraphs</w:t>
      </w:r>
      <w:r w:rsidRPr="00381A22">
        <w:rPr>
          <w:rFonts w:ascii="Times New Roman" w:hAnsi="Times New Roman"/>
          <w:color w:val="000000" w:themeColor="text1"/>
          <w:sz w:val="24"/>
          <w:szCs w:val="24"/>
        </w:rPr>
        <w:t xml:space="preserve"> 4.11 to 4.14 of the guide</w:t>
      </w:r>
      <w:r w:rsidR="00E44FD9" w:rsidRPr="00381A22">
        <w:rPr>
          <w:rFonts w:ascii="Times New Roman" w:hAnsi="Times New Roman"/>
          <w:color w:val="000000" w:themeColor="text1"/>
          <w:sz w:val="24"/>
          <w:szCs w:val="24"/>
        </w:rPr>
        <w:t>,</w:t>
      </w:r>
      <w:r w:rsidRPr="00381A22">
        <w:rPr>
          <w:rFonts w:ascii="Times New Roman" w:hAnsi="Times New Roman"/>
          <w:color w:val="000000" w:themeColor="text1"/>
          <w:sz w:val="24"/>
          <w:szCs w:val="24"/>
        </w:rPr>
        <w:t xml:space="preserve"> </w:t>
      </w:r>
      <w:proofErr w:type="gramStart"/>
      <w:r w:rsidRPr="00381A22">
        <w:rPr>
          <w:rFonts w:ascii="Times New Roman" w:hAnsi="Times New Roman"/>
          <w:i/>
          <w:color w:val="000000" w:themeColor="text1"/>
          <w:sz w:val="24"/>
          <w:szCs w:val="24"/>
        </w:rPr>
        <w:t>What</w:t>
      </w:r>
      <w:proofErr w:type="gramEnd"/>
      <w:r w:rsidRPr="00381A22">
        <w:rPr>
          <w:rFonts w:ascii="Times New Roman" w:hAnsi="Times New Roman"/>
          <w:i/>
          <w:color w:val="000000" w:themeColor="text1"/>
          <w:sz w:val="24"/>
          <w:szCs w:val="24"/>
        </w:rPr>
        <w:t xml:space="preserve"> decisions should be subject to merit review?</w:t>
      </w:r>
      <w:r w:rsidRPr="00381A22">
        <w:rPr>
          <w:rFonts w:ascii="Times New Roman" w:hAnsi="Times New Roman"/>
          <w:color w:val="000000" w:themeColor="text1"/>
          <w:sz w:val="24"/>
          <w:szCs w:val="24"/>
        </w:rPr>
        <w:t>).</w:t>
      </w:r>
    </w:p>
    <w:p w14:paraId="61DEC307" w14:textId="77777777" w:rsidR="006E66FB" w:rsidRPr="00381A22" w:rsidRDefault="006E66FB" w:rsidP="006E66FB">
      <w:pPr>
        <w:tabs>
          <w:tab w:val="left" w:pos="936"/>
        </w:tabs>
        <w:rPr>
          <w:rFonts w:ascii="Times New Roman" w:hAnsi="Times New Roman"/>
          <w:color w:val="000000" w:themeColor="text1"/>
          <w:sz w:val="24"/>
          <w:szCs w:val="24"/>
        </w:rPr>
      </w:pPr>
    </w:p>
    <w:p w14:paraId="39ECBB96" w14:textId="56526E7F"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The decisions relating to placement of a job seeker into a project under the </w:t>
      </w:r>
      <w:r w:rsidR="00E44FD9" w:rsidRPr="00381A22">
        <w:rPr>
          <w:rFonts w:ascii="Times New Roman" w:hAnsi="Times New Roman"/>
          <w:color w:val="000000" w:themeColor="text1"/>
          <w:sz w:val="24"/>
          <w:szCs w:val="24"/>
        </w:rPr>
        <w:t>Local Jobs Pilot</w:t>
      </w:r>
      <w:r w:rsidRPr="00381A22">
        <w:rPr>
          <w:rFonts w:ascii="Times New Roman" w:hAnsi="Times New Roman"/>
          <w:color w:val="000000" w:themeColor="text1"/>
          <w:sz w:val="24"/>
          <w:szCs w:val="24"/>
        </w:rPr>
        <w:t xml:space="preserve"> are not subject to independent merits review. Employment services providers may make decisions about whether particular job seekers can participate in projects funded under the </w:t>
      </w:r>
      <w:r w:rsidR="00E44FD9" w:rsidRPr="00381A22">
        <w:rPr>
          <w:rFonts w:ascii="Times New Roman" w:hAnsi="Times New Roman"/>
          <w:color w:val="000000" w:themeColor="text1"/>
          <w:sz w:val="24"/>
          <w:szCs w:val="24"/>
        </w:rPr>
        <w:t>Local Jobs Pilot</w:t>
      </w:r>
      <w:r w:rsidRPr="00381A22">
        <w:rPr>
          <w:rFonts w:ascii="Times New Roman" w:hAnsi="Times New Roman"/>
          <w:color w:val="000000" w:themeColor="text1"/>
          <w:sz w:val="24"/>
          <w:szCs w:val="24"/>
        </w:rPr>
        <w:t xml:space="preserve">, such as a project involving mentoring or an internship. In practice, providers are very likely to encourage job seekers to participate in these projects, rather than prevent them from doing so, as the projects will be generally relevant to their need to find and keep paid work. However, where a participant misses out, it will be open to them to access other projects in the region under the </w:t>
      </w:r>
      <w:r w:rsidR="00E44FD9" w:rsidRPr="00381A22">
        <w:rPr>
          <w:rFonts w:ascii="Times New Roman" w:hAnsi="Times New Roman"/>
          <w:color w:val="000000" w:themeColor="text1"/>
          <w:sz w:val="24"/>
          <w:szCs w:val="24"/>
        </w:rPr>
        <w:t>Local Jobs Pilot</w:t>
      </w:r>
      <w:r w:rsidRPr="00381A22">
        <w:rPr>
          <w:rFonts w:ascii="Times New Roman" w:hAnsi="Times New Roman"/>
          <w:color w:val="000000" w:themeColor="text1"/>
          <w:sz w:val="24"/>
          <w:szCs w:val="24"/>
        </w:rPr>
        <w:t>, or assistance from the suite of other employment programs.</w:t>
      </w:r>
      <w:r w:rsidRPr="00381A22" w:rsidDel="007B4A06">
        <w:rPr>
          <w:rFonts w:ascii="Times New Roman" w:hAnsi="Times New Roman"/>
          <w:b/>
          <w:color w:val="000000" w:themeColor="text1"/>
          <w:sz w:val="24"/>
          <w:szCs w:val="24"/>
        </w:rPr>
        <w:t xml:space="preserve"> </w:t>
      </w:r>
    </w:p>
    <w:p w14:paraId="49E52D60" w14:textId="77777777" w:rsidR="006E66FB" w:rsidRPr="00381A22" w:rsidRDefault="006E66FB" w:rsidP="006E66FB">
      <w:pPr>
        <w:tabs>
          <w:tab w:val="left" w:pos="936"/>
        </w:tabs>
        <w:rPr>
          <w:rFonts w:ascii="Times New Roman" w:hAnsi="Times New Roman"/>
          <w:color w:val="000000" w:themeColor="text1"/>
          <w:sz w:val="24"/>
          <w:szCs w:val="24"/>
        </w:rPr>
      </w:pPr>
    </w:p>
    <w:p w14:paraId="780AAB71" w14:textId="3A906C32"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Job seekers who are participating in </w:t>
      </w:r>
      <w:proofErr w:type="spellStart"/>
      <w:r w:rsidRPr="00381A22">
        <w:rPr>
          <w:rFonts w:ascii="Times New Roman" w:hAnsi="Times New Roman"/>
          <w:i/>
          <w:iCs/>
          <w:color w:val="000000" w:themeColor="text1"/>
          <w:sz w:val="24"/>
          <w:szCs w:val="24"/>
        </w:rPr>
        <w:t>jobactive</w:t>
      </w:r>
      <w:proofErr w:type="spellEnd"/>
      <w:r w:rsidRPr="00381A22">
        <w:rPr>
          <w:rFonts w:ascii="Times New Roman" w:hAnsi="Times New Roman"/>
          <w:color w:val="000000" w:themeColor="text1"/>
          <w:sz w:val="24"/>
          <w:szCs w:val="24"/>
        </w:rPr>
        <w:t xml:space="preserve">, </w:t>
      </w:r>
      <w:proofErr w:type="spellStart"/>
      <w:r w:rsidRPr="00381A22">
        <w:rPr>
          <w:rFonts w:ascii="Times New Roman" w:hAnsi="Times New Roman"/>
          <w:color w:val="000000" w:themeColor="text1"/>
          <w:sz w:val="24"/>
          <w:szCs w:val="24"/>
        </w:rPr>
        <w:t>ParentsNext</w:t>
      </w:r>
      <w:proofErr w:type="spellEnd"/>
      <w:r w:rsidRPr="00381A22">
        <w:rPr>
          <w:rFonts w:ascii="Times New Roman" w:hAnsi="Times New Roman"/>
          <w:color w:val="000000" w:themeColor="text1"/>
          <w:sz w:val="24"/>
          <w:szCs w:val="24"/>
        </w:rPr>
        <w:t xml:space="preserve">, New Employment Services Trial or Transition to Work programs will be able to participate in projects funded under the </w:t>
      </w:r>
      <w:r w:rsidR="00E44FD9" w:rsidRPr="00381A22">
        <w:rPr>
          <w:rFonts w:ascii="Times New Roman" w:hAnsi="Times New Roman"/>
          <w:color w:val="000000" w:themeColor="text1"/>
          <w:sz w:val="24"/>
          <w:szCs w:val="24"/>
        </w:rPr>
        <w:t>Local Jobs Pilot</w:t>
      </w:r>
      <w:r w:rsidRPr="00381A22">
        <w:rPr>
          <w:rFonts w:ascii="Times New Roman" w:hAnsi="Times New Roman"/>
          <w:color w:val="000000" w:themeColor="text1"/>
          <w:sz w:val="24"/>
          <w:szCs w:val="24"/>
        </w:rPr>
        <w:t xml:space="preserve">. Participating in projects may assist job seekers to maintain their eligibility for their </w:t>
      </w:r>
      <w:proofErr w:type="spellStart"/>
      <w:r w:rsidR="00446AE2" w:rsidRPr="00381A22">
        <w:rPr>
          <w:rFonts w:ascii="Times New Roman" w:hAnsi="Times New Roman"/>
          <w:color w:val="000000" w:themeColor="text1"/>
          <w:sz w:val="24"/>
          <w:szCs w:val="24"/>
        </w:rPr>
        <w:t>JobSeeker</w:t>
      </w:r>
      <w:proofErr w:type="spellEnd"/>
      <w:r w:rsidR="00446AE2" w:rsidRPr="00381A22">
        <w:rPr>
          <w:rFonts w:ascii="Times New Roman" w:hAnsi="Times New Roman"/>
          <w:color w:val="000000" w:themeColor="text1"/>
          <w:sz w:val="24"/>
          <w:szCs w:val="24"/>
        </w:rPr>
        <w:t xml:space="preserve"> Payment</w:t>
      </w:r>
      <w:r w:rsidRPr="00381A22">
        <w:rPr>
          <w:rFonts w:ascii="Times New Roman" w:hAnsi="Times New Roman"/>
          <w:color w:val="000000" w:themeColor="text1"/>
          <w:sz w:val="24"/>
          <w:szCs w:val="24"/>
        </w:rPr>
        <w:t xml:space="preserve">, Youth Allowance (other) or Parenting Payment under the social security law. These payments, sometimes known as participation payments, involve participation </w:t>
      </w:r>
      <w:proofErr w:type="gramStart"/>
      <w:r w:rsidRPr="00381A22">
        <w:rPr>
          <w:rFonts w:ascii="Times New Roman" w:hAnsi="Times New Roman"/>
          <w:color w:val="000000" w:themeColor="text1"/>
          <w:sz w:val="24"/>
          <w:szCs w:val="24"/>
        </w:rPr>
        <w:t>requirements which</w:t>
      </w:r>
      <w:proofErr w:type="gramEnd"/>
      <w:r w:rsidRPr="00381A22">
        <w:rPr>
          <w:rFonts w:ascii="Times New Roman" w:hAnsi="Times New Roman"/>
          <w:color w:val="000000" w:themeColor="text1"/>
          <w:sz w:val="24"/>
          <w:szCs w:val="24"/>
        </w:rPr>
        <w:t xml:space="preserve"> recipients need to meet to maintain eligibility to receive their payments. However, participation in a project under </w:t>
      </w:r>
      <w:r w:rsidR="00E44FD9" w:rsidRPr="00381A22">
        <w:rPr>
          <w:rFonts w:ascii="Times New Roman" w:hAnsi="Times New Roman"/>
          <w:color w:val="000000" w:themeColor="text1"/>
          <w:sz w:val="24"/>
          <w:szCs w:val="24"/>
        </w:rPr>
        <w:t>the Local Jobs Pilot</w:t>
      </w:r>
      <w:r w:rsidRPr="00381A22">
        <w:rPr>
          <w:rFonts w:ascii="Times New Roman" w:hAnsi="Times New Roman"/>
          <w:color w:val="000000" w:themeColor="text1"/>
          <w:sz w:val="24"/>
          <w:szCs w:val="24"/>
        </w:rPr>
        <w:t xml:space="preserve"> is not the only way a job seeker could meet their participation requirements. There is a wide range of other ways in which they could do so.</w:t>
      </w:r>
    </w:p>
    <w:p w14:paraId="1B9A4EDE" w14:textId="1A2BA8F9" w:rsidR="00E44FD9" w:rsidRPr="00381A22" w:rsidRDefault="00E44FD9" w:rsidP="006E66FB">
      <w:pPr>
        <w:tabs>
          <w:tab w:val="left" w:pos="936"/>
        </w:tabs>
        <w:rPr>
          <w:rFonts w:ascii="Times New Roman" w:hAnsi="Times New Roman"/>
          <w:color w:val="000000" w:themeColor="text1"/>
          <w:sz w:val="24"/>
          <w:szCs w:val="24"/>
        </w:rPr>
      </w:pPr>
    </w:p>
    <w:p w14:paraId="18F928DA" w14:textId="7777777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lang w:val="en"/>
        </w:rPr>
        <w:t xml:space="preserve">A decision to deny a job seeker access to participation is unlikely to occur in practice, and would not substantially affect that job seeker’s interests, whether or not the job seeker was subject to participation requirements at the time. This is because of the availability of other activities and programs that provide similar employment experience and training opportunities. These include programs such as </w:t>
      </w:r>
      <w:proofErr w:type="spellStart"/>
      <w:r w:rsidRPr="00381A22">
        <w:rPr>
          <w:rFonts w:ascii="Times New Roman" w:hAnsi="Times New Roman"/>
          <w:i/>
          <w:color w:val="000000" w:themeColor="text1"/>
          <w:sz w:val="24"/>
          <w:szCs w:val="24"/>
          <w:lang w:val="en"/>
        </w:rPr>
        <w:t>jobactive</w:t>
      </w:r>
      <w:proofErr w:type="spellEnd"/>
      <w:r w:rsidRPr="00381A22">
        <w:rPr>
          <w:rFonts w:ascii="Times New Roman" w:hAnsi="Times New Roman"/>
          <w:color w:val="000000" w:themeColor="text1"/>
          <w:sz w:val="24"/>
          <w:szCs w:val="24"/>
          <w:lang w:val="en"/>
        </w:rPr>
        <w:t xml:space="preserve">, work experience, Youth Jobs Path and Work for the Dole. These may be used not only to help the job seeker find and keep paid work, but also to </w:t>
      </w:r>
      <w:r w:rsidRPr="00381A22">
        <w:rPr>
          <w:rFonts w:ascii="Times New Roman" w:hAnsi="Times New Roman"/>
          <w:color w:val="000000" w:themeColor="text1"/>
          <w:sz w:val="24"/>
          <w:szCs w:val="24"/>
        </w:rPr>
        <w:t>assist the job seeker meet any applicable participation requirements and therefore maintain their eligibility to receive participation payments while looking for work.</w:t>
      </w:r>
    </w:p>
    <w:p w14:paraId="29A0FAFA" w14:textId="77777777" w:rsidR="006E66FB" w:rsidRPr="00381A22" w:rsidRDefault="006E66FB" w:rsidP="006E66FB">
      <w:pPr>
        <w:tabs>
          <w:tab w:val="left" w:pos="936"/>
        </w:tabs>
        <w:rPr>
          <w:rFonts w:ascii="Times New Roman" w:hAnsi="Times New Roman"/>
          <w:color w:val="000000" w:themeColor="text1"/>
          <w:sz w:val="24"/>
          <w:szCs w:val="24"/>
        </w:rPr>
      </w:pPr>
    </w:p>
    <w:p w14:paraId="1FC9231C" w14:textId="7DA1D229"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Accordingly, not participating in the </w:t>
      </w:r>
      <w:r w:rsidR="00E44FD9" w:rsidRPr="00381A22">
        <w:rPr>
          <w:rFonts w:ascii="Times New Roman" w:hAnsi="Times New Roman"/>
          <w:color w:val="000000" w:themeColor="text1"/>
          <w:sz w:val="24"/>
          <w:szCs w:val="24"/>
        </w:rPr>
        <w:t>Local Jobs Pilot</w:t>
      </w:r>
      <w:r w:rsidRPr="00381A22">
        <w:rPr>
          <w:rFonts w:ascii="Times New Roman" w:hAnsi="Times New Roman"/>
          <w:color w:val="000000" w:themeColor="text1"/>
          <w:sz w:val="24"/>
          <w:szCs w:val="24"/>
        </w:rPr>
        <w:t xml:space="preserve"> would not prevent a job seeker from </w:t>
      </w:r>
      <w:r w:rsidR="00E44FD9" w:rsidRPr="00381A22">
        <w:rPr>
          <w:rFonts w:ascii="Times New Roman" w:hAnsi="Times New Roman"/>
          <w:color w:val="000000" w:themeColor="text1"/>
          <w:sz w:val="24"/>
          <w:szCs w:val="24"/>
        </w:rPr>
        <w:t xml:space="preserve">participating in </w:t>
      </w:r>
      <w:r w:rsidRPr="00381A22">
        <w:rPr>
          <w:rFonts w:ascii="Times New Roman" w:hAnsi="Times New Roman"/>
          <w:color w:val="000000" w:themeColor="text1"/>
          <w:sz w:val="24"/>
          <w:szCs w:val="24"/>
        </w:rPr>
        <w:t xml:space="preserve">other similar programs to improve their chances of finding and keeping a job, and would not prevent them from completing any participation requirements they may need to complete to maintain eligibility for their social security payment. Therefore, consistently with </w:t>
      </w:r>
      <w:r w:rsidR="00E44FD9" w:rsidRPr="00381A22">
        <w:rPr>
          <w:rFonts w:ascii="Times New Roman" w:hAnsi="Times New Roman"/>
          <w:color w:val="000000" w:themeColor="text1"/>
          <w:sz w:val="24"/>
          <w:szCs w:val="24"/>
        </w:rPr>
        <w:t xml:space="preserve">paragraphs </w:t>
      </w:r>
      <w:r w:rsidRPr="00381A22">
        <w:rPr>
          <w:rFonts w:ascii="Times New Roman" w:hAnsi="Times New Roman"/>
          <w:color w:val="000000" w:themeColor="text1"/>
          <w:sz w:val="24"/>
          <w:szCs w:val="24"/>
        </w:rPr>
        <w:t xml:space="preserve">4.56 </w:t>
      </w:r>
      <w:r w:rsidR="00E44FD9" w:rsidRPr="00381A22">
        <w:rPr>
          <w:rFonts w:ascii="Times New Roman" w:hAnsi="Times New Roman"/>
          <w:color w:val="000000" w:themeColor="text1"/>
          <w:sz w:val="24"/>
          <w:szCs w:val="24"/>
        </w:rPr>
        <w:t>to</w:t>
      </w:r>
      <w:r w:rsidRPr="00381A22">
        <w:rPr>
          <w:rFonts w:ascii="Times New Roman" w:hAnsi="Times New Roman"/>
          <w:color w:val="000000" w:themeColor="text1"/>
          <w:sz w:val="24"/>
          <w:szCs w:val="24"/>
        </w:rPr>
        <w:t xml:space="preserve"> 4.57 of the A</w:t>
      </w:r>
      <w:r w:rsidR="00E44FD9" w:rsidRPr="00381A22">
        <w:rPr>
          <w:rFonts w:ascii="Times New Roman" w:hAnsi="Times New Roman"/>
          <w:color w:val="000000" w:themeColor="text1"/>
          <w:sz w:val="24"/>
          <w:szCs w:val="24"/>
        </w:rPr>
        <w:t>dministrative</w:t>
      </w:r>
      <w:r w:rsidRPr="00381A22">
        <w:rPr>
          <w:rFonts w:ascii="Times New Roman" w:hAnsi="Times New Roman"/>
          <w:color w:val="000000" w:themeColor="text1"/>
          <w:sz w:val="24"/>
          <w:szCs w:val="24"/>
        </w:rPr>
        <w:t xml:space="preserve"> Review Council’s guide,</w:t>
      </w:r>
      <w:r w:rsidR="00DA0E57" w:rsidRPr="00381A22">
        <w:rPr>
          <w:rFonts w:ascii="Times New Roman" w:hAnsi="Times New Roman"/>
          <w:i/>
          <w:color w:val="000000" w:themeColor="text1"/>
          <w:sz w:val="24"/>
          <w:szCs w:val="24"/>
        </w:rPr>
        <w:t xml:space="preserve"> What decisions should be subject to merit review?</w:t>
      </w:r>
      <w:r w:rsidR="00DA0E57" w:rsidRPr="00381A22">
        <w:rPr>
          <w:rFonts w:ascii="Times New Roman" w:hAnsi="Times New Roman"/>
          <w:color w:val="000000" w:themeColor="text1"/>
          <w:sz w:val="24"/>
          <w:szCs w:val="24"/>
        </w:rPr>
        <w:t>,</w:t>
      </w:r>
      <w:r w:rsidR="00DA0E57" w:rsidRPr="00381A22">
        <w:rPr>
          <w:rFonts w:ascii="Times New Roman" w:hAnsi="Times New Roman"/>
          <w:i/>
          <w:color w:val="000000" w:themeColor="text1"/>
          <w:sz w:val="24"/>
          <w:szCs w:val="24"/>
        </w:rPr>
        <w:t xml:space="preserve"> </w:t>
      </w:r>
      <w:r w:rsidRPr="00381A22">
        <w:rPr>
          <w:rFonts w:ascii="Times New Roman" w:hAnsi="Times New Roman"/>
          <w:color w:val="000000" w:themeColor="text1"/>
          <w:sz w:val="24"/>
          <w:szCs w:val="24"/>
        </w:rPr>
        <w:t xml:space="preserve">a decision whether a job seeker could participate in a </w:t>
      </w:r>
      <w:r w:rsidRPr="00381A22">
        <w:rPr>
          <w:rFonts w:ascii="Times New Roman" w:hAnsi="Times New Roman"/>
          <w:color w:val="000000" w:themeColor="text1"/>
          <w:sz w:val="24"/>
          <w:szCs w:val="24"/>
        </w:rPr>
        <w:lastRenderedPageBreak/>
        <w:t>project would have such limited impact on the person that the costs of review could not be justified.</w:t>
      </w:r>
    </w:p>
    <w:p w14:paraId="0254BE4B" w14:textId="77777777" w:rsidR="006E66FB" w:rsidRPr="00381A22" w:rsidRDefault="006E66FB" w:rsidP="006E66FB">
      <w:pPr>
        <w:tabs>
          <w:tab w:val="left" w:pos="936"/>
        </w:tabs>
        <w:rPr>
          <w:rFonts w:ascii="Times New Roman" w:hAnsi="Times New Roman"/>
          <w:color w:val="000000" w:themeColor="text1"/>
          <w:sz w:val="24"/>
          <w:szCs w:val="24"/>
        </w:rPr>
      </w:pPr>
    </w:p>
    <w:p w14:paraId="081503EA" w14:textId="2E01F290"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lang w:val="en"/>
        </w:rPr>
        <w:t xml:space="preserve">In practice, there is no prospect that denying a job seeker access to a project under the </w:t>
      </w:r>
      <w:r w:rsidR="00E44FD9" w:rsidRPr="00381A22">
        <w:rPr>
          <w:rFonts w:ascii="Times New Roman" w:hAnsi="Times New Roman"/>
          <w:color w:val="000000" w:themeColor="text1"/>
          <w:sz w:val="24"/>
          <w:szCs w:val="24"/>
          <w:lang w:val="en"/>
        </w:rPr>
        <w:t>Local Jobs Pilot</w:t>
      </w:r>
      <w:r w:rsidRPr="00381A22">
        <w:rPr>
          <w:rFonts w:ascii="Times New Roman" w:hAnsi="Times New Roman"/>
          <w:color w:val="000000" w:themeColor="text1"/>
          <w:sz w:val="24"/>
          <w:szCs w:val="24"/>
          <w:lang w:val="en"/>
        </w:rPr>
        <w:t xml:space="preserve"> would affect their eligibility to receive participation payments, as they could meet their participation requirements in other ways as noted above. However, if a job seeker nonetheless considered that their ability to meet their participation requirements had been impacted by non-access to a project, for example because they were required to participate in an alternative activity which they considered was not suitable to their circumstances, and they were consequently subject to compliance action for failing to participate, they could seek review by Services Australia of any decision to reduce, cancel or suspend their payment. If dissatisfied by the Services Australia’s decision, they could seek review of the decision by the Administrative Appeals Tribunal.</w:t>
      </w:r>
    </w:p>
    <w:p w14:paraId="2943D21F" w14:textId="77777777" w:rsidR="006E66FB" w:rsidRPr="00381A22" w:rsidRDefault="006E66FB" w:rsidP="006E66FB">
      <w:pPr>
        <w:tabs>
          <w:tab w:val="left" w:pos="936"/>
        </w:tabs>
        <w:rPr>
          <w:rFonts w:ascii="Times New Roman" w:hAnsi="Times New Roman"/>
          <w:color w:val="000000" w:themeColor="text1"/>
          <w:sz w:val="24"/>
          <w:szCs w:val="24"/>
        </w:rPr>
      </w:pPr>
    </w:p>
    <w:p w14:paraId="29E0BCE1" w14:textId="2AE17847" w:rsidR="006E66FB" w:rsidRPr="00381A22" w:rsidRDefault="006E66FB" w:rsidP="006E66FB">
      <w:pPr>
        <w:tabs>
          <w:tab w:val="left" w:pos="936"/>
        </w:tabs>
        <w:rPr>
          <w:rFonts w:ascii="Times New Roman" w:hAnsi="Times New Roman"/>
          <w:color w:val="000000" w:themeColor="text1"/>
          <w:sz w:val="24"/>
          <w:szCs w:val="24"/>
          <w:lang w:val="en-US"/>
        </w:rPr>
      </w:pPr>
      <w:r w:rsidRPr="00381A22">
        <w:rPr>
          <w:rFonts w:ascii="Times New Roman" w:hAnsi="Times New Roman"/>
          <w:color w:val="000000" w:themeColor="text1"/>
          <w:sz w:val="24"/>
          <w:szCs w:val="24"/>
          <w:lang w:val="en-US"/>
        </w:rPr>
        <w:t xml:space="preserve">Any party dissatisfied with any aspect of the </w:t>
      </w:r>
      <w:r w:rsidR="00E44FD9" w:rsidRPr="00381A22">
        <w:rPr>
          <w:rFonts w:ascii="Times New Roman" w:hAnsi="Times New Roman"/>
          <w:color w:val="000000" w:themeColor="text1"/>
          <w:sz w:val="24"/>
          <w:szCs w:val="24"/>
          <w:lang w:val="en-US"/>
        </w:rPr>
        <w:t>Local Jobs Pilot</w:t>
      </w:r>
      <w:r w:rsidRPr="00381A22">
        <w:rPr>
          <w:rFonts w:ascii="Times New Roman" w:hAnsi="Times New Roman"/>
          <w:color w:val="000000" w:themeColor="text1"/>
          <w:sz w:val="24"/>
          <w:szCs w:val="24"/>
          <w:lang w:val="en-US"/>
        </w:rPr>
        <w:t xml:space="preserve"> or the selection of Employment Facilitators or projects could raise the matter with the Commonwealth Ombudsman. The Ombudsman is independent of the department and has the power to ask the department to answer questions about the </w:t>
      </w:r>
      <w:r w:rsidR="00E44FD9" w:rsidRPr="00381A22">
        <w:rPr>
          <w:rFonts w:ascii="Times New Roman" w:hAnsi="Times New Roman"/>
          <w:color w:val="000000" w:themeColor="text1"/>
          <w:sz w:val="24"/>
          <w:szCs w:val="24"/>
          <w:lang w:val="en-US"/>
        </w:rPr>
        <w:t>Local Jobs Pilot</w:t>
      </w:r>
      <w:r w:rsidRPr="00381A22">
        <w:rPr>
          <w:rFonts w:ascii="Times New Roman" w:hAnsi="Times New Roman"/>
          <w:color w:val="000000" w:themeColor="text1"/>
          <w:sz w:val="24"/>
          <w:szCs w:val="24"/>
          <w:lang w:val="en-US"/>
        </w:rPr>
        <w:t xml:space="preserve"> or to provide relevant documents or information. </w:t>
      </w:r>
    </w:p>
    <w:p w14:paraId="2DBAD539" w14:textId="77777777" w:rsidR="006E66FB" w:rsidRPr="00381A22" w:rsidRDefault="006E66FB" w:rsidP="006E66FB">
      <w:pPr>
        <w:tabs>
          <w:tab w:val="left" w:pos="936"/>
        </w:tabs>
        <w:rPr>
          <w:rFonts w:ascii="Times New Roman" w:hAnsi="Times New Roman"/>
          <w:color w:val="000000" w:themeColor="text1"/>
          <w:sz w:val="24"/>
          <w:szCs w:val="24"/>
          <w:lang w:val="en-US"/>
        </w:rPr>
      </w:pPr>
    </w:p>
    <w:p w14:paraId="7392C6DB" w14:textId="7777777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lang w:val="en-US"/>
        </w:rPr>
        <w:t>If the Ombudsman decides to investigate in response to a complaint and makes any recommendations, the department could require the provider to implement the recommendations. The department gives weight to the Ombudsman’s recommendations and is required to respond to the Ombudsman as to what it has done in response to any recommendations. Failure to adequately respond could lead to adverse public reporting by the Ombudsman.</w:t>
      </w:r>
    </w:p>
    <w:p w14:paraId="60E3AB44" w14:textId="77777777" w:rsidR="006E66FB" w:rsidRPr="00381A22" w:rsidRDefault="006E66FB" w:rsidP="006E66FB">
      <w:pPr>
        <w:tabs>
          <w:tab w:val="left" w:pos="936"/>
        </w:tabs>
        <w:rPr>
          <w:rFonts w:ascii="Times New Roman" w:hAnsi="Times New Roman"/>
          <w:color w:val="000000" w:themeColor="text1"/>
          <w:sz w:val="24"/>
          <w:szCs w:val="24"/>
        </w:rPr>
      </w:pPr>
    </w:p>
    <w:p w14:paraId="192E40EC" w14:textId="7941C2C3"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Th</w:t>
      </w:r>
      <w:r w:rsidR="00E44FD9" w:rsidRPr="00381A22">
        <w:rPr>
          <w:rFonts w:ascii="Times New Roman" w:hAnsi="Times New Roman"/>
          <w:color w:val="000000" w:themeColor="text1"/>
          <w:sz w:val="24"/>
          <w:szCs w:val="24"/>
        </w:rPr>
        <w:t>e Local Jobs Pilot</w:t>
      </w:r>
      <w:r w:rsidRPr="00381A22">
        <w:rPr>
          <w:rFonts w:ascii="Times New Roman" w:hAnsi="Times New Roman"/>
          <w:color w:val="000000" w:themeColor="text1"/>
          <w:sz w:val="24"/>
          <w:szCs w:val="24"/>
        </w:rPr>
        <w:t xml:space="preserve"> builds on the successful local engagement that occurred under the current Regional Employment Trials (RET) </w:t>
      </w:r>
      <w:proofErr w:type="gramStart"/>
      <w:r w:rsidRPr="00381A22">
        <w:rPr>
          <w:rFonts w:ascii="Times New Roman" w:hAnsi="Times New Roman"/>
          <w:color w:val="000000" w:themeColor="text1"/>
          <w:sz w:val="24"/>
          <w:szCs w:val="24"/>
        </w:rPr>
        <w:t>program which</w:t>
      </w:r>
      <w:proofErr w:type="gramEnd"/>
      <w:r w:rsidRPr="00381A22">
        <w:rPr>
          <w:rFonts w:ascii="Times New Roman" w:hAnsi="Times New Roman"/>
          <w:color w:val="000000" w:themeColor="text1"/>
          <w:sz w:val="24"/>
          <w:szCs w:val="24"/>
        </w:rPr>
        <w:t xml:space="preserve"> operates in 10 disadvantaged regions. The department has undertaken extensive consultation with the Social Research Centre, which provides the Australian social research community with access to </w:t>
      </w:r>
      <w:proofErr w:type="gramStart"/>
      <w:r w:rsidRPr="00381A22">
        <w:rPr>
          <w:rFonts w:ascii="Times New Roman" w:hAnsi="Times New Roman"/>
          <w:color w:val="000000" w:themeColor="text1"/>
          <w:sz w:val="24"/>
          <w:szCs w:val="24"/>
        </w:rPr>
        <w:t>world</w:t>
      </w:r>
      <w:r w:rsidR="007E6422" w:rsidRPr="00381A22">
        <w:rPr>
          <w:rFonts w:ascii="Times New Roman" w:hAnsi="Times New Roman"/>
          <w:color w:val="000000" w:themeColor="text1"/>
          <w:sz w:val="24"/>
          <w:szCs w:val="24"/>
        </w:rPr>
        <w:t xml:space="preserve"> </w:t>
      </w:r>
      <w:r w:rsidRPr="00381A22">
        <w:rPr>
          <w:rFonts w:ascii="Times New Roman" w:hAnsi="Times New Roman"/>
          <w:color w:val="000000" w:themeColor="text1"/>
          <w:sz w:val="24"/>
          <w:szCs w:val="24"/>
        </w:rPr>
        <w:t>class</w:t>
      </w:r>
      <w:proofErr w:type="gramEnd"/>
      <w:r w:rsidRPr="00381A22">
        <w:rPr>
          <w:rFonts w:ascii="Times New Roman" w:hAnsi="Times New Roman"/>
          <w:color w:val="000000" w:themeColor="text1"/>
          <w:sz w:val="24"/>
          <w:szCs w:val="24"/>
        </w:rPr>
        <w:t xml:space="preserve"> research and evaluation services. The consultation involved face-to-face discussions with local stakeholders, including Employment Facilitators and members of Regional Development Australia Committees in the relevant regions. The consultation process for the RET program has informed the design for the </w:t>
      </w:r>
      <w:r w:rsidR="007E6422" w:rsidRPr="00381A22">
        <w:rPr>
          <w:rFonts w:ascii="Times New Roman" w:hAnsi="Times New Roman"/>
          <w:color w:val="000000" w:themeColor="text1"/>
          <w:sz w:val="24"/>
          <w:szCs w:val="24"/>
        </w:rPr>
        <w:t>Local Jobs Pilot</w:t>
      </w:r>
      <w:r w:rsidRPr="00381A22">
        <w:rPr>
          <w:rFonts w:ascii="Times New Roman" w:hAnsi="Times New Roman"/>
          <w:color w:val="000000" w:themeColor="text1"/>
          <w:sz w:val="24"/>
          <w:szCs w:val="24"/>
        </w:rPr>
        <w:t xml:space="preserve">, which will involve the most successful elements of the RET program and apply them more widely with a focus on </w:t>
      </w:r>
      <w:r w:rsidR="007E6422" w:rsidRPr="00381A22">
        <w:rPr>
          <w:rFonts w:ascii="Times New Roman" w:hAnsi="Times New Roman"/>
          <w:color w:val="000000" w:themeColor="text1"/>
          <w:sz w:val="24"/>
          <w:szCs w:val="24"/>
        </w:rPr>
        <w:t xml:space="preserve">the </w:t>
      </w:r>
      <w:r w:rsidRPr="00381A22">
        <w:rPr>
          <w:rFonts w:ascii="Times New Roman" w:hAnsi="Times New Roman"/>
          <w:color w:val="000000" w:themeColor="text1"/>
          <w:sz w:val="24"/>
          <w:szCs w:val="24"/>
        </w:rPr>
        <w:t>COVID-19 recovery.</w:t>
      </w:r>
    </w:p>
    <w:p w14:paraId="1E7D62D2" w14:textId="77777777" w:rsidR="006E66FB" w:rsidRPr="00381A22" w:rsidRDefault="006E66FB" w:rsidP="006E66FB">
      <w:pPr>
        <w:tabs>
          <w:tab w:val="left" w:pos="936"/>
        </w:tabs>
        <w:rPr>
          <w:rFonts w:ascii="Times New Roman" w:hAnsi="Times New Roman"/>
          <w:color w:val="000000" w:themeColor="text1"/>
          <w:sz w:val="24"/>
          <w:szCs w:val="24"/>
        </w:rPr>
      </w:pPr>
    </w:p>
    <w:p w14:paraId="41F024C8" w14:textId="1FD842F1" w:rsidR="007E6422" w:rsidRPr="00381A22" w:rsidRDefault="006E66FB" w:rsidP="007E6422">
      <w:pPr>
        <w:tabs>
          <w:tab w:val="left" w:pos="936"/>
        </w:tabs>
        <w:rPr>
          <w:rFonts w:ascii="Times New Roman" w:hAnsi="Times New Roman"/>
          <w:color w:val="000000" w:themeColor="text1"/>
          <w:sz w:val="24"/>
          <w:szCs w:val="24"/>
        </w:rPr>
      </w:pPr>
      <w:r w:rsidRPr="00381A22">
        <w:rPr>
          <w:rFonts w:ascii="Times New Roman" w:hAnsi="Times New Roman"/>
          <w:sz w:val="24"/>
          <w:szCs w:val="24"/>
        </w:rPr>
        <w:t xml:space="preserve">Funding for the </w:t>
      </w:r>
      <w:r w:rsidR="007E6422" w:rsidRPr="00381A22">
        <w:rPr>
          <w:rFonts w:ascii="Times New Roman" w:hAnsi="Times New Roman"/>
          <w:sz w:val="24"/>
          <w:szCs w:val="24"/>
        </w:rPr>
        <w:t xml:space="preserve">Local Jobs Pilot </w:t>
      </w:r>
      <w:r w:rsidRPr="00381A22">
        <w:rPr>
          <w:rFonts w:ascii="Times New Roman" w:hAnsi="Times New Roman"/>
          <w:sz w:val="24"/>
          <w:szCs w:val="24"/>
        </w:rPr>
        <w:t xml:space="preserve">of </w:t>
      </w:r>
      <w:r w:rsidR="000451B4" w:rsidRPr="00381A22">
        <w:rPr>
          <w:rFonts w:ascii="Times New Roman" w:hAnsi="Times New Roman"/>
          <w:sz w:val="24"/>
          <w:szCs w:val="24"/>
        </w:rPr>
        <w:t xml:space="preserve">up to $56.7 million </w:t>
      </w:r>
      <w:r w:rsidRPr="00381A22">
        <w:rPr>
          <w:rFonts w:ascii="Times New Roman" w:hAnsi="Times New Roman"/>
          <w:sz w:val="24"/>
          <w:szCs w:val="24"/>
        </w:rPr>
        <w:t xml:space="preserve">over two years from </w:t>
      </w:r>
      <w:r w:rsidRPr="00381A22">
        <w:rPr>
          <w:rFonts w:ascii="Times New Roman" w:hAnsi="Times New Roman"/>
          <w:color w:val="000000" w:themeColor="text1"/>
          <w:sz w:val="24"/>
          <w:szCs w:val="24"/>
        </w:rPr>
        <w:t xml:space="preserve">2020-21 will be included </w:t>
      </w:r>
      <w:r w:rsidR="00DA5B8A" w:rsidRPr="00381A22">
        <w:rPr>
          <w:rFonts w:ascii="Times New Roman" w:hAnsi="Times New Roman"/>
          <w:sz w:val="24"/>
          <w:szCs w:val="24"/>
        </w:rPr>
        <w:t xml:space="preserve">in the 2020-21 Budget and the 2020-21 Portfolio Budget Statements for the Education, Skills and Employment Portfolio. </w:t>
      </w:r>
      <w:r w:rsidR="007E6422" w:rsidRPr="00381A22">
        <w:rPr>
          <w:rFonts w:ascii="Times New Roman" w:hAnsi="Times New Roman"/>
          <w:color w:val="000000" w:themeColor="text1"/>
          <w:sz w:val="24"/>
          <w:szCs w:val="24"/>
        </w:rPr>
        <w:t>Funding will come from Program 4.1: Employment Services, which is part of Outcome 4.</w:t>
      </w:r>
    </w:p>
    <w:p w14:paraId="16CE993E" w14:textId="77777777" w:rsidR="007E6422" w:rsidRPr="00381A22" w:rsidRDefault="007E6422" w:rsidP="006E66FB">
      <w:pPr>
        <w:tabs>
          <w:tab w:val="left" w:pos="936"/>
        </w:tabs>
        <w:rPr>
          <w:rFonts w:ascii="Times New Roman" w:hAnsi="Times New Roman"/>
          <w:color w:val="000000" w:themeColor="text1"/>
          <w:sz w:val="24"/>
          <w:szCs w:val="24"/>
        </w:rPr>
      </w:pPr>
    </w:p>
    <w:p w14:paraId="7D973702" w14:textId="77777777" w:rsidR="006E66FB" w:rsidRPr="00381A22" w:rsidRDefault="006E66FB" w:rsidP="006E66FB">
      <w:pPr>
        <w:rPr>
          <w:rFonts w:ascii="Times New Roman" w:hAnsi="Times New Roman"/>
          <w:color w:val="000000" w:themeColor="text1"/>
          <w:sz w:val="24"/>
          <w:szCs w:val="24"/>
        </w:rPr>
      </w:pPr>
      <w:r w:rsidRPr="00381A22">
        <w:rPr>
          <w:rFonts w:ascii="Times New Roman" w:hAnsi="Times New Roman"/>
          <w:color w:val="000000" w:themeColor="text1"/>
          <w:sz w:val="24"/>
          <w:szCs w:val="24"/>
        </w:rPr>
        <w:t>Noting that it is not a comprehensive statement of relevant constitutional considerations, the objective of the item references the following powers of the Constitution:</w:t>
      </w:r>
    </w:p>
    <w:p w14:paraId="2D263AD1" w14:textId="77777777" w:rsidR="006E66FB" w:rsidRPr="00381A22" w:rsidRDefault="006E66FB" w:rsidP="006E66FB">
      <w:pPr>
        <w:pStyle w:val="ListParagraph"/>
        <w:numPr>
          <w:ilvl w:val="0"/>
          <w:numId w:val="15"/>
        </w:numPr>
        <w:rPr>
          <w:rFonts w:eastAsia="Calibri" w:cs="Times New Roman"/>
          <w:szCs w:val="24"/>
          <w:lang w:eastAsia="en-AU"/>
        </w:rPr>
      </w:pPr>
      <w:r w:rsidRPr="00381A22">
        <w:rPr>
          <w:rFonts w:eastAsia="Calibri" w:cs="Times New Roman"/>
          <w:szCs w:val="24"/>
          <w:lang w:eastAsia="en-AU"/>
        </w:rPr>
        <w:t>the social welfare power (section 51(</w:t>
      </w:r>
      <w:proofErr w:type="spellStart"/>
      <w:r w:rsidRPr="00381A22">
        <w:rPr>
          <w:rFonts w:eastAsia="Calibri" w:cs="Times New Roman"/>
          <w:szCs w:val="24"/>
          <w:lang w:eastAsia="en-AU"/>
        </w:rPr>
        <w:t>xxiiiA</w:t>
      </w:r>
      <w:proofErr w:type="spellEnd"/>
      <w:r w:rsidRPr="00381A22">
        <w:rPr>
          <w:rFonts w:eastAsia="Calibri" w:cs="Times New Roman"/>
          <w:szCs w:val="24"/>
          <w:lang w:eastAsia="en-AU"/>
        </w:rPr>
        <w:t>));</w:t>
      </w:r>
    </w:p>
    <w:p w14:paraId="2EAB3DC4" w14:textId="77777777" w:rsidR="006E66FB" w:rsidRPr="00381A22" w:rsidRDefault="006E66FB" w:rsidP="006E66FB">
      <w:pPr>
        <w:pStyle w:val="ListParagraph"/>
        <w:numPr>
          <w:ilvl w:val="0"/>
          <w:numId w:val="15"/>
        </w:numPr>
        <w:rPr>
          <w:rFonts w:eastAsia="Calibri" w:cs="Times New Roman"/>
          <w:szCs w:val="24"/>
          <w:lang w:eastAsia="en-AU"/>
        </w:rPr>
      </w:pPr>
      <w:r w:rsidRPr="00381A22">
        <w:rPr>
          <w:rFonts w:eastAsia="Calibri" w:cs="Times New Roman"/>
          <w:szCs w:val="24"/>
          <w:lang w:eastAsia="en-AU"/>
        </w:rPr>
        <w:t>the external affairs power (section 51(xxix)); and</w:t>
      </w:r>
    </w:p>
    <w:p w14:paraId="7A6D59DF" w14:textId="77777777" w:rsidR="006E66FB" w:rsidRPr="00381A22" w:rsidRDefault="006E66FB" w:rsidP="006E66FB">
      <w:pPr>
        <w:pStyle w:val="ListParagraph"/>
        <w:numPr>
          <w:ilvl w:val="0"/>
          <w:numId w:val="15"/>
        </w:numPr>
        <w:rPr>
          <w:rFonts w:eastAsia="Calibri" w:cs="Times New Roman"/>
          <w:szCs w:val="24"/>
          <w:lang w:eastAsia="en-AU"/>
        </w:rPr>
      </w:pPr>
      <w:proofErr w:type="gramStart"/>
      <w:r w:rsidRPr="00381A22">
        <w:rPr>
          <w:rFonts w:eastAsia="Calibri" w:cs="Times New Roman"/>
          <w:szCs w:val="24"/>
          <w:lang w:eastAsia="en-AU"/>
        </w:rPr>
        <w:t>the</w:t>
      </w:r>
      <w:proofErr w:type="gramEnd"/>
      <w:r w:rsidRPr="00381A22">
        <w:rPr>
          <w:rFonts w:eastAsia="Calibri" w:cs="Times New Roman"/>
          <w:szCs w:val="24"/>
          <w:lang w:eastAsia="en-AU"/>
        </w:rPr>
        <w:t xml:space="preserve"> express incidental power and the executive power (sections 51(xxxix) and 61), including the nationhood aspect.</w:t>
      </w:r>
    </w:p>
    <w:p w14:paraId="501DBFC4" w14:textId="3D8E98B7" w:rsidR="00DA5B8A" w:rsidRPr="00381A22" w:rsidRDefault="00DA5B8A">
      <w:pPr>
        <w:spacing w:after="200" w:line="276" w:lineRule="auto"/>
        <w:rPr>
          <w:rFonts w:ascii="Times New Roman" w:eastAsiaTheme="minorHAnsi" w:hAnsi="Times New Roman" w:cstheme="minorBidi"/>
          <w:color w:val="000000" w:themeColor="text1"/>
          <w:sz w:val="24"/>
          <w:szCs w:val="24"/>
          <w:lang w:eastAsia="en-US"/>
        </w:rPr>
      </w:pPr>
      <w:r w:rsidRPr="00381A22">
        <w:rPr>
          <w:szCs w:val="24"/>
        </w:rPr>
        <w:br w:type="page"/>
      </w:r>
    </w:p>
    <w:p w14:paraId="20529081" w14:textId="77777777" w:rsidR="006E66FB" w:rsidRPr="00381A22" w:rsidRDefault="006E66FB" w:rsidP="006E66FB">
      <w:pPr>
        <w:tabs>
          <w:tab w:val="left" w:pos="936"/>
        </w:tabs>
        <w:rPr>
          <w:rFonts w:ascii="Times New Roman" w:hAnsi="Times New Roman"/>
          <w:i/>
          <w:color w:val="000000" w:themeColor="text1"/>
          <w:sz w:val="24"/>
          <w:szCs w:val="24"/>
          <w:u w:val="single"/>
        </w:rPr>
      </w:pPr>
      <w:r w:rsidRPr="00381A22">
        <w:rPr>
          <w:rFonts w:ascii="Times New Roman" w:hAnsi="Times New Roman"/>
          <w:i/>
          <w:color w:val="000000" w:themeColor="text1"/>
          <w:sz w:val="24"/>
          <w:szCs w:val="24"/>
          <w:u w:val="single"/>
        </w:rPr>
        <w:lastRenderedPageBreak/>
        <w:t>Social welfare power</w:t>
      </w:r>
    </w:p>
    <w:p w14:paraId="1A7E7796" w14:textId="77777777" w:rsidR="006E66FB" w:rsidRPr="00381A22" w:rsidRDefault="006E66FB" w:rsidP="006E66FB">
      <w:pPr>
        <w:tabs>
          <w:tab w:val="left" w:pos="936"/>
        </w:tabs>
        <w:rPr>
          <w:rFonts w:ascii="Times New Roman" w:hAnsi="Times New Roman"/>
          <w:color w:val="000000" w:themeColor="text1"/>
          <w:sz w:val="24"/>
          <w:szCs w:val="24"/>
        </w:rPr>
      </w:pPr>
    </w:p>
    <w:p w14:paraId="00BE7D5A" w14:textId="77777777" w:rsidR="006E66FB" w:rsidRPr="00381A22" w:rsidRDefault="006E66FB" w:rsidP="006E66FB">
      <w:pPr>
        <w:tabs>
          <w:tab w:val="left" w:pos="936"/>
        </w:tabs>
        <w:rPr>
          <w:rFonts w:ascii="Times New Roman" w:hAnsi="Times New Roman"/>
          <w:bCs/>
          <w:color w:val="000000" w:themeColor="text1"/>
          <w:sz w:val="24"/>
          <w:szCs w:val="24"/>
        </w:rPr>
      </w:pPr>
      <w:r w:rsidRPr="00381A22">
        <w:rPr>
          <w:rFonts w:ascii="Times New Roman" w:hAnsi="Times New Roman"/>
          <w:color w:val="000000" w:themeColor="text1"/>
          <w:sz w:val="24"/>
          <w:szCs w:val="24"/>
        </w:rPr>
        <w:t>The social welfare power in section 51(</w:t>
      </w:r>
      <w:proofErr w:type="spellStart"/>
      <w:r w:rsidRPr="00381A22">
        <w:rPr>
          <w:rFonts w:ascii="Times New Roman" w:hAnsi="Times New Roman"/>
          <w:color w:val="000000" w:themeColor="text1"/>
          <w:sz w:val="24"/>
          <w:szCs w:val="24"/>
        </w:rPr>
        <w:t>xxiiiA</w:t>
      </w:r>
      <w:proofErr w:type="spellEnd"/>
      <w:r w:rsidRPr="00381A22">
        <w:rPr>
          <w:rFonts w:ascii="Times New Roman" w:hAnsi="Times New Roman"/>
          <w:color w:val="000000" w:themeColor="text1"/>
          <w:sz w:val="24"/>
          <w:szCs w:val="24"/>
        </w:rPr>
        <w:t xml:space="preserve">) of the Constitution empowers the Parliament to make laws with respect to the provision of certain social welfare benefits including </w:t>
      </w:r>
      <w:r w:rsidRPr="00381A22">
        <w:rPr>
          <w:rFonts w:ascii="Times New Roman" w:hAnsi="Times New Roman"/>
          <w:bCs/>
          <w:color w:val="000000" w:themeColor="text1"/>
          <w:sz w:val="24"/>
          <w:szCs w:val="24"/>
        </w:rPr>
        <w:t>unemployment benefits.</w:t>
      </w:r>
    </w:p>
    <w:p w14:paraId="26DBA097" w14:textId="77777777" w:rsidR="006E66FB" w:rsidRPr="00381A22" w:rsidRDefault="006E66FB" w:rsidP="006E66FB">
      <w:pPr>
        <w:tabs>
          <w:tab w:val="left" w:pos="936"/>
        </w:tabs>
        <w:rPr>
          <w:rFonts w:ascii="Times New Roman" w:hAnsi="Times New Roman"/>
          <w:bCs/>
          <w:color w:val="000000" w:themeColor="text1"/>
          <w:sz w:val="24"/>
          <w:szCs w:val="24"/>
        </w:rPr>
      </w:pPr>
    </w:p>
    <w:p w14:paraId="52AC91DA" w14:textId="6AA2B6B0"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bCs/>
          <w:color w:val="000000" w:themeColor="text1"/>
          <w:sz w:val="24"/>
          <w:szCs w:val="24"/>
        </w:rPr>
        <w:t xml:space="preserve">The </w:t>
      </w:r>
      <w:r w:rsidR="007E6422" w:rsidRPr="00381A22">
        <w:rPr>
          <w:rFonts w:ascii="Times New Roman" w:hAnsi="Times New Roman"/>
          <w:bCs/>
          <w:color w:val="000000" w:themeColor="text1"/>
          <w:sz w:val="24"/>
          <w:szCs w:val="24"/>
        </w:rPr>
        <w:t>Local Jobs Pilot</w:t>
      </w:r>
      <w:r w:rsidRPr="00381A22">
        <w:rPr>
          <w:rFonts w:ascii="Times New Roman" w:hAnsi="Times New Roman"/>
          <w:bCs/>
          <w:color w:val="000000" w:themeColor="text1"/>
          <w:sz w:val="24"/>
          <w:szCs w:val="24"/>
        </w:rPr>
        <w:t xml:space="preserve"> will benefit individuals who are receiving unemployment benefits by providing them with assistance to upskill, retrain and locate suitable employment opportunities.</w:t>
      </w:r>
    </w:p>
    <w:p w14:paraId="41644B19" w14:textId="77777777" w:rsidR="006E66FB" w:rsidRPr="00381A22" w:rsidRDefault="006E66FB" w:rsidP="006E66FB">
      <w:pPr>
        <w:tabs>
          <w:tab w:val="left" w:pos="936"/>
        </w:tabs>
        <w:rPr>
          <w:rFonts w:ascii="Times New Roman" w:hAnsi="Times New Roman"/>
          <w:color w:val="000000" w:themeColor="text1"/>
          <w:sz w:val="24"/>
          <w:szCs w:val="24"/>
        </w:rPr>
      </w:pPr>
    </w:p>
    <w:p w14:paraId="3FA1D9A5" w14:textId="77777777" w:rsidR="006E66FB" w:rsidRPr="00381A22" w:rsidRDefault="006E66FB" w:rsidP="006E66FB">
      <w:pPr>
        <w:tabs>
          <w:tab w:val="left" w:pos="936"/>
        </w:tabs>
        <w:rPr>
          <w:rFonts w:ascii="Times New Roman" w:hAnsi="Times New Roman"/>
          <w:i/>
          <w:color w:val="000000" w:themeColor="text1"/>
          <w:sz w:val="24"/>
          <w:szCs w:val="24"/>
          <w:u w:val="single"/>
        </w:rPr>
      </w:pPr>
      <w:r w:rsidRPr="00381A22">
        <w:rPr>
          <w:rFonts w:ascii="Times New Roman" w:hAnsi="Times New Roman"/>
          <w:i/>
          <w:color w:val="000000" w:themeColor="text1"/>
          <w:sz w:val="24"/>
          <w:szCs w:val="24"/>
          <w:u w:val="single"/>
        </w:rPr>
        <w:t>External affairs power</w:t>
      </w:r>
    </w:p>
    <w:p w14:paraId="3F27676F" w14:textId="77777777" w:rsidR="006E66FB" w:rsidRPr="00381A22" w:rsidRDefault="006E66FB" w:rsidP="006E66FB">
      <w:pPr>
        <w:tabs>
          <w:tab w:val="left" w:pos="936"/>
        </w:tabs>
        <w:rPr>
          <w:rFonts w:ascii="Times New Roman" w:hAnsi="Times New Roman"/>
          <w:color w:val="000000" w:themeColor="text1"/>
          <w:sz w:val="24"/>
          <w:szCs w:val="24"/>
        </w:rPr>
      </w:pPr>
    </w:p>
    <w:p w14:paraId="65B7D4A7" w14:textId="7777777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Section 51(xxix) of the Constitution empowers the Parliament to make laws with respect to ‘external affairs’. The external affairs power supports legislation implementing Australia’s obligations under international treaties to which it is a party. </w:t>
      </w:r>
    </w:p>
    <w:p w14:paraId="586607DF" w14:textId="77777777" w:rsidR="006E66FB" w:rsidRPr="00381A22" w:rsidRDefault="006E66FB" w:rsidP="006E66FB">
      <w:pPr>
        <w:tabs>
          <w:tab w:val="left" w:pos="936"/>
        </w:tabs>
        <w:rPr>
          <w:rFonts w:ascii="Times New Roman" w:hAnsi="Times New Roman"/>
          <w:color w:val="000000" w:themeColor="text1"/>
          <w:sz w:val="24"/>
          <w:szCs w:val="24"/>
        </w:rPr>
      </w:pPr>
    </w:p>
    <w:p w14:paraId="5D48E3DB" w14:textId="44C0E0CF" w:rsidR="006E66FB" w:rsidRPr="00381A22" w:rsidRDefault="006E66FB" w:rsidP="006E66FB">
      <w:pPr>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Australia has obligations </w:t>
      </w:r>
      <w:r w:rsidR="007E6422" w:rsidRPr="00381A22">
        <w:rPr>
          <w:rFonts w:ascii="Times New Roman" w:hAnsi="Times New Roman"/>
          <w:color w:val="000000" w:themeColor="text1"/>
          <w:sz w:val="24"/>
          <w:szCs w:val="24"/>
        </w:rPr>
        <w:t>relat</w:t>
      </w:r>
      <w:r w:rsidRPr="00381A22">
        <w:rPr>
          <w:rFonts w:ascii="Times New Roman" w:hAnsi="Times New Roman"/>
          <w:color w:val="000000" w:themeColor="text1"/>
          <w:sz w:val="24"/>
          <w:szCs w:val="24"/>
        </w:rPr>
        <w:t xml:space="preserve">ing to the following </w:t>
      </w:r>
      <w:r w:rsidR="007E6422" w:rsidRPr="00381A22">
        <w:rPr>
          <w:rFonts w:ascii="Times New Roman" w:hAnsi="Times New Roman"/>
          <w:color w:val="000000" w:themeColor="text1"/>
          <w:sz w:val="24"/>
          <w:szCs w:val="24"/>
        </w:rPr>
        <w:t>c</w:t>
      </w:r>
      <w:r w:rsidRPr="00381A22">
        <w:rPr>
          <w:rFonts w:ascii="Times New Roman" w:hAnsi="Times New Roman"/>
          <w:color w:val="000000" w:themeColor="text1"/>
          <w:sz w:val="24"/>
          <w:szCs w:val="24"/>
        </w:rPr>
        <w:t>onventions:</w:t>
      </w:r>
    </w:p>
    <w:p w14:paraId="505A2D56" w14:textId="77777777" w:rsidR="006E66FB" w:rsidRPr="00381A22" w:rsidRDefault="006E66FB" w:rsidP="006E66FB">
      <w:pPr>
        <w:numPr>
          <w:ilvl w:val="0"/>
          <w:numId w:val="34"/>
        </w:numPr>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the </w:t>
      </w:r>
      <w:r w:rsidRPr="00381A22">
        <w:rPr>
          <w:rFonts w:ascii="Times New Roman" w:hAnsi="Times New Roman"/>
          <w:i/>
          <w:color w:val="000000" w:themeColor="text1"/>
          <w:sz w:val="24"/>
          <w:szCs w:val="24"/>
        </w:rPr>
        <w:t>International Covenant on Economic, Social and Cultural Rights</w:t>
      </w:r>
      <w:r w:rsidRPr="00381A22">
        <w:rPr>
          <w:rFonts w:ascii="Times New Roman" w:hAnsi="Times New Roman"/>
          <w:color w:val="000000" w:themeColor="text1"/>
          <w:sz w:val="24"/>
          <w:szCs w:val="24"/>
        </w:rPr>
        <w:t xml:space="preserve"> (ICESCR), including Articles 2 and 6; </w:t>
      </w:r>
    </w:p>
    <w:p w14:paraId="2E8A21D9" w14:textId="77777777" w:rsidR="006E66FB" w:rsidRPr="00381A22" w:rsidRDefault="006E66FB" w:rsidP="006E66FB">
      <w:pPr>
        <w:numPr>
          <w:ilvl w:val="0"/>
          <w:numId w:val="34"/>
        </w:numPr>
        <w:rPr>
          <w:rFonts w:ascii="Times New Roman" w:hAnsi="Times New Roman"/>
          <w:color w:val="000000" w:themeColor="text1"/>
          <w:sz w:val="24"/>
          <w:szCs w:val="24"/>
        </w:rPr>
      </w:pPr>
      <w:r w:rsidRPr="00381A22">
        <w:rPr>
          <w:rFonts w:ascii="Times New Roman" w:hAnsi="Times New Roman"/>
          <w:color w:val="000000" w:themeColor="text1"/>
          <w:sz w:val="24"/>
          <w:szCs w:val="24"/>
        </w:rPr>
        <w:t>the International Labour Organization’s</w:t>
      </w:r>
      <w:r w:rsidRPr="00381A22">
        <w:rPr>
          <w:rFonts w:ascii="Times New Roman" w:hAnsi="Times New Roman"/>
          <w:i/>
          <w:color w:val="000000" w:themeColor="text1"/>
          <w:sz w:val="24"/>
          <w:szCs w:val="24"/>
        </w:rPr>
        <w:t xml:space="preserve"> Convention concerning Employment Policy</w:t>
      </w:r>
      <w:r w:rsidRPr="00381A22">
        <w:rPr>
          <w:rFonts w:ascii="Times New Roman" w:hAnsi="Times New Roman"/>
          <w:color w:val="000000" w:themeColor="text1"/>
          <w:sz w:val="24"/>
          <w:szCs w:val="24"/>
        </w:rPr>
        <w:t xml:space="preserve"> (ILO Convention 122), including Articles 1 and 2; and</w:t>
      </w:r>
    </w:p>
    <w:p w14:paraId="04414100" w14:textId="77777777" w:rsidR="006E66FB" w:rsidRPr="00381A22" w:rsidRDefault="006E66FB" w:rsidP="006E66FB">
      <w:pPr>
        <w:numPr>
          <w:ilvl w:val="0"/>
          <w:numId w:val="34"/>
        </w:numPr>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the International Labour Organization’s </w:t>
      </w:r>
      <w:r w:rsidRPr="00381A22">
        <w:rPr>
          <w:rFonts w:ascii="Times New Roman" w:hAnsi="Times New Roman"/>
          <w:i/>
          <w:color w:val="000000" w:themeColor="text1"/>
          <w:sz w:val="24"/>
          <w:szCs w:val="24"/>
        </w:rPr>
        <w:t>Convention concerning Vocational Guidance and Vocational Training in the Development of Human Resources</w:t>
      </w:r>
      <w:r w:rsidRPr="00381A22">
        <w:rPr>
          <w:rFonts w:ascii="Times New Roman" w:hAnsi="Times New Roman"/>
          <w:color w:val="000000" w:themeColor="text1"/>
          <w:sz w:val="24"/>
          <w:szCs w:val="24"/>
        </w:rPr>
        <w:t xml:space="preserve"> (ILO Convention 142), including Articles 1, 2, 3 and 4. </w:t>
      </w:r>
    </w:p>
    <w:p w14:paraId="56675532" w14:textId="77777777" w:rsidR="006E66FB" w:rsidRPr="00381A22" w:rsidRDefault="006E66FB" w:rsidP="006E66FB">
      <w:pPr>
        <w:tabs>
          <w:tab w:val="left" w:pos="936"/>
        </w:tabs>
        <w:rPr>
          <w:rFonts w:ascii="Times New Roman" w:hAnsi="Times New Roman"/>
          <w:color w:val="000000" w:themeColor="text1"/>
          <w:sz w:val="24"/>
          <w:szCs w:val="24"/>
        </w:rPr>
      </w:pPr>
    </w:p>
    <w:p w14:paraId="553C41D8" w14:textId="6DBBD7F3"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Article 2 of the ICESCR provides that States Parties shall take steps to adopt legislative measures to realise the rights within </w:t>
      </w:r>
      <w:r w:rsidR="007E6422" w:rsidRPr="00381A22">
        <w:rPr>
          <w:rFonts w:ascii="Times New Roman" w:hAnsi="Times New Roman"/>
          <w:color w:val="000000" w:themeColor="text1"/>
          <w:sz w:val="24"/>
          <w:szCs w:val="24"/>
        </w:rPr>
        <w:t xml:space="preserve">the </w:t>
      </w:r>
      <w:r w:rsidRPr="00381A22">
        <w:rPr>
          <w:rFonts w:ascii="Times New Roman" w:hAnsi="Times New Roman"/>
          <w:color w:val="000000" w:themeColor="text1"/>
          <w:sz w:val="24"/>
          <w:szCs w:val="24"/>
        </w:rPr>
        <w:t>ICESCR including, relevantly, the right to work under Article 6(2</w:t>
      </w:r>
      <w:proofErr w:type="gramStart"/>
      <w:r w:rsidRPr="00381A22">
        <w:rPr>
          <w:rFonts w:ascii="Times New Roman" w:hAnsi="Times New Roman"/>
          <w:color w:val="000000" w:themeColor="text1"/>
          <w:sz w:val="24"/>
          <w:szCs w:val="24"/>
        </w:rPr>
        <w:t>) which</w:t>
      </w:r>
      <w:proofErr w:type="gramEnd"/>
      <w:r w:rsidRPr="00381A22">
        <w:rPr>
          <w:rFonts w:ascii="Times New Roman" w:hAnsi="Times New Roman"/>
          <w:color w:val="000000" w:themeColor="text1"/>
          <w:sz w:val="24"/>
          <w:szCs w:val="24"/>
        </w:rPr>
        <w:t xml:space="preserve"> includes ‘technical and vocational guidance and training programmes, policies and techniques to achieve… full and productive employment.’ </w:t>
      </w:r>
    </w:p>
    <w:p w14:paraId="03B6DDC7" w14:textId="77777777" w:rsidR="006E66FB" w:rsidRPr="00381A22" w:rsidRDefault="006E66FB" w:rsidP="006E66FB">
      <w:pPr>
        <w:tabs>
          <w:tab w:val="left" w:pos="936"/>
        </w:tabs>
        <w:rPr>
          <w:rFonts w:ascii="Times New Roman" w:hAnsi="Times New Roman"/>
          <w:color w:val="000000" w:themeColor="text1"/>
          <w:sz w:val="24"/>
          <w:szCs w:val="24"/>
        </w:rPr>
      </w:pPr>
    </w:p>
    <w:p w14:paraId="1966DAC3" w14:textId="7777777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Article 1(1) of the ILO Convention 122 obliges each Member to ‘declare and pursue… an active policy designed to promote full, productive and freely chosen employment.’ Article 1(2) specifies that this policy shall aim to ensure that (among other things) ‘there is work for all who are available for and seeking work’. Article 2 further requires Members to ‘decide on and keep under review … the measures to be adopted for attaining the objectives specified in Article 1’, and to ‘take such steps as may be needed … for the application of these measures’.</w:t>
      </w:r>
    </w:p>
    <w:p w14:paraId="19E3188C" w14:textId="77777777" w:rsidR="006E66FB" w:rsidRPr="00381A22" w:rsidRDefault="006E66FB" w:rsidP="006E66FB">
      <w:pPr>
        <w:tabs>
          <w:tab w:val="left" w:pos="936"/>
        </w:tabs>
        <w:rPr>
          <w:rFonts w:ascii="Times New Roman" w:hAnsi="Times New Roman"/>
          <w:color w:val="000000" w:themeColor="text1"/>
          <w:sz w:val="24"/>
          <w:szCs w:val="24"/>
        </w:rPr>
      </w:pPr>
    </w:p>
    <w:p w14:paraId="3831850E" w14:textId="7777777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Article 1(1) of the ILO Convention 142 obliges each Member to ‘adopt and develop comprehensive and co-ordinated policies and programmes of vocational guidance and vocational training, closely linked with employment’. Article 1(2) requires the policies and programmes adopted for the purposes of Article 1(1) take due account of matters including ‘employment needs, opportunities and problems, both regional and national’. </w:t>
      </w:r>
    </w:p>
    <w:p w14:paraId="5ECA4DE4" w14:textId="77777777" w:rsidR="006E66FB" w:rsidRPr="00381A22" w:rsidRDefault="006E66FB" w:rsidP="006E66FB">
      <w:pPr>
        <w:tabs>
          <w:tab w:val="left" w:pos="936"/>
        </w:tabs>
        <w:rPr>
          <w:rFonts w:ascii="Times New Roman" w:hAnsi="Times New Roman"/>
          <w:color w:val="000000" w:themeColor="text1"/>
          <w:sz w:val="24"/>
          <w:szCs w:val="24"/>
        </w:rPr>
      </w:pPr>
    </w:p>
    <w:p w14:paraId="121AFB93" w14:textId="7777777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Article 2 of the ILO Convention 142 obliges each Member to ‘establish and develop open, flexible and complementary systems of general, technical and vocational education, educational and vocational guidance and vocational training, whether these activities take place within the system of formal education or outside it’. </w:t>
      </w:r>
    </w:p>
    <w:p w14:paraId="3031DE6A" w14:textId="77777777" w:rsidR="006E66FB" w:rsidRPr="00381A22" w:rsidRDefault="006E66FB" w:rsidP="006E66FB">
      <w:pPr>
        <w:tabs>
          <w:tab w:val="left" w:pos="936"/>
        </w:tabs>
        <w:rPr>
          <w:rFonts w:ascii="Times New Roman" w:hAnsi="Times New Roman"/>
          <w:color w:val="000000" w:themeColor="text1"/>
          <w:sz w:val="24"/>
          <w:szCs w:val="24"/>
        </w:rPr>
      </w:pPr>
    </w:p>
    <w:p w14:paraId="042E6233" w14:textId="7777777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lastRenderedPageBreak/>
        <w:t xml:space="preserve">Article 3(1) of the ILO Convention 142 obliges each Member to ‘gradually extend its systems of vocational guidance, including continuing employment information, with a view to ensuring that comprehensive information and the broadest possible guidance are available to all children, young persons and adults, including appropriate programmes for all handicapped and disabled persons.’ Articles 3(2) and 3(3) provide additional details about what information, guidance and supplementary material </w:t>
      </w:r>
      <w:proofErr w:type="gramStart"/>
      <w:r w:rsidRPr="00381A22">
        <w:rPr>
          <w:rFonts w:ascii="Times New Roman" w:hAnsi="Times New Roman"/>
          <w:color w:val="000000" w:themeColor="text1"/>
          <w:sz w:val="24"/>
          <w:szCs w:val="24"/>
        </w:rPr>
        <w:t>should be provided</w:t>
      </w:r>
      <w:proofErr w:type="gramEnd"/>
      <w:r w:rsidRPr="00381A22">
        <w:rPr>
          <w:rFonts w:ascii="Times New Roman" w:hAnsi="Times New Roman"/>
          <w:color w:val="000000" w:themeColor="text1"/>
          <w:sz w:val="24"/>
          <w:szCs w:val="24"/>
        </w:rPr>
        <w:t xml:space="preserve">. </w:t>
      </w:r>
    </w:p>
    <w:p w14:paraId="027A0244" w14:textId="77777777" w:rsidR="006E66FB" w:rsidRPr="00381A22" w:rsidRDefault="006E66FB" w:rsidP="006E66FB">
      <w:pPr>
        <w:tabs>
          <w:tab w:val="left" w:pos="936"/>
        </w:tabs>
        <w:rPr>
          <w:rFonts w:ascii="Times New Roman" w:hAnsi="Times New Roman"/>
          <w:color w:val="000000" w:themeColor="text1"/>
          <w:sz w:val="24"/>
          <w:szCs w:val="24"/>
        </w:rPr>
      </w:pPr>
    </w:p>
    <w:p w14:paraId="1DB5A5F9" w14:textId="77777777"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Article 4 of the ILO Convention 142 obliges each Member to ‘gradually extend, adapt and harmonise its vocational training systems to meet the needs for vocational training throughout life of both young persons and adults in all sectors of the economy and branches of economic activity and at all levels of skill and responsibility’. </w:t>
      </w:r>
    </w:p>
    <w:p w14:paraId="5CAD0EEF" w14:textId="77777777" w:rsidR="006E66FB" w:rsidRPr="00381A22" w:rsidRDefault="006E66FB" w:rsidP="006E66FB">
      <w:pPr>
        <w:tabs>
          <w:tab w:val="left" w:pos="936"/>
        </w:tabs>
        <w:rPr>
          <w:rFonts w:ascii="Times New Roman" w:hAnsi="Times New Roman"/>
          <w:color w:val="000000" w:themeColor="text1"/>
          <w:sz w:val="24"/>
          <w:szCs w:val="24"/>
        </w:rPr>
      </w:pPr>
    </w:p>
    <w:p w14:paraId="7622D09F" w14:textId="22B07C63" w:rsidR="006E66FB" w:rsidRPr="00381A22" w:rsidRDefault="006E66FB" w:rsidP="006E66FB">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By coordinating employment and training solutions at a local level, the </w:t>
      </w:r>
      <w:r w:rsidR="00F14AE9" w:rsidRPr="00381A22">
        <w:rPr>
          <w:rFonts w:ascii="Times New Roman" w:hAnsi="Times New Roman"/>
          <w:color w:val="000000" w:themeColor="text1"/>
          <w:sz w:val="24"/>
          <w:szCs w:val="24"/>
        </w:rPr>
        <w:t>Local Jobs Pilot</w:t>
      </w:r>
      <w:r w:rsidRPr="00381A22">
        <w:rPr>
          <w:rFonts w:ascii="Times New Roman" w:hAnsi="Times New Roman"/>
          <w:color w:val="000000" w:themeColor="text1"/>
          <w:sz w:val="24"/>
          <w:szCs w:val="24"/>
        </w:rPr>
        <w:t xml:space="preserve"> will improve access to vocational education and training and employment opportunities in Employment Regions across Australia. In doing so, the </w:t>
      </w:r>
      <w:r w:rsidR="00F14AE9" w:rsidRPr="00381A22">
        <w:rPr>
          <w:rFonts w:ascii="Times New Roman" w:hAnsi="Times New Roman"/>
          <w:color w:val="000000" w:themeColor="text1"/>
          <w:sz w:val="24"/>
          <w:szCs w:val="24"/>
        </w:rPr>
        <w:t>Local Jobs Pilot</w:t>
      </w:r>
      <w:r w:rsidRPr="00381A22">
        <w:rPr>
          <w:rFonts w:ascii="Times New Roman" w:hAnsi="Times New Roman"/>
          <w:color w:val="000000" w:themeColor="text1"/>
          <w:sz w:val="24"/>
          <w:szCs w:val="24"/>
        </w:rPr>
        <w:t xml:space="preserve"> will also promote full, productive and freely chosen employment by broadening the employment opportunities for individuals, as well as helping to address employment needs and regional and industry skills shortages. </w:t>
      </w:r>
    </w:p>
    <w:p w14:paraId="30AA4FE2" w14:textId="77777777" w:rsidR="006E66FB" w:rsidRPr="00381A22" w:rsidRDefault="006E66FB" w:rsidP="006E66FB">
      <w:pPr>
        <w:tabs>
          <w:tab w:val="left" w:pos="936"/>
        </w:tabs>
        <w:rPr>
          <w:rFonts w:ascii="Times New Roman" w:hAnsi="Times New Roman"/>
          <w:color w:val="000000" w:themeColor="text1"/>
          <w:sz w:val="24"/>
          <w:szCs w:val="24"/>
        </w:rPr>
      </w:pPr>
    </w:p>
    <w:p w14:paraId="10C76F24" w14:textId="77777777" w:rsidR="006E66FB" w:rsidRPr="00381A22" w:rsidRDefault="006E66FB" w:rsidP="006E66FB">
      <w:pPr>
        <w:tabs>
          <w:tab w:val="left" w:pos="936"/>
        </w:tabs>
        <w:rPr>
          <w:rFonts w:ascii="Times New Roman" w:hAnsi="Times New Roman"/>
          <w:i/>
          <w:color w:val="000000" w:themeColor="text1"/>
          <w:sz w:val="24"/>
          <w:szCs w:val="24"/>
          <w:u w:val="single"/>
        </w:rPr>
      </w:pPr>
      <w:r w:rsidRPr="00381A22">
        <w:rPr>
          <w:rFonts w:ascii="Times New Roman" w:hAnsi="Times New Roman"/>
          <w:i/>
          <w:color w:val="000000" w:themeColor="text1"/>
          <w:sz w:val="24"/>
          <w:szCs w:val="24"/>
          <w:u w:val="single"/>
        </w:rPr>
        <w:t xml:space="preserve">Executive power and express incidental power, including the nationhood aspect </w:t>
      </w:r>
    </w:p>
    <w:p w14:paraId="4DFF69FB" w14:textId="77777777" w:rsidR="006E66FB" w:rsidRPr="00381A22" w:rsidRDefault="006E66FB" w:rsidP="006E66FB">
      <w:pPr>
        <w:tabs>
          <w:tab w:val="left" w:pos="936"/>
        </w:tabs>
        <w:rPr>
          <w:rFonts w:ascii="Times New Roman" w:hAnsi="Times New Roman"/>
          <w:iCs/>
          <w:color w:val="000000" w:themeColor="text1"/>
          <w:sz w:val="24"/>
          <w:szCs w:val="24"/>
        </w:rPr>
      </w:pPr>
    </w:p>
    <w:p w14:paraId="5A919AF9" w14:textId="77777777" w:rsidR="006E66FB" w:rsidRPr="00381A22" w:rsidRDefault="006E66FB" w:rsidP="006E66FB">
      <w:pPr>
        <w:tabs>
          <w:tab w:val="left" w:pos="936"/>
        </w:tabs>
        <w:rPr>
          <w:rFonts w:ascii="Times New Roman" w:hAnsi="Times New Roman"/>
          <w:iCs/>
          <w:color w:val="000000" w:themeColor="text1"/>
          <w:sz w:val="24"/>
          <w:szCs w:val="24"/>
        </w:rPr>
      </w:pPr>
      <w:r w:rsidRPr="00381A22">
        <w:rPr>
          <w:rFonts w:ascii="Times New Roman" w:hAnsi="Times New Roman"/>
          <w:iCs/>
          <w:color w:val="000000" w:themeColor="text1"/>
          <w:sz w:val="24"/>
          <w:szCs w:val="24"/>
        </w:rPr>
        <w:t xml:space="preserve">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w:t>
      </w:r>
      <w:proofErr w:type="gramStart"/>
      <w:r w:rsidRPr="00381A22">
        <w:rPr>
          <w:rFonts w:ascii="Times New Roman" w:hAnsi="Times New Roman"/>
          <w:iCs/>
          <w:color w:val="000000" w:themeColor="text1"/>
          <w:sz w:val="24"/>
          <w:szCs w:val="24"/>
        </w:rPr>
        <w:t>cannot be carried out</w:t>
      </w:r>
      <w:proofErr w:type="gramEnd"/>
      <w:r w:rsidRPr="00381A22">
        <w:rPr>
          <w:rFonts w:ascii="Times New Roman" w:hAnsi="Times New Roman"/>
          <w:iCs/>
          <w:color w:val="000000" w:themeColor="text1"/>
          <w:sz w:val="24"/>
          <w:szCs w:val="24"/>
        </w:rPr>
        <w:t xml:space="preserve"> for the benefit of the nation otherwise than by the Commonwealth. </w:t>
      </w:r>
    </w:p>
    <w:p w14:paraId="1EF325AA" w14:textId="77777777" w:rsidR="006E66FB" w:rsidRPr="00381A22" w:rsidRDefault="006E66FB" w:rsidP="006E66FB">
      <w:pPr>
        <w:tabs>
          <w:tab w:val="left" w:pos="936"/>
        </w:tabs>
        <w:rPr>
          <w:rFonts w:ascii="Times New Roman" w:hAnsi="Times New Roman"/>
          <w:iCs/>
          <w:color w:val="000000" w:themeColor="text1"/>
          <w:sz w:val="24"/>
          <w:szCs w:val="24"/>
        </w:rPr>
      </w:pPr>
    </w:p>
    <w:p w14:paraId="70F8B11D" w14:textId="660C43E8" w:rsidR="006E66FB" w:rsidRPr="00381A22" w:rsidRDefault="006E66FB" w:rsidP="006E66FB">
      <w:pPr>
        <w:tabs>
          <w:tab w:val="left" w:pos="936"/>
        </w:tabs>
        <w:rPr>
          <w:rFonts w:ascii="Times New Roman" w:hAnsi="Times New Roman"/>
          <w:iCs/>
          <w:color w:val="000000" w:themeColor="text1"/>
          <w:sz w:val="24"/>
          <w:szCs w:val="24"/>
        </w:rPr>
      </w:pPr>
      <w:r w:rsidRPr="00381A22">
        <w:rPr>
          <w:rFonts w:ascii="Times New Roman" w:hAnsi="Times New Roman"/>
          <w:iCs/>
          <w:color w:val="000000" w:themeColor="text1"/>
          <w:sz w:val="24"/>
          <w:szCs w:val="24"/>
        </w:rPr>
        <w:t>Th</w:t>
      </w:r>
      <w:r w:rsidR="00F14AE9" w:rsidRPr="00381A22">
        <w:rPr>
          <w:rFonts w:ascii="Times New Roman" w:hAnsi="Times New Roman"/>
          <w:iCs/>
          <w:color w:val="000000" w:themeColor="text1"/>
          <w:sz w:val="24"/>
          <w:szCs w:val="24"/>
        </w:rPr>
        <w:t xml:space="preserve">e Local Jobs Pilot </w:t>
      </w:r>
      <w:r w:rsidRPr="00381A22">
        <w:rPr>
          <w:rFonts w:ascii="Times New Roman" w:hAnsi="Times New Roman"/>
          <w:iCs/>
          <w:color w:val="000000" w:themeColor="text1"/>
          <w:sz w:val="24"/>
          <w:szCs w:val="24"/>
        </w:rPr>
        <w:t xml:space="preserve">is part of a broader Commonwealth response to the economic challenges presented by the COVID-19 pandemic. Commonwealth involvement is necessary to respond to those national challenges. </w:t>
      </w:r>
    </w:p>
    <w:p w14:paraId="0FAF94E2" w14:textId="77777777" w:rsidR="006E66FB" w:rsidRPr="00381A22" w:rsidRDefault="006E66FB" w:rsidP="006E66FB">
      <w:pPr>
        <w:tabs>
          <w:tab w:val="left" w:pos="936"/>
        </w:tabs>
        <w:rPr>
          <w:rFonts w:ascii="Times New Roman" w:hAnsi="Times New Roman"/>
          <w:color w:val="000000" w:themeColor="text1"/>
          <w:sz w:val="24"/>
          <w:szCs w:val="24"/>
        </w:rPr>
      </w:pPr>
    </w:p>
    <w:p w14:paraId="4B983720" w14:textId="77777777" w:rsidR="006E66FB" w:rsidRPr="00381A22" w:rsidRDefault="006E66FB" w:rsidP="00151C3A">
      <w:pPr>
        <w:pStyle w:val="NumberLevel6"/>
        <w:numPr>
          <w:ilvl w:val="0"/>
          <w:numId w:val="0"/>
        </w:numPr>
        <w:rPr>
          <w:rFonts w:ascii="Times New Roman" w:hAnsi="Times New Roman" w:cs="Times New Roman"/>
          <w:color w:val="244061" w:themeColor="accent1" w:themeShade="80"/>
          <w:sz w:val="24"/>
          <w:szCs w:val="24"/>
          <w:u w:val="single"/>
        </w:rPr>
      </w:pPr>
    </w:p>
    <w:p w14:paraId="186CA91B" w14:textId="77777777" w:rsidR="00360A88" w:rsidRPr="00381A22" w:rsidRDefault="00360A88" w:rsidP="007A1075">
      <w:pPr>
        <w:rPr>
          <w:rFonts w:ascii="Times New Roman" w:hAnsi="Times New Roman"/>
          <w:color w:val="000000" w:themeColor="text1"/>
          <w:sz w:val="24"/>
          <w:szCs w:val="24"/>
        </w:rPr>
      </w:pPr>
    </w:p>
    <w:p w14:paraId="44C37A9B" w14:textId="77777777" w:rsidR="007A1075" w:rsidRPr="00381A22" w:rsidRDefault="007A1075" w:rsidP="007A1075">
      <w:pPr>
        <w:rPr>
          <w:rFonts w:ascii="Times New Roman" w:hAnsi="Times New Roman"/>
          <w:color w:val="000000" w:themeColor="text1"/>
          <w:sz w:val="24"/>
          <w:szCs w:val="24"/>
        </w:rPr>
      </w:pPr>
    </w:p>
    <w:p w14:paraId="34673E48" w14:textId="77777777" w:rsidR="008353C5" w:rsidRPr="00381A22" w:rsidRDefault="008353C5" w:rsidP="00085B09">
      <w:pPr>
        <w:spacing w:after="200" w:line="276" w:lineRule="auto"/>
        <w:rPr>
          <w:rFonts w:ascii="Times New Roman" w:eastAsiaTheme="minorHAnsi" w:hAnsi="Times New Roman"/>
          <w:sz w:val="24"/>
          <w:szCs w:val="24"/>
          <w:lang w:eastAsia="en-US"/>
        </w:rPr>
        <w:sectPr w:rsidR="008353C5" w:rsidRPr="00381A22" w:rsidSect="004D676F">
          <w:headerReference w:type="even" r:id="rId13"/>
          <w:headerReference w:type="default" r:id="rId14"/>
          <w:headerReference w:type="first" r:id="rId15"/>
          <w:pgSz w:w="11906" w:h="16838"/>
          <w:pgMar w:top="1440" w:right="1440" w:bottom="1440" w:left="1440" w:header="708" w:footer="708" w:gutter="0"/>
          <w:pgNumType w:start="1"/>
          <w:cols w:space="708"/>
          <w:titlePg/>
          <w:docGrid w:linePitch="360"/>
        </w:sectPr>
      </w:pPr>
    </w:p>
    <w:p w14:paraId="77CD2D4A" w14:textId="77777777" w:rsidR="00BF526C" w:rsidRPr="00381A22" w:rsidRDefault="00BF526C" w:rsidP="00BF526C">
      <w:pPr>
        <w:contextualSpacing/>
        <w:jc w:val="center"/>
        <w:rPr>
          <w:rFonts w:ascii="Times New Roman" w:eastAsia="Times New Roman" w:hAnsi="Times New Roman"/>
          <w:b/>
          <w:bCs/>
          <w:sz w:val="24"/>
          <w:szCs w:val="24"/>
        </w:rPr>
      </w:pPr>
      <w:r w:rsidRPr="00381A22">
        <w:rPr>
          <w:rFonts w:ascii="Times New Roman" w:eastAsia="Times New Roman" w:hAnsi="Times New Roman"/>
          <w:b/>
          <w:bCs/>
          <w:sz w:val="24"/>
          <w:szCs w:val="24"/>
        </w:rPr>
        <w:lastRenderedPageBreak/>
        <w:t>Statement of Compatibility with Human Rights</w:t>
      </w:r>
    </w:p>
    <w:p w14:paraId="154F679F" w14:textId="77777777" w:rsidR="00BF526C" w:rsidRPr="00381A22" w:rsidRDefault="00BF526C" w:rsidP="00BF526C">
      <w:pPr>
        <w:pStyle w:val="paranumbering0"/>
        <w:spacing w:before="0" w:beforeAutospacing="0" w:after="0" w:afterAutospacing="0"/>
        <w:contextualSpacing/>
        <w:jc w:val="center"/>
      </w:pPr>
    </w:p>
    <w:p w14:paraId="2246FC6E" w14:textId="77777777" w:rsidR="00BF526C" w:rsidRPr="00381A22" w:rsidRDefault="00BF526C" w:rsidP="00BF526C">
      <w:pPr>
        <w:pStyle w:val="paranumbering0"/>
        <w:spacing w:before="0" w:beforeAutospacing="0" w:after="120" w:afterAutospacing="0"/>
        <w:contextualSpacing/>
        <w:jc w:val="center"/>
      </w:pPr>
      <w:r w:rsidRPr="00381A22">
        <w:t xml:space="preserve">Prepared in accordance with Part 3 of the </w:t>
      </w:r>
      <w:r w:rsidRPr="00381A22">
        <w:rPr>
          <w:i/>
        </w:rPr>
        <w:t>Human Rights (Parliamentary Scrutiny) Act 2011</w:t>
      </w:r>
    </w:p>
    <w:p w14:paraId="184ECE3F" w14:textId="77777777" w:rsidR="00BF526C" w:rsidRPr="00381A22" w:rsidRDefault="00BF526C" w:rsidP="00BF526C">
      <w:pPr>
        <w:pStyle w:val="paranumbering0"/>
        <w:spacing w:before="0" w:beforeAutospacing="0" w:after="120" w:afterAutospacing="0"/>
        <w:contextualSpacing/>
      </w:pPr>
    </w:p>
    <w:p w14:paraId="224B08E7" w14:textId="2F5C693A" w:rsidR="00BF526C" w:rsidRPr="00381A22" w:rsidRDefault="00BF526C" w:rsidP="00BF526C">
      <w:pPr>
        <w:pStyle w:val="paranumbering0"/>
        <w:spacing w:before="0" w:beforeAutospacing="0" w:after="120" w:afterAutospacing="0"/>
        <w:contextualSpacing/>
        <w:rPr>
          <w:b/>
          <w:i/>
        </w:rPr>
      </w:pPr>
      <w:r w:rsidRPr="00381A22">
        <w:rPr>
          <w:b/>
          <w:i/>
        </w:rPr>
        <w:t xml:space="preserve">Financial Framework (Supplementary Powers) Amendment </w:t>
      </w:r>
      <w:r w:rsidRPr="00381A22">
        <w:rPr>
          <w:b/>
          <w:i/>
          <w:iCs/>
        </w:rPr>
        <w:t>(</w:t>
      </w:r>
      <w:r w:rsidR="007C3D1A" w:rsidRPr="00381A22">
        <w:rPr>
          <w:b/>
          <w:i/>
          <w:iCs/>
        </w:rPr>
        <w:t>Education, Skills and Employment</w:t>
      </w:r>
      <w:r w:rsidR="00F40692" w:rsidRPr="00381A22">
        <w:rPr>
          <w:b/>
          <w:i/>
          <w:iCs/>
        </w:rPr>
        <w:t xml:space="preserve"> </w:t>
      </w:r>
      <w:r w:rsidRPr="00381A22">
        <w:rPr>
          <w:b/>
          <w:i/>
          <w:iCs/>
        </w:rPr>
        <w:t xml:space="preserve">Measures </w:t>
      </w:r>
      <w:r w:rsidR="007B14C9" w:rsidRPr="00381A22">
        <w:rPr>
          <w:b/>
          <w:i/>
          <w:iCs/>
        </w:rPr>
        <w:t>No.</w:t>
      </w:r>
      <w:r w:rsidR="006718A5" w:rsidRPr="00381A22">
        <w:rPr>
          <w:b/>
          <w:i/>
          <w:iCs/>
        </w:rPr>
        <w:t> </w:t>
      </w:r>
      <w:r w:rsidR="00603DE4" w:rsidRPr="00381A22">
        <w:rPr>
          <w:b/>
          <w:i/>
          <w:iCs/>
        </w:rPr>
        <w:t>4</w:t>
      </w:r>
      <w:r w:rsidRPr="00381A22">
        <w:rPr>
          <w:b/>
          <w:i/>
          <w:iCs/>
        </w:rPr>
        <w:t xml:space="preserve">) </w:t>
      </w:r>
      <w:r w:rsidR="00A900EC" w:rsidRPr="00381A22">
        <w:rPr>
          <w:b/>
          <w:i/>
        </w:rPr>
        <w:t xml:space="preserve">Regulations </w:t>
      </w:r>
      <w:r w:rsidR="007B14C9" w:rsidRPr="00381A22">
        <w:rPr>
          <w:b/>
          <w:i/>
        </w:rPr>
        <w:t>2020</w:t>
      </w:r>
    </w:p>
    <w:p w14:paraId="33A13A5E" w14:textId="77777777" w:rsidR="00BF526C" w:rsidRPr="00381A22" w:rsidRDefault="00BF526C" w:rsidP="00BF526C">
      <w:pPr>
        <w:pStyle w:val="paranumbering0"/>
        <w:spacing w:before="0" w:beforeAutospacing="0" w:after="120" w:afterAutospacing="0"/>
        <w:contextualSpacing/>
      </w:pPr>
    </w:p>
    <w:p w14:paraId="4B4907AF" w14:textId="77777777" w:rsidR="00BF526C" w:rsidRPr="00381A22" w:rsidRDefault="00E62C07" w:rsidP="00BF526C">
      <w:pPr>
        <w:pStyle w:val="paranumbering0"/>
        <w:spacing w:before="0" w:beforeAutospacing="0" w:after="120" w:afterAutospacing="0"/>
        <w:contextualSpacing/>
      </w:pPr>
      <w:r w:rsidRPr="00381A22">
        <w:t>This disallowable legislative i</w:t>
      </w:r>
      <w:r w:rsidR="008353C5" w:rsidRPr="00381A22">
        <w:t>nstrument is</w:t>
      </w:r>
      <w:r w:rsidR="00BF526C" w:rsidRPr="00381A22">
        <w:t xml:space="preserve"> compatible with the human rights and freedoms recognised or declared in the international instruments listed in section 3 of the </w:t>
      </w:r>
      <w:r w:rsidR="00BF526C" w:rsidRPr="00381A22">
        <w:rPr>
          <w:i/>
        </w:rPr>
        <w:t>Human Rights (Parliamentary Scrutiny) Act 2011.</w:t>
      </w:r>
      <w:r w:rsidR="00A900EC" w:rsidRPr="00381A22">
        <w:t xml:space="preserve"> </w:t>
      </w:r>
    </w:p>
    <w:p w14:paraId="4BB88EC1" w14:textId="77777777" w:rsidR="00BF526C" w:rsidRPr="00381A22" w:rsidRDefault="00BF526C" w:rsidP="00BF526C">
      <w:pPr>
        <w:pStyle w:val="paranumbering0"/>
        <w:spacing w:before="0" w:beforeAutospacing="0" w:after="120" w:afterAutospacing="0"/>
        <w:contextualSpacing/>
      </w:pPr>
    </w:p>
    <w:p w14:paraId="02495536" w14:textId="33EB7524" w:rsidR="00BF526C" w:rsidRPr="00381A22" w:rsidRDefault="00BF526C" w:rsidP="00BF526C">
      <w:pPr>
        <w:pStyle w:val="paranumbering0"/>
        <w:spacing w:before="0" w:beforeAutospacing="0" w:after="120" w:afterAutospacing="0"/>
        <w:contextualSpacing/>
        <w:rPr>
          <w:b/>
        </w:rPr>
      </w:pPr>
      <w:r w:rsidRPr="00381A22">
        <w:rPr>
          <w:b/>
        </w:rPr>
        <w:t xml:space="preserve">Overview of the </w:t>
      </w:r>
      <w:r w:rsidR="006718A5" w:rsidRPr="00381A22">
        <w:rPr>
          <w:b/>
        </w:rPr>
        <w:t>l</w:t>
      </w:r>
      <w:r w:rsidRPr="00381A22">
        <w:rPr>
          <w:b/>
        </w:rPr>
        <w:t xml:space="preserve">egislative </w:t>
      </w:r>
      <w:r w:rsidR="006718A5" w:rsidRPr="00381A22">
        <w:rPr>
          <w:b/>
        </w:rPr>
        <w:t>i</w:t>
      </w:r>
      <w:r w:rsidRPr="00381A22">
        <w:rPr>
          <w:b/>
        </w:rPr>
        <w:t>nstrument</w:t>
      </w:r>
    </w:p>
    <w:p w14:paraId="5256BCF3" w14:textId="77777777" w:rsidR="00BF526C" w:rsidRPr="00381A22" w:rsidRDefault="00BF526C" w:rsidP="00BF526C">
      <w:pPr>
        <w:pStyle w:val="paranumbering0"/>
        <w:spacing w:before="0" w:beforeAutospacing="0" w:after="0" w:afterAutospacing="0"/>
        <w:contextualSpacing/>
      </w:pPr>
    </w:p>
    <w:p w14:paraId="649BA94B" w14:textId="2D59E2B3" w:rsidR="00BF526C" w:rsidRPr="00381A22" w:rsidRDefault="00BF526C" w:rsidP="00BF526C">
      <w:pPr>
        <w:pStyle w:val="paranumbering0"/>
        <w:spacing w:before="0" w:beforeAutospacing="0" w:after="0" w:afterAutospacing="0"/>
        <w:contextualSpacing/>
      </w:pPr>
      <w:r w:rsidRPr="00381A22">
        <w:t xml:space="preserve">Section 32B of the </w:t>
      </w:r>
      <w:r w:rsidRPr="00381A22">
        <w:rPr>
          <w:i/>
        </w:rPr>
        <w:t>Financial Framework (Supplementary Powers) Act 1997</w:t>
      </w:r>
      <w:r w:rsidRPr="00381A22">
        <w:t xml:space="preserve"> (the FF(SP) Act) authorises the Commonwealth to make, vary and administer arrangements and grants specified in the </w:t>
      </w:r>
      <w:r w:rsidRPr="00381A22">
        <w:rPr>
          <w:i/>
        </w:rPr>
        <w:t xml:space="preserve">Financial Framework (Supplementary Powers) Regulations 1997 </w:t>
      </w:r>
      <w:r w:rsidRPr="00381A22">
        <w:t xml:space="preserve">(the FF(SP) Regulations) and to make, vary and administer arrangements and grants for the purposes of programs specified in the </w:t>
      </w:r>
      <w:r w:rsidR="008353C5" w:rsidRPr="00381A22">
        <w:t xml:space="preserve">FF(SP) </w:t>
      </w:r>
      <w:r w:rsidRPr="00381A22">
        <w:t>Regulations</w:t>
      </w:r>
      <w:r w:rsidR="00411B47" w:rsidRPr="00381A22">
        <w:t xml:space="preserve">. </w:t>
      </w:r>
      <w:r w:rsidRPr="00381A22">
        <w:t>Schedule 1AA and Schedule 1AB to the </w:t>
      </w:r>
      <w:proofErr w:type="gramStart"/>
      <w:r w:rsidRPr="00381A22">
        <w:t>FF(</w:t>
      </w:r>
      <w:proofErr w:type="gramEnd"/>
      <w:r w:rsidRPr="00381A22">
        <w:t>SP) Regulations specify the arrangements, grants and programs</w:t>
      </w:r>
      <w:r w:rsidR="00411B47" w:rsidRPr="00381A22">
        <w:t xml:space="preserve">. </w:t>
      </w:r>
      <w:r w:rsidRPr="00381A22">
        <w:t xml:space="preserve">The </w:t>
      </w:r>
      <w:r w:rsidR="00A67397" w:rsidRPr="00381A22">
        <w:t xml:space="preserve">powers in the </w:t>
      </w:r>
      <w:proofErr w:type="gramStart"/>
      <w:r w:rsidRPr="00381A22">
        <w:t>FF(</w:t>
      </w:r>
      <w:proofErr w:type="gramEnd"/>
      <w:r w:rsidRPr="00381A22">
        <w:t xml:space="preserve">SP) Act </w:t>
      </w:r>
      <w:r w:rsidR="00A67397" w:rsidRPr="00381A22">
        <w:t>to make, vary or administer arrangements or grants may be exercised on behalf of the Commonwealth by</w:t>
      </w:r>
      <w:r w:rsidRPr="00381A22">
        <w:t xml:space="preserve"> Ministers and the accountable authorities of non</w:t>
      </w:r>
      <w:r w:rsidRPr="00381A22">
        <w:noBreakHyphen/>
        <w:t xml:space="preserve">corporate Commonwealth entities, as defined under section 12 of the </w:t>
      </w:r>
      <w:r w:rsidRPr="00381A22">
        <w:rPr>
          <w:i/>
        </w:rPr>
        <w:t>Public Governance, Performance and Accountability Act 2013</w:t>
      </w:r>
      <w:r w:rsidR="00411B47" w:rsidRPr="00381A22">
        <w:t xml:space="preserve">. </w:t>
      </w:r>
    </w:p>
    <w:p w14:paraId="42BA8C1F" w14:textId="77777777" w:rsidR="00BF526C" w:rsidRPr="00381A22" w:rsidRDefault="00BF526C" w:rsidP="00BF526C">
      <w:pPr>
        <w:spacing w:line="276" w:lineRule="auto"/>
        <w:rPr>
          <w:rFonts w:ascii="Times New Roman" w:eastAsiaTheme="minorHAnsi" w:hAnsi="Times New Roman"/>
          <w:sz w:val="24"/>
          <w:szCs w:val="24"/>
        </w:rPr>
      </w:pPr>
    </w:p>
    <w:p w14:paraId="0187B3B7" w14:textId="68D5C37A" w:rsidR="006718A5" w:rsidRPr="00381A22" w:rsidRDefault="00DC0AB0" w:rsidP="006718A5">
      <w:pPr>
        <w:rPr>
          <w:rFonts w:ascii="Times New Roman" w:hAnsi="Times New Roman"/>
          <w:sz w:val="24"/>
          <w:szCs w:val="24"/>
        </w:rPr>
      </w:pPr>
      <w:r w:rsidRPr="00381A22">
        <w:rPr>
          <w:rFonts w:ascii="Times New Roman" w:hAnsi="Times New Roman"/>
          <w:sz w:val="24"/>
          <w:szCs w:val="24"/>
        </w:rPr>
        <w:t xml:space="preserve">The </w:t>
      </w:r>
      <w:r w:rsidRPr="00381A22">
        <w:rPr>
          <w:rFonts w:ascii="Times New Roman" w:hAnsi="Times New Roman"/>
          <w:i/>
          <w:sz w:val="24"/>
          <w:szCs w:val="24"/>
        </w:rPr>
        <w:t xml:space="preserve">Financial Framework (Supplementary Powers) Amendment </w:t>
      </w:r>
      <w:r w:rsidR="00085B09" w:rsidRPr="00381A22">
        <w:rPr>
          <w:rFonts w:ascii="Times New Roman" w:hAnsi="Times New Roman"/>
          <w:i/>
          <w:sz w:val="24"/>
          <w:szCs w:val="24"/>
        </w:rPr>
        <w:t>(</w:t>
      </w:r>
      <w:r w:rsidR="007C3D1A" w:rsidRPr="00381A22">
        <w:rPr>
          <w:rFonts w:ascii="Times New Roman" w:hAnsi="Times New Roman"/>
          <w:i/>
          <w:sz w:val="24"/>
          <w:szCs w:val="24"/>
        </w:rPr>
        <w:t>Education, Skills and Employment</w:t>
      </w:r>
      <w:r w:rsidRPr="00381A22">
        <w:rPr>
          <w:rFonts w:ascii="Times New Roman" w:hAnsi="Times New Roman"/>
          <w:i/>
          <w:sz w:val="24"/>
          <w:szCs w:val="24"/>
        </w:rPr>
        <w:t xml:space="preserve"> Measures </w:t>
      </w:r>
      <w:r w:rsidR="007B14C9" w:rsidRPr="00381A22">
        <w:rPr>
          <w:rFonts w:ascii="Times New Roman" w:hAnsi="Times New Roman"/>
          <w:i/>
          <w:sz w:val="24"/>
          <w:szCs w:val="24"/>
        </w:rPr>
        <w:t xml:space="preserve">No. </w:t>
      </w:r>
      <w:r w:rsidR="00603DE4" w:rsidRPr="00381A22">
        <w:rPr>
          <w:rFonts w:ascii="Times New Roman" w:hAnsi="Times New Roman"/>
          <w:i/>
          <w:sz w:val="24"/>
          <w:szCs w:val="24"/>
        </w:rPr>
        <w:t>4</w:t>
      </w:r>
      <w:r w:rsidRPr="00381A22">
        <w:rPr>
          <w:rFonts w:ascii="Times New Roman" w:hAnsi="Times New Roman"/>
          <w:i/>
          <w:sz w:val="24"/>
          <w:szCs w:val="24"/>
        </w:rPr>
        <w:t xml:space="preserve">) Regulations </w:t>
      </w:r>
      <w:r w:rsidR="007B14C9" w:rsidRPr="00381A22">
        <w:rPr>
          <w:rFonts w:ascii="Times New Roman" w:hAnsi="Times New Roman"/>
          <w:i/>
          <w:sz w:val="24"/>
          <w:szCs w:val="24"/>
        </w:rPr>
        <w:t>2020</w:t>
      </w:r>
      <w:r w:rsidRPr="00381A22">
        <w:rPr>
          <w:rFonts w:ascii="Times New Roman" w:hAnsi="Times New Roman"/>
          <w:sz w:val="24"/>
          <w:szCs w:val="24"/>
        </w:rPr>
        <w:t xml:space="preserve"> </w:t>
      </w:r>
      <w:r w:rsidR="00080C63" w:rsidRPr="00381A22">
        <w:rPr>
          <w:rFonts w:ascii="Times New Roman" w:hAnsi="Times New Roman"/>
          <w:sz w:val="24"/>
          <w:szCs w:val="24"/>
        </w:rPr>
        <w:t xml:space="preserve">amend Schedule 1AB </w:t>
      </w:r>
      <w:r w:rsidR="006718A5" w:rsidRPr="00381A22">
        <w:rPr>
          <w:rFonts w:ascii="Times New Roman" w:hAnsi="Times New Roman"/>
          <w:sz w:val="24"/>
          <w:szCs w:val="24"/>
        </w:rPr>
        <w:t xml:space="preserve">to the FF(SP) Regulations to establish legislative authority for government spending on </w:t>
      </w:r>
      <w:r w:rsidR="00D907A9" w:rsidRPr="00381A22">
        <w:rPr>
          <w:rFonts w:ascii="Times New Roman" w:hAnsi="Times New Roman"/>
          <w:sz w:val="24"/>
          <w:szCs w:val="24"/>
        </w:rPr>
        <w:t>certain activities</w:t>
      </w:r>
      <w:r w:rsidR="006718A5" w:rsidRPr="00381A22">
        <w:rPr>
          <w:rFonts w:ascii="Times New Roman" w:hAnsi="Times New Roman"/>
          <w:sz w:val="24"/>
          <w:szCs w:val="24"/>
        </w:rPr>
        <w:t xml:space="preserve"> that will be administered by t</w:t>
      </w:r>
      <w:r w:rsidR="007C3D1A" w:rsidRPr="00381A22">
        <w:rPr>
          <w:rFonts w:ascii="Times New Roman" w:hAnsi="Times New Roman"/>
          <w:sz w:val="24"/>
          <w:szCs w:val="24"/>
        </w:rPr>
        <w:t>he Department of Education, Skills and Employment</w:t>
      </w:r>
      <w:r w:rsidR="00EA19E4" w:rsidRPr="00381A22">
        <w:rPr>
          <w:rFonts w:ascii="Times New Roman" w:hAnsi="Times New Roman"/>
          <w:sz w:val="24"/>
          <w:szCs w:val="24"/>
        </w:rPr>
        <w:t xml:space="preserve"> (the department)</w:t>
      </w:r>
      <w:r w:rsidR="006718A5" w:rsidRPr="00381A22">
        <w:rPr>
          <w:rFonts w:ascii="Times New Roman" w:hAnsi="Times New Roman"/>
          <w:sz w:val="24"/>
          <w:szCs w:val="24"/>
        </w:rPr>
        <w:t>.</w:t>
      </w:r>
    </w:p>
    <w:p w14:paraId="0EB395D4" w14:textId="1A87B225" w:rsidR="007C3D1A" w:rsidRPr="00381A22" w:rsidRDefault="007C3D1A" w:rsidP="006718A5">
      <w:pPr>
        <w:rPr>
          <w:rFonts w:ascii="Times New Roman" w:hAnsi="Times New Roman"/>
          <w:sz w:val="24"/>
          <w:szCs w:val="24"/>
        </w:rPr>
      </w:pPr>
    </w:p>
    <w:p w14:paraId="17F5D052" w14:textId="5FBA95C3" w:rsidR="007C3D1A" w:rsidRPr="00381A22" w:rsidRDefault="007C3D1A" w:rsidP="007C3D1A">
      <w:pPr>
        <w:rPr>
          <w:rFonts w:ascii="Times New Roman" w:hAnsi="Times New Roman"/>
          <w:sz w:val="24"/>
          <w:szCs w:val="24"/>
        </w:rPr>
      </w:pPr>
      <w:r w:rsidRPr="00381A22">
        <w:rPr>
          <w:rFonts w:ascii="Times New Roman" w:hAnsi="Times New Roman"/>
          <w:sz w:val="24"/>
          <w:szCs w:val="24"/>
        </w:rPr>
        <w:t>This instrument:</w:t>
      </w:r>
    </w:p>
    <w:p w14:paraId="4C459AC0" w14:textId="037720CA" w:rsidR="007C3D1A" w:rsidRPr="00381A22" w:rsidRDefault="006F7E86" w:rsidP="007C3D1A">
      <w:pPr>
        <w:pStyle w:val="ListParagraph"/>
        <w:numPr>
          <w:ilvl w:val="0"/>
          <w:numId w:val="25"/>
        </w:numPr>
        <w:spacing w:after="200"/>
        <w:rPr>
          <w:szCs w:val="24"/>
        </w:rPr>
      </w:pPr>
      <w:r w:rsidRPr="00381A22">
        <w:rPr>
          <w:szCs w:val="24"/>
        </w:rPr>
        <w:t xml:space="preserve">amends </w:t>
      </w:r>
      <w:r w:rsidR="007C3D1A" w:rsidRPr="00381A22">
        <w:rPr>
          <w:szCs w:val="24"/>
        </w:rPr>
        <w:t>table item</w:t>
      </w:r>
      <w:r w:rsidR="00065DA4" w:rsidRPr="00381A22">
        <w:rPr>
          <w:szCs w:val="24"/>
        </w:rPr>
        <w:t xml:space="preserve"> 40</w:t>
      </w:r>
      <w:r w:rsidRPr="00381A22">
        <w:rPr>
          <w:szCs w:val="24"/>
        </w:rPr>
        <w:t>7</w:t>
      </w:r>
      <w:r w:rsidR="007C3D1A" w:rsidRPr="00381A22">
        <w:rPr>
          <w:szCs w:val="24"/>
        </w:rPr>
        <w:t xml:space="preserve"> </w:t>
      </w:r>
      <w:r w:rsidR="002D506A" w:rsidRPr="00381A22">
        <w:rPr>
          <w:szCs w:val="24"/>
        </w:rPr>
        <w:t>in</w:t>
      </w:r>
      <w:r w:rsidRPr="00381A22">
        <w:rPr>
          <w:szCs w:val="24"/>
        </w:rPr>
        <w:t xml:space="preserve"> Part 4</w:t>
      </w:r>
      <w:r w:rsidR="00B46136" w:rsidRPr="00381A22">
        <w:rPr>
          <w:szCs w:val="24"/>
        </w:rPr>
        <w:t xml:space="preserve"> of Schedule 1AB </w:t>
      </w:r>
      <w:r w:rsidR="002D506A" w:rsidRPr="00381A22">
        <w:rPr>
          <w:szCs w:val="24"/>
        </w:rPr>
        <w:t>to replace the Destination Australia Cheung Kong Exchange Pilot with</w:t>
      </w:r>
      <w:r w:rsidR="007C3D1A" w:rsidRPr="00381A22">
        <w:rPr>
          <w:szCs w:val="24"/>
        </w:rPr>
        <w:t xml:space="preserve"> </w:t>
      </w:r>
      <w:r w:rsidRPr="00381A22">
        <w:rPr>
          <w:szCs w:val="24"/>
        </w:rPr>
        <w:t xml:space="preserve">the </w:t>
      </w:r>
      <w:r w:rsidRPr="00381A22">
        <w:rPr>
          <w:szCs w:val="24"/>
          <w:lang w:val="en-GB"/>
        </w:rPr>
        <w:t>Destination Australia Cheung Kong Exchange Program</w:t>
      </w:r>
      <w:r w:rsidR="00B46136" w:rsidRPr="00381A22">
        <w:rPr>
          <w:szCs w:val="24"/>
        </w:rPr>
        <w:t>;</w:t>
      </w:r>
      <w:r w:rsidR="007C3D1A" w:rsidRPr="00381A22">
        <w:rPr>
          <w:szCs w:val="24"/>
        </w:rPr>
        <w:t xml:space="preserve">  </w:t>
      </w:r>
    </w:p>
    <w:p w14:paraId="56651916" w14:textId="07E9CEF4" w:rsidR="00B46136" w:rsidRPr="00381A22" w:rsidRDefault="00E63E47" w:rsidP="00B46136">
      <w:pPr>
        <w:pStyle w:val="ListParagraph"/>
        <w:numPr>
          <w:ilvl w:val="0"/>
          <w:numId w:val="25"/>
        </w:numPr>
        <w:spacing w:after="200"/>
        <w:rPr>
          <w:szCs w:val="24"/>
        </w:rPr>
      </w:pPr>
      <w:r w:rsidRPr="00381A22">
        <w:rPr>
          <w:szCs w:val="24"/>
        </w:rPr>
        <w:t>adds table item</w:t>
      </w:r>
      <w:r w:rsidR="00A65672" w:rsidRPr="00381A22">
        <w:rPr>
          <w:szCs w:val="24"/>
        </w:rPr>
        <w:t xml:space="preserve"> 430</w:t>
      </w:r>
      <w:r w:rsidRPr="00381A22">
        <w:rPr>
          <w:szCs w:val="24"/>
        </w:rPr>
        <w:t xml:space="preserve"> to Part 4 of Schedule 1AB for the Reading Writing Hotline;</w:t>
      </w:r>
    </w:p>
    <w:p w14:paraId="10BEA457" w14:textId="0EA9285E" w:rsidR="00E63E47" w:rsidRPr="00381A22" w:rsidRDefault="00E63E47" w:rsidP="00B46136">
      <w:pPr>
        <w:pStyle w:val="ListParagraph"/>
        <w:numPr>
          <w:ilvl w:val="0"/>
          <w:numId w:val="25"/>
        </w:numPr>
        <w:spacing w:after="200"/>
        <w:rPr>
          <w:szCs w:val="24"/>
        </w:rPr>
      </w:pPr>
      <w:r w:rsidRPr="00381A22">
        <w:rPr>
          <w:szCs w:val="24"/>
        </w:rPr>
        <w:t>adds table item</w:t>
      </w:r>
      <w:r w:rsidR="00A65672" w:rsidRPr="00381A22">
        <w:rPr>
          <w:szCs w:val="24"/>
        </w:rPr>
        <w:t xml:space="preserve"> 431</w:t>
      </w:r>
      <w:r w:rsidRPr="00381A22">
        <w:rPr>
          <w:szCs w:val="24"/>
        </w:rPr>
        <w:t xml:space="preserve"> to Part 4 of Schedule 1AB for the Adult Learners’ Week;</w:t>
      </w:r>
    </w:p>
    <w:p w14:paraId="79D0645E" w14:textId="7D0BEDA2" w:rsidR="00F14AE9" w:rsidRPr="00381A22" w:rsidRDefault="00F14AE9" w:rsidP="00B46136">
      <w:pPr>
        <w:pStyle w:val="ListParagraph"/>
        <w:numPr>
          <w:ilvl w:val="0"/>
          <w:numId w:val="25"/>
        </w:numPr>
        <w:spacing w:after="200"/>
        <w:rPr>
          <w:szCs w:val="24"/>
        </w:rPr>
      </w:pPr>
      <w:r w:rsidRPr="00381A22">
        <w:rPr>
          <w:szCs w:val="24"/>
        </w:rPr>
        <w:t>adds table item</w:t>
      </w:r>
      <w:r w:rsidR="00A65672" w:rsidRPr="00381A22">
        <w:rPr>
          <w:szCs w:val="24"/>
        </w:rPr>
        <w:t xml:space="preserve"> 432</w:t>
      </w:r>
      <w:r w:rsidRPr="00381A22">
        <w:rPr>
          <w:szCs w:val="24"/>
        </w:rPr>
        <w:t xml:space="preserve"> to Part 4 of Schedule 1AB for the School Leaver Program; and</w:t>
      </w:r>
    </w:p>
    <w:p w14:paraId="52BBD175" w14:textId="1BC3FA7D" w:rsidR="00F14AE9" w:rsidRPr="00381A22" w:rsidRDefault="00F14AE9" w:rsidP="00B46136">
      <w:pPr>
        <w:pStyle w:val="ListParagraph"/>
        <w:numPr>
          <w:ilvl w:val="0"/>
          <w:numId w:val="25"/>
        </w:numPr>
        <w:spacing w:after="200"/>
        <w:rPr>
          <w:szCs w:val="24"/>
        </w:rPr>
      </w:pPr>
      <w:proofErr w:type="gramStart"/>
      <w:r w:rsidRPr="00381A22">
        <w:rPr>
          <w:szCs w:val="24"/>
        </w:rPr>
        <w:t>adds</w:t>
      </w:r>
      <w:proofErr w:type="gramEnd"/>
      <w:r w:rsidRPr="00381A22">
        <w:rPr>
          <w:szCs w:val="24"/>
        </w:rPr>
        <w:t xml:space="preserve"> table item</w:t>
      </w:r>
      <w:r w:rsidR="00A65672" w:rsidRPr="00381A22">
        <w:rPr>
          <w:szCs w:val="24"/>
        </w:rPr>
        <w:t xml:space="preserve"> 433</w:t>
      </w:r>
      <w:r w:rsidRPr="00381A22">
        <w:rPr>
          <w:szCs w:val="24"/>
        </w:rPr>
        <w:t xml:space="preserve"> to Part 4 of Schedule 1AB for the Local Jobs – COVID-19 Recovery Pilot.</w:t>
      </w:r>
    </w:p>
    <w:p w14:paraId="6FB80579" w14:textId="43165C0D" w:rsidR="00B46136" w:rsidRPr="00381A22" w:rsidRDefault="00F9193A" w:rsidP="00B46136">
      <w:pPr>
        <w:rPr>
          <w:rFonts w:ascii="Times New Roman" w:hAnsi="Times New Roman"/>
          <w:i/>
          <w:sz w:val="24"/>
          <w:szCs w:val="24"/>
          <w:u w:val="single"/>
        </w:rPr>
      </w:pPr>
      <w:r w:rsidRPr="00381A22">
        <w:rPr>
          <w:rFonts w:ascii="Times New Roman" w:hAnsi="Times New Roman"/>
          <w:i/>
          <w:sz w:val="24"/>
          <w:szCs w:val="24"/>
          <w:u w:val="single"/>
        </w:rPr>
        <w:t>Amendment to t</w:t>
      </w:r>
      <w:r w:rsidR="00B46136" w:rsidRPr="00381A22">
        <w:rPr>
          <w:rFonts w:ascii="Times New Roman" w:hAnsi="Times New Roman"/>
          <w:i/>
          <w:sz w:val="24"/>
          <w:szCs w:val="24"/>
          <w:u w:val="single"/>
        </w:rPr>
        <w:t xml:space="preserve">able item </w:t>
      </w:r>
      <w:r w:rsidR="00AD12F1" w:rsidRPr="00381A22">
        <w:rPr>
          <w:rFonts w:ascii="Times New Roman" w:hAnsi="Times New Roman"/>
          <w:i/>
          <w:sz w:val="24"/>
          <w:szCs w:val="24"/>
          <w:u w:val="single"/>
        </w:rPr>
        <w:t>40</w:t>
      </w:r>
      <w:r w:rsidRPr="00381A22">
        <w:rPr>
          <w:rFonts w:ascii="Times New Roman" w:hAnsi="Times New Roman"/>
          <w:i/>
          <w:sz w:val="24"/>
          <w:szCs w:val="24"/>
          <w:u w:val="single"/>
        </w:rPr>
        <w:t>7</w:t>
      </w:r>
      <w:r w:rsidR="00B46136" w:rsidRPr="00381A22">
        <w:rPr>
          <w:rFonts w:ascii="Times New Roman" w:hAnsi="Times New Roman"/>
          <w:i/>
          <w:sz w:val="24"/>
          <w:szCs w:val="24"/>
          <w:u w:val="single"/>
        </w:rPr>
        <w:t xml:space="preserve"> – </w:t>
      </w:r>
      <w:r w:rsidRPr="00381A22">
        <w:rPr>
          <w:rFonts w:ascii="Times New Roman" w:hAnsi="Times New Roman"/>
          <w:i/>
          <w:sz w:val="24"/>
          <w:szCs w:val="24"/>
          <w:u w:val="single"/>
        </w:rPr>
        <w:t>Destination Australia Cheung Kong Exchange Program</w:t>
      </w:r>
    </w:p>
    <w:p w14:paraId="01B6EBBF" w14:textId="77777777" w:rsidR="00B46136" w:rsidRPr="00381A22" w:rsidRDefault="00B46136" w:rsidP="00B46136">
      <w:pPr>
        <w:pStyle w:val="ListParagraph"/>
        <w:rPr>
          <w:rFonts w:eastAsia="Arial"/>
          <w:szCs w:val="24"/>
        </w:rPr>
      </w:pPr>
    </w:p>
    <w:p w14:paraId="444E3AF7" w14:textId="47E25179" w:rsidR="00EA19E4" w:rsidRPr="00381A22" w:rsidRDefault="00EA19E4" w:rsidP="00EA19E4">
      <w:pPr>
        <w:tabs>
          <w:tab w:val="left" w:pos="936"/>
        </w:tabs>
        <w:rPr>
          <w:rFonts w:ascii="Times New Roman" w:hAnsi="Times New Roman"/>
          <w:color w:val="000000" w:themeColor="text1"/>
          <w:sz w:val="24"/>
          <w:szCs w:val="24"/>
        </w:rPr>
      </w:pPr>
      <w:r w:rsidRPr="00381A22">
        <w:rPr>
          <w:rFonts w:ascii="Times New Roman" w:hAnsi="Times New Roman"/>
          <w:color w:val="000000" w:themeColor="text1"/>
          <w:sz w:val="24"/>
          <w:szCs w:val="24"/>
        </w:rPr>
        <w:t xml:space="preserve">The amended table item 407 provides legislative authority for government spending on the Destination Australia Cheung Kong Exchange Program (the Program), instead of the Destination Australia Cheung Kong Exchange Pilot (the Pilot). The Program was originally intended to be an expansion of the </w:t>
      </w:r>
      <w:proofErr w:type="gramStart"/>
      <w:r w:rsidRPr="00381A22">
        <w:rPr>
          <w:rFonts w:ascii="Times New Roman" w:hAnsi="Times New Roman"/>
          <w:color w:val="000000" w:themeColor="text1"/>
          <w:sz w:val="24"/>
          <w:szCs w:val="24"/>
        </w:rPr>
        <w:t>Pilot which</w:t>
      </w:r>
      <w:proofErr w:type="gramEnd"/>
      <w:r w:rsidRPr="00381A22">
        <w:rPr>
          <w:rFonts w:ascii="Times New Roman" w:hAnsi="Times New Roman"/>
          <w:color w:val="000000" w:themeColor="text1"/>
          <w:sz w:val="24"/>
          <w:szCs w:val="24"/>
        </w:rPr>
        <w:t xml:space="preserve"> was to be delivered in 2019-20. However, its implementation </w:t>
      </w:r>
      <w:proofErr w:type="gramStart"/>
      <w:r w:rsidRPr="00381A22">
        <w:rPr>
          <w:rFonts w:ascii="Times New Roman" w:hAnsi="Times New Roman"/>
          <w:color w:val="000000" w:themeColor="text1"/>
          <w:sz w:val="24"/>
          <w:szCs w:val="24"/>
        </w:rPr>
        <w:t>was delayed</w:t>
      </w:r>
      <w:proofErr w:type="gramEnd"/>
      <w:r w:rsidRPr="00381A22">
        <w:rPr>
          <w:rFonts w:ascii="Times New Roman" w:hAnsi="Times New Roman"/>
          <w:color w:val="000000" w:themeColor="text1"/>
          <w:sz w:val="24"/>
          <w:szCs w:val="24"/>
        </w:rPr>
        <w:t xml:space="preserve"> by the need to respond to the COVID</w:t>
      </w:r>
      <w:r w:rsidRPr="00381A22">
        <w:rPr>
          <w:rFonts w:ascii="Times New Roman" w:hAnsi="Times New Roman"/>
          <w:color w:val="000000" w:themeColor="text1"/>
          <w:sz w:val="24"/>
          <w:szCs w:val="24"/>
        </w:rPr>
        <w:noBreakHyphen/>
        <w:t xml:space="preserve">19 situation and the ongoing international travel restrictions. </w:t>
      </w:r>
      <w:r w:rsidRPr="00381A22">
        <w:rPr>
          <w:rFonts w:ascii="Times New Roman" w:hAnsi="Times New Roman"/>
          <w:sz w:val="24"/>
          <w:szCs w:val="24"/>
        </w:rPr>
        <w:t xml:space="preserve">The funding originally </w:t>
      </w:r>
      <w:proofErr w:type="gramStart"/>
      <w:r w:rsidRPr="00381A22">
        <w:rPr>
          <w:rFonts w:ascii="Times New Roman" w:hAnsi="Times New Roman"/>
          <w:sz w:val="24"/>
          <w:szCs w:val="24"/>
        </w:rPr>
        <w:t>intended to be spent</w:t>
      </w:r>
      <w:proofErr w:type="gramEnd"/>
      <w:r w:rsidRPr="00381A22">
        <w:rPr>
          <w:rFonts w:ascii="Times New Roman" w:hAnsi="Times New Roman"/>
          <w:sz w:val="24"/>
          <w:szCs w:val="24"/>
        </w:rPr>
        <w:t xml:space="preserve"> under the Pilot will now be available for spending under the Program. Therefore, l</w:t>
      </w:r>
      <w:r w:rsidRPr="00381A22">
        <w:rPr>
          <w:rFonts w:ascii="Times New Roman" w:hAnsi="Times New Roman"/>
          <w:color w:val="000000" w:themeColor="text1"/>
          <w:sz w:val="24"/>
          <w:szCs w:val="24"/>
        </w:rPr>
        <w:t xml:space="preserve">egislative authority for government spending on the Pilot </w:t>
      </w:r>
      <w:proofErr w:type="gramStart"/>
      <w:r w:rsidRPr="00381A22">
        <w:rPr>
          <w:rFonts w:ascii="Times New Roman" w:hAnsi="Times New Roman"/>
          <w:color w:val="000000" w:themeColor="text1"/>
          <w:sz w:val="24"/>
          <w:szCs w:val="24"/>
        </w:rPr>
        <w:t>is no longer needed</w:t>
      </w:r>
      <w:proofErr w:type="gramEnd"/>
      <w:r w:rsidRPr="00381A22">
        <w:rPr>
          <w:rFonts w:ascii="Times New Roman" w:hAnsi="Times New Roman"/>
          <w:color w:val="000000" w:themeColor="text1"/>
          <w:sz w:val="24"/>
          <w:szCs w:val="24"/>
        </w:rPr>
        <w:t>.</w:t>
      </w:r>
    </w:p>
    <w:p w14:paraId="0838FD5C" w14:textId="77777777" w:rsidR="00EA19E4" w:rsidRPr="00381A22" w:rsidRDefault="00EA19E4" w:rsidP="00EA19E4">
      <w:pPr>
        <w:tabs>
          <w:tab w:val="left" w:pos="936"/>
        </w:tabs>
        <w:rPr>
          <w:rFonts w:ascii="Times New Roman" w:hAnsi="Times New Roman"/>
          <w:b/>
          <w:color w:val="000000" w:themeColor="text1"/>
          <w:sz w:val="24"/>
          <w:szCs w:val="24"/>
        </w:rPr>
      </w:pPr>
    </w:p>
    <w:p w14:paraId="01CD2A14" w14:textId="44D18350" w:rsidR="00EA19E4" w:rsidRPr="00381A22" w:rsidRDefault="00EA19E4" w:rsidP="00EA19E4">
      <w:pPr>
        <w:tabs>
          <w:tab w:val="left" w:pos="936"/>
        </w:tabs>
        <w:rPr>
          <w:rFonts w:ascii="Times New Roman" w:hAnsi="Times New Roman"/>
          <w:bCs/>
          <w:sz w:val="24"/>
          <w:szCs w:val="24"/>
        </w:rPr>
      </w:pPr>
      <w:r w:rsidRPr="00381A22">
        <w:rPr>
          <w:rFonts w:ascii="Times New Roman" w:hAnsi="Times New Roman"/>
          <w:color w:val="000000" w:themeColor="text1"/>
          <w:sz w:val="24"/>
          <w:szCs w:val="24"/>
        </w:rPr>
        <w:t>T</w:t>
      </w:r>
      <w:r w:rsidRPr="00381A22">
        <w:rPr>
          <w:rFonts w:ascii="Times New Roman" w:hAnsi="Times New Roman"/>
          <w:sz w:val="24"/>
          <w:szCs w:val="24"/>
        </w:rPr>
        <w:t>he Program</w:t>
      </w:r>
      <w:r w:rsidRPr="00381A22">
        <w:rPr>
          <w:rFonts w:ascii="Times New Roman" w:hAnsi="Times New Roman"/>
          <w:sz w:val="24"/>
          <w:szCs w:val="24"/>
          <w:lang w:val="en-GB"/>
        </w:rPr>
        <w:t xml:space="preserve"> will provide grant funding to Australian universities to establish their own two</w:t>
      </w:r>
      <w:r w:rsidRPr="00381A22">
        <w:rPr>
          <w:rFonts w:ascii="Times New Roman" w:hAnsi="Times New Roman"/>
          <w:sz w:val="24"/>
          <w:szCs w:val="24"/>
          <w:lang w:val="en-GB"/>
        </w:rPr>
        <w:noBreakHyphen/>
        <w:t xml:space="preserve">way mobility schemes and provide scholarships for domestic and international university students, commencing in 2020-21 for a period of 10 years. </w:t>
      </w:r>
      <w:r w:rsidRPr="00381A22">
        <w:rPr>
          <w:rFonts w:ascii="Times New Roman" w:hAnsi="Times New Roman"/>
          <w:bCs/>
          <w:sz w:val="24"/>
          <w:szCs w:val="24"/>
        </w:rPr>
        <w:t xml:space="preserve">The Program builds on a longstanding partnership with CK Infrastructure Holdings Ltd (the Cheung Kong Group) to support student mobility to and from Australia. </w:t>
      </w:r>
      <w:proofErr w:type="gramStart"/>
      <w:r w:rsidRPr="00381A22">
        <w:rPr>
          <w:rFonts w:ascii="Times New Roman" w:hAnsi="Times New Roman"/>
          <w:bCs/>
          <w:sz w:val="24"/>
          <w:szCs w:val="24"/>
        </w:rPr>
        <w:t>Funding for the Program will be provided by the Cheung Kong Group and the department on behalf of the Australian Government</w:t>
      </w:r>
      <w:proofErr w:type="gramEnd"/>
      <w:r w:rsidRPr="00381A22">
        <w:rPr>
          <w:rFonts w:ascii="Times New Roman" w:hAnsi="Times New Roman"/>
          <w:bCs/>
          <w:sz w:val="24"/>
          <w:szCs w:val="24"/>
        </w:rPr>
        <w:t>.</w:t>
      </w:r>
    </w:p>
    <w:p w14:paraId="36D3EBFA" w14:textId="77777777" w:rsidR="00EA19E4" w:rsidRPr="00381A22" w:rsidRDefault="00EA19E4" w:rsidP="00EA19E4">
      <w:pPr>
        <w:rPr>
          <w:rFonts w:ascii="Times New Roman" w:hAnsi="Times New Roman"/>
          <w:bCs/>
          <w:sz w:val="24"/>
          <w:szCs w:val="24"/>
        </w:rPr>
      </w:pPr>
    </w:p>
    <w:p w14:paraId="68D36E4B" w14:textId="19428CA1" w:rsidR="00EA19E4" w:rsidRPr="00381A22" w:rsidRDefault="00EA19E4" w:rsidP="00EA19E4">
      <w:pPr>
        <w:rPr>
          <w:rFonts w:ascii="Times New Roman" w:hAnsi="Times New Roman"/>
          <w:bCs/>
          <w:sz w:val="24"/>
          <w:szCs w:val="24"/>
        </w:rPr>
      </w:pPr>
      <w:r w:rsidRPr="00381A22">
        <w:rPr>
          <w:rFonts w:ascii="Times New Roman" w:hAnsi="Times New Roman"/>
          <w:bCs/>
          <w:sz w:val="24"/>
          <w:szCs w:val="24"/>
        </w:rPr>
        <w:t xml:space="preserve">The Government recognises the increasing need for individuals to access tertiary education to upskill and reskill throughout their life in order to meet the evolving demands of the labour market. By supporting the brightest young academic minds in Australia and Asia to study at leading universities in Australia and overseas, the Program will allow students to gain knowledge and build academic </w:t>
      </w:r>
      <w:proofErr w:type="gramStart"/>
      <w:r w:rsidRPr="00381A22">
        <w:rPr>
          <w:rFonts w:ascii="Times New Roman" w:hAnsi="Times New Roman"/>
          <w:bCs/>
          <w:sz w:val="24"/>
          <w:szCs w:val="24"/>
        </w:rPr>
        <w:t>skills which</w:t>
      </w:r>
      <w:proofErr w:type="gramEnd"/>
      <w:r w:rsidRPr="00381A22">
        <w:rPr>
          <w:rFonts w:ascii="Times New Roman" w:hAnsi="Times New Roman"/>
          <w:bCs/>
          <w:sz w:val="24"/>
          <w:szCs w:val="24"/>
        </w:rPr>
        <w:t xml:space="preserve"> they will bring into the Australian higher education system. </w:t>
      </w:r>
    </w:p>
    <w:p w14:paraId="2919AD7E" w14:textId="77777777" w:rsidR="00EA19E4" w:rsidRPr="00381A22" w:rsidRDefault="00EA19E4" w:rsidP="00EA19E4">
      <w:pPr>
        <w:rPr>
          <w:rFonts w:ascii="Times New Roman" w:hAnsi="Times New Roman"/>
          <w:bCs/>
          <w:sz w:val="24"/>
          <w:szCs w:val="24"/>
        </w:rPr>
      </w:pPr>
    </w:p>
    <w:p w14:paraId="2A8314FE" w14:textId="77777777" w:rsidR="00EA19E4" w:rsidRPr="00381A22" w:rsidRDefault="00EA19E4" w:rsidP="00EA19E4">
      <w:pPr>
        <w:rPr>
          <w:rFonts w:ascii="Times New Roman" w:hAnsi="Times New Roman"/>
          <w:sz w:val="24"/>
          <w:szCs w:val="24"/>
        </w:rPr>
      </w:pPr>
      <w:r w:rsidRPr="00381A22">
        <w:rPr>
          <w:rFonts w:ascii="Times New Roman" w:hAnsi="Times New Roman"/>
          <w:sz w:val="24"/>
          <w:szCs w:val="24"/>
        </w:rPr>
        <w:t xml:space="preserve">Australian universities listed in Table A and Table B of the </w:t>
      </w:r>
      <w:r w:rsidRPr="00381A22">
        <w:rPr>
          <w:rFonts w:ascii="Times New Roman" w:hAnsi="Times New Roman"/>
          <w:i/>
          <w:sz w:val="24"/>
          <w:szCs w:val="24"/>
        </w:rPr>
        <w:t>Higher Education Support Act 2003</w:t>
      </w:r>
      <w:r w:rsidRPr="00381A22">
        <w:rPr>
          <w:rFonts w:ascii="Times New Roman" w:hAnsi="Times New Roman"/>
          <w:sz w:val="24"/>
          <w:szCs w:val="24"/>
        </w:rPr>
        <w:t xml:space="preserve">, including some private universities, will be eligible to opt in to receive grants under the Program. These grants </w:t>
      </w:r>
      <w:proofErr w:type="gramStart"/>
      <w:r w:rsidRPr="00381A22">
        <w:rPr>
          <w:rFonts w:ascii="Times New Roman" w:hAnsi="Times New Roman"/>
          <w:sz w:val="24"/>
          <w:szCs w:val="24"/>
        </w:rPr>
        <w:t>must be used</w:t>
      </w:r>
      <w:proofErr w:type="gramEnd"/>
      <w:r w:rsidRPr="00381A22">
        <w:rPr>
          <w:rFonts w:ascii="Times New Roman" w:hAnsi="Times New Roman"/>
          <w:sz w:val="24"/>
          <w:szCs w:val="24"/>
        </w:rPr>
        <w:t xml:space="preserve"> to support their students, and students of their partner universities in Asia, to undertake a short-term study opportunity in one of 16 select Asian countries or Australia, respectively. </w:t>
      </w:r>
    </w:p>
    <w:p w14:paraId="01C91338" w14:textId="77777777" w:rsidR="00EA19E4" w:rsidRPr="00381A22" w:rsidRDefault="00EA19E4" w:rsidP="00EA19E4">
      <w:pPr>
        <w:rPr>
          <w:rFonts w:ascii="Times New Roman" w:hAnsi="Times New Roman"/>
          <w:sz w:val="24"/>
          <w:szCs w:val="24"/>
        </w:rPr>
      </w:pPr>
    </w:p>
    <w:p w14:paraId="19F2EEA3" w14:textId="0482B9C7" w:rsidR="00EA19E4" w:rsidRPr="00381A22" w:rsidRDefault="00EA19E4" w:rsidP="00EA19E4">
      <w:pPr>
        <w:rPr>
          <w:rFonts w:ascii="Times New Roman" w:hAnsi="Times New Roman"/>
          <w:sz w:val="24"/>
          <w:szCs w:val="24"/>
        </w:rPr>
      </w:pPr>
      <w:r w:rsidRPr="00381A22">
        <w:rPr>
          <w:rFonts w:ascii="Times New Roman" w:hAnsi="Times New Roman"/>
          <w:sz w:val="24"/>
          <w:szCs w:val="24"/>
        </w:rPr>
        <w:t xml:space="preserve">The 16 identified countries, selected in consultation with the Cheung Kong Group, </w:t>
      </w:r>
      <w:proofErr w:type="gramStart"/>
      <w:r w:rsidRPr="00381A22">
        <w:rPr>
          <w:rFonts w:ascii="Times New Roman" w:hAnsi="Times New Roman"/>
          <w:sz w:val="24"/>
          <w:szCs w:val="24"/>
        </w:rPr>
        <w:t>are:</w:t>
      </w:r>
      <w:proofErr w:type="gramEnd"/>
      <w:r w:rsidRPr="00381A22">
        <w:rPr>
          <w:rFonts w:ascii="Times New Roman" w:hAnsi="Times New Roman"/>
          <w:sz w:val="24"/>
          <w:szCs w:val="24"/>
        </w:rPr>
        <w:t xml:space="preserve"> the </w:t>
      </w:r>
      <w:r w:rsidRPr="00381A22">
        <w:rPr>
          <w:rFonts w:ascii="Times New Roman" w:hAnsi="Times New Roman"/>
          <w:sz w:val="24"/>
          <w:szCs w:val="24"/>
          <w:lang w:val="en-US"/>
        </w:rPr>
        <w:t>People</w:t>
      </w:r>
      <w:r w:rsidR="00A65672" w:rsidRPr="00381A22">
        <w:rPr>
          <w:rFonts w:ascii="Times New Roman" w:hAnsi="Times New Roman"/>
          <w:sz w:val="24"/>
          <w:szCs w:val="24"/>
          <w:lang w:val="en-US"/>
        </w:rPr>
        <w:t>’</w:t>
      </w:r>
      <w:r w:rsidRPr="00381A22">
        <w:rPr>
          <w:rFonts w:ascii="Times New Roman" w:hAnsi="Times New Roman"/>
          <w:sz w:val="24"/>
          <w:szCs w:val="24"/>
          <w:lang w:val="en-US"/>
        </w:rPr>
        <w:t>s Republic of China, Hong Kong,</w:t>
      </w:r>
      <w:r w:rsidRPr="00381A22">
        <w:rPr>
          <w:rFonts w:ascii="Times New Roman" w:eastAsia="Times New Roman" w:hAnsi="Times New Roman"/>
          <w:color w:val="181818"/>
          <w:w w:val="105"/>
          <w:sz w:val="24"/>
          <w:szCs w:val="24"/>
          <w:lang w:val="en-US"/>
        </w:rPr>
        <w:t xml:space="preserve"> </w:t>
      </w:r>
      <w:r w:rsidRPr="00381A22">
        <w:rPr>
          <w:rFonts w:ascii="Times New Roman" w:hAnsi="Times New Roman"/>
          <w:sz w:val="24"/>
          <w:szCs w:val="24"/>
          <w:lang w:val="en-US"/>
        </w:rPr>
        <w:t>Brunei Darussalam, Cambodia, India, Indonesia, Japan, Republic of Korea, Laos, Malaysia, Mongolia, Myanmar, Republic of the Philippines, Singapore, Thailand and Vietnam</w:t>
      </w:r>
      <w:r w:rsidRPr="00381A22">
        <w:rPr>
          <w:rFonts w:ascii="Times New Roman" w:hAnsi="Times New Roman"/>
          <w:sz w:val="24"/>
          <w:szCs w:val="24"/>
        </w:rPr>
        <w:t xml:space="preserve">. </w:t>
      </w:r>
    </w:p>
    <w:p w14:paraId="17B9ABE7" w14:textId="77777777" w:rsidR="00EA19E4" w:rsidRPr="00381A22" w:rsidRDefault="00EA19E4" w:rsidP="00EA19E4">
      <w:pPr>
        <w:rPr>
          <w:rFonts w:ascii="Times New Roman" w:hAnsi="Times New Roman"/>
          <w:sz w:val="24"/>
          <w:szCs w:val="24"/>
        </w:rPr>
      </w:pPr>
    </w:p>
    <w:p w14:paraId="49046860" w14:textId="6B7C4182" w:rsidR="00EA19E4" w:rsidRPr="00381A22" w:rsidRDefault="00EA19E4" w:rsidP="00EA19E4">
      <w:pPr>
        <w:rPr>
          <w:rFonts w:ascii="Times New Roman" w:hAnsi="Times New Roman"/>
          <w:bCs/>
          <w:sz w:val="24"/>
          <w:szCs w:val="24"/>
        </w:rPr>
      </w:pPr>
      <w:r w:rsidRPr="00381A22">
        <w:rPr>
          <w:rFonts w:ascii="Times New Roman" w:hAnsi="Times New Roman"/>
          <w:bCs/>
          <w:sz w:val="24"/>
          <w:szCs w:val="24"/>
        </w:rPr>
        <w:t xml:space="preserve">The Program funding </w:t>
      </w:r>
      <w:proofErr w:type="gramStart"/>
      <w:r w:rsidRPr="00381A22">
        <w:rPr>
          <w:rFonts w:ascii="Times New Roman" w:hAnsi="Times New Roman"/>
          <w:bCs/>
          <w:sz w:val="24"/>
          <w:szCs w:val="24"/>
        </w:rPr>
        <w:t>will be evenly distributed</w:t>
      </w:r>
      <w:proofErr w:type="gramEnd"/>
      <w:r w:rsidRPr="00381A22">
        <w:rPr>
          <w:rFonts w:ascii="Times New Roman" w:hAnsi="Times New Roman"/>
          <w:bCs/>
          <w:sz w:val="24"/>
          <w:szCs w:val="24"/>
        </w:rPr>
        <w:t xml:space="preserve"> between those Australian universities that opt in to participate. Australian universities will undertake their own processes to award mobility scholarships to individual students they deem eligible. </w:t>
      </w:r>
    </w:p>
    <w:p w14:paraId="49251233" w14:textId="77777777" w:rsidR="00EA19E4" w:rsidRPr="00381A22" w:rsidRDefault="00EA19E4" w:rsidP="00EA19E4">
      <w:pPr>
        <w:rPr>
          <w:rFonts w:ascii="Times New Roman" w:hAnsi="Times New Roman"/>
          <w:bCs/>
          <w:sz w:val="24"/>
          <w:szCs w:val="24"/>
        </w:rPr>
      </w:pPr>
    </w:p>
    <w:p w14:paraId="2E381AE0" w14:textId="367A59D2" w:rsidR="00EA19E4" w:rsidRPr="00381A22" w:rsidRDefault="00EA19E4" w:rsidP="00EA19E4">
      <w:pPr>
        <w:rPr>
          <w:rFonts w:ascii="Times New Roman" w:hAnsi="Times New Roman"/>
          <w:sz w:val="24"/>
          <w:szCs w:val="24"/>
        </w:rPr>
      </w:pPr>
      <w:r w:rsidRPr="00381A22">
        <w:rPr>
          <w:rFonts w:ascii="Times New Roman" w:hAnsi="Times New Roman"/>
          <w:sz w:val="24"/>
          <w:szCs w:val="24"/>
        </w:rPr>
        <w:t xml:space="preserve">Each mobility scholarship will be worth an average of $5,500 to support either short-term mobility, including study tours, or a semester exchange. </w:t>
      </w:r>
      <w:r w:rsidRPr="00381A22">
        <w:rPr>
          <w:rFonts w:ascii="Times New Roman" w:hAnsi="Times New Roman"/>
          <w:bCs/>
          <w:sz w:val="24"/>
          <w:szCs w:val="24"/>
        </w:rPr>
        <w:t>The Australian university will determine the exact scholarship amount per student. The mobility scholarships will be available for both undergraduate and postgraduate university students from 2020-21. The</w:t>
      </w:r>
      <w:r w:rsidR="00A65672" w:rsidRPr="00381A22">
        <w:rPr>
          <w:rFonts w:ascii="Times New Roman" w:hAnsi="Times New Roman"/>
          <w:bCs/>
          <w:sz w:val="24"/>
          <w:szCs w:val="24"/>
        </w:rPr>
        <w:t> </w:t>
      </w:r>
      <w:r w:rsidRPr="00381A22">
        <w:rPr>
          <w:rFonts w:ascii="Times New Roman" w:hAnsi="Times New Roman"/>
          <w:bCs/>
          <w:sz w:val="24"/>
          <w:szCs w:val="24"/>
        </w:rPr>
        <w:t>Program will conclude on 30 June 2030.</w:t>
      </w:r>
    </w:p>
    <w:p w14:paraId="701BE485" w14:textId="13F836FB" w:rsidR="008D14BF" w:rsidRPr="00381A22" w:rsidRDefault="008D14BF" w:rsidP="00F9193A">
      <w:pPr>
        <w:rPr>
          <w:rFonts w:ascii="Times New Roman" w:hAnsi="Times New Roman"/>
          <w:sz w:val="24"/>
          <w:szCs w:val="24"/>
        </w:rPr>
      </w:pPr>
    </w:p>
    <w:p w14:paraId="0EEF8FCD" w14:textId="77777777" w:rsidR="007C3D1A" w:rsidRPr="00381A22" w:rsidRDefault="007C3D1A" w:rsidP="007C3D1A">
      <w:pPr>
        <w:ind w:right="-45"/>
        <w:rPr>
          <w:rFonts w:ascii="Times New Roman" w:hAnsi="Times New Roman"/>
          <w:b/>
          <w:sz w:val="24"/>
          <w:szCs w:val="24"/>
        </w:rPr>
      </w:pPr>
      <w:r w:rsidRPr="00381A22">
        <w:rPr>
          <w:rFonts w:ascii="Times New Roman" w:hAnsi="Times New Roman"/>
          <w:b/>
          <w:sz w:val="24"/>
          <w:szCs w:val="24"/>
        </w:rPr>
        <w:t xml:space="preserve">Human rights implications </w:t>
      </w:r>
    </w:p>
    <w:p w14:paraId="10CC1CA7" w14:textId="77777777" w:rsidR="008D14BF" w:rsidRPr="00381A22" w:rsidRDefault="008D14BF" w:rsidP="007C3D1A">
      <w:pPr>
        <w:ind w:right="-46"/>
        <w:rPr>
          <w:rFonts w:ascii="Times New Roman" w:hAnsi="Times New Roman"/>
          <w:sz w:val="24"/>
          <w:szCs w:val="24"/>
        </w:rPr>
      </w:pPr>
    </w:p>
    <w:p w14:paraId="176C7475" w14:textId="1F8458A4" w:rsidR="007C3D1A" w:rsidRPr="00381A22" w:rsidRDefault="00EA19E4" w:rsidP="007C3D1A">
      <w:pPr>
        <w:ind w:right="-46"/>
        <w:rPr>
          <w:rFonts w:ascii="Times New Roman" w:hAnsi="Times New Roman"/>
          <w:sz w:val="24"/>
          <w:szCs w:val="24"/>
        </w:rPr>
      </w:pPr>
      <w:r w:rsidRPr="00381A22">
        <w:rPr>
          <w:rFonts w:ascii="Times New Roman" w:hAnsi="Times New Roman"/>
          <w:sz w:val="24"/>
          <w:szCs w:val="24"/>
        </w:rPr>
        <w:t>The amended t</w:t>
      </w:r>
      <w:r w:rsidR="007C3D1A" w:rsidRPr="00381A22">
        <w:rPr>
          <w:rFonts w:ascii="Times New Roman" w:hAnsi="Times New Roman"/>
          <w:sz w:val="24"/>
          <w:szCs w:val="24"/>
        </w:rPr>
        <w:t xml:space="preserve">able item </w:t>
      </w:r>
      <w:r w:rsidR="0004052C" w:rsidRPr="00381A22">
        <w:rPr>
          <w:rFonts w:ascii="Times New Roman" w:hAnsi="Times New Roman"/>
          <w:sz w:val="24"/>
          <w:szCs w:val="24"/>
        </w:rPr>
        <w:t>40</w:t>
      </w:r>
      <w:r w:rsidR="00AF6EB6" w:rsidRPr="00381A22">
        <w:rPr>
          <w:rFonts w:ascii="Times New Roman" w:hAnsi="Times New Roman"/>
          <w:sz w:val="24"/>
          <w:szCs w:val="24"/>
        </w:rPr>
        <w:t>7</w:t>
      </w:r>
      <w:r w:rsidR="007C3D1A" w:rsidRPr="00381A22">
        <w:rPr>
          <w:rFonts w:ascii="Times New Roman" w:hAnsi="Times New Roman"/>
          <w:sz w:val="24"/>
          <w:szCs w:val="24"/>
        </w:rPr>
        <w:t>:</w:t>
      </w:r>
    </w:p>
    <w:p w14:paraId="36BC5CD5" w14:textId="6CABA099" w:rsidR="007C3D1A" w:rsidRPr="00381A22" w:rsidRDefault="00EA19E4" w:rsidP="007C3D1A">
      <w:pPr>
        <w:pStyle w:val="ListParagraph"/>
        <w:numPr>
          <w:ilvl w:val="0"/>
          <w:numId w:val="26"/>
        </w:numPr>
        <w:spacing w:after="200"/>
        <w:ind w:right="-46"/>
        <w:rPr>
          <w:szCs w:val="24"/>
        </w:rPr>
      </w:pPr>
      <w:r w:rsidRPr="00381A22">
        <w:rPr>
          <w:rFonts w:cs="Times New Roman"/>
          <w:szCs w:val="24"/>
        </w:rPr>
        <w:t xml:space="preserve">engages </w:t>
      </w:r>
      <w:r w:rsidR="007C3D1A" w:rsidRPr="00381A22">
        <w:rPr>
          <w:rFonts w:cs="Times New Roman"/>
          <w:szCs w:val="24"/>
        </w:rPr>
        <w:t xml:space="preserve">the right to education – Article 13 of the </w:t>
      </w:r>
      <w:r w:rsidR="007C3D1A" w:rsidRPr="00381A22">
        <w:rPr>
          <w:i/>
          <w:szCs w:val="24"/>
        </w:rPr>
        <w:t>International Covenant on Economic, Social and Cultural Rights</w:t>
      </w:r>
      <w:r w:rsidR="00AF6EB6" w:rsidRPr="00381A22">
        <w:rPr>
          <w:rFonts w:cs="Times New Roman"/>
          <w:szCs w:val="24"/>
        </w:rPr>
        <w:t xml:space="preserve"> (ICESCR)</w:t>
      </w:r>
      <w:r w:rsidR="005E1F53" w:rsidRPr="00381A22">
        <w:rPr>
          <w:rFonts w:cs="Times New Roman"/>
          <w:szCs w:val="24"/>
        </w:rPr>
        <w:t>, read with Article 2</w:t>
      </w:r>
      <w:r w:rsidRPr="00381A22">
        <w:rPr>
          <w:rFonts w:cs="Times New Roman"/>
          <w:szCs w:val="24"/>
        </w:rPr>
        <w:t xml:space="preserve"> of the ICESCR</w:t>
      </w:r>
      <w:r w:rsidR="00AF6EB6" w:rsidRPr="00381A22">
        <w:rPr>
          <w:rFonts w:cs="Times New Roman"/>
          <w:szCs w:val="24"/>
        </w:rPr>
        <w:t>; and</w:t>
      </w:r>
    </w:p>
    <w:p w14:paraId="1A6C9207" w14:textId="678D4265" w:rsidR="008D14BF" w:rsidRPr="00381A22" w:rsidRDefault="00AF6EB6" w:rsidP="00FF0E65">
      <w:pPr>
        <w:pStyle w:val="ListParagraph"/>
        <w:numPr>
          <w:ilvl w:val="0"/>
          <w:numId w:val="26"/>
        </w:numPr>
        <w:ind w:left="714" w:right="-45" w:hanging="357"/>
        <w:rPr>
          <w:i/>
          <w:iCs/>
          <w:szCs w:val="24"/>
        </w:rPr>
      </w:pPr>
      <w:proofErr w:type="gramStart"/>
      <w:r w:rsidRPr="00381A22">
        <w:rPr>
          <w:rFonts w:cs="Times New Roman"/>
          <w:szCs w:val="24"/>
        </w:rPr>
        <w:t>supports</w:t>
      </w:r>
      <w:proofErr w:type="gramEnd"/>
      <w:r w:rsidRPr="00381A22">
        <w:rPr>
          <w:rFonts w:cs="Times New Roman"/>
          <w:szCs w:val="24"/>
        </w:rPr>
        <w:t xml:space="preserve"> the recognition of benefits of scientific and cultural co-operation</w:t>
      </w:r>
      <w:r w:rsidR="007C3D1A" w:rsidRPr="00381A22">
        <w:rPr>
          <w:rFonts w:cs="Times New Roman"/>
          <w:szCs w:val="24"/>
        </w:rPr>
        <w:t xml:space="preserve"> </w:t>
      </w:r>
      <w:r w:rsidRPr="00381A22">
        <w:rPr>
          <w:rFonts w:cs="Times New Roman"/>
          <w:szCs w:val="24"/>
        </w:rPr>
        <w:t>– Article 15(4) of the ICESCR.</w:t>
      </w:r>
    </w:p>
    <w:p w14:paraId="3DBFC006" w14:textId="77777777" w:rsidR="00FF0E65" w:rsidRPr="00381A22" w:rsidRDefault="00FF0E65" w:rsidP="007C3D1A">
      <w:pPr>
        <w:ind w:right="-45"/>
        <w:rPr>
          <w:rFonts w:ascii="Times New Roman" w:hAnsi="Times New Roman"/>
          <w:i/>
          <w:iCs/>
          <w:sz w:val="24"/>
          <w:szCs w:val="24"/>
        </w:rPr>
      </w:pPr>
    </w:p>
    <w:p w14:paraId="68330B0F" w14:textId="03ADCDE0" w:rsidR="007C3D1A" w:rsidRPr="00381A22" w:rsidRDefault="007C3D1A" w:rsidP="007C3D1A">
      <w:pPr>
        <w:ind w:right="-45"/>
        <w:rPr>
          <w:rFonts w:ascii="Times New Roman" w:hAnsi="Times New Roman"/>
          <w:i/>
          <w:iCs/>
          <w:sz w:val="24"/>
          <w:szCs w:val="24"/>
        </w:rPr>
      </w:pPr>
      <w:r w:rsidRPr="00381A22">
        <w:rPr>
          <w:rFonts w:ascii="Times New Roman" w:hAnsi="Times New Roman"/>
          <w:i/>
          <w:iCs/>
          <w:sz w:val="24"/>
          <w:szCs w:val="24"/>
        </w:rPr>
        <w:t>Right to education</w:t>
      </w:r>
    </w:p>
    <w:p w14:paraId="7BD74357" w14:textId="77777777" w:rsidR="008D14BF" w:rsidRPr="00381A22" w:rsidRDefault="008D14BF" w:rsidP="007C3D1A">
      <w:pPr>
        <w:ind w:right="-46"/>
        <w:rPr>
          <w:rFonts w:ascii="Times New Roman" w:hAnsi="Times New Roman"/>
          <w:sz w:val="24"/>
          <w:szCs w:val="24"/>
        </w:rPr>
      </w:pPr>
    </w:p>
    <w:p w14:paraId="093C31FE" w14:textId="6848FA54" w:rsidR="007C3D1A" w:rsidRPr="00381A22" w:rsidRDefault="00544CD7" w:rsidP="007C3D1A">
      <w:pPr>
        <w:ind w:right="-46"/>
        <w:rPr>
          <w:rFonts w:ascii="Times New Roman" w:hAnsi="Times New Roman"/>
          <w:sz w:val="24"/>
          <w:szCs w:val="24"/>
        </w:rPr>
      </w:pPr>
      <w:r w:rsidRPr="00381A22">
        <w:rPr>
          <w:rFonts w:ascii="Times New Roman" w:hAnsi="Times New Roman"/>
          <w:sz w:val="24"/>
          <w:szCs w:val="24"/>
        </w:rPr>
        <w:t>The amended t</w:t>
      </w:r>
      <w:r w:rsidR="007C3D1A" w:rsidRPr="00381A22">
        <w:rPr>
          <w:rFonts w:ascii="Times New Roman" w:hAnsi="Times New Roman"/>
          <w:sz w:val="24"/>
          <w:szCs w:val="24"/>
        </w:rPr>
        <w:t xml:space="preserve">able item </w:t>
      </w:r>
      <w:r w:rsidR="0004052C" w:rsidRPr="00381A22">
        <w:rPr>
          <w:rFonts w:ascii="Times New Roman" w:hAnsi="Times New Roman"/>
          <w:sz w:val="24"/>
          <w:szCs w:val="24"/>
        </w:rPr>
        <w:t>40</w:t>
      </w:r>
      <w:r w:rsidR="00AF6EB6" w:rsidRPr="00381A22">
        <w:rPr>
          <w:rFonts w:ascii="Times New Roman" w:hAnsi="Times New Roman"/>
          <w:sz w:val="24"/>
          <w:szCs w:val="24"/>
        </w:rPr>
        <w:t>7</w:t>
      </w:r>
      <w:r w:rsidR="007C3D1A" w:rsidRPr="00381A22">
        <w:rPr>
          <w:rFonts w:ascii="Times New Roman" w:hAnsi="Times New Roman"/>
          <w:sz w:val="24"/>
          <w:szCs w:val="24"/>
        </w:rPr>
        <w:t xml:space="preserve"> engages the right to education </w:t>
      </w:r>
      <w:r w:rsidR="002A176E" w:rsidRPr="00381A22">
        <w:rPr>
          <w:rFonts w:ascii="Times New Roman" w:hAnsi="Times New Roman"/>
          <w:sz w:val="24"/>
          <w:szCs w:val="24"/>
        </w:rPr>
        <w:t>recognised</w:t>
      </w:r>
      <w:r w:rsidR="005E1F53" w:rsidRPr="00381A22">
        <w:rPr>
          <w:rFonts w:ascii="Times New Roman" w:hAnsi="Times New Roman"/>
          <w:sz w:val="24"/>
          <w:szCs w:val="24"/>
        </w:rPr>
        <w:t xml:space="preserve"> in Article 13 of the ICESCR, read with Article 2</w:t>
      </w:r>
      <w:r w:rsidRPr="00381A22">
        <w:rPr>
          <w:rFonts w:ascii="Times New Roman" w:hAnsi="Times New Roman"/>
          <w:sz w:val="24"/>
          <w:szCs w:val="24"/>
        </w:rPr>
        <w:t xml:space="preserve"> of the ICESCR</w:t>
      </w:r>
      <w:r w:rsidR="005E1F53" w:rsidRPr="00381A22">
        <w:rPr>
          <w:rFonts w:ascii="Times New Roman" w:hAnsi="Times New Roman"/>
          <w:sz w:val="24"/>
          <w:szCs w:val="24"/>
        </w:rPr>
        <w:t>.</w:t>
      </w:r>
    </w:p>
    <w:p w14:paraId="59138235" w14:textId="77777777" w:rsidR="008D14BF" w:rsidRPr="00381A22" w:rsidRDefault="008D14BF" w:rsidP="007C3D1A">
      <w:pPr>
        <w:ind w:right="-46"/>
        <w:rPr>
          <w:rFonts w:ascii="Times New Roman" w:hAnsi="Times New Roman"/>
          <w:sz w:val="24"/>
          <w:szCs w:val="24"/>
        </w:rPr>
      </w:pPr>
    </w:p>
    <w:p w14:paraId="0786585C" w14:textId="2B0FCFA3" w:rsidR="00160CFA" w:rsidRPr="00381A22" w:rsidRDefault="005E1F53" w:rsidP="00160CFA">
      <w:pPr>
        <w:ind w:right="-46"/>
        <w:rPr>
          <w:rFonts w:ascii="Times New Roman" w:hAnsi="Times New Roman"/>
          <w:sz w:val="24"/>
          <w:szCs w:val="24"/>
        </w:rPr>
      </w:pPr>
      <w:r w:rsidRPr="00381A22">
        <w:rPr>
          <w:rFonts w:ascii="Times New Roman" w:hAnsi="Times New Roman"/>
          <w:sz w:val="24"/>
          <w:szCs w:val="24"/>
        </w:rPr>
        <w:lastRenderedPageBreak/>
        <w:t xml:space="preserve">Article 2 of the ICESCR requires States Parties to take steps </w:t>
      </w:r>
      <w:proofErr w:type="gramStart"/>
      <w:r w:rsidRPr="00381A22">
        <w:rPr>
          <w:rFonts w:ascii="Times New Roman" w:hAnsi="Times New Roman"/>
          <w:sz w:val="24"/>
          <w:szCs w:val="24"/>
        </w:rPr>
        <w:t>to progressively achieve</w:t>
      </w:r>
      <w:proofErr w:type="gramEnd"/>
      <w:r w:rsidRPr="00381A22">
        <w:rPr>
          <w:rFonts w:ascii="Times New Roman" w:hAnsi="Times New Roman"/>
          <w:sz w:val="24"/>
          <w:szCs w:val="24"/>
        </w:rPr>
        <w:t xml:space="preserve"> the full realisation of the rights recognised in the ICESCR by all appropriate means. </w:t>
      </w:r>
      <w:proofErr w:type="gramStart"/>
      <w:r w:rsidR="007C3D1A" w:rsidRPr="00381A22">
        <w:rPr>
          <w:rFonts w:ascii="Times New Roman" w:hAnsi="Times New Roman"/>
          <w:sz w:val="24"/>
          <w:szCs w:val="24"/>
        </w:rPr>
        <w:t>Art</w:t>
      </w:r>
      <w:r w:rsidR="002A176E" w:rsidRPr="00381A22">
        <w:rPr>
          <w:rFonts w:ascii="Times New Roman" w:hAnsi="Times New Roman"/>
          <w:sz w:val="24"/>
          <w:szCs w:val="24"/>
        </w:rPr>
        <w:t>icle 13(1)</w:t>
      </w:r>
      <w:r w:rsidR="007C3D1A" w:rsidRPr="00381A22">
        <w:rPr>
          <w:rFonts w:ascii="Times New Roman" w:hAnsi="Times New Roman"/>
          <w:sz w:val="24"/>
          <w:szCs w:val="24"/>
        </w:rPr>
        <w:t xml:space="preserve"> of the </w:t>
      </w:r>
      <w:r w:rsidR="002A176E" w:rsidRPr="00381A22">
        <w:rPr>
          <w:rFonts w:ascii="Times New Roman" w:hAnsi="Times New Roman"/>
          <w:sz w:val="24"/>
          <w:szCs w:val="24"/>
        </w:rPr>
        <w:t xml:space="preserve">ICESCR </w:t>
      </w:r>
      <w:r w:rsidR="007C3D1A" w:rsidRPr="00381A22">
        <w:rPr>
          <w:rFonts w:ascii="Times New Roman" w:hAnsi="Times New Roman"/>
          <w:sz w:val="24"/>
          <w:szCs w:val="24"/>
        </w:rPr>
        <w:t>provides that State</w:t>
      </w:r>
      <w:r w:rsidR="006C42CF" w:rsidRPr="00381A22">
        <w:rPr>
          <w:rFonts w:ascii="Times New Roman" w:hAnsi="Times New Roman"/>
          <w:sz w:val="24"/>
          <w:szCs w:val="24"/>
        </w:rPr>
        <w:t>s</w:t>
      </w:r>
      <w:r w:rsidR="007C3D1A" w:rsidRPr="00381A22">
        <w:rPr>
          <w:rFonts w:ascii="Times New Roman" w:hAnsi="Times New Roman"/>
          <w:sz w:val="24"/>
          <w:szCs w:val="24"/>
        </w:rPr>
        <w:t xml:space="preserve"> Parties</w:t>
      </w:r>
      <w:r w:rsidR="002A176E" w:rsidRPr="00381A22">
        <w:rPr>
          <w:rFonts w:ascii="Times New Roman" w:hAnsi="Times New Roman"/>
          <w:sz w:val="24"/>
          <w:szCs w:val="24"/>
        </w:rPr>
        <w:t xml:space="preserve"> shall</w:t>
      </w:r>
      <w:r w:rsidR="007C3D1A" w:rsidRPr="00381A22">
        <w:rPr>
          <w:rFonts w:ascii="Times New Roman" w:hAnsi="Times New Roman"/>
          <w:sz w:val="24"/>
          <w:szCs w:val="24"/>
        </w:rPr>
        <w:t xml:space="preserve"> ‘</w:t>
      </w:r>
      <w:r w:rsidR="002A176E" w:rsidRPr="00381A22">
        <w:rPr>
          <w:rFonts w:ascii="Times New Roman" w:hAnsi="Times New Roman"/>
          <w:sz w:val="24"/>
          <w:szCs w:val="24"/>
        </w:rPr>
        <w:t>recognise the right of everyone to education’ and ‘agree that education shall be directed to the full development of the human personality and the sense of its dignity, and shall strengthen the respect for human rights and fundamental freedoms</w:t>
      </w:r>
      <w:r w:rsidR="00544CD7" w:rsidRPr="00381A22">
        <w:rPr>
          <w:rFonts w:ascii="Times New Roman" w:hAnsi="Times New Roman"/>
          <w:sz w:val="24"/>
          <w:szCs w:val="24"/>
        </w:rPr>
        <w:t xml:space="preserve"> </w:t>
      </w:r>
      <w:r w:rsidR="002A176E" w:rsidRPr="00381A22">
        <w:rPr>
          <w:rFonts w:ascii="Times New Roman" w:hAnsi="Times New Roman"/>
          <w:sz w:val="24"/>
          <w:szCs w:val="24"/>
        </w:rPr>
        <w:t>…</w:t>
      </w:r>
      <w:r w:rsidR="00544CD7" w:rsidRPr="00381A22">
        <w:rPr>
          <w:rFonts w:ascii="Times New Roman" w:hAnsi="Times New Roman"/>
          <w:sz w:val="24"/>
          <w:szCs w:val="24"/>
        </w:rPr>
        <w:t xml:space="preserve"> </w:t>
      </w:r>
      <w:r w:rsidR="002A176E" w:rsidRPr="00381A22">
        <w:rPr>
          <w:rFonts w:ascii="Times New Roman" w:hAnsi="Times New Roman"/>
          <w:sz w:val="24"/>
          <w:szCs w:val="24"/>
        </w:rPr>
        <w:t>education shall enable all persons to participate effectively in a free society, promote understanding, tolerance and friendship among all nations and all racial, ethnic or religious groups, and further the activities of the United Nation</w:t>
      </w:r>
      <w:r w:rsidR="00160CFA" w:rsidRPr="00381A22">
        <w:rPr>
          <w:rFonts w:ascii="Times New Roman" w:hAnsi="Times New Roman"/>
          <w:sz w:val="24"/>
          <w:szCs w:val="24"/>
        </w:rPr>
        <w:t>s for the maintenance of peace.’</w:t>
      </w:r>
      <w:proofErr w:type="gramEnd"/>
      <w:r w:rsidR="00544CD7" w:rsidRPr="00381A22">
        <w:rPr>
          <w:rFonts w:ascii="Times New Roman" w:hAnsi="Times New Roman"/>
          <w:sz w:val="24"/>
          <w:szCs w:val="24"/>
        </w:rPr>
        <w:t xml:space="preserve"> </w:t>
      </w:r>
      <w:r w:rsidR="00160CFA" w:rsidRPr="00381A22">
        <w:rPr>
          <w:rFonts w:ascii="Times New Roman" w:hAnsi="Times New Roman"/>
          <w:sz w:val="24"/>
          <w:szCs w:val="24"/>
        </w:rPr>
        <w:t>Article 13(2</w:t>
      </w:r>
      <w:proofErr w:type="gramStart"/>
      <w:r w:rsidR="00160CFA" w:rsidRPr="00381A22">
        <w:rPr>
          <w:rFonts w:ascii="Times New Roman" w:hAnsi="Times New Roman"/>
          <w:sz w:val="24"/>
          <w:szCs w:val="24"/>
        </w:rPr>
        <w:t>)(</w:t>
      </w:r>
      <w:proofErr w:type="gramEnd"/>
      <w:r w:rsidR="00160CFA" w:rsidRPr="00381A22">
        <w:rPr>
          <w:rFonts w:ascii="Times New Roman" w:hAnsi="Times New Roman"/>
          <w:sz w:val="24"/>
          <w:szCs w:val="24"/>
        </w:rPr>
        <w:t xml:space="preserve">c) of </w:t>
      </w:r>
      <w:r w:rsidR="00544CD7" w:rsidRPr="00381A22">
        <w:rPr>
          <w:rFonts w:ascii="Times New Roman" w:hAnsi="Times New Roman"/>
          <w:sz w:val="24"/>
          <w:szCs w:val="24"/>
        </w:rPr>
        <w:t xml:space="preserve">the </w:t>
      </w:r>
      <w:r w:rsidR="00160CFA" w:rsidRPr="00381A22">
        <w:rPr>
          <w:rFonts w:ascii="Times New Roman" w:hAnsi="Times New Roman"/>
          <w:sz w:val="24"/>
          <w:szCs w:val="24"/>
        </w:rPr>
        <w:t xml:space="preserve">ICESCR states that ‘higher education shall be made equally accessible to all, on the basis of capacity, by every appropriate means…’ </w:t>
      </w:r>
    </w:p>
    <w:p w14:paraId="6CA4DAE4" w14:textId="77777777" w:rsidR="006C42CF" w:rsidRPr="00381A22" w:rsidRDefault="006C42CF" w:rsidP="006C42CF">
      <w:pPr>
        <w:rPr>
          <w:rFonts w:ascii="Times New Roman" w:hAnsi="Times New Roman"/>
          <w:color w:val="000000" w:themeColor="text1"/>
          <w:sz w:val="24"/>
          <w:szCs w:val="24"/>
        </w:rPr>
      </w:pPr>
    </w:p>
    <w:p w14:paraId="71D5E68A" w14:textId="47807746" w:rsidR="00160CFA" w:rsidRPr="00381A22" w:rsidRDefault="00544CD7" w:rsidP="00544CD7">
      <w:pPr>
        <w:ind w:right="-46"/>
        <w:rPr>
          <w:rFonts w:ascii="Times New Roman" w:hAnsi="Times New Roman"/>
          <w:sz w:val="24"/>
          <w:szCs w:val="24"/>
        </w:rPr>
      </w:pPr>
      <w:r w:rsidRPr="00381A22">
        <w:rPr>
          <w:rFonts w:ascii="Times New Roman" w:hAnsi="Times New Roman"/>
          <w:sz w:val="24"/>
          <w:szCs w:val="24"/>
        </w:rPr>
        <w:t>The amended t</w:t>
      </w:r>
      <w:r w:rsidR="007C3D1A" w:rsidRPr="00381A22">
        <w:rPr>
          <w:rFonts w:ascii="Times New Roman" w:hAnsi="Times New Roman"/>
          <w:sz w:val="24"/>
          <w:szCs w:val="24"/>
        </w:rPr>
        <w:t xml:space="preserve">able item </w:t>
      </w:r>
      <w:r w:rsidR="0004052C" w:rsidRPr="00381A22">
        <w:rPr>
          <w:rFonts w:ascii="Times New Roman" w:hAnsi="Times New Roman"/>
          <w:sz w:val="24"/>
          <w:szCs w:val="24"/>
        </w:rPr>
        <w:t>40</w:t>
      </w:r>
      <w:r w:rsidR="00160CFA" w:rsidRPr="00381A22">
        <w:rPr>
          <w:rFonts w:ascii="Times New Roman" w:hAnsi="Times New Roman"/>
          <w:sz w:val="24"/>
          <w:szCs w:val="24"/>
        </w:rPr>
        <w:t xml:space="preserve">7 </w:t>
      </w:r>
      <w:r w:rsidRPr="00381A22">
        <w:rPr>
          <w:rFonts w:ascii="Times New Roman" w:hAnsi="Times New Roman"/>
          <w:sz w:val="24"/>
          <w:szCs w:val="24"/>
        </w:rPr>
        <w:t xml:space="preserve">will </w:t>
      </w:r>
      <w:r w:rsidR="00160CFA" w:rsidRPr="00381A22">
        <w:rPr>
          <w:rFonts w:ascii="Times New Roman" w:hAnsi="Times New Roman"/>
          <w:sz w:val="24"/>
          <w:szCs w:val="24"/>
        </w:rPr>
        <w:t xml:space="preserve">support the right of Australian and overseas students to access higher education and enable them to undertake study that will facilitate their participation in society and an increasingly international labour market, and promote understanding and friendship between nations. The Program will also support access to higher education for students who otherwise may not be able to afford to undertake overseas study.  </w:t>
      </w:r>
    </w:p>
    <w:p w14:paraId="65ACFC73" w14:textId="1290C276" w:rsidR="007C3D1A" w:rsidRPr="00381A22" w:rsidRDefault="007C3D1A" w:rsidP="00544CD7">
      <w:pPr>
        <w:ind w:right="-46"/>
        <w:rPr>
          <w:rFonts w:ascii="Times New Roman" w:hAnsi="Times New Roman"/>
          <w:sz w:val="24"/>
          <w:szCs w:val="24"/>
        </w:rPr>
      </w:pPr>
    </w:p>
    <w:p w14:paraId="4A9B5B5A" w14:textId="0E790CB6" w:rsidR="007C3D1A" w:rsidRPr="00381A22" w:rsidRDefault="00160CFA" w:rsidP="006C42CF">
      <w:pPr>
        <w:ind w:right="-45"/>
        <w:rPr>
          <w:rFonts w:ascii="Times New Roman" w:hAnsi="Times New Roman"/>
          <w:i/>
          <w:iCs/>
          <w:sz w:val="24"/>
          <w:szCs w:val="24"/>
        </w:rPr>
      </w:pPr>
      <w:r w:rsidRPr="00381A22">
        <w:rPr>
          <w:rFonts w:ascii="Times New Roman" w:hAnsi="Times New Roman"/>
          <w:i/>
          <w:iCs/>
          <w:sz w:val="24"/>
          <w:szCs w:val="24"/>
        </w:rPr>
        <w:t>Recognition of benefits of scientific and cultural co-operation</w:t>
      </w:r>
    </w:p>
    <w:p w14:paraId="09D9B4EF" w14:textId="77777777" w:rsidR="006C42CF" w:rsidRPr="00381A22" w:rsidRDefault="006C42CF" w:rsidP="007C3D1A">
      <w:pPr>
        <w:ind w:right="-46"/>
        <w:rPr>
          <w:rFonts w:ascii="Times New Roman" w:hAnsi="Times New Roman"/>
          <w:sz w:val="24"/>
          <w:szCs w:val="24"/>
        </w:rPr>
      </w:pPr>
    </w:p>
    <w:p w14:paraId="450C5965" w14:textId="04EADBFA" w:rsidR="007C3D1A" w:rsidRPr="00381A22" w:rsidRDefault="00544CD7" w:rsidP="001C7F41">
      <w:pPr>
        <w:ind w:right="-46"/>
        <w:rPr>
          <w:rFonts w:ascii="Times New Roman" w:hAnsi="Times New Roman"/>
          <w:sz w:val="24"/>
          <w:szCs w:val="24"/>
        </w:rPr>
      </w:pPr>
      <w:r w:rsidRPr="00381A22">
        <w:rPr>
          <w:rFonts w:ascii="Times New Roman" w:hAnsi="Times New Roman"/>
          <w:sz w:val="24"/>
          <w:szCs w:val="24"/>
        </w:rPr>
        <w:t>The amended t</w:t>
      </w:r>
      <w:r w:rsidR="007C3D1A" w:rsidRPr="00381A22">
        <w:rPr>
          <w:rFonts w:ascii="Times New Roman" w:hAnsi="Times New Roman"/>
          <w:sz w:val="24"/>
          <w:szCs w:val="24"/>
        </w:rPr>
        <w:t xml:space="preserve">able item </w:t>
      </w:r>
      <w:r w:rsidR="0004052C" w:rsidRPr="00381A22">
        <w:rPr>
          <w:rFonts w:ascii="Times New Roman" w:hAnsi="Times New Roman"/>
          <w:sz w:val="24"/>
          <w:szCs w:val="24"/>
        </w:rPr>
        <w:t>40</w:t>
      </w:r>
      <w:r w:rsidR="00160CFA" w:rsidRPr="00381A22">
        <w:rPr>
          <w:rFonts w:ascii="Times New Roman" w:hAnsi="Times New Roman"/>
          <w:sz w:val="24"/>
          <w:szCs w:val="24"/>
        </w:rPr>
        <w:t>7</w:t>
      </w:r>
      <w:r w:rsidR="007C3D1A" w:rsidRPr="00381A22">
        <w:rPr>
          <w:rFonts w:ascii="Times New Roman" w:hAnsi="Times New Roman"/>
          <w:sz w:val="24"/>
          <w:szCs w:val="24"/>
        </w:rPr>
        <w:t xml:space="preserve"> </w:t>
      </w:r>
      <w:r w:rsidR="00160CFA" w:rsidRPr="00381A22">
        <w:rPr>
          <w:rFonts w:ascii="Times New Roman" w:hAnsi="Times New Roman"/>
          <w:sz w:val="24"/>
          <w:szCs w:val="24"/>
        </w:rPr>
        <w:t>supports the recognition of benefits of scientific and cultural co</w:t>
      </w:r>
      <w:r w:rsidR="00A65672" w:rsidRPr="00381A22">
        <w:rPr>
          <w:rFonts w:ascii="Times New Roman" w:hAnsi="Times New Roman"/>
          <w:sz w:val="24"/>
          <w:szCs w:val="24"/>
        </w:rPr>
        <w:noBreakHyphen/>
      </w:r>
      <w:r w:rsidR="00160CFA" w:rsidRPr="00381A22">
        <w:rPr>
          <w:rFonts w:ascii="Times New Roman" w:hAnsi="Times New Roman"/>
          <w:sz w:val="24"/>
          <w:szCs w:val="24"/>
        </w:rPr>
        <w:t>operation under Article 15 of the ICESCR.</w:t>
      </w:r>
    </w:p>
    <w:p w14:paraId="0AF0C0F7" w14:textId="3D713F85" w:rsidR="00160CFA" w:rsidRPr="00381A22" w:rsidRDefault="00160CFA" w:rsidP="001C7F41">
      <w:pPr>
        <w:ind w:right="-46"/>
        <w:rPr>
          <w:rFonts w:ascii="Times New Roman" w:hAnsi="Times New Roman"/>
          <w:sz w:val="24"/>
          <w:szCs w:val="24"/>
        </w:rPr>
      </w:pPr>
    </w:p>
    <w:p w14:paraId="3844F898" w14:textId="6277B910" w:rsidR="000F3FA4" w:rsidRPr="00381A22" w:rsidRDefault="00160CFA" w:rsidP="000F3FA4">
      <w:pPr>
        <w:ind w:right="-46"/>
        <w:rPr>
          <w:rFonts w:ascii="Times New Roman" w:hAnsi="Times New Roman"/>
          <w:sz w:val="24"/>
          <w:szCs w:val="24"/>
        </w:rPr>
      </w:pPr>
      <w:r w:rsidRPr="00381A22">
        <w:rPr>
          <w:rFonts w:ascii="Times New Roman" w:hAnsi="Times New Roman"/>
          <w:sz w:val="24"/>
          <w:szCs w:val="24"/>
        </w:rPr>
        <w:t xml:space="preserve">Article 15(4) of the ICESCR </w:t>
      </w:r>
      <w:r w:rsidR="000F3FA4" w:rsidRPr="00381A22">
        <w:rPr>
          <w:rFonts w:ascii="Times New Roman" w:hAnsi="Times New Roman"/>
          <w:sz w:val="24"/>
          <w:szCs w:val="24"/>
        </w:rPr>
        <w:t>provides</w:t>
      </w:r>
      <w:r w:rsidRPr="00381A22">
        <w:rPr>
          <w:rFonts w:ascii="Times New Roman" w:hAnsi="Times New Roman"/>
          <w:sz w:val="24"/>
          <w:szCs w:val="24"/>
        </w:rPr>
        <w:t xml:space="preserve"> that State</w:t>
      </w:r>
      <w:r w:rsidR="00544CD7" w:rsidRPr="00381A22">
        <w:rPr>
          <w:rFonts w:ascii="Times New Roman" w:hAnsi="Times New Roman"/>
          <w:sz w:val="24"/>
          <w:szCs w:val="24"/>
        </w:rPr>
        <w:t>s</w:t>
      </w:r>
      <w:r w:rsidRPr="00381A22">
        <w:rPr>
          <w:rFonts w:ascii="Times New Roman" w:hAnsi="Times New Roman"/>
          <w:sz w:val="24"/>
          <w:szCs w:val="24"/>
        </w:rPr>
        <w:t xml:space="preserve"> Parties shall ‘recognise the benefits to be derived from the encouragement and development of international contacts and co-operation in the scientific and cultural fields</w:t>
      </w:r>
      <w:r w:rsidR="000F3FA4" w:rsidRPr="00381A22">
        <w:rPr>
          <w:rFonts w:ascii="Times New Roman" w:hAnsi="Times New Roman"/>
          <w:sz w:val="24"/>
          <w:szCs w:val="24"/>
        </w:rPr>
        <w:t>.’</w:t>
      </w:r>
    </w:p>
    <w:p w14:paraId="1BBB45EC" w14:textId="77777777" w:rsidR="000F3FA4" w:rsidRPr="00381A22" w:rsidRDefault="000F3FA4" w:rsidP="000F3FA4">
      <w:pPr>
        <w:ind w:right="-46"/>
        <w:rPr>
          <w:rFonts w:ascii="Times New Roman" w:hAnsi="Times New Roman"/>
          <w:sz w:val="24"/>
          <w:szCs w:val="24"/>
        </w:rPr>
      </w:pPr>
    </w:p>
    <w:p w14:paraId="788DDD54" w14:textId="38F4A06D" w:rsidR="000F3FA4" w:rsidRPr="00381A22" w:rsidRDefault="000F3FA4" w:rsidP="000F3FA4">
      <w:pPr>
        <w:ind w:right="-46"/>
        <w:rPr>
          <w:rFonts w:ascii="Times New Roman" w:hAnsi="Times New Roman"/>
          <w:sz w:val="24"/>
          <w:szCs w:val="24"/>
        </w:rPr>
      </w:pPr>
      <w:r w:rsidRPr="00381A22">
        <w:rPr>
          <w:rFonts w:ascii="Times New Roman" w:hAnsi="Times New Roman"/>
          <w:sz w:val="24"/>
          <w:szCs w:val="24"/>
        </w:rPr>
        <w:t xml:space="preserve">By supporting Australian and overseas students to undertake study at leading Australian and overseas universities, the Program will support the development of international contacts and co-operation in scientific and cultural fields. </w:t>
      </w:r>
    </w:p>
    <w:p w14:paraId="767636BA" w14:textId="25ABF2B9" w:rsidR="001C7F41" w:rsidRPr="00381A22" w:rsidRDefault="001C7F41" w:rsidP="001C7F41">
      <w:pPr>
        <w:pStyle w:val="NumberLevel1"/>
        <w:numPr>
          <w:ilvl w:val="0"/>
          <w:numId w:val="0"/>
        </w:numPr>
        <w:spacing w:before="0" w:after="0" w:line="240" w:lineRule="auto"/>
        <w:rPr>
          <w:rFonts w:ascii="Times New Roman" w:hAnsi="Times New Roman" w:cs="Times New Roman"/>
          <w:sz w:val="24"/>
          <w:szCs w:val="24"/>
        </w:rPr>
      </w:pPr>
    </w:p>
    <w:p w14:paraId="4959CC56" w14:textId="77777777" w:rsidR="007C3D1A" w:rsidRPr="00381A22" w:rsidRDefault="007C3D1A" w:rsidP="007C3D1A">
      <w:r w:rsidRPr="00381A22">
        <w:rPr>
          <w:rFonts w:ascii="Times New Roman" w:hAnsi="Times New Roman"/>
          <w:b/>
          <w:sz w:val="24"/>
        </w:rPr>
        <w:t>Conclusion</w:t>
      </w:r>
    </w:p>
    <w:p w14:paraId="19B50C32" w14:textId="77777777" w:rsidR="001C7F41" w:rsidRPr="00381A22" w:rsidRDefault="001C7F41" w:rsidP="007C3D1A">
      <w:pPr>
        <w:rPr>
          <w:rFonts w:ascii="Times New Roman" w:hAnsi="Times New Roman"/>
          <w:sz w:val="24"/>
          <w:szCs w:val="24"/>
        </w:rPr>
      </w:pPr>
    </w:p>
    <w:p w14:paraId="1500DB8F" w14:textId="22B11795" w:rsidR="007C3D1A" w:rsidRPr="00381A22" w:rsidRDefault="00544CD7" w:rsidP="007C3D1A">
      <w:pPr>
        <w:rPr>
          <w:rFonts w:ascii="Times New Roman" w:hAnsi="Times New Roman"/>
          <w:sz w:val="24"/>
          <w:szCs w:val="24"/>
        </w:rPr>
      </w:pPr>
      <w:r w:rsidRPr="00381A22">
        <w:rPr>
          <w:rFonts w:ascii="Times New Roman" w:hAnsi="Times New Roman"/>
          <w:sz w:val="24"/>
          <w:szCs w:val="24"/>
        </w:rPr>
        <w:t>The amended t</w:t>
      </w:r>
      <w:r w:rsidR="007C3D1A" w:rsidRPr="00381A22">
        <w:rPr>
          <w:rFonts w:ascii="Times New Roman" w:hAnsi="Times New Roman"/>
          <w:sz w:val="24"/>
          <w:szCs w:val="24"/>
        </w:rPr>
        <w:t xml:space="preserve">able item </w:t>
      </w:r>
      <w:r w:rsidR="0004052C" w:rsidRPr="00381A22">
        <w:rPr>
          <w:rFonts w:ascii="Times New Roman" w:hAnsi="Times New Roman"/>
          <w:sz w:val="24"/>
          <w:szCs w:val="24"/>
        </w:rPr>
        <w:t>40</w:t>
      </w:r>
      <w:r w:rsidR="00160CFA" w:rsidRPr="00381A22">
        <w:rPr>
          <w:rFonts w:ascii="Times New Roman" w:hAnsi="Times New Roman"/>
          <w:sz w:val="24"/>
          <w:szCs w:val="24"/>
        </w:rPr>
        <w:t>7</w:t>
      </w:r>
      <w:r w:rsidR="007C3D1A" w:rsidRPr="00381A22">
        <w:rPr>
          <w:rFonts w:ascii="Times New Roman" w:hAnsi="Times New Roman"/>
          <w:sz w:val="24"/>
          <w:szCs w:val="24"/>
        </w:rPr>
        <w:t xml:space="preserve"> is compatible with human rights because it promotes the right to education under the ICESCR</w:t>
      </w:r>
      <w:r w:rsidR="00160CFA" w:rsidRPr="00381A22">
        <w:rPr>
          <w:rFonts w:ascii="Times New Roman" w:hAnsi="Times New Roman"/>
          <w:sz w:val="24"/>
          <w:szCs w:val="24"/>
        </w:rPr>
        <w:t xml:space="preserve"> and supports the recognition of benefits of scientific and cultural co-operation </w:t>
      </w:r>
      <w:r w:rsidR="007C3D1A" w:rsidRPr="00381A22">
        <w:rPr>
          <w:rFonts w:ascii="Times New Roman" w:hAnsi="Times New Roman"/>
          <w:sz w:val="24"/>
          <w:szCs w:val="24"/>
        </w:rPr>
        <w:t xml:space="preserve">under the </w:t>
      </w:r>
      <w:r w:rsidR="00160CFA" w:rsidRPr="00381A22">
        <w:rPr>
          <w:rFonts w:ascii="Times New Roman" w:hAnsi="Times New Roman"/>
          <w:sz w:val="24"/>
          <w:szCs w:val="24"/>
        </w:rPr>
        <w:t>ICESCR</w:t>
      </w:r>
      <w:r w:rsidR="007C3D1A" w:rsidRPr="00381A22">
        <w:rPr>
          <w:rFonts w:ascii="Times New Roman" w:hAnsi="Times New Roman"/>
          <w:sz w:val="24"/>
          <w:szCs w:val="24"/>
        </w:rPr>
        <w:t>.</w:t>
      </w:r>
    </w:p>
    <w:p w14:paraId="5CF3A808" w14:textId="77777777" w:rsidR="007C3D1A" w:rsidRPr="00381A22" w:rsidRDefault="007C3D1A" w:rsidP="007C3D1A">
      <w:pPr>
        <w:rPr>
          <w:rFonts w:ascii="Times New Roman" w:hAnsi="Times New Roman"/>
          <w:b/>
          <w:sz w:val="24"/>
          <w:szCs w:val="24"/>
        </w:rPr>
      </w:pPr>
    </w:p>
    <w:p w14:paraId="2AC98527" w14:textId="6F717EC3" w:rsidR="00E63E47" w:rsidRPr="00381A22" w:rsidRDefault="00E63E47" w:rsidP="00E63E47">
      <w:pPr>
        <w:rPr>
          <w:rFonts w:ascii="Times New Roman" w:hAnsi="Times New Roman"/>
          <w:i/>
          <w:sz w:val="24"/>
          <w:szCs w:val="24"/>
          <w:u w:val="single"/>
        </w:rPr>
      </w:pPr>
      <w:r w:rsidRPr="00381A22">
        <w:rPr>
          <w:rFonts w:ascii="Times New Roman" w:hAnsi="Times New Roman"/>
          <w:i/>
          <w:sz w:val="24"/>
          <w:szCs w:val="24"/>
          <w:u w:val="single"/>
        </w:rPr>
        <w:t>Table item</w:t>
      </w:r>
      <w:r w:rsidR="002E5DBC" w:rsidRPr="00381A22">
        <w:rPr>
          <w:rFonts w:ascii="Times New Roman" w:hAnsi="Times New Roman"/>
          <w:i/>
          <w:sz w:val="24"/>
          <w:szCs w:val="24"/>
          <w:u w:val="single"/>
        </w:rPr>
        <w:t xml:space="preserve"> 430</w:t>
      </w:r>
      <w:r w:rsidRPr="00381A22">
        <w:rPr>
          <w:rFonts w:ascii="Times New Roman" w:hAnsi="Times New Roman"/>
          <w:i/>
          <w:sz w:val="24"/>
          <w:szCs w:val="24"/>
          <w:u w:val="single"/>
        </w:rPr>
        <w:t xml:space="preserve"> – Reading Writing Hotline</w:t>
      </w:r>
    </w:p>
    <w:p w14:paraId="1005E38A" w14:textId="77777777" w:rsidR="00E63E47" w:rsidRPr="00381A22" w:rsidRDefault="00E63E47" w:rsidP="00E63E47">
      <w:pPr>
        <w:rPr>
          <w:rFonts w:ascii="Times New Roman" w:hAnsi="Times New Roman"/>
          <w:i/>
          <w:sz w:val="24"/>
          <w:szCs w:val="24"/>
          <w:u w:val="single"/>
        </w:rPr>
      </w:pPr>
    </w:p>
    <w:p w14:paraId="4CF6EBB7" w14:textId="05B5218E" w:rsidR="00E63E47" w:rsidRPr="00381A22" w:rsidRDefault="00E63E47" w:rsidP="00E63E47">
      <w:pPr>
        <w:rPr>
          <w:rFonts w:ascii="Times New Roman" w:hAnsi="Times New Roman"/>
          <w:sz w:val="24"/>
          <w:szCs w:val="24"/>
        </w:rPr>
      </w:pPr>
      <w:r w:rsidRPr="00381A22">
        <w:rPr>
          <w:rFonts w:ascii="Times New Roman" w:hAnsi="Times New Roman"/>
          <w:sz w:val="24"/>
          <w:szCs w:val="24"/>
        </w:rPr>
        <w:t>Table item</w:t>
      </w:r>
      <w:r w:rsidR="002E5DBC" w:rsidRPr="00381A22">
        <w:rPr>
          <w:rFonts w:ascii="Times New Roman" w:hAnsi="Times New Roman"/>
          <w:sz w:val="24"/>
          <w:szCs w:val="24"/>
        </w:rPr>
        <w:t xml:space="preserve"> 430</w:t>
      </w:r>
      <w:r w:rsidRPr="00381A22">
        <w:rPr>
          <w:rFonts w:ascii="Times New Roman" w:hAnsi="Times New Roman"/>
          <w:b/>
          <w:sz w:val="24"/>
          <w:szCs w:val="24"/>
        </w:rPr>
        <w:t xml:space="preserve"> </w:t>
      </w:r>
      <w:r w:rsidRPr="00381A22">
        <w:rPr>
          <w:rFonts w:ascii="Times New Roman" w:hAnsi="Times New Roman"/>
          <w:sz w:val="24"/>
          <w:szCs w:val="24"/>
        </w:rPr>
        <w:t>establishes legislative authority for government spending to support the delivery of the Reading Writing Hotline (the Hotline), a national advisory and referral service, which links people seeking English language, literacy or numeracy assistance to appropriate training opportunities.</w:t>
      </w:r>
    </w:p>
    <w:p w14:paraId="37BDA95E" w14:textId="77777777" w:rsidR="00E63E47" w:rsidRPr="00381A22" w:rsidRDefault="00E63E47" w:rsidP="00E63E47">
      <w:pPr>
        <w:rPr>
          <w:rFonts w:ascii="Times New Roman" w:hAnsi="Times New Roman"/>
          <w:sz w:val="24"/>
          <w:szCs w:val="24"/>
        </w:rPr>
      </w:pPr>
    </w:p>
    <w:p w14:paraId="0217457B" w14:textId="77777777" w:rsidR="00E63E47" w:rsidRPr="00381A22" w:rsidRDefault="00E63E47" w:rsidP="00E63E47">
      <w:pPr>
        <w:autoSpaceDE w:val="0"/>
        <w:autoSpaceDN w:val="0"/>
        <w:adjustRightInd w:val="0"/>
        <w:rPr>
          <w:rFonts w:ascii="Times New Roman" w:eastAsiaTheme="minorHAnsi" w:hAnsi="Times New Roman"/>
          <w:sz w:val="24"/>
          <w:szCs w:val="24"/>
          <w:lang w:eastAsia="en-US"/>
        </w:rPr>
      </w:pPr>
      <w:r w:rsidRPr="00381A22">
        <w:rPr>
          <w:rFonts w:ascii="Times New Roman" w:eastAsiaTheme="minorHAnsi" w:hAnsi="Times New Roman"/>
          <w:sz w:val="24"/>
          <w:szCs w:val="24"/>
          <w:lang w:eastAsia="en-US"/>
        </w:rPr>
        <w:t>The objectives of the Hotline are to provide a national focus on improving outcomes for working age Australians and help individuals overcome language, literacy and numeracy issues by connecting them to the training opportunities that they need. These are essential skills for individuals to be able to have access to, and participate in, employment and further education opportunities.</w:t>
      </w:r>
    </w:p>
    <w:p w14:paraId="51D13A5A" w14:textId="77777777" w:rsidR="00E63E47" w:rsidRPr="00381A22" w:rsidRDefault="00E63E47" w:rsidP="00E63E47">
      <w:pPr>
        <w:autoSpaceDE w:val="0"/>
        <w:autoSpaceDN w:val="0"/>
        <w:adjustRightInd w:val="0"/>
        <w:rPr>
          <w:rFonts w:ascii="Times New Roman" w:eastAsiaTheme="minorHAnsi" w:hAnsi="Times New Roman"/>
          <w:sz w:val="24"/>
          <w:szCs w:val="24"/>
          <w:lang w:eastAsia="en-US"/>
        </w:rPr>
      </w:pPr>
    </w:p>
    <w:p w14:paraId="62B87127" w14:textId="606E4598" w:rsidR="00E63E47" w:rsidRPr="00381A22" w:rsidRDefault="00E63E47" w:rsidP="00E63E47">
      <w:pPr>
        <w:autoSpaceDE w:val="0"/>
        <w:autoSpaceDN w:val="0"/>
        <w:adjustRightInd w:val="0"/>
        <w:rPr>
          <w:rFonts w:ascii="Times New Roman" w:eastAsiaTheme="minorHAnsi" w:hAnsi="Times New Roman"/>
          <w:sz w:val="24"/>
          <w:szCs w:val="24"/>
          <w:lang w:eastAsia="en-US"/>
        </w:rPr>
      </w:pPr>
      <w:r w:rsidRPr="00381A22">
        <w:rPr>
          <w:rFonts w:ascii="Times New Roman" w:eastAsiaTheme="minorHAnsi" w:hAnsi="Times New Roman"/>
          <w:sz w:val="24"/>
          <w:szCs w:val="24"/>
          <w:lang w:eastAsia="en-US"/>
        </w:rPr>
        <w:lastRenderedPageBreak/>
        <w:t xml:space="preserve">The Hotline is the only national advisory and referral service of its kind, which has operated for over 20 years. It contributes to the priority areas and objectives of the Council of Australian Governments’ </w:t>
      </w:r>
      <w:r w:rsidRPr="00381A22">
        <w:rPr>
          <w:rFonts w:ascii="Times New Roman" w:eastAsiaTheme="minorHAnsi" w:hAnsi="Times New Roman"/>
          <w:i/>
          <w:sz w:val="24"/>
          <w:szCs w:val="24"/>
          <w:lang w:eastAsia="en-US"/>
        </w:rPr>
        <w:t>National Foundation Skills Strategy for Adults</w:t>
      </w:r>
      <w:r w:rsidRPr="00381A22">
        <w:rPr>
          <w:rFonts w:ascii="Times New Roman" w:eastAsiaTheme="minorHAnsi" w:hAnsi="Times New Roman"/>
          <w:sz w:val="24"/>
          <w:szCs w:val="24"/>
          <w:lang w:eastAsia="en-US"/>
        </w:rPr>
        <w:t xml:space="preserve"> (the Strategy), a ten</w:t>
      </w:r>
      <w:r w:rsidR="002E5DBC" w:rsidRPr="00381A22">
        <w:rPr>
          <w:rFonts w:ascii="Times New Roman" w:eastAsiaTheme="minorHAnsi" w:hAnsi="Times New Roman"/>
          <w:sz w:val="24"/>
          <w:szCs w:val="24"/>
          <w:lang w:eastAsia="en-US"/>
        </w:rPr>
        <w:noBreakHyphen/>
      </w:r>
      <w:r w:rsidRPr="00381A22">
        <w:rPr>
          <w:rFonts w:ascii="Times New Roman" w:eastAsiaTheme="minorHAnsi" w:hAnsi="Times New Roman"/>
          <w:sz w:val="24"/>
          <w:szCs w:val="24"/>
          <w:lang w:eastAsia="en-US"/>
        </w:rPr>
        <w:t xml:space="preserve">year framework that brings a national focus to improving education and employment outcomes for working age Australians with low levels of foundation skills: language, literacy, numeracy, and employability skills. </w:t>
      </w:r>
      <w:proofErr w:type="gramStart"/>
      <w:r w:rsidRPr="00381A22">
        <w:rPr>
          <w:rFonts w:ascii="Times New Roman" w:eastAsiaTheme="minorHAnsi" w:hAnsi="Times New Roman"/>
          <w:sz w:val="24"/>
          <w:szCs w:val="24"/>
          <w:lang w:eastAsia="en-US"/>
        </w:rPr>
        <w:t>The Strategy was endorsed by all Australian governments in 2012</w:t>
      </w:r>
      <w:proofErr w:type="gramEnd"/>
      <w:r w:rsidRPr="00381A22">
        <w:rPr>
          <w:rFonts w:ascii="Times New Roman" w:eastAsiaTheme="minorHAnsi" w:hAnsi="Times New Roman"/>
          <w:sz w:val="24"/>
          <w:szCs w:val="24"/>
          <w:lang w:eastAsia="en-US"/>
        </w:rPr>
        <w:t>.</w:t>
      </w:r>
    </w:p>
    <w:p w14:paraId="58D9C992" w14:textId="77777777" w:rsidR="00E63E47" w:rsidRPr="00381A22" w:rsidRDefault="00E63E47" w:rsidP="00E63E47">
      <w:pPr>
        <w:autoSpaceDE w:val="0"/>
        <w:autoSpaceDN w:val="0"/>
        <w:adjustRightInd w:val="0"/>
        <w:rPr>
          <w:rFonts w:ascii="Times New Roman" w:eastAsiaTheme="minorHAnsi" w:hAnsi="Times New Roman"/>
          <w:sz w:val="24"/>
          <w:szCs w:val="24"/>
          <w:lang w:eastAsia="en-US"/>
        </w:rPr>
      </w:pPr>
    </w:p>
    <w:p w14:paraId="3616CF2A" w14:textId="77777777" w:rsidR="00E63E47" w:rsidRPr="00381A22" w:rsidRDefault="00E63E47" w:rsidP="00E63E47">
      <w:pPr>
        <w:autoSpaceDE w:val="0"/>
        <w:autoSpaceDN w:val="0"/>
        <w:adjustRightInd w:val="0"/>
        <w:rPr>
          <w:rFonts w:ascii="Times New Roman" w:hAnsi="Times New Roman"/>
          <w:sz w:val="24"/>
          <w:szCs w:val="24"/>
        </w:rPr>
      </w:pPr>
      <w:r w:rsidRPr="00381A22">
        <w:rPr>
          <w:rFonts w:ascii="Times New Roman" w:hAnsi="Times New Roman"/>
          <w:sz w:val="24"/>
          <w:szCs w:val="24"/>
        </w:rPr>
        <w:t xml:space="preserve">The Hotline </w:t>
      </w:r>
      <w:proofErr w:type="gramStart"/>
      <w:r w:rsidRPr="00381A22">
        <w:rPr>
          <w:rFonts w:ascii="Times New Roman" w:hAnsi="Times New Roman"/>
          <w:sz w:val="24"/>
          <w:szCs w:val="24"/>
        </w:rPr>
        <w:t>was created</w:t>
      </w:r>
      <w:proofErr w:type="gramEnd"/>
      <w:r w:rsidRPr="00381A22">
        <w:rPr>
          <w:rFonts w:ascii="Times New Roman" w:hAnsi="Times New Roman"/>
          <w:sz w:val="24"/>
          <w:szCs w:val="24"/>
        </w:rPr>
        <w:t>, and is managed by the Technical and Further Education Commission New South Wales (trading as TAFE NSW) via a telephone hotline and digital platform. TAFE NSW continues to operate the Hotline.</w:t>
      </w:r>
    </w:p>
    <w:p w14:paraId="45B35F2C" w14:textId="77777777" w:rsidR="002E5DBC" w:rsidRPr="00381A22" w:rsidRDefault="002E5DBC" w:rsidP="00E63E47">
      <w:pPr>
        <w:rPr>
          <w:rFonts w:ascii="Times New Roman" w:hAnsi="Times New Roman"/>
          <w:b/>
          <w:sz w:val="24"/>
          <w:szCs w:val="24"/>
        </w:rPr>
      </w:pPr>
    </w:p>
    <w:p w14:paraId="0755B33C" w14:textId="7C9044FB" w:rsidR="00E63E47" w:rsidRPr="00381A22" w:rsidRDefault="00E63E47" w:rsidP="00E63E47">
      <w:pPr>
        <w:rPr>
          <w:rFonts w:ascii="Times New Roman" w:hAnsi="Times New Roman"/>
          <w:b/>
          <w:sz w:val="24"/>
          <w:szCs w:val="24"/>
        </w:rPr>
      </w:pPr>
      <w:r w:rsidRPr="00381A22">
        <w:rPr>
          <w:rFonts w:ascii="Times New Roman" w:hAnsi="Times New Roman"/>
          <w:b/>
          <w:sz w:val="24"/>
          <w:szCs w:val="24"/>
        </w:rPr>
        <w:t xml:space="preserve">Human rights implications </w:t>
      </w:r>
    </w:p>
    <w:p w14:paraId="7DC9AC5B" w14:textId="77777777" w:rsidR="00E63E47" w:rsidRPr="00381A22" w:rsidRDefault="00E63E47" w:rsidP="00E63E47">
      <w:pPr>
        <w:ind w:right="-46"/>
        <w:rPr>
          <w:rFonts w:ascii="Times New Roman" w:hAnsi="Times New Roman"/>
          <w:sz w:val="24"/>
          <w:szCs w:val="24"/>
        </w:rPr>
      </w:pPr>
    </w:p>
    <w:p w14:paraId="3CE61BAA" w14:textId="2E9CD957" w:rsidR="00E63E47" w:rsidRPr="00381A22" w:rsidRDefault="00E63E47" w:rsidP="00E63E47">
      <w:pPr>
        <w:ind w:right="-46"/>
        <w:rPr>
          <w:rFonts w:ascii="Times New Roman" w:hAnsi="Times New Roman"/>
          <w:sz w:val="24"/>
          <w:szCs w:val="24"/>
        </w:rPr>
      </w:pPr>
      <w:r w:rsidRPr="00381A22">
        <w:rPr>
          <w:rFonts w:ascii="Times New Roman" w:hAnsi="Times New Roman"/>
          <w:sz w:val="24"/>
          <w:szCs w:val="24"/>
        </w:rPr>
        <w:t>Table item</w:t>
      </w:r>
      <w:r w:rsidR="002E5DBC" w:rsidRPr="00381A22">
        <w:rPr>
          <w:rFonts w:ascii="Times New Roman" w:hAnsi="Times New Roman"/>
          <w:sz w:val="24"/>
          <w:szCs w:val="24"/>
        </w:rPr>
        <w:t xml:space="preserve"> 430</w:t>
      </w:r>
      <w:r w:rsidRPr="00381A22">
        <w:rPr>
          <w:rFonts w:ascii="Times New Roman" w:hAnsi="Times New Roman"/>
          <w:sz w:val="24"/>
          <w:szCs w:val="24"/>
        </w:rPr>
        <w:t xml:space="preserve"> engages the following human rights:</w:t>
      </w:r>
    </w:p>
    <w:p w14:paraId="62C0254B" w14:textId="11360166" w:rsidR="00E63E47" w:rsidRPr="00381A22" w:rsidRDefault="00E63E47" w:rsidP="00E63E47">
      <w:pPr>
        <w:pStyle w:val="ListParagraph"/>
        <w:numPr>
          <w:ilvl w:val="0"/>
          <w:numId w:val="26"/>
        </w:numPr>
        <w:ind w:right="-46"/>
        <w:rPr>
          <w:color w:val="auto"/>
        </w:rPr>
      </w:pPr>
      <w:r w:rsidRPr="00381A22">
        <w:rPr>
          <w:rFonts w:cs="Times New Roman"/>
          <w:color w:val="auto"/>
          <w:szCs w:val="24"/>
        </w:rPr>
        <w:t xml:space="preserve">the right to education – Article 13 of the </w:t>
      </w:r>
      <w:r w:rsidRPr="00381A22">
        <w:rPr>
          <w:i/>
          <w:color w:val="auto"/>
          <w:szCs w:val="24"/>
        </w:rPr>
        <w:t>International Covenant on Economic, Social and Cultural Rights</w:t>
      </w:r>
      <w:r w:rsidRPr="00381A22">
        <w:rPr>
          <w:rFonts w:cs="Times New Roman"/>
          <w:color w:val="auto"/>
          <w:szCs w:val="24"/>
        </w:rPr>
        <w:t xml:space="preserve"> (ICESCR), read with Article 2</w:t>
      </w:r>
      <w:r w:rsidR="00AF277A" w:rsidRPr="00381A22">
        <w:rPr>
          <w:rFonts w:cs="Times New Roman"/>
          <w:color w:val="auto"/>
          <w:szCs w:val="24"/>
        </w:rPr>
        <w:t xml:space="preserve"> of the ICESCR</w:t>
      </w:r>
      <w:r w:rsidRPr="00381A22">
        <w:rPr>
          <w:rFonts w:cs="Times New Roman"/>
          <w:color w:val="auto"/>
          <w:szCs w:val="24"/>
        </w:rPr>
        <w:t>; and</w:t>
      </w:r>
    </w:p>
    <w:p w14:paraId="0063949A" w14:textId="77777777" w:rsidR="00E63E47" w:rsidRPr="00381A22" w:rsidRDefault="00E63E47" w:rsidP="00E63E47">
      <w:pPr>
        <w:pStyle w:val="ListParagraph"/>
        <w:numPr>
          <w:ilvl w:val="0"/>
          <w:numId w:val="26"/>
        </w:numPr>
        <w:ind w:right="-46"/>
        <w:rPr>
          <w:i/>
          <w:color w:val="auto"/>
          <w:szCs w:val="24"/>
        </w:rPr>
      </w:pPr>
      <w:proofErr w:type="gramStart"/>
      <w:r w:rsidRPr="00381A22">
        <w:rPr>
          <w:rFonts w:cs="Times New Roman"/>
          <w:color w:val="auto"/>
          <w:szCs w:val="24"/>
        </w:rPr>
        <w:t>the</w:t>
      </w:r>
      <w:proofErr w:type="gramEnd"/>
      <w:r w:rsidRPr="00381A22">
        <w:rPr>
          <w:rFonts w:cs="Times New Roman"/>
          <w:color w:val="auto"/>
          <w:szCs w:val="24"/>
        </w:rPr>
        <w:t xml:space="preserve"> right to work – Article 6 of the ICESCR.</w:t>
      </w:r>
    </w:p>
    <w:p w14:paraId="735A7444" w14:textId="77777777" w:rsidR="00E63E47" w:rsidRPr="00381A22" w:rsidRDefault="00E63E47" w:rsidP="00E63E47">
      <w:pPr>
        <w:rPr>
          <w:rFonts w:ascii="Times New Roman" w:hAnsi="Times New Roman"/>
          <w:i/>
          <w:sz w:val="24"/>
          <w:szCs w:val="24"/>
        </w:rPr>
      </w:pPr>
    </w:p>
    <w:p w14:paraId="702B4C77" w14:textId="77777777" w:rsidR="00E63E47" w:rsidRPr="00381A22" w:rsidRDefault="00E63E47" w:rsidP="00E63E47">
      <w:pPr>
        <w:rPr>
          <w:rFonts w:ascii="Times New Roman" w:hAnsi="Times New Roman"/>
          <w:i/>
          <w:sz w:val="24"/>
          <w:szCs w:val="24"/>
        </w:rPr>
      </w:pPr>
      <w:r w:rsidRPr="00381A22">
        <w:rPr>
          <w:rFonts w:ascii="Times New Roman" w:hAnsi="Times New Roman"/>
          <w:i/>
          <w:sz w:val="24"/>
          <w:szCs w:val="24"/>
        </w:rPr>
        <w:t>Right to education</w:t>
      </w:r>
    </w:p>
    <w:p w14:paraId="48215C9A" w14:textId="77777777" w:rsidR="00E63E47" w:rsidRPr="00381A22" w:rsidRDefault="00E63E47" w:rsidP="00E63E47">
      <w:pPr>
        <w:rPr>
          <w:rFonts w:ascii="Times New Roman" w:hAnsi="Times New Roman"/>
          <w:i/>
          <w:sz w:val="24"/>
          <w:szCs w:val="24"/>
        </w:rPr>
      </w:pPr>
    </w:p>
    <w:p w14:paraId="42EA6506" w14:textId="29A37AF4" w:rsidR="00E63E47" w:rsidRPr="00381A22" w:rsidRDefault="00E63E47" w:rsidP="00E63E47">
      <w:pPr>
        <w:rPr>
          <w:rFonts w:ascii="Times New Roman" w:hAnsi="Times New Roman"/>
          <w:sz w:val="24"/>
          <w:szCs w:val="24"/>
        </w:rPr>
      </w:pPr>
      <w:r w:rsidRPr="00381A22">
        <w:rPr>
          <w:rFonts w:ascii="Times New Roman" w:hAnsi="Times New Roman"/>
          <w:sz w:val="24"/>
          <w:szCs w:val="24"/>
        </w:rPr>
        <w:t>Table item</w:t>
      </w:r>
      <w:r w:rsidR="002E5DBC" w:rsidRPr="00381A22">
        <w:rPr>
          <w:rFonts w:ascii="Times New Roman" w:hAnsi="Times New Roman"/>
          <w:sz w:val="24"/>
          <w:szCs w:val="24"/>
        </w:rPr>
        <w:t xml:space="preserve"> 430</w:t>
      </w:r>
      <w:r w:rsidRPr="00381A22">
        <w:rPr>
          <w:rFonts w:ascii="Times New Roman" w:hAnsi="Times New Roman"/>
          <w:sz w:val="24"/>
          <w:szCs w:val="24"/>
        </w:rPr>
        <w:t xml:space="preserve"> engages the right to education contained in Article 13 of the ICESCR, read with Article 2 of the ICESCR. Article 2 of the ICESCR requires States Parties to take steps </w:t>
      </w:r>
      <w:proofErr w:type="gramStart"/>
      <w:r w:rsidRPr="00381A22">
        <w:rPr>
          <w:rFonts w:ascii="Times New Roman" w:hAnsi="Times New Roman"/>
          <w:sz w:val="24"/>
          <w:szCs w:val="24"/>
        </w:rPr>
        <w:t>to</w:t>
      </w:r>
      <w:r w:rsidR="00AF277A" w:rsidRPr="00381A22">
        <w:rPr>
          <w:rFonts w:ascii="Times New Roman" w:hAnsi="Times New Roman"/>
          <w:sz w:val="24"/>
          <w:szCs w:val="24"/>
        </w:rPr>
        <w:t xml:space="preserve"> </w:t>
      </w:r>
      <w:r w:rsidRPr="00381A22">
        <w:rPr>
          <w:rFonts w:ascii="Times New Roman" w:hAnsi="Times New Roman"/>
          <w:sz w:val="24"/>
          <w:szCs w:val="24"/>
        </w:rPr>
        <w:t>progressively achieve</w:t>
      </w:r>
      <w:proofErr w:type="gramEnd"/>
      <w:r w:rsidRPr="00381A22">
        <w:rPr>
          <w:rFonts w:ascii="Times New Roman" w:hAnsi="Times New Roman"/>
          <w:sz w:val="24"/>
          <w:szCs w:val="24"/>
        </w:rPr>
        <w:t xml:space="preserve"> the full realisation of the rights recognised in the ICESCR by all appropriate means. Article 13 recognises that education </w:t>
      </w:r>
      <w:proofErr w:type="gramStart"/>
      <w:r w:rsidRPr="00381A22">
        <w:rPr>
          <w:rFonts w:ascii="Times New Roman" w:hAnsi="Times New Roman"/>
          <w:sz w:val="24"/>
          <w:szCs w:val="24"/>
        </w:rPr>
        <w:t>shall be directed</w:t>
      </w:r>
      <w:proofErr w:type="gramEnd"/>
      <w:r w:rsidRPr="00381A22">
        <w:rPr>
          <w:rFonts w:ascii="Times New Roman" w:hAnsi="Times New Roman"/>
          <w:sz w:val="24"/>
          <w:szCs w:val="24"/>
        </w:rPr>
        <w:t xml:space="preserve"> to the full development of the human personality and the sense of its dignity, and shall strengthen the respect for human rights and fundamental freedoms. </w:t>
      </w:r>
    </w:p>
    <w:p w14:paraId="3532724B" w14:textId="77777777" w:rsidR="00E63E47" w:rsidRPr="00381A22" w:rsidRDefault="00E63E47" w:rsidP="00E63E47">
      <w:pPr>
        <w:rPr>
          <w:rFonts w:ascii="Times New Roman" w:hAnsi="Times New Roman"/>
          <w:sz w:val="24"/>
          <w:szCs w:val="24"/>
        </w:rPr>
      </w:pPr>
    </w:p>
    <w:p w14:paraId="6B577C4A" w14:textId="77777777" w:rsidR="00E63E47" w:rsidRPr="00381A22" w:rsidRDefault="00E63E47" w:rsidP="00E63E47">
      <w:pPr>
        <w:rPr>
          <w:rFonts w:cstheme="minorHAnsi"/>
        </w:rPr>
      </w:pPr>
      <w:r w:rsidRPr="00381A22">
        <w:rPr>
          <w:rFonts w:ascii="Times New Roman" w:hAnsi="Times New Roman"/>
          <w:sz w:val="24"/>
          <w:szCs w:val="24"/>
        </w:rPr>
        <w:t>In addition, paragraph 13(2)(b) recognises that secondary education, in all its different forms, including technical and vocational secondary education shall be made generally available and accessible to all by every appropriate means and in particular by the progressive introduction of free education.</w:t>
      </w:r>
    </w:p>
    <w:p w14:paraId="164802F2" w14:textId="77777777" w:rsidR="00E63E47" w:rsidRPr="00381A22" w:rsidRDefault="00E63E47" w:rsidP="00E63E47">
      <w:pPr>
        <w:rPr>
          <w:rFonts w:ascii="Times New Roman" w:hAnsi="Times New Roman"/>
          <w:sz w:val="24"/>
          <w:szCs w:val="24"/>
        </w:rPr>
      </w:pPr>
    </w:p>
    <w:p w14:paraId="63A5AC4B" w14:textId="77777777" w:rsidR="00E63E47" w:rsidRPr="00381A22" w:rsidRDefault="00E63E47" w:rsidP="00E63E47">
      <w:pPr>
        <w:pStyle w:val="paranumbering0"/>
        <w:spacing w:before="0" w:beforeAutospacing="0" w:after="120" w:afterAutospacing="0"/>
        <w:contextualSpacing/>
        <w:rPr>
          <w:i/>
        </w:rPr>
      </w:pPr>
      <w:r w:rsidRPr="00381A22">
        <w:rPr>
          <w:i/>
        </w:rPr>
        <w:t>Right to work</w:t>
      </w:r>
    </w:p>
    <w:p w14:paraId="65CFA3CB" w14:textId="77777777" w:rsidR="00E63E47" w:rsidRPr="00381A22" w:rsidRDefault="00E63E47" w:rsidP="00E63E47">
      <w:pPr>
        <w:pStyle w:val="paranumbering0"/>
        <w:spacing w:before="0" w:beforeAutospacing="0" w:after="120" w:afterAutospacing="0"/>
        <w:contextualSpacing/>
        <w:rPr>
          <w:i/>
        </w:rPr>
      </w:pPr>
    </w:p>
    <w:p w14:paraId="69CB87D2" w14:textId="7DA5EBB8" w:rsidR="00E63E47" w:rsidRPr="00381A22" w:rsidRDefault="00E63E47" w:rsidP="00AF277A">
      <w:pPr>
        <w:pStyle w:val="paranumbering0"/>
        <w:spacing w:before="0" w:beforeAutospacing="0" w:after="0" w:afterAutospacing="0"/>
        <w:contextualSpacing/>
        <w:rPr>
          <w:rFonts w:cstheme="minorHAnsi"/>
        </w:rPr>
      </w:pPr>
      <w:r w:rsidRPr="00381A22">
        <w:t>Table item</w:t>
      </w:r>
      <w:r w:rsidR="002E5DBC" w:rsidRPr="00381A22">
        <w:t xml:space="preserve"> 430</w:t>
      </w:r>
      <w:r w:rsidRPr="00381A22">
        <w:t xml:space="preserve"> engages the right to </w:t>
      </w:r>
      <w:r w:rsidRPr="00381A22">
        <w:rPr>
          <w:rFonts w:cstheme="minorHAnsi"/>
        </w:rPr>
        <w:t xml:space="preserve">work contained in Article 6 of the ICESCR. Article 6 recognises that </w:t>
      </w:r>
      <w:proofErr w:type="gramStart"/>
      <w:r w:rsidRPr="00381A22">
        <w:rPr>
          <w:rFonts w:cstheme="minorHAnsi"/>
        </w:rPr>
        <w:t>in order to fully achieve</w:t>
      </w:r>
      <w:proofErr w:type="gramEnd"/>
      <w:r w:rsidRPr="00381A22">
        <w:rPr>
          <w:rFonts w:cstheme="minorHAnsi"/>
        </w:rPr>
        <w:t xml:space="preserve"> the realisation of the right to work, there should be available technical and vocational guidance and training programs, policies and techniques.</w:t>
      </w:r>
    </w:p>
    <w:p w14:paraId="22205AB4" w14:textId="77777777" w:rsidR="00AF277A" w:rsidRPr="00381A22" w:rsidRDefault="00AF277A" w:rsidP="00AF277A">
      <w:pPr>
        <w:pStyle w:val="paranumbering0"/>
        <w:spacing w:before="0" w:beforeAutospacing="0" w:after="0" w:afterAutospacing="0"/>
        <w:contextualSpacing/>
        <w:rPr>
          <w:rFonts w:cstheme="minorHAnsi"/>
        </w:rPr>
      </w:pPr>
    </w:p>
    <w:p w14:paraId="402684C4" w14:textId="77777777" w:rsidR="00E63E47" w:rsidRPr="00381A22" w:rsidRDefault="00E63E47" w:rsidP="00AF277A">
      <w:pPr>
        <w:autoSpaceDE w:val="0"/>
        <w:autoSpaceDN w:val="0"/>
        <w:adjustRightInd w:val="0"/>
        <w:rPr>
          <w:rFonts w:ascii="Times New Roman" w:eastAsiaTheme="minorHAnsi" w:hAnsi="Times New Roman"/>
          <w:sz w:val="24"/>
          <w:szCs w:val="24"/>
          <w:lang w:eastAsia="en-US"/>
        </w:rPr>
      </w:pPr>
      <w:r w:rsidRPr="00381A22">
        <w:rPr>
          <w:rFonts w:ascii="Times New Roman" w:eastAsiaTheme="minorHAnsi" w:hAnsi="Times New Roman"/>
          <w:sz w:val="24"/>
          <w:szCs w:val="24"/>
          <w:lang w:eastAsia="en-US"/>
        </w:rPr>
        <w:t xml:space="preserve">The Hotline provides a national advisory and referral service for people seeking English language, literacy or numeracy assistance. </w:t>
      </w:r>
    </w:p>
    <w:p w14:paraId="20C02840" w14:textId="77777777" w:rsidR="00E63E47" w:rsidRPr="00381A22" w:rsidRDefault="00E63E47" w:rsidP="00AF277A">
      <w:pPr>
        <w:autoSpaceDE w:val="0"/>
        <w:autoSpaceDN w:val="0"/>
        <w:adjustRightInd w:val="0"/>
        <w:rPr>
          <w:rFonts w:ascii="Times New Roman" w:eastAsiaTheme="minorHAnsi" w:hAnsi="Times New Roman"/>
          <w:sz w:val="24"/>
          <w:szCs w:val="24"/>
          <w:lang w:eastAsia="en-US"/>
        </w:rPr>
      </w:pPr>
    </w:p>
    <w:p w14:paraId="06D4D8F3" w14:textId="77777777" w:rsidR="00E63E47" w:rsidRPr="00381A22" w:rsidRDefault="00E63E47" w:rsidP="00AF277A">
      <w:pPr>
        <w:autoSpaceDE w:val="0"/>
        <w:autoSpaceDN w:val="0"/>
        <w:adjustRightInd w:val="0"/>
        <w:rPr>
          <w:rFonts w:ascii="Times New Roman" w:eastAsiaTheme="minorHAnsi" w:hAnsi="Times New Roman"/>
          <w:sz w:val="24"/>
          <w:szCs w:val="24"/>
          <w:lang w:eastAsia="en-US"/>
        </w:rPr>
      </w:pPr>
      <w:r w:rsidRPr="00381A22">
        <w:rPr>
          <w:rFonts w:ascii="Times New Roman" w:eastAsiaTheme="minorHAnsi" w:hAnsi="Times New Roman"/>
          <w:sz w:val="24"/>
          <w:szCs w:val="24"/>
          <w:lang w:eastAsia="en-US"/>
        </w:rPr>
        <w:t>The Hotline promotes both the right to education and the right to work, by linking those who require additional vocational education and training assistance in English language, literacy and numeracy with appropriate training providers, and by promoting resources that assist in English language, literacy and numeracy. These are essential skills for individuals to be able to have access to, and participate in, employment and further education opportunities.</w:t>
      </w:r>
    </w:p>
    <w:p w14:paraId="2E939082" w14:textId="341276EF" w:rsidR="002E5DBC" w:rsidRPr="00381A22" w:rsidRDefault="002E5DBC">
      <w:pPr>
        <w:spacing w:after="200" w:line="276" w:lineRule="auto"/>
        <w:rPr>
          <w:rFonts w:ascii="Times New Roman" w:hAnsi="Times New Roman"/>
          <w:i/>
          <w:sz w:val="24"/>
          <w:szCs w:val="24"/>
        </w:rPr>
      </w:pPr>
      <w:r w:rsidRPr="00381A22">
        <w:rPr>
          <w:rFonts w:ascii="Times New Roman" w:hAnsi="Times New Roman"/>
          <w:i/>
          <w:sz w:val="24"/>
          <w:szCs w:val="24"/>
        </w:rPr>
        <w:br w:type="page"/>
      </w:r>
    </w:p>
    <w:p w14:paraId="6E1BA7D6" w14:textId="77777777" w:rsidR="00E63E47" w:rsidRPr="00381A22" w:rsidRDefault="00E63E47" w:rsidP="00E63E47">
      <w:pPr>
        <w:rPr>
          <w:rFonts w:ascii="Times New Roman" w:hAnsi="Times New Roman"/>
          <w:b/>
          <w:sz w:val="24"/>
          <w:szCs w:val="24"/>
        </w:rPr>
      </w:pPr>
      <w:r w:rsidRPr="00381A22">
        <w:rPr>
          <w:rFonts w:ascii="Times New Roman" w:hAnsi="Times New Roman"/>
          <w:b/>
          <w:sz w:val="24"/>
          <w:szCs w:val="24"/>
        </w:rPr>
        <w:lastRenderedPageBreak/>
        <w:t>Conclusion</w:t>
      </w:r>
    </w:p>
    <w:p w14:paraId="3602AA10" w14:textId="77777777" w:rsidR="00E63E47" w:rsidRPr="00381A22" w:rsidRDefault="00E63E47" w:rsidP="00E63E47">
      <w:pPr>
        <w:rPr>
          <w:rFonts w:ascii="Times New Roman" w:hAnsi="Times New Roman"/>
          <w:i/>
          <w:sz w:val="24"/>
          <w:szCs w:val="24"/>
        </w:rPr>
      </w:pPr>
    </w:p>
    <w:p w14:paraId="2A0E0FFA" w14:textId="27D07BE4" w:rsidR="00E63E47" w:rsidRPr="00381A22" w:rsidRDefault="00E63E47" w:rsidP="003645D7">
      <w:pPr>
        <w:rPr>
          <w:rFonts w:ascii="Times New Roman" w:hAnsi="Times New Roman"/>
          <w:sz w:val="24"/>
          <w:szCs w:val="24"/>
        </w:rPr>
      </w:pPr>
      <w:r w:rsidRPr="00381A22">
        <w:rPr>
          <w:rFonts w:ascii="Times New Roman" w:hAnsi="Times New Roman"/>
          <w:sz w:val="24"/>
          <w:szCs w:val="24"/>
        </w:rPr>
        <w:t>Table item</w:t>
      </w:r>
      <w:r w:rsidR="002E5DBC" w:rsidRPr="00381A22">
        <w:rPr>
          <w:rFonts w:ascii="Times New Roman" w:hAnsi="Times New Roman"/>
          <w:sz w:val="24"/>
          <w:szCs w:val="24"/>
        </w:rPr>
        <w:t xml:space="preserve"> 430</w:t>
      </w:r>
      <w:r w:rsidRPr="00381A22">
        <w:rPr>
          <w:rFonts w:ascii="Times New Roman" w:hAnsi="Times New Roman"/>
          <w:sz w:val="24"/>
          <w:szCs w:val="24"/>
        </w:rPr>
        <w:t xml:space="preserve"> is compatible with human rights because it promotes the right to education as well as the right to work under the ICESCR.</w:t>
      </w:r>
    </w:p>
    <w:p w14:paraId="34D353CE" w14:textId="30A48B33" w:rsidR="00E63E47" w:rsidRPr="00381A22" w:rsidRDefault="00E63E47" w:rsidP="003645D7">
      <w:pPr>
        <w:rPr>
          <w:rFonts w:ascii="Times New Roman" w:hAnsi="Times New Roman"/>
          <w:sz w:val="24"/>
          <w:szCs w:val="24"/>
        </w:rPr>
      </w:pPr>
    </w:p>
    <w:p w14:paraId="591C245B" w14:textId="5E99A5AF" w:rsidR="00E63E47" w:rsidRPr="00381A22" w:rsidRDefault="00E63E47" w:rsidP="00E63E47">
      <w:pPr>
        <w:rPr>
          <w:rFonts w:ascii="Times New Roman" w:hAnsi="Times New Roman"/>
          <w:i/>
          <w:sz w:val="24"/>
          <w:szCs w:val="24"/>
          <w:u w:val="single"/>
        </w:rPr>
      </w:pPr>
      <w:r w:rsidRPr="00381A22">
        <w:rPr>
          <w:rFonts w:ascii="Times New Roman" w:hAnsi="Times New Roman"/>
          <w:i/>
          <w:sz w:val="24"/>
          <w:szCs w:val="24"/>
          <w:u w:val="single"/>
        </w:rPr>
        <w:t>Table item</w:t>
      </w:r>
      <w:r w:rsidR="002E5DBC" w:rsidRPr="00381A22">
        <w:rPr>
          <w:rFonts w:ascii="Times New Roman" w:hAnsi="Times New Roman"/>
          <w:i/>
          <w:sz w:val="24"/>
          <w:szCs w:val="24"/>
          <w:u w:val="single"/>
        </w:rPr>
        <w:t xml:space="preserve"> 431</w:t>
      </w:r>
      <w:r w:rsidRPr="00381A22">
        <w:rPr>
          <w:rFonts w:ascii="Times New Roman" w:hAnsi="Times New Roman"/>
          <w:i/>
          <w:sz w:val="24"/>
          <w:szCs w:val="24"/>
          <w:u w:val="single"/>
        </w:rPr>
        <w:t xml:space="preserve"> – Adult Learners’ Week</w:t>
      </w:r>
    </w:p>
    <w:p w14:paraId="27AB8A4E" w14:textId="77777777" w:rsidR="00E63E47" w:rsidRPr="00381A22" w:rsidRDefault="00E63E47" w:rsidP="00E63E47">
      <w:pPr>
        <w:rPr>
          <w:rFonts w:ascii="Times New Roman" w:hAnsi="Times New Roman"/>
          <w:i/>
          <w:sz w:val="24"/>
          <w:szCs w:val="24"/>
          <w:u w:val="single"/>
        </w:rPr>
      </w:pPr>
    </w:p>
    <w:p w14:paraId="7AE5A49B" w14:textId="437B841F" w:rsidR="00E63E47" w:rsidRPr="00381A22" w:rsidRDefault="00E63E47" w:rsidP="00E63E47">
      <w:pPr>
        <w:rPr>
          <w:rFonts w:ascii="Times New Roman" w:hAnsi="Times New Roman"/>
          <w:sz w:val="24"/>
          <w:szCs w:val="24"/>
        </w:rPr>
      </w:pPr>
      <w:r w:rsidRPr="00381A22">
        <w:rPr>
          <w:rFonts w:ascii="Times New Roman" w:hAnsi="Times New Roman"/>
          <w:sz w:val="24"/>
          <w:szCs w:val="24"/>
        </w:rPr>
        <w:t>Table item</w:t>
      </w:r>
      <w:r w:rsidR="002E5DBC" w:rsidRPr="00381A22">
        <w:rPr>
          <w:rFonts w:ascii="Times New Roman" w:hAnsi="Times New Roman"/>
          <w:sz w:val="24"/>
          <w:szCs w:val="24"/>
        </w:rPr>
        <w:t xml:space="preserve"> 431 </w:t>
      </w:r>
      <w:r w:rsidRPr="00381A22">
        <w:rPr>
          <w:rFonts w:ascii="Times New Roman" w:hAnsi="Times New Roman"/>
          <w:sz w:val="24"/>
          <w:szCs w:val="24"/>
        </w:rPr>
        <w:t xml:space="preserve">establishes legislative authority for government spending to support the delivery of Adult Learners’ Week, which </w:t>
      </w:r>
      <w:r w:rsidRPr="00381A22">
        <w:rPr>
          <w:rFonts w:ascii="Times New Roman" w:eastAsia="Times New Roman" w:hAnsi="Times New Roman"/>
          <w:sz w:val="24"/>
          <w:szCs w:val="24"/>
        </w:rPr>
        <w:t xml:space="preserve">raises awareness of adult education and promotes </w:t>
      </w:r>
      <w:r w:rsidRPr="00381A22">
        <w:rPr>
          <w:rFonts w:ascii="Times New Roman" w:hAnsi="Times New Roman"/>
          <w:sz w:val="24"/>
          <w:szCs w:val="24"/>
        </w:rPr>
        <w:t>participation by adults in further learning.</w:t>
      </w:r>
    </w:p>
    <w:p w14:paraId="0D24D707" w14:textId="77777777" w:rsidR="00AF277A" w:rsidRPr="00381A22" w:rsidRDefault="00AF277A" w:rsidP="00E63E47">
      <w:pPr>
        <w:rPr>
          <w:rFonts w:ascii="Times New Roman" w:hAnsi="Times New Roman"/>
          <w:sz w:val="24"/>
          <w:szCs w:val="24"/>
        </w:rPr>
      </w:pPr>
    </w:p>
    <w:p w14:paraId="56E8B915" w14:textId="7EC7E96E" w:rsidR="00E63E47" w:rsidRPr="00381A22" w:rsidRDefault="00E63E47" w:rsidP="00E63E47">
      <w:pPr>
        <w:rPr>
          <w:rFonts w:ascii="Times New Roman" w:hAnsi="Times New Roman"/>
          <w:sz w:val="24"/>
          <w:szCs w:val="24"/>
        </w:rPr>
      </w:pPr>
      <w:r w:rsidRPr="00381A22">
        <w:rPr>
          <w:rFonts w:ascii="Times New Roman" w:hAnsi="Times New Roman"/>
          <w:sz w:val="24"/>
          <w:szCs w:val="24"/>
        </w:rPr>
        <w:t xml:space="preserve">Adult Learners’ Week is a long-running international event held in September each year. It </w:t>
      </w:r>
      <w:proofErr w:type="gramStart"/>
      <w:r w:rsidRPr="00381A22">
        <w:rPr>
          <w:rFonts w:ascii="Times New Roman" w:hAnsi="Times New Roman"/>
          <w:sz w:val="24"/>
          <w:szCs w:val="24"/>
        </w:rPr>
        <w:t xml:space="preserve">was first </w:t>
      </w:r>
      <w:r w:rsidR="00AF277A" w:rsidRPr="00381A22">
        <w:rPr>
          <w:rFonts w:ascii="Times New Roman" w:hAnsi="Times New Roman"/>
          <w:sz w:val="24"/>
          <w:szCs w:val="24"/>
        </w:rPr>
        <w:t>held</w:t>
      </w:r>
      <w:r w:rsidRPr="00381A22">
        <w:rPr>
          <w:rFonts w:ascii="Times New Roman" w:hAnsi="Times New Roman"/>
          <w:sz w:val="24"/>
          <w:szCs w:val="24"/>
        </w:rPr>
        <w:t xml:space="preserve"> in the United Kingdom in 1992, then included in the Hamburg Declaration on Adult Learning in 1997 of which Australia is a signatory</w:t>
      </w:r>
      <w:proofErr w:type="gramEnd"/>
      <w:r w:rsidRPr="00381A22">
        <w:rPr>
          <w:rFonts w:ascii="Times New Roman" w:hAnsi="Times New Roman"/>
          <w:sz w:val="24"/>
          <w:szCs w:val="24"/>
        </w:rPr>
        <w:t>.</w:t>
      </w:r>
    </w:p>
    <w:p w14:paraId="39112E53" w14:textId="77777777" w:rsidR="00E63E47" w:rsidRPr="00381A22" w:rsidRDefault="00E63E47" w:rsidP="00E63E47">
      <w:pPr>
        <w:rPr>
          <w:rFonts w:ascii="Times New Roman" w:hAnsi="Times New Roman"/>
          <w:sz w:val="24"/>
          <w:szCs w:val="24"/>
        </w:rPr>
      </w:pPr>
    </w:p>
    <w:p w14:paraId="632AFBDE" w14:textId="77777777" w:rsidR="00E63E47" w:rsidRPr="00381A22" w:rsidRDefault="00E63E47" w:rsidP="00E63E47">
      <w:pPr>
        <w:rPr>
          <w:rFonts w:ascii="Times New Roman" w:eastAsia="Times New Roman" w:hAnsi="Times New Roman"/>
          <w:sz w:val="24"/>
          <w:szCs w:val="24"/>
        </w:rPr>
      </w:pPr>
      <w:r w:rsidRPr="00381A22">
        <w:rPr>
          <w:rFonts w:ascii="Times New Roman" w:hAnsi="Times New Roman"/>
          <w:sz w:val="24"/>
          <w:szCs w:val="24"/>
        </w:rPr>
        <w:t>Adult Learners’ Week consists of activities that raise awareness of adult education and promotes participation by adults in further learning.</w:t>
      </w:r>
      <w:r w:rsidRPr="00381A22">
        <w:rPr>
          <w:rFonts w:ascii="Times New Roman" w:hAnsi="Times New Roman"/>
          <w:sz w:val="24"/>
          <w:szCs w:val="24"/>
          <w:lang w:val="en-GB"/>
        </w:rPr>
        <w:t xml:space="preserve"> </w:t>
      </w:r>
      <w:r w:rsidRPr="00381A22">
        <w:rPr>
          <w:rFonts w:ascii="Times New Roman" w:eastAsia="Times New Roman" w:hAnsi="Times New Roman"/>
          <w:sz w:val="24"/>
          <w:szCs w:val="24"/>
        </w:rPr>
        <w:t>Adult Learners’ Week includes events and activities designed to promote the benefits of adult learning and highlight the many options available for such learning in the home, at work and in the community.</w:t>
      </w:r>
    </w:p>
    <w:p w14:paraId="030D6C10" w14:textId="77777777" w:rsidR="00E63E47" w:rsidRPr="00381A22" w:rsidRDefault="00E63E47" w:rsidP="00E63E47">
      <w:pPr>
        <w:rPr>
          <w:rFonts w:ascii="Times New Roman" w:hAnsi="Times New Roman"/>
          <w:sz w:val="24"/>
          <w:szCs w:val="24"/>
        </w:rPr>
      </w:pPr>
    </w:p>
    <w:p w14:paraId="34F75151" w14:textId="77777777" w:rsidR="00E63E47" w:rsidRPr="00381A22" w:rsidRDefault="00E63E47" w:rsidP="00E63E47">
      <w:pPr>
        <w:rPr>
          <w:rFonts w:ascii="Times New Roman" w:hAnsi="Times New Roman"/>
          <w:sz w:val="24"/>
          <w:szCs w:val="24"/>
          <w:lang w:val="en-GB"/>
        </w:rPr>
      </w:pPr>
      <w:r w:rsidRPr="00381A22">
        <w:rPr>
          <w:rFonts w:ascii="Times New Roman" w:hAnsi="Times New Roman"/>
          <w:sz w:val="24"/>
          <w:szCs w:val="24"/>
          <w:lang w:val="en-GB"/>
        </w:rPr>
        <w:t>Adult Learners’ Week is organised and conducted by Adult Learning Australia Ltd, the peak national body for adult and community education in Australia, which has been involved in managing and organising Adult Learners’ Week since 1995.</w:t>
      </w:r>
    </w:p>
    <w:p w14:paraId="0EF7706A" w14:textId="77777777" w:rsidR="00E63E47" w:rsidRPr="00381A22" w:rsidRDefault="00E63E47" w:rsidP="00E63E47">
      <w:pPr>
        <w:rPr>
          <w:rFonts w:ascii="Times New Roman" w:hAnsi="Times New Roman"/>
          <w:sz w:val="24"/>
          <w:szCs w:val="24"/>
          <w:lang w:val="en-GB"/>
        </w:rPr>
      </w:pPr>
    </w:p>
    <w:p w14:paraId="45A050C6" w14:textId="77777777" w:rsidR="00E63E47" w:rsidRPr="00381A22" w:rsidRDefault="00E63E47" w:rsidP="00E63E47">
      <w:pPr>
        <w:rPr>
          <w:rFonts w:ascii="Times New Roman" w:hAnsi="Times New Roman"/>
          <w:sz w:val="24"/>
          <w:szCs w:val="24"/>
        </w:rPr>
      </w:pPr>
      <w:r w:rsidRPr="00381A22">
        <w:rPr>
          <w:rFonts w:ascii="Times New Roman" w:hAnsi="Times New Roman"/>
          <w:sz w:val="24"/>
          <w:szCs w:val="24"/>
        </w:rPr>
        <w:t xml:space="preserve">The objective of Adult Learners’ Week is to promote lifelong learning, which can support improved workforce participation and productivity for adults through increased participation in education and training. Funding </w:t>
      </w:r>
      <w:proofErr w:type="gramStart"/>
      <w:r w:rsidRPr="00381A22">
        <w:rPr>
          <w:rFonts w:ascii="Times New Roman" w:hAnsi="Times New Roman"/>
          <w:sz w:val="24"/>
          <w:szCs w:val="24"/>
        </w:rPr>
        <w:t>is provided</w:t>
      </w:r>
      <w:proofErr w:type="gramEnd"/>
      <w:r w:rsidRPr="00381A22">
        <w:rPr>
          <w:rFonts w:ascii="Times New Roman" w:hAnsi="Times New Roman"/>
          <w:sz w:val="24"/>
          <w:szCs w:val="24"/>
        </w:rPr>
        <w:t xml:space="preserve"> to Adult Learning Australia Ltd to organise and manage a national promotional campaign, as well as an official launch for Adult Learners’ Week. </w:t>
      </w:r>
    </w:p>
    <w:p w14:paraId="6E96338C" w14:textId="77777777" w:rsidR="002E5DBC" w:rsidRPr="00381A22" w:rsidRDefault="002E5DBC" w:rsidP="00E63E47">
      <w:pPr>
        <w:rPr>
          <w:rFonts w:ascii="Times New Roman" w:hAnsi="Times New Roman"/>
          <w:b/>
          <w:sz w:val="24"/>
          <w:szCs w:val="24"/>
        </w:rPr>
      </w:pPr>
    </w:p>
    <w:p w14:paraId="7EF61BFC" w14:textId="4EDC2577" w:rsidR="00E63E47" w:rsidRPr="00381A22" w:rsidRDefault="00E63E47" w:rsidP="00E63E47">
      <w:pPr>
        <w:rPr>
          <w:rFonts w:ascii="Times New Roman" w:hAnsi="Times New Roman"/>
          <w:b/>
          <w:sz w:val="24"/>
          <w:szCs w:val="24"/>
        </w:rPr>
      </w:pPr>
      <w:r w:rsidRPr="00381A22">
        <w:rPr>
          <w:rFonts w:ascii="Times New Roman" w:hAnsi="Times New Roman"/>
          <w:b/>
          <w:sz w:val="24"/>
          <w:szCs w:val="24"/>
        </w:rPr>
        <w:t xml:space="preserve">Human rights implications </w:t>
      </w:r>
    </w:p>
    <w:p w14:paraId="429C96B8" w14:textId="77777777" w:rsidR="00E63E47" w:rsidRPr="00381A22" w:rsidRDefault="00E63E47" w:rsidP="00E63E47">
      <w:pPr>
        <w:ind w:right="-46"/>
        <w:rPr>
          <w:rFonts w:ascii="Times New Roman" w:hAnsi="Times New Roman"/>
          <w:sz w:val="24"/>
          <w:szCs w:val="24"/>
        </w:rPr>
      </w:pPr>
    </w:p>
    <w:p w14:paraId="0C4EFA92" w14:textId="3D2112F4" w:rsidR="00E63E47" w:rsidRPr="00381A22" w:rsidRDefault="00E63E47" w:rsidP="00E63E47">
      <w:pPr>
        <w:ind w:right="-46"/>
        <w:rPr>
          <w:rFonts w:ascii="Times New Roman" w:hAnsi="Times New Roman"/>
          <w:sz w:val="24"/>
          <w:szCs w:val="24"/>
        </w:rPr>
      </w:pPr>
      <w:r w:rsidRPr="00381A22">
        <w:rPr>
          <w:rFonts w:ascii="Times New Roman" w:hAnsi="Times New Roman"/>
          <w:sz w:val="24"/>
          <w:szCs w:val="24"/>
        </w:rPr>
        <w:t>Table item</w:t>
      </w:r>
      <w:r w:rsidR="002E5DBC" w:rsidRPr="00381A22">
        <w:rPr>
          <w:rFonts w:ascii="Times New Roman" w:hAnsi="Times New Roman"/>
          <w:sz w:val="24"/>
          <w:szCs w:val="24"/>
        </w:rPr>
        <w:t xml:space="preserve"> 431</w:t>
      </w:r>
      <w:r w:rsidRPr="00381A22">
        <w:rPr>
          <w:rFonts w:ascii="Times New Roman" w:hAnsi="Times New Roman"/>
          <w:sz w:val="24"/>
          <w:szCs w:val="24"/>
        </w:rPr>
        <w:t xml:space="preserve"> engages the following human rights:</w:t>
      </w:r>
    </w:p>
    <w:p w14:paraId="4CEF71D4" w14:textId="560F9E42" w:rsidR="00E63E47" w:rsidRPr="00381A22" w:rsidRDefault="00E63E47" w:rsidP="00E63E47">
      <w:pPr>
        <w:pStyle w:val="ListParagraph"/>
        <w:numPr>
          <w:ilvl w:val="0"/>
          <w:numId w:val="26"/>
        </w:numPr>
        <w:ind w:right="-46"/>
        <w:rPr>
          <w:color w:val="auto"/>
        </w:rPr>
      </w:pPr>
      <w:r w:rsidRPr="00381A22">
        <w:rPr>
          <w:rFonts w:cs="Times New Roman"/>
          <w:color w:val="auto"/>
          <w:szCs w:val="24"/>
        </w:rPr>
        <w:t xml:space="preserve">the right to education – Article 13 of the </w:t>
      </w:r>
      <w:r w:rsidRPr="00381A22">
        <w:rPr>
          <w:i/>
          <w:color w:val="auto"/>
          <w:szCs w:val="24"/>
        </w:rPr>
        <w:t>International Covenant on Economic, Social and Cultural Rights</w:t>
      </w:r>
      <w:r w:rsidRPr="00381A22">
        <w:rPr>
          <w:rFonts w:cs="Times New Roman"/>
          <w:color w:val="auto"/>
          <w:szCs w:val="24"/>
        </w:rPr>
        <w:t xml:space="preserve"> (ICESCR), read with Article 2</w:t>
      </w:r>
      <w:r w:rsidR="00AF277A" w:rsidRPr="00381A22">
        <w:rPr>
          <w:rFonts w:cs="Times New Roman"/>
          <w:color w:val="auto"/>
          <w:szCs w:val="24"/>
        </w:rPr>
        <w:t xml:space="preserve"> of the ICESCR</w:t>
      </w:r>
      <w:r w:rsidRPr="00381A22">
        <w:rPr>
          <w:rFonts w:cs="Times New Roman"/>
          <w:color w:val="auto"/>
          <w:szCs w:val="24"/>
        </w:rPr>
        <w:t>; and</w:t>
      </w:r>
    </w:p>
    <w:p w14:paraId="18EEB419" w14:textId="77777777" w:rsidR="00E63E47" w:rsidRPr="00381A22" w:rsidRDefault="00E63E47" w:rsidP="00E63E47">
      <w:pPr>
        <w:pStyle w:val="ListParagraph"/>
        <w:numPr>
          <w:ilvl w:val="0"/>
          <w:numId w:val="26"/>
        </w:numPr>
        <w:ind w:right="-46"/>
        <w:rPr>
          <w:i/>
          <w:color w:val="auto"/>
          <w:szCs w:val="24"/>
        </w:rPr>
      </w:pPr>
      <w:proofErr w:type="gramStart"/>
      <w:r w:rsidRPr="00381A22">
        <w:rPr>
          <w:rFonts w:cs="Times New Roman"/>
          <w:color w:val="auto"/>
          <w:szCs w:val="24"/>
        </w:rPr>
        <w:t>the</w:t>
      </w:r>
      <w:proofErr w:type="gramEnd"/>
      <w:r w:rsidRPr="00381A22">
        <w:rPr>
          <w:rFonts w:cs="Times New Roman"/>
          <w:color w:val="auto"/>
          <w:szCs w:val="24"/>
        </w:rPr>
        <w:t xml:space="preserve"> right to work – Article 6 of the ICESCR.</w:t>
      </w:r>
    </w:p>
    <w:p w14:paraId="187FF402" w14:textId="77777777" w:rsidR="00E63E47" w:rsidRPr="00381A22" w:rsidRDefault="00E63E47" w:rsidP="00E63E47">
      <w:pPr>
        <w:ind w:right="-46"/>
        <w:rPr>
          <w:i/>
          <w:szCs w:val="24"/>
        </w:rPr>
      </w:pPr>
      <w:r w:rsidRPr="00381A22">
        <w:rPr>
          <w:i/>
          <w:szCs w:val="24"/>
        </w:rPr>
        <w:t xml:space="preserve"> </w:t>
      </w:r>
    </w:p>
    <w:p w14:paraId="4C50443B" w14:textId="77777777" w:rsidR="00E63E47" w:rsidRPr="00381A22" w:rsidRDefault="00E63E47" w:rsidP="00E63E47">
      <w:pPr>
        <w:rPr>
          <w:rFonts w:ascii="Times New Roman" w:hAnsi="Times New Roman"/>
          <w:i/>
          <w:sz w:val="24"/>
          <w:szCs w:val="24"/>
        </w:rPr>
      </w:pPr>
      <w:r w:rsidRPr="00381A22">
        <w:rPr>
          <w:rFonts w:ascii="Times New Roman" w:hAnsi="Times New Roman"/>
          <w:i/>
          <w:sz w:val="24"/>
          <w:szCs w:val="24"/>
        </w:rPr>
        <w:t>Right to education</w:t>
      </w:r>
    </w:p>
    <w:p w14:paraId="3E566233" w14:textId="77777777" w:rsidR="00E63E47" w:rsidRPr="00381A22" w:rsidRDefault="00E63E47" w:rsidP="00E63E47">
      <w:pPr>
        <w:rPr>
          <w:rFonts w:ascii="Times New Roman" w:hAnsi="Times New Roman"/>
          <w:i/>
          <w:sz w:val="24"/>
          <w:szCs w:val="24"/>
        </w:rPr>
      </w:pPr>
    </w:p>
    <w:p w14:paraId="13022568" w14:textId="55417A17" w:rsidR="00E63E47" w:rsidRPr="00381A22" w:rsidRDefault="00E63E47" w:rsidP="00E63E47">
      <w:pPr>
        <w:rPr>
          <w:rFonts w:ascii="Times New Roman" w:hAnsi="Times New Roman"/>
          <w:sz w:val="24"/>
          <w:szCs w:val="24"/>
        </w:rPr>
      </w:pPr>
      <w:r w:rsidRPr="00381A22">
        <w:rPr>
          <w:rFonts w:ascii="Times New Roman" w:hAnsi="Times New Roman"/>
          <w:sz w:val="24"/>
          <w:szCs w:val="24"/>
        </w:rPr>
        <w:t>Table item</w:t>
      </w:r>
      <w:r w:rsidR="002E5DBC" w:rsidRPr="00381A22">
        <w:rPr>
          <w:rFonts w:ascii="Times New Roman" w:hAnsi="Times New Roman"/>
          <w:sz w:val="24"/>
          <w:szCs w:val="24"/>
        </w:rPr>
        <w:t xml:space="preserve"> 431</w:t>
      </w:r>
      <w:r w:rsidRPr="00381A22">
        <w:rPr>
          <w:rFonts w:ascii="Times New Roman" w:hAnsi="Times New Roman"/>
          <w:sz w:val="24"/>
          <w:szCs w:val="24"/>
        </w:rPr>
        <w:t xml:space="preserve"> engages the right to education contained in Article 13 of the ICESCR, read with Article 2 of the ICESCR. Article 2 of the ICESCR requires States Parties to take steps </w:t>
      </w:r>
      <w:proofErr w:type="gramStart"/>
      <w:r w:rsidRPr="00381A22">
        <w:rPr>
          <w:rFonts w:ascii="Times New Roman" w:hAnsi="Times New Roman"/>
          <w:sz w:val="24"/>
          <w:szCs w:val="24"/>
        </w:rPr>
        <w:t>to progressively achieve</w:t>
      </w:r>
      <w:proofErr w:type="gramEnd"/>
      <w:r w:rsidRPr="00381A22">
        <w:rPr>
          <w:rFonts w:ascii="Times New Roman" w:hAnsi="Times New Roman"/>
          <w:sz w:val="24"/>
          <w:szCs w:val="24"/>
        </w:rPr>
        <w:t xml:space="preserve"> the full realisation of the rights recognised in the ICESCR by all appropriate means. Article 13 recognises that education </w:t>
      </w:r>
      <w:proofErr w:type="gramStart"/>
      <w:r w:rsidRPr="00381A22">
        <w:rPr>
          <w:rFonts w:ascii="Times New Roman" w:hAnsi="Times New Roman"/>
          <w:sz w:val="24"/>
          <w:szCs w:val="24"/>
        </w:rPr>
        <w:t>shall be directed</w:t>
      </w:r>
      <w:proofErr w:type="gramEnd"/>
      <w:r w:rsidRPr="00381A22">
        <w:rPr>
          <w:rFonts w:ascii="Times New Roman" w:hAnsi="Times New Roman"/>
          <w:sz w:val="24"/>
          <w:szCs w:val="24"/>
        </w:rPr>
        <w:t xml:space="preserve"> to the full development of the human personality and the sense of its dignity, and shall strengthen the respect for human rights and fundamental freedoms. </w:t>
      </w:r>
    </w:p>
    <w:p w14:paraId="5461C951" w14:textId="77777777" w:rsidR="00E63E47" w:rsidRPr="00381A22" w:rsidRDefault="00E63E47" w:rsidP="00E63E47">
      <w:pPr>
        <w:rPr>
          <w:rFonts w:ascii="Times New Roman" w:hAnsi="Times New Roman"/>
          <w:sz w:val="24"/>
          <w:szCs w:val="24"/>
        </w:rPr>
      </w:pPr>
    </w:p>
    <w:p w14:paraId="46750DA7" w14:textId="77777777" w:rsidR="00E63E47" w:rsidRPr="00381A22" w:rsidRDefault="00E63E47" w:rsidP="00E63E47">
      <w:pPr>
        <w:rPr>
          <w:rFonts w:cstheme="minorHAnsi"/>
        </w:rPr>
      </w:pPr>
      <w:r w:rsidRPr="00381A22">
        <w:rPr>
          <w:rFonts w:ascii="Times New Roman" w:hAnsi="Times New Roman"/>
          <w:sz w:val="24"/>
          <w:szCs w:val="24"/>
        </w:rPr>
        <w:t>In addition, paragraph 13(2)(b) recognises that secondary education, in all its different forms, including technical and vocational secondary education shall be made generally available and accessible to all by every appropriate means and in particular by the progressive introduction of free education.</w:t>
      </w:r>
    </w:p>
    <w:p w14:paraId="1399A8B8" w14:textId="77777777" w:rsidR="00E63E47" w:rsidRPr="00381A22" w:rsidRDefault="00E63E47" w:rsidP="00E63E47">
      <w:pPr>
        <w:rPr>
          <w:rFonts w:ascii="Times New Roman" w:hAnsi="Times New Roman"/>
          <w:sz w:val="24"/>
          <w:szCs w:val="24"/>
        </w:rPr>
      </w:pPr>
    </w:p>
    <w:p w14:paraId="08EA67A6" w14:textId="77777777" w:rsidR="00E63E47" w:rsidRPr="00381A22" w:rsidRDefault="00E63E47" w:rsidP="00E63E47">
      <w:pPr>
        <w:pStyle w:val="paranumbering0"/>
        <w:spacing w:before="0" w:beforeAutospacing="0" w:after="120" w:afterAutospacing="0"/>
        <w:contextualSpacing/>
        <w:rPr>
          <w:i/>
        </w:rPr>
      </w:pPr>
      <w:r w:rsidRPr="00381A22">
        <w:rPr>
          <w:i/>
        </w:rPr>
        <w:t>Right to work</w:t>
      </w:r>
    </w:p>
    <w:p w14:paraId="239705C0" w14:textId="77777777" w:rsidR="00E63E47" w:rsidRPr="00381A22" w:rsidRDefault="00E63E47" w:rsidP="00E63E47">
      <w:pPr>
        <w:pStyle w:val="paranumbering0"/>
        <w:spacing w:before="0" w:beforeAutospacing="0" w:after="120" w:afterAutospacing="0"/>
        <w:contextualSpacing/>
        <w:rPr>
          <w:i/>
        </w:rPr>
      </w:pPr>
    </w:p>
    <w:p w14:paraId="73C4644C" w14:textId="4FA99216" w:rsidR="00E63E47" w:rsidRPr="00381A22" w:rsidRDefault="00E63E47" w:rsidP="00E63E47">
      <w:pPr>
        <w:pStyle w:val="paranumbering0"/>
        <w:spacing w:before="0" w:beforeAutospacing="0" w:after="120" w:afterAutospacing="0"/>
        <w:contextualSpacing/>
        <w:rPr>
          <w:rFonts w:cstheme="minorHAnsi"/>
        </w:rPr>
      </w:pPr>
      <w:r w:rsidRPr="00381A22">
        <w:t>Table item</w:t>
      </w:r>
      <w:r w:rsidR="002E5DBC" w:rsidRPr="00381A22">
        <w:t xml:space="preserve"> 431</w:t>
      </w:r>
      <w:r w:rsidRPr="00381A22">
        <w:t xml:space="preserve"> engages the right to </w:t>
      </w:r>
      <w:r w:rsidRPr="00381A22">
        <w:rPr>
          <w:rFonts w:cstheme="minorHAnsi"/>
        </w:rPr>
        <w:t xml:space="preserve">work contained in Article 6 of the ICESCR. Article 6 recognises that </w:t>
      </w:r>
      <w:proofErr w:type="gramStart"/>
      <w:r w:rsidRPr="00381A22">
        <w:rPr>
          <w:rFonts w:cstheme="minorHAnsi"/>
        </w:rPr>
        <w:t>in order to fully achieve</w:t>
      </w:r>
      <w:proofErr w:type="gramEnd"/>
      <w:r w:rsidRPr="00381A22">
        <w:rPr>
          <w:rFonts w:cstheme="minorHAnsi"/>
        </w:rPr>
        <w:t xml:space="preserve"> the realisation of the right to work, there should be available technical and vocational guidance and training programs, policies and techniques.</w:t>
      </w:r>
    </w:p>
    <w:p w14:paraId="5048B7BC" w14:textId="77777777" w:rsidR="00E63E47" w:rsidRPr="00381A22" w:rsidRDefault="00E63E47" w:rsidP="00E63E47">
      <w:pPr>
        <w:rPr>
          <w:rFonts w:ascii="Times New Roman" w:eastAsia="Times New Roman" w:hAnsi="Times New Roman"/>
          <w:sz w:val="24"/>
          <w:szCs w:val="24"/>
        </w:rPr>
      </w:pPr>
      <w:r w:rsidRPr="00381A22">
        <w:rPr>
          <w:rFonts w:ascii="Times New Roman" w:hAnsi="Times New Roman"/>
          <w:sz w:val="24"/>
          <w:szCs w:val="24"/>
        </w:rPr>
        <w:t>Adult Learners’ Week consists of activities that raise awareness of adult education and promotes participation by adults in further learning.</w:t>
      </w:r>
      <w:r w:rsidRPr="00381A22">
        <w:rPr>
          <w:rFonts w:ascii="Times New Roman" w:hAnsi="Times New Roman"/>
          <w:sz w:val="24"/>
          <w:szCs w:val="24"/>
          <w:lang w:val="en-GB"/>
        </w:rPr>
        <w:t xml:space="preserve"> </w:t>
      </w:r>
      <w:r w:rsidRPr="00381A22">
        <w:rPr>
          <w:rFonts w:ascii="Times New Roman" w:eastAsia="Times New Roman" w:hAnsi="Times New Roman"/>
          <w:sz w:val="24"/>
          <w:szCs w:val="24"/>
        </w:rPr>
        <w:t>Adult Learners’ Week includes events and activities designed to promote the benefits of adult learning and highlight the many options available for such learning in the home, at work and in the community.</w:t>
      </w:r>
    </w:p>
    <w:p w14:paraId="10BD9884" w14:textId="77777777" w:rsidR="00E63E47" w:rsidRPr="00381A22" w:rsidRDefault="00E63E47" w:rsidP="00E63E47">
      <w:pPr>
        <w:pStyle w:val="BodyText"/>
        <w:spacing w:before="0" w:after="0" w:line="240" w:lineRule="auto"/>
        <w:rPr>
          <w:rFonts w:ascii="Times New Roman" w:hAnsi="Times New Roman"/>
          <w:color w:val="auto"/>
          <w:sz w:val="24"/>
          <w:szCs w:val="24"/>
        </w:rPr>
      </w:pPr>
    </w:p>
    <w:p w14:paraId="5490C509" w14:textId="77777777" w:rsidR="00E63E47" w:rsidRPr="00381A22" w:rsidRDefault="00E63E47" w:rsidP="00E63E47">
      <w:pPr>
        <w:pStyle w:val="BodyText"/>
        <w:spacing w:before="0" w:after="0" w:line="240" w:lineRule="auto"/>
        <w:rPr>
          <w:rFonts w:ascii="Times New Roman" w:hAnsi="Times New Roman"/>
          <w:color w:val="auto"/>
          <w:sz w:val="24"/>
          <w:szCs w:val="24"/>
        </w:rPr>
      </w:pPr>
      <w:r w:rsidRPr="00381A22">
        <w:rPr>
          <w:rFonts w:ascii="Times New Roman" w:hAnsi="Times New Roman"/>
          <w:color w:val="auto"/>
          <w:sz w:val="24"/>
          <w:szCs w:val="24"/>
        </w:rPr>
        <w:t>Adult Learners’ Week promotes both the right to education and the right to work, by promoting and raising awareness of the importance and value of further learning. Adult Learners’ Week promotes increased participation in education and training, thereby supporting improved workforce participation and productivity.</w:t>
      </w:r>
    </w:p>
    <w:p w14:paraId="50E3D63E" w14:textId="77777777" w:rsidR="00E63E47" w:rsidRPr="00381A22" w:rsidRDefault="00E63E47" w:rsidP="00E63E47">
      <w:pPr>
        <w:rPr>
          <w:rFonts w:ascii="Times New Roman" w:hAnsi="Times New Roman"/>
          <w:i/>
          <w:sz w:val="24"/>
          <w:szCs w:val="24"/>
        </w:rPr>
      </w:pPr>
    </w:p>
    <w:p w14:paraId="4F9ED88C" w14:textId="77777777" w:rsidR="00E63E47" w:rsidRPr="00381A22" w:rsidRDefault="00E63E47" w:rsidP="00E63E47">
      <w:pPr>
        <w:rPr>
          <w:rFonts w:ascii="Times New Roman" w:hAnsi="Times New Roman"/>
          <w:b/>
          <w:sz w:val="24"/>
          <w:szCs w:val="24"/>
        </w:rPr>
      </w:pPr>
      <w:r w:rsidRPr="00381A22">
        <w:rPr>
          <w:rFonts w:ascii="Times New Roman" w:hAnsi="Times New Roman"/>
          <w:b/>
          <w:sz w:val="24"/>
          <w:szCs w:val="24"/>
        </w:rPr>
        <w:t>Conclusion</w:t>
      </w:r>
    </w:p>
    <w:p w14:paraId="1BE64C67" w14:textId="77777777" w:rsidR="00E63E47" w:rsidRPr="00381A22" w:rsidRDefault="00E63E47" w:rsidP="00E63E47">
      <w:pPr>
        <w:rPr>
          <w:rFonts w:ascii="Times New Roman" w:hAnsi="Times New Roman"/>
          <w:i/>
          <w:sz w:val="24"/>
          <w:szCs w:val="24"/>
        </w:rPr>
      </w:pPr>
    </w:p>
    <w:p w14:paraId="337CDF52" w14:textId="69C8187D" w:rsidR="00E63E47" w:rsidRPr="00381A22" w:rsidRDefault="00E63E47" w:rsidP="003645D7">
      <w:pPr>
        <w:rPr>
          <w:rFonts w:ascii="Times New Roman" w:hAnsi="Times New Roman"/>
          <w:sz w:val="24"/>
          <w:szCs w:val="24"/>
        </w:rPr>
      </w:pPr>
      <w:r w:rsidRPr="00381A22">
        <w:rPr>
          <w:rFonts w:ascii="Times New Roman" w:hAnsi="Times New Roman"/>
          <w:sz w:val="24"/>
          <w:szCs w:val="24"/>
        </w:rPr>
        <w:t>Table item</w:t>
      </w:r>
      <w:r w:rsidR="002E5DBC" w:rsidRPr="00381A22">
        <w:rPr>
          <w:rFonts w:ascii="Times New Roman" w:hAnsi="Times New Roman"/>
          <w:sz w:val="24"/>
          <w:szCs w:val="24"/>
        </w:rPr>
        <w:t xml:space="preserve"> 431</w:t>
      </w:r>
      <w:r w:rsidRPr="00381A22">
        <w:rPr>
          <w:rFonts w:ascii="Times New Roman" w:hAnsi="Times New Roman"/>
          <w:sz w:val="24"/>
          <w:szCs w:val="24"/>
        </w:rPr>
        <w:t xml:space="preserve"> is compatible with human rights because it promotes the right to education as well as the right to work under the ICESCR.</w:t>
      </w:r>
    </w:p>
    <w:p w14:paraId="76E0C51C" w14:textId="04150E71" w:rsidR="005D6F1D" w:rsidRPr="00381A22" w:rsidRDefault="005D6F1D" w:rsidP="003645D7">
      <w:pPr>
        <w:rPr>
          <w:rFonts w:ascii="Times New Roman" w:hAnsi="Times New Roman"/>
          <w:sz w:val="24"/>
          <w:szCs w:val="24"/>
        </w:rPr>
      </w:pPr>
    </w:p>
    <w:p w14:paraId="4989E8EE" w14:textId="25BD0B39" w:rsidR="005D6F1D" w:rsidRPr="00381A22" w:rsidRDefault="005D6F1D" w:rsidP="005D6F1D">
      <w:pPr>
        <w:rPr>
          <w:rFonts w:ascii="Times New Roman" w:hAnsi="Times New Roman"/>
          <w:i/>
          <w:sz w:val="24"/>
          <w:szCs w:val="24"/>
          <w:u w:val="single"/>
        </w:rPr>
      </w:pPr>
      <w:r w:rsidRPr="00381A22">
        <w:rPr>
          <w:rFonts w:ascii="Times New Roman" w:hAnsi="Times New Roman"/>
          <w:i/>
          <w:sz w:val="24"/>
          <w:szCs w:val="24"/>
          <w:u w:val="single"/>
        </w:rPr>
        <w:t>Table item</w:t>
      </w:r>
      <w:r w:rsidR="002E5DBC" w:rsidRPr="00381A22">
        <w:rPr>
          <w:rFonts w:ascii="Times New Roman" w:hAnsi="Times New Roman"/>
          <w:i/>
          <w:sz w:val="24"/>
          <w:szCs w:val="24"/>
          <w:u w:val="single"/>
        </w:rPr>
        <w:t xml:space="preserve"> 432</w:t>
      </w:r>
      <w:r w:rsidRPr="00381A22">
        <w:rPr>
          <w:rFonts w:ascii="Times New Roman" w:hAnsi="Times New Roman"/>
          <w:i/>
          <w:sz w:val="24"/>
          <w:szCs w:val="24"/>
          <w:u w:val="single"/>
        </w:rPr>
        <w:t xml:space="preserve"> – School Leaver Program </w:t>
      </w:r>
    </w:p>
    <w:p w14:paraId="4AB9DA9C" w14:textId="77777777" w:rsidR="005D6F1D" w:rsidRPr="00381A22" w:rsidRDefault="005D6F1D" w:rsidP="005D6F1D">
      <w:pPr>
        <w:rPr>
          <w:rFonts w:ascii="Times New Roman" w:hAnsi="Times New Roman"/>
          <w:sz w:val="24"/>
          <w:szCs w:val="24"/>
        </w:rPr>
      </w:pPr>
    </w:p>
    <w:p w14:paraId="4B454008" w14:textId="7A2BA750" w:rsidR="00985785" w:rsidRPr="00381A22" w:rsidRDefault="00985785" w:rsidP="00985785">
      <w:pPr>
        <w:rPr>
          <w:rFonts w:ascii="Times New Roman" w:hAnsi="Times New Roman"/>
          <w:sz w:val="24"/>
          <w:szCs w:val="24"/>
        </w:rPr>
      </w:pPr>
      <w:r w:rsidRPr="00381A22">
        <w:rPr>
          <w:rFonts w:ascii="Times New Roman" w:hAnsi="Times New Roman"/>
          <w:sz w:val="24"/>
          <w:szCs w:val="24"/>
        </w:rPr>
        <w:t>New table item</w:t>
      </w:r>
      <w:r w:rsidR="002E5DBC" w:rsidRPr="00381A22">
        <w:rPr>
          <w:rFonts w:ascii="Times New Roman" w:hAnsi="Times New Roman"/>
          <w:sz w:val="24"/>
          <w:szCs w:val="24"/>
        </w:rPr>
        <w:t xml:space="preserve"> 432</w:t>
      </w:r>
      <w:r w:rsidRPr="00381A22">
        <w:rPr>
          <w:rFonts w:ascii="Times New Roman" w:hAnsi="Times New Roman"/>
          <w:b/>
          <w:sz w:val="24"/>
          <w:szCs w:val="24"/>
        </w:rPr>
        <w:t xml:space="preserve"> </w:t>
      </w:r>
      <w:r w:rsidRPr="00381A22">
        <w:rPr>
          <w:rFonts w:ascii="Times New Roman" w:hAnsi="Times New Roman"/>
          <w:sz w:val="24"/>
          <w:szCs w:val="24"/>
        </w:rPr>
        <w:t xml:space="preserve">establishes legislative authority for government spending on a targeted career information kit and hotline for school leavers (the School Leaver Program) to </w:t>
      </w:r>
      <w:proofErr w:type="gramStart"/>
      <w:r w:rsidRPr="00381A22">
        <w:rPr>
          <w:rFonts w:ascii="Times New Roman" w:hAnsi="Times New Roman"/>
          <w:sz w:val="24"/>
          <w:szCs w:val="24"/>
        </w:rPr>
        <w:t>be delivered</w:t>
      </w:r>
      <w:proofErr w:type="gramEnd"/>
      <w:r w:rsidRPr="00381A22">
        <w:rPr>
          <w:rFonts w:ascii="Times New Roman" w:hAnsi="Times New Roman"/>
          <w:sz w:val="24"/>
          <w:szCs w:val="24"/>
        </w:rPr>
        <w:t xml:space="preserve"> by the National Careers Institute (NCI), part of the department. Under the School Leaver Program, the NCI will provide information and support services to school leavers (Years 10 to 12) in 2020 and 2021, who </w:t>
      </w:r>
      <w:proofErr w:type="gramStart"/>
      <w:r w:rsidRPr="00381A22">
        <w:rPr>
          <w:rFonts w:ascii="Times New Roman" w:hAnsi="Times New Roman"/>
          <w:sz w:val="24"/>
          <w:szCs w:val="24"/>
        </w:rPr>
        <w:t>will be disproportionately affected</w:t>
      </w:r>
      <w:proofErr w:type="gramEnd"/>
      <w:r w:rsidRPr="00381A22">
        <w:rPr>
          <w:rFonts w:ascii="Times New Roman" w:hAnsi="Times New Roman"/>
          <w:sz w:val="24"/>
          <w:szCs w:val="24"/>
        </w:rPr>
        <w:t xml:space="preserve"> by the COVID-19 pandemic, to assist them to navigate post-school pathways and make informed decisions about their future and transition to post-school employment.</w:t>
      </w:r>
    </w:p>
    <w:p w14:paraId="3AB6403C" w14:textId="77777777" w:rsidR="00985785" w:rsidRPr="00381A22" w:rsidRDefault="00985785" w:rsidP="00985785">
      <w:pPr>
        <w:rPr>
          <w:rFonts w:ascii="Times New Roman" w:hAnsi="Times New Roman"/>
          <w:sz w:val="24"/>
          <w:szCs w:val="24"/>
        </w:rPr>
      </w:pPr>
    </w:p>
    <w:p w14:paraId="2BA5C68F" w14:textId="1AFDBC30" w:rsidR="00985785" w:rsidRPr="00381A22" w:rsidRDefault="00985785" w:rsidP="00985785">
      <w:pPr>
        <w:rPr>
          <w:rFonts w:ascii="Times New Roman" w:hAnsi="Times New Roman"/>
          <w:sz w:val="24"/>
          <w:szCs w:val="24"/>
        </w:rPr>
      </w:pPr>
      <w:r w:rsidRPr="00381A22">
        <w:rPr>
          <w:rFonts w:ascii="Times New Roman" w:hAnsi="Times New Roman"/>
          <w:sz w:val="24"/>
          <w:szCs w:val="24"/>
        </w:rPr>
        <w:t>The School Leaver Program will be a national service consisting of two components: a targeted career information kit and a hotline service. The information kit will provide school leavers with a clear understanding of the post-school education and training and employment pathways that closely align with jobs in demand. The hotline will provide referral services for school leavers requiring additional support to make informed decisions about their future or other support.</w:t>
      </w:r>
    </w:p>
    <w:p w14:paraId="6AC8A17A" w14:textId="77777777" w:rsidR="00985785" w:rsidRPr="00381A22" w:rsidRDefault="00985785" w:rsidP="00985785">
      <w:pPr>
        <w:rPr>
          <w:rFonts w:ascii="Times New Roman" w:hAnsi="Times New Roman"/>
          <w:sz w:val="24"/>
          <w:szCs w:val="24"/>
        </w:rPr>
      </w:pPr>
    </w:p>
    <w:p w14:paraId="1331BE1A" w14:textId="188BABD3" w:rsidR="00985785" w:rsidRPr="00381A22" w:rsidRDefault="00985785" w:rsidP="006915EB">
      <w:pPr>
        <w:pStyle w:val="BodyText"/>
        <w:spacing w:before="0" w:after="0" w:line="240" w:lineRule="auto"/>
        <w:rPr>
          <w:rFonts w:ascii="Times New Roman" w:hAnsi="Times New Roman"/>
          <w:color w:val="auto"/>
          <w:sz w:val="24"/>
          <w:szCs w:val="24"/>
        </w:rPr>
      </w:pPr>
      <w:r w:rsidRPr="00381A22">
        <w:rPr>
          <w:rFonts w:ascii="Times New Roman" w:hAnsi="Times New Roman"/>
          <w:color w:val="auto"/>
          <w:sz w:val="24"/>
          <w:szCs w:val="24"/>
        </w:rPr>
        <w:t>The School Leaver Program will draw on the National Skills Commission</w:t>
      </w:r>
      <w:r w:rsidR="002E5DBC" w:rsidRPr="00381A22">
        <w:rPr>
          <w:rFonts w:ascii="Times New Roman" w:hAnsi="Times New Roman"/>
          <w:color w:val="auto"/>
          <w:sz w:val="24"/>
          <w:szCs w:val="24"/>
        </w:rPr>
        <w:t>’s</w:t>
      </w:r>
      <w:r w:rsidRPr="00381A22">
        <w:rPr>
          <w:rFonts w:ascii="Times New Roman" w:hAnsi="Times New Roman"/>
          <w:color w:val="auto"/>
          <w:sz w:val="24"/>
          <w:szCs w:val="24"/>
        </w:rPr>
        <w:t xml:space="preserve"> (NSC) skills and labour market forecasts, along with the career pathways information on the NCI website, to outline the pathways that will enable school leavers to attain skills and/or a qualification that will support them to pursue current and future jobs available in the labour market. The Program will provide a timely intervention to direct this more vulnerable cohort of school leavers toward an education pathway, enabling them to attain skills and/or a qualification that will support them to pursue employment at a time when th</w:t>
      </w:r>
      <w:r w:rsidR="006915EB" w:rsidRPr="00381A22">
        <w:rPr>
          <w:rFonts w:ascii="Times New Roman" w:hAnsi="Times New Roman"/>
          <w:color w:val="auto"/>
          <w:sz w:val="24"/>
          <w:szCs w:val="24"/>
        </w:rPr>
        <w:t>e labour market has stabilised.</w:t>
      </w:r>
    </w:p>
    <w:p w14:paraId="36E62922" w14:textId="15F86A24" w:rsidR="002E5DBC" w:rsidRPr="00381A22" w:rsidRDefault="002E5DBC">
      <w:pPr>
        <w:spacing w:after="200" w:line="276" w:lineRule="auto"/>
        <w:rPr>
          <w:rFonts w:ascii="Times New Roman" w:hAnsi="Times New Roman"/>
          <w:b/>
          <w:color w:val="244061" w:themeColor="accent1" w:themeShade="80"/>
          <w:sz w:val="24"/>
          <w:szCs w:val="24"/>
        </w:rPr>
      </w:pPr>
      <w:r w:rsidRPr="00381A22">
        <w:rPr>
          <w:rFonts w:ascii="Times New Roman" w:hAnsi="Times New Roman"/>
          <w:b/>
          <w:color w:val="244061" w:themeColor="accent1" w:themeShade="80"/>
          <w:sz w:val="24"/>
          <w:szCs w:val="24"/>
        </w:rPr>
        <w:br w:type="page"/>
      </w:r>
    </w:p>
    <w:p w14:paraId="63315D13" w14:textId="2795BFA7" w:rsidR="005D6F1D" w:rsidRPr="00381A22" w:rsidRDefault="005D6F1D" w:rsidP="005D6F1D">
      <w:pPr>
        <w:rPr>
          <w:rFonts w:ascii="Times New Roman" w:hAnsi="Times New Roman"/>
          <w:b/>
          <w:sz w:val="24"/>
          <w:szCs w:val="24"/>
        </w:rPr>
      </w:pPr>
      <w:r w:rsidRPr="00381A22">
        <w:rPr>
          <w:rFonts w:ascii="Times New Roman" w:hAnsi="Times New Roman"/>
          <w:b/>
          <w:sz w:val="24"/>
          <w:szCs w:val="24"/>
        </w:rPr>
        <w:lastRenderedPageBreak/>
        <w:t xml:space="preserve">Human rights implications </w:t>
      </w:r>
    </w:p>
    <w:p w14:paraId="77CC9597" w14:textId="77777777" w:rsidR="005D6F1D" w:rsidRPr="00381A22" w:rsidRDefault="005D6F1D" w:rsidP="005D6F1D">
      <w:pPr>
        <w:ind w:right="-46"/>
        <w:rPr>
          <w:rFonts w:ascii="Times New Roman" w:hAnsi="Times New Roman"/>
          <w:sz w:val="24"/>
          <w:szCs w:val="24"/>
        </w:rPr>
      </w:pPr>
    </w:p>
    <w:p w14:paraId="7E93AD13" w14:textId="7593C54E" w:rsidR="005D6F1D" w:rsidRPr="00381A22" w:rsidRDefault="005D6F1D" w:rsidP="005D6F1D">
      <w:pPr>
        <w:ind w:right="-46"/>
        <w:rPr>
          <w:rFonts w:ascii="Times New Roman" w:hAnsi="Times New Roman"/>
          <w:sz w:val="24"/>
          <w:szCs w:val="24"/>
        </w:rPr>
      </w:pPr>
      <w:r w:rsidRPr="00381A22">
        <w:rPr>
          <w:rFonts w:ascii="Times New Roman" w:hAnsi="Times New Roman"/>
          <w:sz w:val="24"/>
          <w:szCs w:val="24"/>
        </w:rPr>
        <w:t>Table item</w:t>
      </w:r>
      <w:r w:rsidR="002E5DBC" w:rsidRPr="00381A22">
        <w:rPr>
          <w:rFonts w:ascii="Times New Roman" w:hAnsi="Times New Roman"/>
          <w:sz w:val="24"/>
          <w:szCs w:val="24"/>
        </w:rPr>
        <w:t xml:space="preserve"> 432</w:t>
      </w:r>
      <w:r w:rsidRPr="00381A22">
        <w:rPr>
          <w:rFonts w:ascii="Times New Roman" w:hAnsi="Times New Roman"/>
          <w:sz w:val="24"/>
          <w:szCs w:val="24"/>
        </w:rPr>
        <w:t xml:space="preserve"> engages the following human rights:</w:t>
      </w:r>
    </w:p>
    <w:p w14:paraId="0263AF69" w14:textId="717AF20C" w:rsidR="005D6F1D" w:rsidRPr="00381A22" w:rsidRDefault="005D6F1D" w:rsidP="005D6F1D">
      <w:pPr>
        <w:pStyle w:val="ListParagraph"/>
        <w:numPr>
          <w:ilvl w:val="0"/>
          <w:numId w:val="26"/>
        </w:numPr>
        <w:ind w:right="-46"/>
        <w:rPr>
          <w:color w:val="auto"/>
        </w:rPr>
      </w:pPr>
      <w:r w:rsidRPr="00381A22">
        <w:rPr>
          <w:rFonts w:cs="Times New Roman"/>
          <w:color w:val="auto"/>
          <w:szCs w:val="24"/>
        </w:rPr>
        <w:t xml:space="preserve">the right to education – Article 13 of the </w:t>
      </w:r>
      <w:r w:rsidRPr="00381A22">
        <w:rPr>
          <w:i/>
          <w:color w:val="auto"/>
          <w:szCs w:val="24"/>
        </w:rPr>
        <w:t>International Covenant on Economic, Social and Cultural Rights</w:t>
      </w:r>
      <w:r w:rsidRPr="00381A22">
        <w:rPr>
          <w:rFonts w:cs="Times New Roman"/>
          <w:color w:val="auto"/>
          <w:szCs w:val="24"/>
        </w:rPr>
        <w:t xml:space="preserve"> (ICESCR), read with Article 2</w:t>
      </w:r>
      <w:r w:rsidR="00AF277A" w:rsidRPr="00381A22">
        <w:rPr>
          <w:rFonts w:cs="Times New Roman"/>
          <w:color w:val="auto"/>
          <w:szCs w:val="24"/>
        </w:rPr>
        <w:t xml:space="preserve"> of the ICESCR;</w:t>
      </w:r>
    </w:p>
    <w:p w14:paraId="454D0C36" w14:textId="53149EE2" w:rsidR="005D6F1D" w:rsidRPr="00381A22" w:rsidRDefault="005D6F1D" w:rsidP="005D6F1D">
      <w:pPr>
        <w:pStyle w:val="ListParagraph"/>
        <w:numPr>
          <w:ilvl w:val="0"/>
          <w:numId w:val="26"/>
        </w:numPr>
        <w:ind w:right="-46"/>
        <w:rPr>
          <w:color w:val="auto"/>
        </w:rPr>
      </w:pPr>
      <w:r w:rsidRPr="00381A22">
        <w:rPr>
          <w:rFonts w:cs="Times New Roman"/>
          <w:color w:val="auto"/>
          <w:szCs w:val="24"/>
        </w:rPr>
        <w:t>the right to</w:t>
      </w:r>
      <w:r w:rsidR="00AF277A" w:rsidRPr="00381A22">
        <w:rPr>
          <w:rFonts w:cs="Times New Roman"/>
          <w:color w:val="auto"/>
          <w:szCs w:val="24"/>
        </w:rPr>
        <w:t xml:space="preserve"> work – Article 6 of the ICESCR;</w:t>
      </w:r>
      <w:r w:rsidRPr="00381A22">
        <w:rPr>
          <w:rFonts w:cs="Times New Roman"/>
          <w:color w:val="auto"/>
          <w:szCs w:val="24"/>
        </w:rPr>
        <w:t xml:space="preserve"> and</w:t>
      </w:r>
    </w:p>
    <w:p w14:paraId="37DA4EE2" w14:textId="1B7FD8F9" w:rsidR="005D6F1D" w:rsidRPr="00381A22" w:rsidRDefault="005D6F1D" w:rsidP="005D6F1D">
      <w:pPr>
        <w:pStyle w:val="ListParagraph"/>
        <w:numPr>
          <w:ilvl w:val="0"/>
          <w:numId w:val="26"/>
        </w:numPr>
        <w:ind w:right="-46"/>
        <w:rPr>
          <w:color w:val="auto"/>
        </w:rPr>
      </w:pPr>
      <w:proofErr w:type="gramStart"/>
      <w:r w:rsidRPr="00381A22">
        <w:rPr>
          <w:rFonts w:cs="Times New Roman"/>
          <w:color w:val="auto"/>
          <w:szCs w:val="24"/>
        </w:rPr>
        <w:t>the</w:t>
      </w:r>
      <w:proofErr w:type="gramEnd"/>
      <w:r w:rsidRPr="00381A22">
        <w:rPr>
          <w:rFonts w:cs="Times New Roman"/>
          <w:color w:val="auto"/>
          <w:szCs w:val="24"/>
        </w:rPr>
        <w:t xml:space="preserve"> right of the child to education – Articles 28 and 29 of the </w:t>
      </w:r>
      <w:r w:rsidRPr="00381A22">
        <w:rPr>
          <w:rFonts w:cs="Times New Roman"/>
          <w:i/>
          <w:color w:val="auto"/>
          <w:szCs w:val="24"/>
        </w:rPr>
        <w:t xml:space="preserve">Convention on the Rights of the Child </w:t>
      </w:r>
      <w:r w:rsidRPr="00381A22">
        <w:rPr>
          <w:rFonts w:cs="Times New Roman"/>
          <w:color w:val="auto"/>
          <w:szCs w:val="24"/>
        </w:rPr>
        <w:t>(CRC)</w:t>
      </w:r>
      <w:r w:rsidRPr="00381A22">
        <w:rPr>
          <w:rFonts w:cs="Times New Roman"/>
          <w:i/>
          <w:color w:val="auto"/>
          <w:szCs w:val="24"/>
        </w:rPr>
        <w:t>.</w:t>
      </w:r>
    </w:p>
    <w:p w14:paraId="4D1107B9" w14:textId="77777777" w:rsidR="005D6F1D" w:rsidRPr="00381A22" w:rsidRDefault="005D6F1D" w:rsidP="005D6F1D">
      <w:pPr>
        <w:rPr>
          <w:rFonts w:ascii="Times New Roman" w:hAnsi="Times New Roman"/>
          <w:i/>
          <w:sz w:val="24"/>
          <w:szCs w:val="24"/>
        </w:rPr>
      </w:pPr>
    </w:p>
    <w:p w14:paraId="216212F5" w14:textId="77777777" w:rsidR="005D6F1D" w:rsidRPr="00381A22" w:rsidRDefault="005D6F1D" w:rsidP="005D6F1D">
      <w:pPr>
        <w:rPr>
          <w:rFonts w:ascii="Times New Roman" w:hAnsi="Times New Roman"/>
          <w:i/>
          <w:sz w:val="24"/>
          <w:szCs w:val="24"/>
        </w:rPr>
      </w:pPr>
      <w:r w:rsidRPr="00381A22">
        <w:rPr>
          <w:rFonts w:ascii="Times New Roman" w:hAnsi="Times New Roman"/>
          <w:i/>
          <w:sz w:val="24"/>
          <w:szCs w:val="24"/>
        </w:rPr>
        <w:t>Right to education</w:t>
      </w:r>
    </w:p>
    <w:p w14:paraId="4A7E172C" w14:textId="77777777" w:rsidR="005D6F1D" w:rsidRPr="00381A22" w:rsidRDefault="005D6F1D" w:rsidP="005D6F1D">
      <w:pPr>
        <w:rPr>
          <w:rFonts w:ascii="Times New Roman" w:hAnsi="Times New Roman"/>
          <w:i/>
          <w:sz w:val="24"/>
          <w:szCs w:val="24"/>
        </w:rPr>
      </w:pPr>
    </w:p>
    <w:p w14:paraId="624BC87A" w14:textId="73DFC613" w:rsidR="005D6F1D" w:rsidRPr="00381A22" w:rsidRDefault="005D6F1D" w:rsidP="005D6F1D">
      <w:pPr>
        <w:rPr>
          <w:rFonts w:ascii="Times New Roman" w:hAnsi="Times New Roman"/>
          <w:sz w:val="24"/>
          <w:szCs w:val="24"/>
        </w:rPr>
      </w:pPr>
      <w:r w:rsidRPr="00381A22">
        <w:rPr>
          <w:rFonts w:ascii="Times New Roman" w:hAnsi="Times New Roman"/>
          <w:sz w:val="24"/>
          <w:szCs w:val="24"/>
        </w:rPr>
        <w:t>Table item</w:t>
      </w:r>
      <w:r w:rsidR="002E5DBC" w:rsidRPr="00381A22">
        <w:rPr>
          <w:rFonts w:ascii="Times New Roman" w:hAnsi="Times New Roman"/>
          <w:sz w:val="24"/>
          <w:szCs w:val="24"/>
        </w:rPr>
        <w:t xml:space="preserve"> 432</w:t>
      </w:r>
      <w:r w:rsidRPr="00381A22">
        <w:rPr>
          <w:rFonts w:ascii="Times New Roman" w:hAnsi="Times New Roman"/>
          <w:sz w:val="24"/>
          <w:szCs w:val="24"/>
        </w:rPr>
        <w:t xml:space="preserve"> engages the right to education contained in Article 13 of the ICESCR, read with Article 2 of the ICESCR. Article 2 of the ICESCR requires States Parties to take steps </w:t>
      </w:r>
      <w:proofErr w:type="gramStart"/>
      <w:r w:rsidRPr="00381A22">
        <w:rPr>
          <w:rFonts w:ascii="Times New Roman" w:hAnsi="Times New Roman"/>
          <w:sz w:val="24"/>
          <w:szCs w:val="24"/>
        </w:rPr>
        <w:t>to progressively achieve</w:t>
      </w:r>
      <w:proofErr w:type="gramEnd"/>
      <w:r w:rsidRPr="00381A22">
        <w:rPr>
          <w:rFonts w:ascii="Times New Roman" w:hAnsi="Times New Roman"/>
          <w:sz w:val="24"/>
          <w:szCs w:val="24"/>
        </w:rPr>
        <w:t xml:space="preserve"> the full realisation of the rights recognised in the ICESCR by all appropriate means. Article 13 recognises that education </w:t>
      </w:r>
      <w:proofErr w:type="gramStart"/>
      <w:r w:rsidRPr="00381A22">
        <w:rPr>
          <w:rFonts w:ascii="Times New Roman" w:hAnsi="Times New Roman"/>
          <w:sz w:val="24"/>
          <w:szCs w:val="24"/>
        </w:rPr>
        <w:t>shall be directed</w:t>
      </w:r>
      <w:proofErr w:type="gramEnd"/>
      <w:r w:rsidRPr="00381A22">
        <w:rPr>
          <w:rFonts w:ascii="Times New Roman" w:hAnsi="Times New Roman"/>
          <w:sz w:val="24"/>
          <w:szCs w:val="24"/>
        </w:rPr>
        <w:t xml:space="preserve"> to the full development of the human personality and the sense of its dignity, and shall strengthen the respect for human rights and fundamental freedoms. </w:t>
      </w:r>
    </w:p>
    <w:p w14:paraId="1056D3D4" w14:textId="77777777" w:rsidR="005D6F1D" w:rsidRPr="00381A22" w:rsidRDefault="005D6F1D" w:rsidP="005D6F1D">
      <w:pPr>
        <w:rPr>
          <w:rFonts w:ascii="Times New Roman" w:hAnsi="Times New Roman"/>
          <w:sz w:val="24"/>
          <w:szCs w:val="24"/>
        </w:rPr>
      </w:pPr>
    </w:p>
    <w:p w14:paraId="6E0927E1" w14:textId="77777777" w:rsidR="005D6F1D" w:rsidRPr="00381A22" w:rsidRDefault="005D6F1D" w:rsidP="005D6F1D">
      <w:pPr>
        <w:rPr>
          <w:rFonts w:cstheme="minorHAnsi"/>
        </w:rPr>
      </w:pPr>
      <w:r w:rsidRPr="00381A22">
        <w:rPr>
          <w:rFonts w:ascii="Times New Roman" w:hAnsi="Times New Roman"/>
          <w:sz w:val="24"/>
          <w:szCs w:val="24"/>
        </w:rPr>
        <w:t>Article 13 further says that education shall enable all persons to participate effectively in a free society, promote understanding, tolerance and friendship among all nations and all racial, ethnic or religious groups and further the maintenance of peace.</w:t>
      </w:r>
    </w:p>
    <w:p w14:paraId="704BE7F5" w14:textId="77777777" w:rsidR="005D6F1D" w:rsidRPr="00381A22" w:rsidRDefault="005D6F1D" w:rsidP="005D6F1D">
      <w:pPr>
        <w:rPr>
          <w:rFonts w:ascii="Times New Roman" w:hAnsi="Times New Roman"/>
          <w:sz w:val="24"/>
          <w:szCs w:val="24"/>
        </w:rPr>
      </w:pPr>
    </w:p>
    <w:p w14:paraId="2B0EA0B6" w14:textId="77777777" w:rsidR="005D6F1D" w:rsidRPr="00381A22" w:rsidRDefault="005D6F1D" w:rsidP="005D6F1D">
      <w:pPr>
        <w:rPr>
          <w:rFonts w:ascii="Times New Roman" w:hAnsi="Times New Roman"/>
          <w:sz w:val="24"/>
          <w:szCs w:val="24"/>
        </w:rPr>
      </w:pPr>
      <w:r w:rsidRPr="00381A22">
        <w:rPr>
          <w:rFonts w:ascii="Times New Roman" w:hAnsi="Times New Roman"/>
          <w:sz w:val="24"/>
          <w:szCs w:val="24"/>
        </w:rPr>
        <w:t>In addition, paragraph 13(2)(b) recognises that secondary education, in all its different forms, including technical and vocational secondary education shall be made generally available and accessible to all by every appropriate means and in particular by the progressive introduction of free education.</w:t>
      </w:r>
    </w:p>
    <w:p w14:paraId="6B381F96" w14:textId="77777777" w:rsidR="005D6F1D" w:rsidRPr="00381A22" w:rsidRDefault="005D6F1D" w:rsidP="005D6F1D">
      <w:pPr>
        <w:rPr>
          <w:rFonts w:ascii="Times New Roman" w:hAnsi="Times New Roman"/>
          <w:sz w:val="24"/>
          <w:szCs w:val="24"/>
        </w:rPr>
      </w:pPr>
    </w:p>
    <w:p w14:paraId="6320A38B" w14:textId="6AD96B76" w:rsidR="005D6F1D" w:rsidRPr="00381A22" w:rsidRDefault="005D6F1D" w:rsidP="005D6F1D">
      <w:pPr>
        <w:shd w:val="clear" w:color="auto" w:fill="FFFFFF"/>
        <w:ind w:right="-46"/>
        <w:rPr>
          <w:rFonts w:ascii="Times New Roman" w:hAnsi="Times New Roman"/>
          <w:sz w:val="24"/>
          <w:szCs w:val="24"/>
        </w:rPr>
      </w:pPr>
      <w:r w:rsidRPr="00381A22">
        <w:rPr>
          <w:rFonts w:ascii="Times New Roman" w:hAnsi="Times New Roman"/>
          <w:sz w:val="24"/>
          <w:szCs w:val="24"/>
        </w:rPr>
        <w:t xml:space="preserve">These articles recognise the important personal, societal, economic and intellectual benefits of education, and provide that technical and vocational education should enable students to acquire knowledge and </w:t>
      </w:r>
      <w:proofErr w:type="gramStart"/>
      <w:r w:rsidRPr="00381A22">
        <w:rPr>
          <w:rFonts w:ascii="Times New Roman" w:hAnsi="Times New Roman"/>
          <w:sz w:val="24"/>
          <w:szCs w:val="24"/>
        </w:rPr>
        <w:t>skills which</w:t>
      </w:r>
      <w:proofErr w:type="gramEnd"/>
      <w:r w:rsidRPr="00381A22">
        <w:rPr>
          <w:rFonts w:ascii="Times New Roman" w:hAnsi="Times New Roman"/>
          <w:sz w:val="24"/>
          <w:szCs w:val="24"/>
        </w:rPr>
        <w:t xml:space="preserve"> contribute to their employability and enhance their productivity.</w:t>
      </w:r>
    </w:p>
    <w:p w14:paraId="31FC8D3F" w14:textId="25A73356" w:rsidR="00985785" w:rsidRPr="00381A22" w:rsidRDefault="00985785" w:rsidP="005D6F1D">
      <w:pPr>
        <w:shd w:val="clear" w:color="auto" w:fill="FFFFFF"/>
        <w:ind w:right="-46"/>
        <w:rPr>
          <w:rFonts w:ascii="Times New Roman" w:hAnsi="Times New Roman"/>
          <w:sz w:val="24"/>
          <w:szCs w:val="24"/>
        </w:rPr>
      </w:pPr>
    </w:p>
    <w:p w14:paraId="43E399DD" w14:textId="77777777" w:rsidR="00DC1069" w:rsidRPr="00381A22" w:rsidRDefault="00DC1069" w:rsidP="00DC1069">
      <w:pPr>
        <w:pStyle w:val="paranumbering0"/>
        <w:spacing w:before="0" w:beforeAutospacing="0" w:after="120" w:afterAutospacing="0"/>
        <w:contextualSpacing/>
        <w:rPr>
          <w:i/>
        </w:rPr>
      </w:pPr>
      <w:r w:rsidRPr="00381A22">
        <w:rPr>
          <w:i/>
        </w:rPr>
        <w:t>Right to work</w:t>
      </w:r>
    </w:p>
    <w:p w14:paraId="0D92918C" w14:textId="77777777" w:rsidR="00DC1069" w:rsidRPr="00381A22" w:rsidRDefault="00DC1069" w:rsidP="00DC1069">
      <w:pPr>
        <w:pStyle w:val="paranumbering0"/>
        <w:spacing w:before="0" w:beforeAutospacing="0" w:after="120" w:afterAutospacing="0"/>
        <w:contextualSpacing/>
        <w:rPr>
          <w:i/>
        </w:rPr>
      </w:pPr>
    </w:p>
    <w:p w14:paraId="4AE66EAB" w14:textId="7DE8D135" w:rsidR="00DC1069" w:rsidRPr="00381A22" w:rsidRDefault="00DC1069" w:rsidP="00DC1069">
      <w:pPr>
        <w:pStyle w:val="paranumbering0"/>
        <w:spacing w:before="0" w:beforeAutospacing="0" w:after="120" w:afterAutospacing="0"/>
        <w:contextualSpacing/>
        <w:rPr>
          <w:rFonts w:cstheme="minorHAnsi"/>
        </w:rPr>
      </w:pPr>
      <w:r w:rsidRPr="00381A22">
        <w:t>Table item</w:t>
      </w:r>
      <w:r w:rsidR="002E5DBC" w:rsidRPr="00381A22">
        <w:t xml:space="preserve"> 432</w:t>
      </w:r>
      <w:r w:rsidRPr="00381A22">
        <w:t xml:space="preserve"> engages the right to </w:t>
      </w:r>
      <w:r w:rsidRPr="00381A22">
        <w:rPr>
          <w:rFonts w:cstheme="minorHAnsi"/>
        </w:rPr>
        <w:t xml:space="preserve">work contained in Article 6 of the ICESCR. Article 6 recognises that </w:t>
      </w:r>
      <w:proofErr w:type="gramStart"/>
      <w:r w:rsidRPr="00381A22">
        <w:rPr>
          <w:rFonts w:cstheme="minorHAnsi"/>
        </w:rPr>
        <w:t>in order to fully achieve</w:t>
      </w:r>
      <w:proofErr w:type="gramEnd"/>
      <w:r w:rsidRPr="00381A22">
        <w:rPr>
          <w:rFonts w:cstheme="minorHAnsi"/>
        </w:rPr>
        <w:t xml:space="preserve"> the realisation of the right to work, there should be available technical and vocational guidance and training programs, policies and techniques.</w:t>
      </w:r>
    </w:p>
    <w:p w14:paraId="0530628D" w14:textId="77777777" w:rsidR="00DC1069" w:rsidRPr="00381A22" w:rsidRDefault="00DC1069" w:rsidP="00DC1069">
      <w:pPr>
        <w:rPr>
          <w:rFonts w:ascii="Times New Roman" w:hAnsi="Times New Roman"/>
          <w:sz w:val="24"/>
          <w:szCs w:val="24"/>
        </w:rPr>
      </w:pPr>
      <w:r w:rsidRPr="00381A22">
        <w:rPr>
          <w:rFonts w:ascii="Times New Roman" w:hAnsi="Times New Roman"/>
          <w:sz w:val="24"/>
          <w:szCs w:val="24"/>
        </w:rPr>
        <w:t>The targeted career information kit and hotline will promote both the right to education and the right to work, by supporting school students to make informed decisions about their career or transition to employment or further learning.</w:t>
      </w:r>
    </w:p>
    <w:p w14:paraId="2840F533" w14:textId="77777777" w:rsidR="006915EB" w:rsidRPr="00381A22" w:rsidRDefault="006915EB" w:rsidP="005D6F1D">
      <w:pPr>
        <w:shd w:val="clear" w:color="auto" w:fill="FFFFFF"/>
        <w:ind w:right="-46"/>
        <w:rPr>
          <w:rFonts w:ascii="Times New Roman" w:hAnsi="Times New Roman"/>
          <w:i/>
          <w:sz w:val="24"/>
          <w:szCs w:val="24"/>
        </w:rPr>
      </w:pPr>
    </w:p>
    <w:p w14:paraId="026B4B89" w14:textId="65091394" w:rsidR="005D6F1D" w:rsidRPr="00381A22" w:rsidRDefault="005D6F1D" w:rsidP="005D6F1D">
      <w:pPr>
        <w:shd w:val="clear" w:color="auto" w:fill="FFFFFF"/>
        <w:ind w:right="-46"/>
        <w:rPr>
          <w:rFonts w:ascii="Times New Roman" w:hAnsi="Times New Roman"/>
          <w:i/>
          <w:sz w:val="24"/>
          <w:szCs w:val="24"/>
        </w:rPr>
      </w:pPr>
      <w:r w:rsidRPr="00381A22">
        <w:rPr>
          <w:rFonts w:ascii="Times New Roman" w:hAnsi="Times New Roman"/>
          <w:i/>
          <w:sz w:val="24"/>
          <w:szCs w:val="24"/>
        </w:rPr>
        <w:t>Right of the child to education</w:t>
      </w:r>
    </w:p>
    <w:p w14:paraId="693D7D3D" w14:textId="77777777" w:rsidR="005D6F1D" w:rsidRPr="00381A22" w:rsidRDefault="005D6F1D" w:rsidP="005D6F1D">
      <w:pPr>
        <w:shd w:val="clear" w:color="auto" w:fill="FFFFFF"/>
        <w:ind w:right="-46"/>
        <w:rPr>
          <w:rFonts w:ascii="Times New Roman" w:hAnsi="Times New Roman"/>
          <w:i/>
          <w:sz w:val="24"/>
          <w:szCs w:val="24"/>
        </w:rPr>
      </w:pPr>
    </w:p>
    <w:p w14:paraId="055BADF9" w14:textId="4024151C" w:rsidR="005D6F1D" w:rsidRPr="00381A22" w:rsidRDefault="005D6F1D" w:rsidP="006915EB">
      <w:pPr>
        <w:shd w:val="clear" w:color="auto" w:fill="FFFFFF"/>
        <w:ind w:right="-46"/>
        <w:rPr>
          <w:rFonts w:ascii="Times New Roman" w:eastAsia="Times New Roman" w:hAnsi="Times New Roman"/>
          <w:sz w:val="24"/>
          <w:szCs w:val="24"/>
        </w:rPr>
      </w:pPr>
      <w:r w:rsidRPr="00381A22">
        <w:rPr>
          <w:rFonts w:ascii="Times New Roman" w:hAnsi="Times New Roman"/>
          <w:sz w:val="24"/>
          <w:szCs w:val="24"/>
        </w:rPr>
        <w:t>Table item</w:t>
      </w:r>
      <w:r w:rsidR="002E5DBC" w:rsidRPr="00381A22">
        <w:rPr>
          <w:rFonts w:ascii="Times New Roman" w:hAnsi="Times New Roman"/>
          <w:sz w:val="24"/>
          <w:szCs w:val="24"/>
        </w:rPr>
        <w:t xml:space="preserve"> 432</w:t>
      </w:r>
      <w:r w:rsidRPr="00381A22">
        <w:rPr>
          <w:rFonts w:ascii="Times New Roman" w:hAnsi="Times New Roman"/>
          <w:sz w:val="24"/>
          <w:szCs w:val="24"/>
        </w:rPr>
        <w:t xml:space="preserve"> engages the right of the child to education contained in Article 28 of the CRC. Article 28 of CRC</w:t>
      </w:r>
      <w:r w:rsidRPr="00381A22">
        <w:rPr>
          <w:rFonts w:ascii="Times New Roman" w:eastAsia="Times New Roman" w:hAnsi="Times New Roman"/>
          <w:sz w:val="24"/>
          <w:szCs w:val="24"/>
        </w:rPr>
        <w:t xml:space="preserve"> contains similar provisions to Article 13 of </w:t>
      </w:r>
      <w:r w:rsidR="00DC1069" w:rsidRPr="00381A22">
        <w:rPr>
          <w:rFonts w:ascii="Times New Roman" w:eastAsia="Times New Roman" w:hAnsi="Times New Roman"/>
          <w:sz w:val="24"/>
          <w:szCs w:val="24"/>
        </w:rPr>
        <w:t xml:space="preserve">the </w:t>
      </w:r>
      <w:r w:rsidRPr="00381A22">
        <w:rPr>
          <w:rFonts w:ascii="Times New Roman" w:eastAsia="Times New Roman" w:hAnsi="Times New Roman"/>
          <w:sz w:val="24"/>
          <w:szCs w:val="24"/>
        </w:rPr>
        <w:t xml:space="preserve">ICESCR, and Article 29 of the CRC provides that the education of the child </w:t>
      </w:r>
      <w:proofErr w:type="gramStart"/>
      <w:r w:rsidRPr="00381A22">
        <w:rPr>
          <w:rFonts w:ascii="Times New Roman" w:eastAsia="Times New Roman" w:hAnsi="Times New Roman"/>
          <w:sz w:val="24"/>
          <w:szCs w:val="24"/>
        </w:rPr>
        <w:t>shall be directed</w:t>
      </w:r>
      <w:proofErr w:type="gramEnd"/>
      <w:r w:rsidRPr="00381A22">
        <w:rPr>
          <w:rFonts w:ascii="Times New Roman" w:eastAsia="Times New Roman" w:hAnsi="Times New Roman"/>
          <w:sz w:val="24"/>
          <w:szCs w:val="24"/>
        </w:rPr>
        <w:t xml:space="preserve"> to the development of the child's personality, talents and mental and physical abilit</w:t>
      </w:r>
      <w:r w:rsidR="006915EB" w:rsidRPr="00381A22">
        <w:rPr>
          <w:rFonts w:ascii="Times New Roman" w:eastAsia="Times New Roman" w:hAnsi="Times New Roman"/>
          <w:sz w:val="24"/>
          <w:szCs w:val="24"/>
        </w:rPr>
        <w:t>ies to their fullest potential.</w:t>
      </w:r>
    </w:p>
    <w:p w14:paraId="3849E6C7" w14:textId="3FF7DDEE" w:rsidR="002E5DBC" w:rsidRPr="00381A22" w:rsidRDefault="002E5DBC">
      <w:pPr>
        <w:spacing w:after="200" w:line="276" w:lineRule="auto"/>
        <w:rPr>
          <w:rFonts w:ascii="Times New Roman" w:eastAsiaTheme="minorHAnsi" w:hAnsi="Times New Roman"/>
          <w:sz w:val="24"/>
          <w:szCs w:val="24"/>
          <w:lang w:eastAsia="en-US"/>
        </w:rPr>
      </w:pPr>
      <w:r w:rsidRPr="00381A22">
        <w:rPr>
          <w:rFonts w:ascii="Times New Roman" w:hAnsi="Times New Roman"/>
          <w:sz w:val="24"/>
          <w:szCs w:val="24"/>
        </w:rPr>
        <w:br w:type="page"/>
      </w:r>
    </w:p>
    <w:p w14:paraId="06272561" w14:textId="77777777" w:rsidR="005D6F1D" w:rsidRPr="00381A22" w:rsidRDefault="005D6F1D" w:rsidP="005D6F1D">
      <w:pPr>
        <w:rPr>
          <w:rFonts w:ascii="Times New Roman" w:hAnsi="Times New Roman"/>
          <w:b/>
          <w:sz w:val="24"/>
          <w:szCs w:val="24"/>
        </w:rPr>
      </w:pPr>
      <w:r w:rsidRPr="00381A22">
        <w:rPr>
          <w:rFonts w:ascii="Times New Roman" w:hAnsi="Times New Roman"/>
          <w:b/>
          <w:sz w:val="24"/>
          <w:szCs w:val="24"/>
        </w:rPr>
        <w:lastRenderedPageBreak/>
        <w:t>Conclusion</w:t>
      </w:r>
    </w:p>
    <w:p w14:paraId="26D1BFD9" w14:textId="77777777" w:rsidR="005D6F1D" w:rsidRPr="00381A22" w:rsidRDefault="005D6F1D" w:rsidP="005D6F1D">
      <w:pPr>
        <w:rPr>
          <w:rFonts w:ascii="Times New Roman" w:hAnsi="Times New Roman"/>
          <w:sz w:val="24"/>
          <w:szCs w:val="24"/>
        </w:rPr>
      </w:pPr>
    </w:p>
    <w:p w14:paraId="382115B7" w14:textId="4B541737" w:rsidR="00F14AE9" w:rsidRPr="00381A22" w:rsidRDefault="005D6F1D" w:rsidP="005D6F1D">
      <w:pPr>
        <w:rPr>
          <w:rFonts w:ascii="Times New Roman" w:hAnsi="Times New Roman"/>
          <w:sz w:val="24"/>
          <w:szCs w:val="24"/>
        </w:rPr>
      </w:pPr>
      <w:r w:rsidRPr="00381A22">
        <w:rPr>
          <w:rFonts w:ascii="Times New Roman" w:hAnsi="Times New Roman"/>
          <w:sz w:val="24"/>
          <w:szCs w:val="24"/>
        </w:rPr>
        <w:t>Table item</w:t>
      </w:r>
      <w:r w:rsidR="002E5DBC" w:rsidRPr="00381A22">
        <w:rPr>
          <w:rFonts w:ascii="Times New Roman" w:hAnsi="Times New Roman"/>
          <w:sz w:val="24"/>
          <w:szCs w:val="24"/>
        </w:rPr>
        <w:t xml:space="preserve"> 432</w:t>
      </w:r>
      <w:r w:rsidRPr="00381A22">
        <w:rPr>
          <w:rFonts w:ascii="Times New Roman" w:hAnsi="Times New Roman"/>
          <w:sz w:val="24"/>
          <w:szCs w:val="24"/>
        </w:rPr>
        <w:t xml:space="preserve"> is compatible with human rights because it promotes the right to education as well as the right to work under the ICESCR</w:t>
      </w:r>
      <w:r w:rsidR="00DC1069" w:rsidRPr="00381A22">
        <w:rPr>
          <w:rFonts w:ascii="Times New Roman" w:hAnsi="Times New Roman"/>
          <w:sz w:val="24"/>
          <w:szCs w:val="24"/>
        </w:rPr>
        <w:t>, and the right of the child to education under the CRC.</w:t>
      </w:r>
    </w:p>
    <w:p w14:paraId="574CC5D8" w14:textId="77777777" w:rsidR="00F14AE9" w:rsidRPr="00381A22" w:rsidRDefault="00F14AE9" w:rsidP="005D6F1D">
      <w:pPr>
        <w:rPr>
          <w:rFonts w:ascii="Times New Roman" w:hAnsi="Times New Roman"/>
          <w:sz w:val="24"/>
          <w:szCs w:val="24"/>
        </w:rPr>
      </w:pPr>
    </w:p>
    <w:p w14:paraId="04C05B36" w14:textId="4E999C5B" w:rsidR="00F14AE9" w:rsidRPr="00381A22" w:rsidRDefault="00F14AE9" w:rsidP="00F14AE9">
      <w:pPr>
        <w:rPr>
          <w:rFonts w:ascii="Times New Roman" w:hAnsi="Times New Roman"/>
          <w:i/>
          <w:sz w:val="24"/>
          <w:szCs w:val="24"/>
          <w:u w:val="single"/>
        </w:rPr>
      </w:pPr>
      <w:r w:rsidRPr="00381A22">
        <w:rPr>
          <w:rFonts w:ascii="Times New Roman" w:hAnsi="Times New Roman"/>
          <w:i/>
          <w:sz w:val="24"/>
          <w:szCs w:val="24"/>
          <w:u w:val="single"/>
        </w:rPr>
        <w:t>Table item</w:t>
      </w:r>
      <w:r w:rsidR="002E5DBC" w:rsidRPr="00381A22">
        <w:rPr>
          <w:rFonts w:ascii="Times New Roman" w:hAnsi="Times New Roman"/>
          <w:i/>
          <w:sz w:val="24"/>
          <w:szCs w:val="24"/>
          <w:u w:val="single"/>
        </w:rPr>
        <w:t xml:space="preserve"> 433</w:t>
      </w:r>
      <w:r w:rsidRPr="00381A22">
        <w:rPr>
          <w:rFonts w:ascii="Times New Roman" w:hAnsi="Times New Roman"/>
          <w:i/>
          <w:sz w:val="24"/>
          <w:szCs w:val="24"/>
          <w:u w:val="single"/>
        </w:rPr>
        <w:t xml:space="preserve"> – Local Jobs – COVID-19</w:t>
      </w:r>
      <w:r w:rsidR="002E5DBC" w:rsidRPr="00381A22">
        <w:rPr>
          <w:rFonts w:ascii="Times New Roman" w:hAnsi="Times New Roman"/>
          <w:i/>
          <w:sz w:val="24"/>
          <w:szCs w:val="24"/>
          <w:u w:val="single"/>
        </w:rPr>
        <w:t xml:space="preserve"> </w:t>
      </w:r>
      <w:r w:rsidRPr="00381A22">
        <w:rPr>
          <w:rFonts w:ascii="Times New Roman" w:hAnsi="Times New Roman"/>
          <w:i/>
          <w:sz w:val="24"/>
          <w:szCs w:val="24"/>
          <w:u w:val="single"/>
        </w:rPr>
        <w:t>Recovery Pilot</w:t>
      </w:r>
    </w:p>
    <w:p w14:paraId="1DB6BCDF" w14:textId="77777777" w:rsidR="00F14AE9" w:rsidRPr="00381A22" w:rsidRDefault="00F14AE9" w:rsidP="00F14AE9">
      <w:pPr>
        <w:rPr>
          <w:rFonts w:ascii="Times New Roman" w:hAnsi="Times New Roman"/>
          <w:i/>
          <w:sz w:val="24"/>
          <w:szCs w:val="24"/>
          <w:u w:val="single"/>
        </w:rPr>
      </w:pPr>
    </w:p>
    <w:p w14:paraId="6B59A922" w14:textId="6D6E2973" w:rsidR="00F14AE9" w:rsidRPr="00381A22" w:rsidRDefault="00F14AE9" w:rsidP="00F14AE9">
      <w:pPr>
        <w:tabs>
          <w:tab w:val="left" w:pos="936"/>
        </w:tabs>
        <w:rPr>
          <w:rFonts w:ascii="Times New Roman" w:hAnsi="Times New Roman"/>
          <w:sz w:val="24"/>
          <w:szCs w:val="24"/>
          <w:lang w:val="en-GB"/>
        </w:rPr>
      </w:pPr>
      <w:proofErr w:type="gramStart"/>
      <w:r w:rsidRPr="00381A22">
        <w:rPr>
          <w:rFonts w:ascii="Times New Roman" w:hAnsi="Times New Roman"/>
          <w:sz w:val="24"/>
          <w:szCs w:val="24"/>
        </w:rPr>
        <w:t>Table item</w:t>
      </w:r>
      <w:r w:rsidR="002E5DBC" w:rsidRPr="00381A22">
        <w:rPr>
          <w:rFonts w:ascii="Times New Roman" w:hAnsi="Times New Roman"/>
          <w:sz w:val="24"/>
          <w:szCs w:val="24"/>
        </w:rPr>
        <w:t xml:space="preserve"> 433</w:t>
      </w:r>
      <w:r w:rsidRPr="00381A22">
        <w:rPr>
          <w:rFonts w:ascii="Times New Roman" w:hAnsi="Times New Roman"/>
          <w:sz w:val="24"/>
          <w:szCs w:val="24"/>
        </w:rPr>
        <w:t xml:space="preserve"> establishes legislative authority for government spending on the Local Jobs – COVID-19 Recovery Pilot (the Local Jobs Pilot), which will support </w:t>
      </w:r>
      <w:r w:rsidRPr="00381A22">
        <w:rPr>
          <w:rFonts w:ascii="Times New Roman" w:hAnsi="Times New Roman"/>
          <w:sz w:val="24"/>
          <w:szCs w:val="24"/>
          <w:lang w:val="en-GB"/>
        </w:rPr>
        <w:t xml:space="preserve">local organisations and stakeholders to develop and implement tailored approaches to accelerate reskilling, upskilling and employment of job seekers in </w:t>
      </w:r>
      <w:r w:rsidR="00DC608B" w:rsidRPr="00381A22">
        <w:rPr>
          <w:rFonts w:ascii="Times New Roman" w:hAnsi="Times New Roman"/>
          <w:sz w:val="24"/>
          <w:szCs w:val="24"/>
          <w:lang w:val="en-GB"/>
        </w:rPr>
        <w:t>selected</w:t>
      </w:r>
      <w:r w:rsidRPr="00381A22">
        <w:rPr>
          <w:rFonts w:ascii="Times New Roman" w:hAnsi="Times New Roman"/>
          <w:sz w:val="24"/>
          <w:szCs w:val="24"/>
          <w:lang w:val="en-GB"/>
        </w:rPr>
        <w:t xml:space="preserve"> Employment Regions in Australia through the engagement of Employment Facilitators and the establishment of Local Jobs and Skills Taskforces.</w:t>
      </w:r>
      <w:proofErr w:type="gramEnd"/>
    </w:p>
    <w:p w14:paraId="69BA7CE1" w14:textId="77777777" w:rsidR="00F14AE9" w:rsidRPr="00381A22" w:rsidRDefault="00F14AE9" w:rsidP="00F14AE9">
      <w:pPr>
        <w:tabs>
          <w:tab w:val="left" w:pos="936"/>
        </w:tabs>
        <w:rPr>
          <w:rFonts w:ascii="Times New Roman" w:hAnsi="Times New Roman"/>
          <w:sz w:val="24"/>
          <w:szCs w:val="24"/>
        </w:rPr>
      </w:pPr>
    </w:p>
    <w:p w14:paraId="3255A393" w14:textId="77777777" w:rsidR="00F14AE9" w:rsidRPr="00381A22" w:rsidRDefault="00F14AE9" w:rsidP="00F14AE9">
      <w:pPr>
        <w:tabs>
          <w:tab w:val="left" w:pos="936"/>
        </w:tabs>
        <w:rPr>
          <w:rFonts w:ascii="Times New Roman" w:hAnsi="Times New Roman"/>
          <w:iCs/>
          <w:sz w:val="24"/>
          <w:szCs w:val="24"/>
        </w:rPr>
      </w:pPr>
      <w:r w:rsidRPr="00381A22">
        <w:rPr>
          <w:rFonts w:ascii="Times New Roman" w:hAnsi="Times New Roman"/>
          <w:iCs/>
          <w:sz w:val="24"/>
          <w:szCs w:val="24"/>
        </w:rPr>
        <w:t>The aim of the Local Jobs Pilot is to ensure that, from July 2020, as many people as possible are placed in appropriate employment or training opportunities, as quickly as possible, as the labour market recovers from the COVID-19 pandemic.</w:t>
      </w:r>
    </w:p>
    <w:p w14:paraId="1A70FE18" w14:textId="77777777" w:rsidR="00F14AE9" w:rsidRPr="00381A22" w:rsidRDefault="00F14AE9" w:rsidP="00F14AE9">
      <w:pPr>
        <w:tabs>
          <w:tab w:val="left" w:pos="936"/>
        </w:tabs>
        <w:rPr>
          <w:rFonts w:ascii="Times New Roman" w:hAnsi="Times New Roman"/>
          <w:iCs/>
          <w:sz w:val="24"/>
          <w:szCs w:val="24"/>
        </w:rPr>
      </w:pPr>
    </w:p>
    <w:p w14:paraId="6A97B80E" w14:textId="77777777" w:rsidR="00F14AE9" w:rsidRPr="00381A22" w:rsidRDefault="00F14AE9" w:rsidP="00F14AE9">
      <w:pPr>
        <w:tabs>
          <w:tab w:val="left" w:pos="936"/>
        </w:tabs>
        <w:rPr>
          <w:rFonts w:ascii="Times New Roman" w:hAnsi="Times New Roman"/>
          <w:sz w:val="24"/>
          <w:szCs w:val="24"/>
        </w:rPr>
      </w:pPr>
      <w:r w:rsidRPr="00381A22">
        <w:rPr>
          <w:rFonts w:ascii="Times New Roman" w:hAnsi="Times New Roman"/>
          <w:sz w:val="24"/>
          <w:szCs w:val="24"/>
        </w:rPr>
        <w:t>Under the Local Jobs Pilot, there will be:</w:t>
      </w:r>
    </w:p>
    <w:p w14:paraId="597CD065" w14:textId="74819778" w:rsidR="00F14AE9" w:rsidRPr="00381A22" w:rsidRDefault="00DC608B" w:rsidP="00F14AE9">
      <w:pPr>
        <w:numPr>
          <w:ilvl w:val="0"/>
          <w:numId w:val="35"/>
        </w:numPr>
        <w:tabs>
          <w:tab w:val="left" w:pos="936"/>
        </w:tabs>
        <w:rPr>
          <w:rFonts w:ascii="Times New Roman" w:hAnsi="Times New Roman"/>
          <w:sz w:val="24"/>
          <w:szCs w:val="24"/>
        </w:rPr>
      </w:pPr>
      <w:r w:rsidRPr="00381A22">
        <w:rPr>
          <w:rFonts w:ascii="Times New Roman" w:hAnsi="Times New Roman"/>
          <w:sz w:val="24"/>
          <w:szCs w:val="24"/>
        </w:rPr>
        <w:t xml:space="preserve">one or two </w:t>
      </w:r>
      <w:r w:rsidR="00F14AE9" w:rsidRPr="00381A22">
        <w:rPr>
          <w:rFonts w:ascii="Times New Roman" w:hAnsi="Times New Roman"/>
          <w:sz w:val="24"/>
          <w:szCs w:val="24"/>
        </w:rPr>
        <w:t xml:space="preserve">Employment Facilitators engaged </w:t>
      </w:r>
      <w:r w:rsidRPr="00381A22">
        <w:rPr>
          <w:rFonts w:ascii="Times New Roman" w:hAnsi="Times New Roman"/>
          <w:sz w:val="24"/>
          <w:szCs w:val="24"/>
        </w:rPr>
        <w:t xml:space="preserve">in each </w:t>
      </w:r>
      <w:r w:rsidR="00F14AE9" w:rsidRPr="00381A22">
        <w:rPr>
          <w:rFonts w:ascii="Times New Roman" w:hAnsi="Times New Roman"/>
          <w:sz w:val="24"/>
          <w:szCs w:val="24"/>
        </w:rPr>
        <w:t>Employment Region</w:t>
      </w:r>
      <w:r w:rsidRPr="00381A22">
        <w:rPr>
          <w:rFonts w:ascii="Times New Roman" w:hAnsi="Times New Roman"/>
          <w:sz w:val="24"/>
          <w:szCs w:val="24"/>
        </w:rPr>
        <w:t xml:space="preserve"> involved</w:t>
      </w:r>
      <w:r w:rsidR="00F14AE9" w:rsidRPr="00381A22">
        <w:rPr>
          <w:rFonts w:ascii="Times New Roman" w:hAnsi="Times New Roman"/>
          <w:sz w:val="24"/>
          <w:szCs w:val="24"/>
        </w:rPr>
        <w:t>;</w:t>
      </w:r>
    </w:p>
    <w:p w14:paraId="24538E55" w14:textId="5D39C9D2" w:rsidR="00F14AE9" w:rsidRPr="00381A22" w:rsidRDefault="00075D55" w:rsidP="00F14AE9">
      <w:pPr>
        <w:numPr>
          <w:ilvl w:val="0"/>
          <w:numId w:val="35"/>
        </w:numPr>
        <w:tabs>
          <w:tab w:val="left" w:pos="936"/>
        </w:tabs>
        <w:rPr>
          <w:rFonts w:ascii="Times New Roman" w:hAnsi="Times New Roman"/>
          <w:sz w:val="24"/>
          <w:szCs w:val="24"/>
        </w:rPr>
      </w:pPr>
      <w:r w:rsidRPr="00381A22">
        <w:rPr>
          <w:rFonts w:ascii="Times New Roman" w:hAnsi="Times New Roman"/>
          <w:sz w:val="24"/>
          <w:szCs w:val="24"/>
        </w:rPr>
        <w:t xml:space="preserve">Local </w:t>
      </w:r>
      <w:r w:rsidR="00F14AE9" w:rsidRPr="00381A22">
        <w:rPr>
          <w:rFonts w:ascii="Times New Roman" w:hAnsi="Times New Roman"/>
          <w:sz w:val="24"/>
          <w:szCs w:val="24"/>
        </w:rPr>
        <w:t>Jobs and Skills Taskforces established in each Employment Region</w:t>
      </w:r>
      <w:r w:rsidR="004B5D60" w:rsidRPr="00381A22">
        <w:rPr>
          <w:rFonts w:ascii="Times New Roman" w:hAnsi="Times New Roman"/>
          <w:sz w:val="24"/>
          <w:szCs w:val="24"/>
        </w:rPr>
        <w:t xml:space="preserve"> involved</w:t>
      </w:r>
      <w:r w:rsidR="00F14AE9" w:rsidRPr="00381A22">
        <w:rPr>
          <w:rFonts w:ascii="Times New Roman" w:hAnsi="Times New Roman"/>
          <w:sz w:val="24"/>
          <w:szCs w:val="24"/>
        </w:rPr>
        <w:t>;</w:t>
      </w:r>
    </w:p>
    <w:p w14:paraId="34880BFA" w14:textId="1FC9CDB4" w:rsidR="00F14AE9" w:rsidRPr="00381A22" w:rsidRDefault="00F14AE9" w:rsidP="00F14AE9">
      <w:pPr>
        <w:numPr>
          <w:ilvl w:val="0"/>
          <w:numId w:val="35"/>
        </w:numPr>
        <w:tabs>
          <w:tab w:val="left" w:pos="936"/>
        </w:tabs>
        <w:rPr>
          <w:rFonts w:ascii="Times New Roman" w:hAnsi="Times New Roman"/>
          <w:sz w:val="24"/>
          <w:szCs w:val="24"/>
        </w:rPr>
      </w:pPr>
      <w:r w:rsidRPr="00381A22">
        <w:rPr>
          <w:rFonts w:ascii="Times New Roman" w:hAnsi="Times New Roman"/>
          <w:sz w:val="24"/>
          <w:szCs w:val="24"/>
        </w:rPr>
        <w:t>a Local Jobs Plan</w:t>
      </w:r>
      <w:r w:rsidRPr="00381A22" w:rsidDel="00F51A2D">
        <w:rPr>
          <w:rFonts w:ascii="Times New Roman" w:hAnsi="Times New Roman"/>
          <w:sz w:val="24"/>
          <w:szCs w:val="24"/>
        </w:rPr>
        <w:t xml:space="preserve"> </w:t>
      </w:r>
      <w:r w:rsidRPr="00381A22">
        <w:rPr>
          <w:rFonts w:ascii="Times New Roman" w:hAnsi="Times New Roman"/>
          <w:sz w:val="24"/>
          <w:szCs w:val="24"/>
        </w:rPr>
        <w:t>for each Employment Region, developed by the</w:t>
      </w:r>
      <w:r w:rsidR="00075D55" w:rsidRPr="00381A22">
        <w:rPr>
          <w:rFonts w:ascii="Times New Roman" w:hAnsi="Times New Roman"/>
          <w:sz w:val="24"/>
          <w:szCs w:val="24"/>
        </w:rPr>
        <w:t xml:space="preserve"> Local</w:t>
      </w:r>
      <w:r w:rsidR="00B64E68" w:rsidRPr="00381A22">
        <w:rPr>
          <w:rFonts w:ascii="Times New Roman" w:hAnsi="Times New Roman"/>
          <w:sz w:val="24"/>
          <w:szCs w:val="24"/>
        </w:rPr>
        <w:t xml:space="preserve"> </w:t>
      </w:r>
      <w:r w:rsidRPr="00381A22">
        <w:rPr>
          <w:rFonts w:ascii="Times New Roman" w:hAnsi="Times New Roman"/>
          <w:sz w:val="24"/>
          <w:szCs w:val="24"/>
        </w:rPr>
        <w:t>Jobs and Skills Taskforces through engagement with their members, local stakeholders and other organisations where appropriate; and</w:t>
      </w:r>
    </w:p>
    <w:p w14:paraId="62403907" w14:textId="77777777" w:rsidR="00F14AE9" w:rsidRPr="00381A22" w:rsidRDefault="00F14AE9" w:rsidP="00F14AE9">
      <w:pPr>
        <w:numPr>
          <w:ilvl w:val="0"/>
          <w:numId w:val="35"/>
        </w:numPr>
        <w:tabs>
          <w:tab w:val="left" w:pos="936"/>
        </w:tabs>
        <w:rPr>
          <w:rFonts w:ascii="Times New Roman" w:hAnsi="Times New Roman"/>
          <w:sz w:val="24"/>
          <w:szCs w:val="24"/>
        </w:rPr>
      </w:pPr>
      <w:proofErr w:type="gramStart"/>
      <w:r w:rsidRPr="00381A22">
        <w:rPr>
          <w:rFonts w:ascii="Times New Roman" w:hAnsi="Times New Roman"/>
          <w:sz w:val="24"/>
          <w:szCs w:val="24"/>
        </w:rPr>
        <w:t>projects</w:t>
      </w:r>
      <w:proofErr w:type="gramEnd"/>
      <w:r w:rsidRPr="00381A22">
        <w:rPr>
          <w:rFonts w:ascii="Times New Roman" w:hAnsi="Times New Roman"/>
          <w:sz w:val="24"/>
          <w:szCs w:val="24"/>
        </w:rPr>
        <w:t xml:space="preserve"> in each Employment Region, funded through a Local Recovery Fund. </w:t>
      </w:r>
    </w:p>
    <w:p w14:paraId="54D8BF1F" w14:textId="77777777" w:rsidR="00F14AE9" w:rsidRPr="00381A22" w:rsidRDefault="00F14AE9" w:rsidP="00F14AE9">
      <w:pPr>
        <w:tabs>
          <w:tab w:val="left" w:pos="936"/>
        </w:tabs>
        <w:rPr>
          <w:rFonts w:ascii="Times New Roman" w:hAnsi="Times New Roman"/>
          <w:sz w:val="24"/>
          <w:szCs w:val="24"/>
        </w:rPr>
      </w:pPr>
    </w:p>
    <w:p w14:paraId="5CD0C6FA" w14:textId="379ACB63" w:rsidR="00F14AE9" w:rsidRPr="00381A22" w:rsidRDefault="00F14AE9" w:rsidP="00F14AE9">
      <w:pPr>
        <w:pStyle w:val="Default"/>
        <w:rPr>
          <w:color w:val="auto"/>
        </w:rPr>
      </w:pPr>
      <w:r w:rsidRPr="00381A22">
        <w:rPr>
          <w:color w:val="auto"/>
        </w:rPr>
        <w:t>The key role of each Employment Facilitator is to support the delivery of place-based training and employment outcomes under the Local Jobs Pilot. Employment Facilitators will be responsible for liaising with the wider community to connect job seekers with employment and training programs and providers, including employment services providers.</w:t>
      </w:r>
    </w:p>
    <w:p w14:paraId="506E4B2C" w14:textId="77777777" w:rsidR="00F14AE9" w:rsidRPr="00381A22" w:rsidRDefault="00F14AE9" w:rsidP="00F14AE9">
      <w:pPr>
        <w:pStyle w:val="Default"/>
        <w:rPr>
          <w:color w:val="auto"/>
        </w:rPr>
      </w:pPr>
    </w:p>
    <w:p w14:paraId="3246B578" w14:textId="12337E39" w:rsidR="00F14AE9" w:rsidRPr="00381A22" w:rsidRDefault="00F14AE9" w:rsidP="00F14AE9">
      <w:pPr>
        <w:tabs>
          <w:tab w:val="left" w:pos="936"/>
        </w:tabs>
        <w:rPr>
          <w:rFonts w:ascii="Times New Roman" w:hAnsi="Times New Roman"/>
          <w:sz w:val="24"/>
          <w:szCs w:val="24"/>
        </w:rPr>
      </w:pPr>
      <w:r w:rsidRPr="00381A22">
        <w:rPr>
          <w:rFonts w:ascii="Times New Roman" w:hAnsi="Times New Roman"/>
          <w:sz w:val="24"/>
          <w:szCs w:val="24"/>
        </w:rPr>
        <w:t>The key role of the</w:t>
      </w:r>
      <w:r w:rsidR="00075D55" w:rsidRPr="00381A22">
        <w:rPr>
          <w:rFonts w:ascii="Times New Roman" w:hAnsi="Times New Roman"/>
          <w:sz w:val="24"/>
          <w:szCs w:val="24"/>
        </w:rPr>
        <w:t xml:space="preserve"> Local</w:t>
      </w:r>
      <w:r w:rsidR="00E64C3A" w:rsidRPr="00381A22">
        <w:rPr>
          <w:rFonts w:ascii="Times New Roman" w:hAnsi="Times New Roman"/>
          <w:sz w:val="24"/>
          <w:szCs w:val="24"/>
        </w:rPr>
        <w:t xml:space="preserve"> Jobs and Skills</w:t>
      </w:r>
      <w:r w:rsidRPr="00381A22">
        <w:rPr>
          <w:rFonts w:ascii="Times New Roman" w:hAnsi="Times New Roman"/>
          <w:sz w:val="24"/>
          <w:szCs w:val="24"/>
        </w:rPr>
        <w:t xml:space="preserve"> Taskforces is to drive local projects and bring together key organisations involved in local economic development, social support organisations, local and state governments, and employment service</w:t>
      </w:r>
      <w:r w:rsidR="00E64C3A" w:rsidRPr="00381A22">
        <w:rPr>
          <w:rFonts w:ascii="Times New Roman" w:hAnsi="Times New Roman"/>
          <w:sz w:val="24"/>
          <w:szCs w:val="24"/>
        </w:rPr>
        <w:t>s</w:t>
      </w:r>
      <w:r w:rsidRPr="00381A22">
        <w:rPr>
          <w:rFonts w:ascii="Times New Roman" w:hAnsi="Times New Roman"/>
          <w:sz w:val="24"/>
          <w:szCs w:val="24"/>
        </w:rPr>
        <w:t xml:space="preserve"> providers.</w:t>
      </w:r>
    </w:p>
    <w:p w14:paraId="5DAC984E" w14:textId="77777777" w:rsidR="00F14AE9" w:rsidRPr="00381A22" w:rsidRDefault="00F14AE9" w:rsidP="00F14AE9">
      <w:pPr>
        <w:pStyle w:val="Default"/>
        <w:rPr>
          <w:color w:val="auto"/>
        </w:rPr>
      </w:pPr>
    </w:p>
    <w:p w14:paraId="415BCEC3" w14:textId="77777777" w:rsidR="00F14AE9" w:rsidRPr="00381A22" w:rsidRDefault="00F14AE9" w:rsidP="00F14AE9">
      <w:pPr>
        <w:pStyle w:val="Default"/>
        <w:rPr>
          <w:color w:val="auto"/>
        </w:rPr>
      </w:pPr>
      <w:r w:rsidRPr="00381A22">
        <w:rPr>
          <w:color w:val="auto"/>
        </w:rPr>
        <w:t xml:space="preserve">A Local Jobs Plan </w:t>
      </w:r>
      <w:proofErr w:type="gramStart"/>
      <w:r w:rsidRPr="00381A22">
        <w:rPr>
          <w:color w:val="auto"/>
        </w:rPr>
        <w:t>will be developed</w:t>
      </w:r>
      <w:proofErr w:type="gramEnd"/>
      <w:r w:rsidRPr="00381A22">
        <w:rPr>
          <w:color w:val="auto"/>
        </w:rPr>
        <w:t xml:space="preserve"> by each Taskforce to identify key employment priorities for each region and opportunities to improve the skills of job seekers in order to better meet employer demand.</w:t>
      </w:r>
    </w:p>
    <w:p w14:paraId="7A17F44A" w14:textId="77777777" w:rsidR="00F14AE9" w:rsidRPr="00381A22" w:rsidRDefault="00F14AE9" w:rsidP="00F14AE9">
      <w:pPr>
        <w:pStyle w:val="Default"/>
        <w:rPr>
          <w:color w:val="auto"/>
        </w:rPr>
      </w:pPr>
    </w:p>
    <w:p w14:paraId="0403B8D7" w14:textId="00603C3D" w:rsidR="00F14AE9" w:rsidRPr="00381A22" w:rsidRDefault="00F14AE9" w:rsidP="00F14AE9">
      <w:pPr>
        <w:tabs>
          <w:tab w:val="left" w:pos="936"/>
        </w:tabs>
        <w:rPr>
          <w:rFonts w:ascii="Times New Roman" w:hAnsi="Times New Roman"/>
          <w:sz w:val="24"/>
          <w:szCs w:val="24"/>
        </w:rPr>
      </w:pPr>
      <w:r w:rsidRPr="00381A22">
        <w:rPr>
          <w:rFonts w:ascii="Times New Roman" w:hAnsi="Times New Roman"/>
          <w:sz w:val="24"/>
          <w:szCs w:val="24"/>
        </w:rPr>
        <w:t>A Local Recovery Fund will be available across the Employment Regions for projects that meet the employment and training priorities identified in the Local Jobs Plan</w:t>
      </w:r>
      <w:r w:rsidR="002E5DBC" w:rsidRPr="00381A22">
        <w:rPr>
          <w:rFonts w:ascii="Times New Roman" w:hAnsi="Times New Roman"/>
          <w:sz w:val="24"/>
          <w:szCs w:val="24"/>
        </w:rPr>
        <w:t>s</w:t>
      </w:r>
      <w:r w:rsidRPr="00381A22">
        <w:rPr>
          <w:rFonts w:ascii="Times New Roman" w:hAnsi="Times New Roman"/>
          <w:sz w:val="24"/>
          <w:szCs w:val="24"/>
        </w:rPr>
        <w:t xml:space="preserve">, which </w:t>
      </w:r>
      <w:proofErr w:type="gramStart"/>
      <w:r w:rsidRPr="00381A22">
        <w:rPr>
          <w:rFonts w:ascii="Times New Roman" w:hAnsi="Times New Roman"/>
          <w:sz w:val="24"/>
          <w:szCs w:val="24"/>
        </w:rPr>
        <w:t>will be tailored</w:t>
      </w:r>
      <w:proofErr w:type="gramEnd"/>
      <w:r w:rsidRPr="00381A22">
        <w:rPr>
          <w:rFonts w:ascii="Times New Roman" w:hAnsi="Times New Roman"/>
          <w:sz w:val="24"/>
          <w:szCs w:val="24"/>
        </w:rPr>
        <w:t xml:space="preserve"> to the opportunities and needs identified in each region. </w:t>
      </w:r>
    </w:p>
    <w:p w14:paraId="1DD6D09F" w14:textId="77777777" w:rsidR="00F14AE9" w:rsidRPr="00381A22" w:rsidRDefault="00F14AE9" w:rsidP="00F14AE9">
      <w:pPr>
        <w:pStyle w:val="Default"/>
        <w:rPr>
          <w:color w:val="auto"/>
        </w:rPr>
      </w:pPr>
    </w:p>
    <w:p w14:paraId="550E264C" w14:textId="77777777" w:rsidR="00F14AE9" w:rsidRPr="00381A22" w:rsidRDefault="00F14AE9" w:rsidP="00F14AE9">
      <w:pPr>
        <w:rPr>
          <w:rFonts w:ascii="Times New Roman" w:hAnsi="Times New Roman"/>
          <w:b/>
          <w:sz w:val="24"/>
          <w:szCs w:val="24"/>
        </w:rPr>
      </w:pPr>
      <w:r w:rsidRPr="00381A22">
        <w:rPr>
          <w:rFonts w:ascii="Times New Roman" w:hAnsi="Times New Roman"/>
          <w:b/>
          <w:sz w:val="24"/>
          <w:szCs w:val="24"/>
        </w:rPr>
        <w:t xml:space="preserve">Human rights implications </w:t>
      </w:r>
    </w:p>
    <w:p w14:paraId="1AE016D7" w14:textId="77777777" w:rsidR="00F14AE9" w:rsidRPr="00381A22" w:rsidRDefault="00F14AE9" w:rsidP="00F14AE9">
      <w:pPr>
        <w:ind w:right="-46"/>
        <w:rPr>
          <w:rFonts w:ascii="Times New Roman" w:hAnsi="Times New Roman"/>
          <w:sz w:val="24"/>
          <w:szCs w:val="24"/>
        </w:rPr>
      </w:pPr>
    </w:p>
    <w:p w14:paraId="21D8F8CB" w14:textId="1C187317" w:rsidR="00F14AE9" w:rsidRPr="00381A22" w:rsidRDefault="00F14AE9" w:rsidP="00F14AE9">
      <w:pPr>
        <w:shd w:val="clear" w:color="auto" w:fill="FFFFFF"/>
        <w:rPr>
          <w:rFonts w:ascii="Times New Roman" w:hAnsi="Times New Roman"/>
          <w:sz w:val="24"/>
          <w:szCs w:val="24"/>
        </w:rPr>
      </w:pPr>
      <w:r w:rsidRPr="00381A22">
        <w:rPr>
          <w:rFonts w:ascii="Times New Roman" w:hAnsi="Times New Roman"/>
          <w:sz w:val="24"/>
          <w:szCs w:val="24"/>
        </w:rPr>
        <w:t>Table item</w:t>
      </w:r>
      <w:r w:rsidR="002E5DBC" w:rsidRPr="00381A22">
        <w:rPr>
          <w:rFonts w:ascii="Times New Roman" w:hAnsi="Times New Roman"/>
          <w:sz w:val="24"/>
          <w:szCs w:val="24"/>
        </w:rPr>
        <w:t xml:space="preserve"> 433</w:t>
      </w:r>
      <w:r w:rsidRPr="00381A22">
        <w:rPr>
          <w:rFonts w:ascii="Times New Roman" w:hAnsi="Times New Roman"/>
          <w:sz w:val="24"/>
          <w:szCs w:val="24"/>
        </w:rPr>
        <w:t xml:space="preserve"> engages the right to work (Articles 2 and 6 of the </w:t>
      </w:r>
      <w:r w:rsidRPr="00381A22">
        <w:rPr>
          <w:rFonts w:ascii="Times New Roman" w:hAnsi="Times New Roman"/>
          <w:i/>
          <w:sz w:val="24"/>
          <w:szCs w:val="24"/>
        </w:rPr>
        <w:t>International Covenant on Economic, Social and Cultural Rights</w:t>
      </w:r>
      <w:r w:rsidRPr="00381A22">
        <w:rPr>
          <w:rFonts w:ascii="Times New Roman" w:hAnsi="Times New Roman"/>
          <w:sz w:val="24"/>
          <w:szCs w:val="24"/>
        </w:rPr>
        <w:t xml:space="preserve"> (ICESCR)). </w:t>
      </w:r>
    </w:p>
    <w:p w14:paraId="1BCD508D" w14:textId="331306C0" w:rsidR="002E5DBC" w:rsidRPr="00381A22" w:rsidRDefault="002E5DBC">
      <w:pPr>
        <w:spacing w:after="200" w:line="276" w:lineRule="auto"/>
        <w:rPr>
          <w:rFonts w:ascii="Times New Roman" w:hAnsi="Times New Roman"/>
          <w:i/>
          <w:sz w:val="24"/>
          <w:szCs w:val="24"/>
        </w:rPr>
      </w:pPr>
      <w:r w:rsidRPr="00381A22">
        <w:rPr>
          <w:rFonts w:ascii="Times New Roman" w:hAnsi="Times New Roman"/>
          <w:i/>
          <w:sz w:val="24"/>
          <w:szCs w:val="24"/>
        </w:rPr>
        <w:br w:type="page"/>
      </w:r>
    </w:p>
    <w:p w14:paraId="2E97EBAB" w14:textId="77777777" w:rsidR="00F14AE9" w:rsidRPr="00381A22" w:rsidRDefault="00F14AE9" w:rsidP="00F14AE9">
      <w:pPr>
        <w:rPr>
          <w:rFonts w:ascii="Times New Roman" w:hAnsi="Times New Roman"/>
          <w:i/>
          <w:sz w:val="24"/>
          <w:szCs w:val="24"/>
        </w:rPr>
      </w:pPr>
      <w:r w:rsidRPr="00381A22">
        <w:rPr>
          <w:rFonts w:ascii="Times New Roman" w:hAnsi="Times New Roman"/>
          <w:i/>
          <w:sz w:val="24"/>
          <w:szCs w:val="24"/>
        </w:rPr>
        <w:lastRenderedPageBreak/>
        <w:t>Right to work</w:t>
      </w:r>
    </w:p>
    <w:p w14:paraId="1538CCAD" w14:textId="77777777" w:rsidR="00F14AE9" w:rsidRPr="00381A22" w:rsidRDefault="00F14AE9" w:rsidP="00F14AE9">
      <w:pPr>
        <w:rPr>
          <w:rFonts w:ascii="Times New Roman" w:hAnsi="Times New Roman"/>
          <w:sz w:val="24"/>
          <w:szCs w:val="24"/>
        </w:rPr>
      </w:pPr>
    </w:p>
    <w:p w14:paraId="3F10BC40" w14:textId="4DD7F982" w:rsidR="00F14AE9" w:rsidRPr="00381A22" w:rsidRDefault="00F14AE9" w:rsidP="00F14AE9">
      <w:pPr>
        <w:pStyle w:val="Default"/>
        <w:rPr>
          <w:color w:val="auto"/>
        </w:rPr>
      </w:pPr>
      <w:r w:rsidRPr="00381A22">
        <w:rPr>
          <w:color w:val="auto"/>
        </w:rPr>
        <w:t>Table item</w:t>
      </w:r>
      <w:r w:rsidR="002E5DBC" w:rsidRPr="00381A22">
        <w:rPr>
          <w:color w:val="auto"/>
        </w:rPr>
        <w:t xml:space="preserve"> 433</w:t>
      </w:r>
      <w:r w:rsidRPr="00381A22">
        <w:rPr>
          <w:color w:val="auto"/>
        </w:rPr>
        <w:t xml:space="preserve"> supports Articles 2 and 6 of the ICESCR. Article 2 provides that States Parties shall take steps to adopt legislative measures to realise the rights within the ICESCR including, relevantly, the right to work under Article 6.</w:t>
      </w:r>
    </w:p>
    <w:p w14:paraId="0012ADF5" w14:textId="77777777" w:rsidR="00F14AE9" w:rsidRPr="00381A22" w:rsidRDefault="00F14AE9" w:rsidP="00F14AE9">
      <w:pPr>
        <w:pStyle w:val="Default"/>
        <w:rPr>
          <w:color w:val="auto"/>
        </w:rPr>
      </w:pPr>
    </w:p>
    <w:p w14:paraId="67A84726" w14:textId="77777777" w:rsidR="00F14AE9" w:rsidRPr="00381A22" w:rsidRDefault="00F14AE9" w:rsidP="00F14AE9">
      <w:pPr>
        <w:pStyle w:val="Default"/>
        <w:rPr>
          <w:color w:val="auto"/>
        </w:rPr>
      </w:pPr>
      <w:r w:rsidRPr="00381A22">
        <w:rPr>
          <w:color w:val="auto"/>
        </w:rPr>
        <w:t xml:space="preserve">Article 6(1) recognises ‘the right of everyone to the opportunity to gain his living by work’ and that the State Party ‘will take appropriate steps to safeguard this right’. </w:t>
      </w:r>
      <w:proofErr w:type="gramStart"/>
      <w:r w:rsidRPr="00381A22">
        <w:rPr>
          <w:color w:val="auto"/>
        </w:rPr>
        <w:t>Article 6(2) provides that the steps to be taken by a State Party to the ICESCR ‘to achieve the full realization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freedoms to the individual’.</w:t>
      </w:r>
      <w:proofErr w:type="gramEnd"/>
    </w:p>
    <w:p w14:paraId="3DBE7105" w14:textId="77777777" w:rsidR="00F14AE9" w:rsidRPr="00381A22" w:rsidRDefault="00F14AE9" w:rsidP="00F14AE9">
      <w:pPr>
        <w:pStyle w:val="Default"/>
        <w:rPr>
          <w:color w:val="auto"/>
        </w:rPr>
      </w:pPr>
    </w:p>
    <w:p w14:paraId="4E02A9BA" w14:textId="276AC3D9" w:rsidR="00F14AE9" w:rsidRPr="00381A22" w:rsidRDefault="00F14AE9" w:rsidP="00F14AE9">
      <w:pPr>
        <w:pStyle w:val="Default"/>
        <w:rPr>
          <w:color w:val="auto"/>
        </w:rPr>
      </w:pPr>
      <w:r w:rsidRPr="00381A22">
        <w:rPr>
          <w:color w:val="auto"/>
        </w:rPr>
        <w:t xml:space="preserve">The </w:t>
      </w:r>
      <w:r w:rsidR="00E64C3A" w:rsidRPr="00381A22">
        <w:rPr>
          <w:color w:val="auto"/>
        </w:rPr>
        <w:t>Local Jobs Pilot</w:t>
      </w:r>
      <w:r w:rsidRPr="00381A22">
        <w:rPr>
          <w:color w:val="auto"/>
        </w:rPr>
        <w:t xml:space="preserve"> supports the right to work by funding projects that </w:t>
      </w:r>
      <w:proofErr w:type="gramStart"/>
      <w:r w:rsidRPr="00381A22">
        <w:rPr>
          <w:color w:val="auto"/>
        </w:rPr>
        <w:t>are intended</w:t>
      </w:r>
      <w:proofErr w:type="gramEnd"/>
      <w:r w:rsidRPr="00381A22">
        <w:rPr>
          <w:color w:val="auto"/>
        </w:rPr>
        <w:t xml:space="preserve"> to increase the human capital of participants, to enable them to take advantage of local employment opportunities. Under the </w:t>
      </w:r>
      <w:r w:rsidR="00E64C3A" w:rsidRPr="00381A22">
        <w:rPr>
          <w:color w:val="auto"/>
        </w:rPr>
        <w:t>Local Jobs Pilot</w:t>
      </w:r>
      <w:r w:rsidRPr="00381A22">
        <w:rPr>
          <w:color w:val="auto"/>
        </w:rPr>
        <w:t>, Employment Facilitators will work with local stakeholders on the</w:t>
      </w:r>
      <w:r w:rsidR="00E64C3A" w:rsidRPr="00381A22">
        <w:rPr>
          <w:color w:val="auto"/>
        </w:rPr>
        <w:t xml:space="preserve"> </w:t>
      </w:r>
      <w:r w:rsidR="00B64E68" w:rsidRPr="00381A22">
        <w:rPr>
          <w:color w:val="auto"/>
        </w:rPr>
        <w:t xml:space="preserve">Local </w:t>
      </w:r>
      <w:r w:rsidRPr="00381A22">
        <w:rPr>
          <w:color w:val="auto"/>
        </w:rPr>
        <w:t xml:space="preserve">Jobs and Skills Taskforces to develop Local Jobs Plans. These plans </w:t>
      </w:r>
      <w:proofErr w:type="gramStart"/>
      <w:r w:rsidRPr="00381A22">
        <w:rPr>
          <w:color w:val="auto"/>
        </w:rPr>
        <w:t>will be used</w:t>
      </w:r>
      <w:proofErr w:type="gramEnd"/>
      <w:r w:rsidRPr="00381A22">
        <w:rPr>
          <w:color w:val="auto"/>
        </w:rPr>
        <w:t xml:space="preserve"> to identify the employment and training priorities for each Employment Region and will allow the </w:t>
      </w:r>
      <w:r w:rsidR="00E64C3A" w:rsidRPr="00381A22">
        <w:rPr>
          <w:color w:val="auto"/>
        </w:rPr>
        <w:t>Local Jobs Pilot</w:t>
      </w:r>
      <w:r w:rsidRPr="00381A22">
        <w:rPr>
          <w:color w:val="auto"/>
        </w:rPr>
        <w:t xml:space="preserve"> to prioritise the funding of projects that move unemployed job seekers to employment. </w:t>
      </w:r>
    </w:p>
    <w:p w14:paraId="57362766" w14:textId="77777777" w:rsidR="00F14AE9" w:rsidRPr="00381A22" w:rsidRDefault="00F14AE9" w:rsidP="00F14AE9">
      <w:pPr>
        <w:rPr>
          <w:rFonts w:ascii="Times New Roman" w:hAnsi="Times New Roman"/>
          <w:b/>
          <w:sz w:val="24"/>
        </w:rPr>
      </w:pPr>
    </w:p>
    <w:p w14:paraId="5392644C" w14:textId="77777777" w:rsidR="00F14AE9" w:rsidRPr="00381A22" w:rsidRDefault="00F14AE9" w:rsidP="00F14AE9">
      <w:r w:rsidRPr="00381A22">
        <w:rPr>
          <w:rFonts w:ascii="Times New Roman" w:hAnsi="Times New Roman"/>
          <w:b/>
          <w:sz w:val="24"/>
        </w:rPr>
        <w:t>Conclusion</w:t>
      </w:r>
    </w:p>
    <w:p w14:paraId="321E9532" w14:textId="77777777" w:rsidR="00F14AE9" w:rsidRPr="00381A22" w:rsidRDefault="00F14AE9" w:rsidP="00F14AE9">
      <w:pPr>
        <w:rPr>
          <w:rFonts w:ascii="Times New Roman" w:hAnsi="Times New Roman"/>
          <w:sz w:val="24"/>
          <w:szCs w:val="24"/>
        </w:rPr>
      </w:pPr>
    </w:p>
    <w:p w14:paraId="5A4E73FB" w14:textId="2C5FF795" w:rsidR="00F14AE9" w:rsidRPr="00381A22" w:rsidRDefault="00F14AE9" w:rsidP="00F14AE9">
      <w:pPr>
        <w:rPr>
          <w:rFonts w:ascii="Times New Roman" w:hAnsi="Times New Roman"/>
          <w:sz w:val="24"/>
          <w:szCs w:val="24"/>
        </w:rPr>
      </w:pPr>
      <w:r w:rsidRPr="00381A22">
        <w:rPr>
          <w:rFonts w:ascii="Times New Roman" w:hAnsi="Times New Roman"/>
          <w:sz w:val="24"/>
          <w:szCs w:val="24"/>
        </w:rPr>
        <w:t>Table item</w:t>
      </w:r>
      <w:r w:rsidR="002E5DBC" w:rsidRPr="00381A22">
        <w:rPr>
          <w:rFonts w:ascii="Times New Roman" w:hAnsi="Times New Roman"/>
          <w:sz w:val="24"/>
          <w:szCs w:val="24"/>
        </w:rPr>
        <w:t xml:space="preserve"> 433</w:t>
      </w:r>
      <w:r w:rsidRPr="00381A22">
        <w:rPr>
          <w:rFonts w:ascii="Times New Roman" w:hAnsi="Times New Roman"/>
          <w:sz w:val="24"/>
          <w:szCs w:val="24"/>
        </w:rPr>
        <w:t xml:space="preserve"> is compatible with human rights because it promotes the right to work</w:t>
      </w:r>
      <w:r w:rsidR="00E64C3A" w:rsidRPr="00381A22">
        <w:rPr>
          <w:rFonts w:ascii="Times New Roman" w:hAnsi="Times New Roman"/>
          <w:sz w:val="24"/>
          <w:szCs w:val="24"/>
        </w:rPr>
        <w:t xml:space="preserve"> under the ICESCR</w:t>
      </w:r>
      <w:r w:rsidRPr="00381A22">
        <w:rPr>
          <w:rFonts w:ascii="Times New Roman" w:hAnsi="Times New Roman"/>
          <w:sz w:val="24"/>
          <w:szCs w:val="24"/>
        </w:rPr>
        <w:t>.</w:t>
      </w:r>
    </w:p>
    <w:p w14:paraId="7AA6C5A1" w14:textId="3D666ED5" w:rsidR="00F14AE9" w:rsidRPr="00381A22" w:rsidRDefault="00F14AE9" w:rsidP="00F14AE9">
      <w:pPr>
        <w:rPr>
          <w:rFonts w:ascii="Times New Roman" w:hAnsi="Times New Roman"/>
          <w:i/>
          <w:sz w:val="24"/>
          <w:szCs w:val="24"/>
          <w:u w:val="single"/>
        </w:rPr>
      </w:pPr>
      <w:r w:rsidRPr="00381A22">
        <w:rPr>
          <w:rFonts w:ascii="Times New Roman" w:hAnsi="Times New Roman"/>
          <w:i/>
          <w:sz w:val="24"/>
          <w:szCs w:val="24"/>
          <w:u w:val="single"/>
        </w:rPr>
        <w:t xml:space="preserve"> </w:t>
      </w:r>
    </w:p>
    <w:p w14:paraId="1A2BF702" w14:textId="6A39A4B9" w:rsidR="007745D0" w:rsidRPr="00381A22" w:rsidRDefault="007745D0" w:rsidP="006915EB">
      <w:pPr>
        <w:pStyle w:val="paranumbering0"/>
        <w:spacing w:before="0" w:beforeAutospacing="0" w:after="120" w:afterAutospacing="0"/>
        <w:contextualSpacing/>
        <w:rPr>
          <w:rFonts w:eastAsia="Calibri"/>
        </w:rPr>
      </w:pPr>
    </w:p>
    <w:p w14:paraId="407130A3" w14:textId="77777777" w:rsidR="006915EB" w:rsidRPr="00381A22" w:rsidRDefault="006915EB" w:rsidP="006915EB">
      <w:pPr>
        <w:pStyle w:val="paranumbering0"/>
        <w:spacing w:before="0" w:beforeAutospacing="0" w:after="120" w:afterAutospacing="0"/>
        <w:contextualSpacing/>
        <w:rPr>
          <w:b/>
        </w:rPr>
      </w:pPr>
    </w:p>
    <w:p w14:paraId="23AFD401" w14:textId="348EE02C" w:rsidR="009E257F" w:rsidRPr="00381A22" w:rsidRDefault="009E257F" w:rsidP="00BF526C">
      <w:pPr>
        <w:pStyle w:val="paranumbering0"/>
        <w:spacing w:before="0" w:beforeAutospacing="0" w:after="120" w:afterAutospacing="0"/>
        <w:contextualSpacing/>
        <w:jc w:val="center"/>
        <w:rPr>
          <w:b/>
        </w:rPr>
      </w:pPr>
    </w:p>
    <w:p w14:paraId="683AB6B2" w14:textId="77777777" w:rsidR="002E5DBC" w:rsidRPr="00381A22" w:rsidRDefault="002E5DBC" w:rsidP="00BF526C">
      <w:pPr>
        <w:pStyle w:val="paranumbering0"/>
        <w:spacing w:before="0" w:beforeAutospacing="0" w:after="120" w:afterAutospacing="0"/>
        <w:contextualSpacing/>
        <w:jc w:val="center"/>
        <w:rPr>
          <w:b/>
        </w:rPr>
      </w:pPr>
    </w:p>
    <w:p w14:paraId="2B6500C2" w14:textId="77777777" w:rsidR="00BF526C" w:rsidRPr="00381A22" w:rsidRDefault="00BF526C" w:rsidP="00BF526C">
      <w:pPr>
        <w:pStyle w:val="paranumbering0"/>
        <w:spacing w:before="0" w:beforeAutospacing="0" w:after="120" w:afterAutospacing="0"/>
        <w:contextualSpacing/>
        <w:jc w:val="center"/>
        <w:rPr>
          <w:b/>
        </w:rPr>
      </w:pPr>
      <w:r w:rsidRPr="00381A22">
        <w:rPr>
          <w:b/>
        </w:rPr>
        <w:t xml:space="preserve">Senator the Hon Mathias </w:t>
      </w:r>
      <w:proofErr w:type="spellStart"/>
      <w:r w:rsidRPr="00381A22">
        <w:rPr>
          <w:b/>
        </w:rPr>
        <w:t>Cormann</w:t>
      </w:r>
      <w:proofErr w:type="spellEnd"/>
    </w:p>
    <w:p w14:paraId="5CDAD683" w14:textId="77777777" w:rsidR="006818C0" w:rsidRPr="00904F8A" w:rsidRDefault="00BF526C" w:rsidP="00D57BF8">
      <w:pPr>
        <w:pStyle w:val="paranumbering0"/>
        <w:spacing w:before="0" w:beforeAutospacing="0" w:after="120" w:afterAutospacing="0"/>
        <w:contextualSpacing/>
        <w:jc w:val="center"/>
      </w:pPr>
      <w:r w:rsidRPr="00381A22">
        <w:rPr>
          <w:b/>
        </w:rPr>
        <w:t>Minister for Finance</w:t>
      </w:r>
      <w:bookmarkStart w:id="0" w:name="_GoBack"/>
      <w:bookmarkEnd w:id="0"/>
    </w:p>
    <w:sectPr w:rsidR="006818C0" w:rsidRPr="00904F8A" w:rsidSect="004D676F">
      <w:headerReference w:type="even" r:id="rId16"/>
      <w:headerReference w:type="default" r:id="rId17"/>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CC142" w14:textId="77777777" w:rsidR="00AA1325" w:rsidRDefault="00AA1325" w:rsidP="00A739E5">
      <w:r>
        <w:separator/>
      </w:r>
    </w:p>
  </w:endnote>
  <w:endnote w:type="continuationSeparator" w:id="0">
    <w:p w14:paraId="00507189" w14:textId="77777777" w:rsidR="00AA1325" w:rsidRDefault="00AA1325" w:rsidP="00A739E5">
      <w:r>
        <w:continuationSeparator/>
      </w:r>
    </w:p>
  </w:endnote>
  <w:endnote w:type="continuationNotice" w:id="1">
    <w:p w14:paraId="579A1DE3" w14:textId="77777777" w:rsidR="00AA1325" w:rsidRDefault="00AA1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49982" w14:textId="77777777" w:rsidR="00AA1325" w:rsidRDefault="00AA1325" w:rsidP="00A739E5">
      <w:r>
        <w:separator/>
      </w:r>
    </w:p>
  </w:footnote>
  <w:footnote w:type="continuationSeparator" w:id="0">
    <w:p w14:paraId="3FE9F74C" w14:textId="77777777" w:rsidR="00AA1325" w:rsidRDefault="00AA1325" w:rsidP="00A739E5">
      <w:r>
        <w:continuationSeparator/>
      </w:r>
    </w:p>
  </w:footnote>
  <w:footnote w:type="continuationNotice" w:id="1">
    <w:p w14:paraId="3D72D7AF" w14:textId="77777777" w:rsidR="00AA1325" w:rsidRDefault="00AA13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A3745" w14:textId="7117E776" w:rsidR="00AA1325" w:rsidRDefault="00381A22">
    <w:pPr>
      <w:pStyle w:val="Header"/>
      <w:jc w:val="center"/>
    </w:pPr>
    <w:sdt>
      <w:sdtPr>
        <w:id w:val="8403760"/>
        <w:docPartObj>
          <w:docPartGallery w:val="Page Numbers (Top of Page)"/>
          <w:docPartUnique/>
        </w:docPartObj>
      </w:sdtPr>
      <w:sdtEndPr/>
      <w:sdtContent>
        <w:r w:rsidR="00AA1325">
          <w:fldChar w:fldCharType="begin"/>
        </w:r>
        <w:r w:rsidR="00AA1325">
          <w:instrText xml:space="preserve"> PAGE   \* MERGEFORMAT </w:instrText>
        </w:r>
        <w:r w:rsidR="00AA1325">
          <w:fldChar w:fldCharType="separate"/>
        </w:r>
        <w:r>
          <w:rPr>
            <w:noProof/>
          </w:rPr>
          <w:t>2</w:t>
        </w:r>
        <w:r w:rsidR="00AA1325">
          <w:rPr>
            <w:noProof/>
          </w:rPr>
          <w:fldChar w:fldCharType="end"/>
        </w:r>
      </w:sdtContent>
    </w:sdt>
  </w:p>
  <w:p w14:paraId="1E771F2C" w14:textId="77777777" w:rsidR="00AA1325" w:rsidRDefault="00AA1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FC9E" w14:textId="77777777" w:rsidR="00AA1325" w:rsidRPr="00CA76CF" w:rsidRDefault="00AA1325" w:rsidP="004D676F">
    <w:pPr>
      <w:pStyle w:val="Header"/>
      <w:jc w:val="right"/>
      <w:rPr>
        <w:b/>
        <w:u w:val="single"/>
      </w:rPr>
    </w:pPr>
  </w:p>
  <w:p w14:paraId="685914A9" w14:textId="77777777" w:rsidR="00AA1325" w:rsidRDefault="00AA132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8CB1" w14:textId="77777777" w:rsidR="00AA1325" w:rsidRDefault="00AA13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A82" w14:textId="487E217D" w:rsidR="00AA1325" w:rsidRDefault="00381A22">
    <w:pPr>
      <w:pStyle w:val="Header"/>
      <w:jc w:val="center"/>
    </w:pPr>
    <w:sdt>
      <w:sdtPr>
        <w:id w:val="8403761"/>
        <w:docPartObj>
          <w:docPartGallery w:val="Page Numbers (Top of Page)"/>
          <w:docPartUnique/>
        </w:docPartObj>
      </w:sdtPr>
      <w:sdtEndPr/>
      <w:sdtContent>
        <w:r w:rsidR="00AA1325">
          <w:fldChar w:fldCharType="begin"/>
        </w:r>
        <w:r w:rsidR="00AA1325">
          <w:instrText xml:space="preserve"> PAGE   \* MERGEFORMAT </w:instrText>
        </w:r>
        <w:r w:rsidR="00AA1325">
          <w:fldChar w:fldCharType="separate"/>
        </w:r>
        <w:r>
          <w:rPr>
            <w:noProof/>
          </w:rPr>
          <w:t>20</w:t>
        </w:r>
        <w:r w:rsidR="00AA1325">
          <w:rPr>
            <w:noProof/>
          </w:rPr>
          <w:fldChar w:fldCharType="end"/>
        </w:r>
      </w:sdtContent>
    </w:sdt>
  </w:p>
  <w:p w14:paraId="520087D9" w14:textId="77777777" w:rsidR="00AA1325" w:rsidRDefault="00AA13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53DBB" w14:textId="77777777" w:rsidR="00AA1325" w:rsidRPr="00CA76CF" w:rsidRDefault="00AA1325" w:rsidP="004D676F">
    <w:pPr>
      <w:pStyle w:val="Header"/>
      <w:jc w:val="right"/>
      <w:rPr>
        <w:b/>
        <w:u w:val="single"/>
      </w:rPr>
    </w:pPr>
    <w:r w:rsidRPr="0088187F">
      <w:rPr>
        <w:b/>
        <w:u w:val="single"/>
      </w:rPr>
      <w:t>Attachment A</w:t>
    </w:r>
  </w:p>
  <w:p w14:paraId="1EFE046E" w14:textId="77777777" w:rsidR="00AA1325" w:rsidRDefault="00AA132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9A0AE" w14:textId="77777777" w:rsidR="00AA1325" w:rsidRDefault="00AA132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56F2" w14:textId="6DA22B24" w:rsidR="00AA1325" w:rsidRDefault="00381A22">
    <w:pPr>
      <w:pStyle w:val="Header"/>
      <w:jc w:val="center"/>
    </w:pPr>
    <w:sdt>
      <w:sdtPr>
        <w:id w:val="8403763"/>
        <w:docPartObj>
          <w:docPartGallery w:val="Page Numbers (Top of Page)"/>
          <w:docPartUnique/>
        </w:docPartObj>
      </w:sdtPr>
      <w:sdtEndPr/>
      <w:sdtContent>
        <w:r w:rsidR="00AA1325">
          <w:fldChar w:fldCharType="begin"/>
        </w:r>
        <w:r w:rsidR="00AA1325">
          <w:instrText xml:space="preserve"> PAGE   \* MERGEFORMAT </w:instrText>
        </w:r>
        <w:r w:rsidR="00AA1325">
          <w:fldChar w:fldCharType="separate"/>
        </w:r>
        <w:r>
          <w:rPr>
            <w:noProof/>
          </w:rPr>
          <w:t>8</w:t>
        </w:r>
        <w:r w:rsidR="00AA1325">
          <w:rPr>
            <w:noProof/>
          </w:rPr>
          <w:fldChar w:fldCharType="end"/>
        </w:r>
      </w:sdtContent>
    </w:sdt>
  </w:p>
  <w:p w14:paraId="726453BC" w14:textId="77777777" w:rsidR="00AA1325" w:rsidRDefault="00AA13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D22E" w14:textId="77777777" w:rsidR="00AA1325" w:rsidRPr="00CA76CF" w:rsidRDefault="00AA1325" w:rsidP="004D676F">
    <w:pPr>
      <w:pStyle w:val="Header"/>
      <w:jc w:val="right"/>
      <w:rPr>
        <w:b/>
        <w:u w:val="single"/>
      </w:rPr>
    </w:pPr>
    <w:r w:rsidRPr="0088187F">
      <w:rPr>
        <w:b/>
        <w:u w:val="single"/>
      </w:rPr>
      <w:t xml:space="preserve">Attachment </w:t>
    </w:r>
    <w:r>
      <w:rPr>
        <w:b/>
        <w:u w:val="single"/>
      </w:rPr>
      <w:t>B</w:t>
    </w:r>
  </w:p>
  <w:p w14:paraId="4502288B" w14:textId="77777777" w:rsidR="00AA1325" w:rsidRDefault="00AA13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28"/>
    <w:multiLevelType w:val="hybridMultilevel"/>
    <w:tmpl w:val="15245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B31E8"/>
    <w:multiLevelType w:val="hybridMultilevel"/>
    <w:tmpl w:val="9556A6A8"/>
    <w:lvl w:ilvl="0" w:tplc="0C09000F">
      <w:start w:val="1"/>
      <w:numFmt w:val="decimal"/>
      <w:lvlText w:val="%1."/>
      <w:lvlJc w:val="left"/>
      <w:pPr>
        <w:ind w:left="870" w:hanging="51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10F88"/>
    <w:multiLevelType w:val="hybridMultilevel"/>
    <w:tmpl w:val="EA28A51A"/>
    <w:lvl w:ilvl="0" w:tplc="B1B84BFC">
      <w:start w:val="1"/>
      <w:numFmt w:val="bullet"/>
      <w:lvlText w:val=""/>
      <w:lvlJc w:val="left"/>
      <w:pPr>
        <w:ind w:left="720" w:hanging="360"/>
      </w:pPr>
      <w:rPr>
        <w:rFonts w:ascii="Symbol" w:hAnsi="Symbol" w:hint="default"/>
      </w:rPr>
    </w:lvl>
    <w:lvl w:ilvl="1" w:tplc="9A38CC5E" w:tentative="1">
      <w:start w:val="1"/>
      <w:numFmt w:val="bullet"/>
      <w:lvlText w:val="o"/>
      <w:lvlJc w:val="left"/>
      <w:pPr>
        <w:ind w:left="1440" w:hanging="360"/>
      </w:pPr>
      <w:rPr>
        <w:rFonts w:ascii="Courier New" w:hAnsi="Courier New" w:cs="Courier New" w:hint="default"/>
      </w:rPr>
    </w:lvl>
    <w:lvl w:ilvl="2" w:tplc="D8F81A0E" w:tentative="1">
      <w:start w:val="1"/>
      <w:numFmt w:val="bullet"/>
      <w:lvlText w:val=""/>
      <w:lvlJc w:val="left"/>
      <w:pPr>
        <w:ind w:left="2160" w:hanging="360"/>
      </w:pPr>
      <w:rPr>
        <w:rFonts w:ascii="Wingdings" w:hAnsi="Wingdings" w:hint="default"/>
      </w:rPr>
    </w:lvl>
    <w:lvl w:ilvl="3" w:tplc="E54E7A0C" w:tentative="1">
      <w:start w:val="1"/>
      <w:numFmt w:val="bullet"/>
      <w:lvlText w:val=""/>
      <w:lvlJc w:val="left"/>
      <w:pPr>
        <w:ind w:left="2880" w:hanging="360"/>
      </w:pPr>
      <w:rPr>
        <w:rFonts w:ascii="Symbol" w:hAnsi="Symbol" w:hint="default"/>
      </w:rPr>
    </w:lvl>
    <w:lvl w:ilvl="4" w:tplc="83E20418" w:tentative="1">
      <w:start w:val="1"/>
      <w:numFmt w:val="bullet"/>
      <w:lvlText w:val="o"/>
      <w:lvlJc w:val="left"/>
      <w:pPr>
        <w:ind w:left="3600" w:hanging="360"/>
      </w:pPr>
      <w:rPr>
        <w:rFonts w:ascii="Courier New" w:hAnsi="Courier New" w:cs="Courier New" w:hint="default"/>
      </w:rPr>
    </w:lvl>
    <w:lvl w:ilvl="5" w:tplc="81D8E072" w:tentative="1">
      <w:start w:val="1"/>
      <w:numFmt w:val="bullet"/>
      <w:lvlText w:val=""/>
      <w:lvlJc w:val="left"/>
      <w:pPr>
        <w:ind w:left="4320" w:hanging="360"/>
      </w:pPr>
      <w:rPr>
        <w:rFonts w:ascii="Wingdings" w:hAnsi="Wingdings" w:hint="default"/>
      </w:rPr>
    </w:lvl>
    <w:lvl w:ilvl="6" w:tplc="0C8485CA" w:tentative="1">
      <w:start w:val="1"/>
      <w:numFmt w:val="bullet"/>
      <w:lvlText w:val=""/>
      <w:lvlJc w:val="left"/>
      <w:pPr>
        <w:ind w:left="5040" w:hanging="360"/>
      </w:pPr>
      <w:rPr>
        <w:rFonts w:ascii="Symbol" w:hAnsi="Symbol" w:hint="default"/>
      </w:rPr>
    </w:lvl>
    <w:lvl w:ilvl="7" w:tplc="099CE4AA" w:tentative="1">
      <w:start w:val="1"/>
      <w:numFmt w:val="bullet"/>
      <w:lvlText w:val="o"/>
      <w:lvlJc w:val="left"/>
      <w:pPr>
        <w:ind w:left="5760" w:hanging="360"/>
      </w:pPr>
      <w:rPr>
        <w:rFonts w:ascii="Courier New" w:hAnsi="Courier New" w:cs="Courier New" w:hint="default"/>
      </w:rPr>
    </w:lvl>
    <w:lvl w:ilvl="8" w:tplc="11D0DA5E" w:tentative="1">
      <w:start w:val="1"/>
      <w:numFmt w:val="bullet"/>
      <w:lvlText w:val=""/>
      <w:lvlJc w:val="left"/>
      <w:pPr>
        <w:ind w:left="6480" w:hanging="360"/>
      </w:pPr>
      <w:rPr>
        <w:rFonts w:ascii="Wingdings" w:hAnsi="Wingdings" w:hint="default"/>
      </w:rPr>
    </w:lvl>
  </w:abstractNum>
  <w:abstractNum w:abstractNumId="4" w15:restartNumberingAfterBreak="0">
    <w:nsid w:val="09E24EF4"/>
    <w:multiLevelType w:val="hybridMultilevel"/>
    <w:tmpl w:val="ABA67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B3D16"/>
    <w:multiLevelType w:val="hybridMultilevel"/>
    <w:tmpl w:val="AF341430"/>
    <w:lvl w:ilvl="0" w:tplc="BE72D15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830110D"/>
    <w:multiLevelType w:val="hybridMultilevel"/>
    <w:tmpl w:val="C2E45C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0"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7B16CAC"/>
    <w:multiLevelType w:val="hybridMultilevel"/>
    <w:tmpl w:val="B2563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4"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5" w15:restartNumberingAfterBreak="0">
    <w:nsid w:val="2CC96470"/>
    <w:multiLevelType w:val="hybridMultilevel"/>
    <w:tmpl w:val="E014F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1109ED"/>
    <w:multiLevelType w:val="hybridMultilevel"/>
    <w:tmpl w:val="FE6C2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2D4791"/>
    <w:multiLevelType w:val="hybridMultilevel"/>
    <w:tmpl w:val="825EF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485E1C"/>
    <w:multiLevelType w:val="hybridMultilevel"/>
    <w:tmpl w:val="27FAF1D4"/>
    <w:lvl w:ilvl="0" w:tplc="BC186382">
      <w:start w:val="1"/>
      <w:numFmt w:val="bullet"/>
      <w:lvlText w:val=""/>
      <w:lvlJc w:val="left"/>
      <w:pPr>
        <w:ind w:left="720" w:hanging="360"/>
      </w:pPr>
      <w:rPr>
        <w:rFonts w:ascii="Symbol" w:hAnsi="Symbol" w:hint="default"/>
      </w:rPr>
    </w:lvl>
    <w:lvl w:ilvl="1" w:tplc="E0AA6AC6" w:tentative="1">
      <w:start w:val="1"/>
      <w:numFmt w:val="bullet"/>
      <w:lvlText w:val="o"/>
      <w:lvlJc w:val="left"/>
      <w:pPr>
        <w:ind w:left="1440" w:hanging="360"/>
      </w:pPr>
      <w:rPr>
        <w:rFonts w:ascii="Courier New" w:hAnsi="Courier New" w:cs="Courier New" w:hint="default"/>
      </w:rPr>
    </w:lvl>
    <w:lvl w:ilvl="2" w:tplc="8D7C78FE" w:tentative="1">
      <w:start w:val="1"/>
      <w:numFmt w:val="bullet"/>
      <w:lvlText w:val=""/>
      <w:lvlJc w:val="left"/>
      <w:pPr>
        <w:ind w:left="2160" w:hanging="360"/>
      </w:pPr>
      <w:rPr>
        <w:rFonts w:ascii="Wingdings" w:hAnsi="Wingdings" w:hint="default"/>
      </w:rPr>
    </w:lvl>
    <w:lvl w:ilvl="3" w:tplc="0CA6BC1E" w:tentative="1">
      <w:start w:val="1"/>
      <w:numFmt w:val="bullet"/>
      <w:lvlText w:val=""/>
      <w:lvlJc w:val="left"/>
      <w:pPr>
        <w:ind w:left="2880" w:hanging="360"/>
      </w:pPr>
      <w:rPr>
        <w:rFonts w:ascii="Symbol" w:hAnsi="Symbol" w:hint="default"/>
      </w:rPr>
    </w:lvl>
    <w:lvl w:ilvl="4" w:tplc="6B340CB6" w:tentative="1">
      <w:start w:val="1"/>
      <w:numFmt w:val="bullet"/>
      <w:lvlText w:val="o"/>
      <w:lvlJc w:val="left"/>
      <w:pPr>
        <w:ind w:left="3600" w:hanging="360"/>
      </w:pPr>
      <w:rPr>
        <w:rFonts w:ascii="Courier New" w:hAnsi="Courier New" w:cs="Courier New" w:hint="default"/>
      </w:rPr>
    </w:lvl>
    <w:lvl w:ilvl="5" w:tplc="0C1E487A" w:tentative="1">
      <w:start w:val="1"/>
      <w:numFmt w:val="bullet"/>
      <w:lvlText w:val=""/>
      <w:lvlJc w:val="left"/>
      <w:pPr>
        <w:ind w:left="4320" w:hanging="360"/>
      </w:pPr>
      <w:rPr>
        <w:rFonts w:ascii="Wingdings" w:hAnsi="Wingdings" w:hint="default"/>
      </w:rPr>
    </w:lvl>
    <w:lvl w:ilvl="6" w:tplc="D2C2DB46" w:tentative="1">
      <w:start w:val="1"/>
      <w:numFmt w:val="bullet"/>
      <w:lvlText w:val=""/>
      <w:lvlJc w:val="left"/>
      <w:pPr>
        <w:ind w:left="5040" w:hanging="360"/>
      </w:pPr>
      <w:rPr>
        <w:rFonts w:ascii="Symbol" w:hAnsi="Symbol" w:hint="default"/>
      </w:rPr>
    </w:lvl>
    <w:lvl w:ilvl="7" w:tplc="C540DDC2" w:tentative="1">
      <w:start w:val="1"/>
      <w:numFmt w:val="bullet"/>
      <w:lvlText w:val="o"/>
      <w:lvlJc w:val="left"/>
      <w:pPr>
        <w:ind w:left="5760" w:hanging="360"/>
      </w:pPr>
      <w:rPr>
        <w:rFonts w:ascii="Courier New" w:hAnsi="Courier New" w:cs="Courier New" w:hint="default"/>
      </w:rPr>
    </w:lvl>
    <w:lvl w:ilvl="8" w:tplc="D61C9C60" w:tentative="1">
      <w:start w:val="1"/>
      <w:numFmt w:val="bullet"/>
      <w:lvlText w:val=""/>
      <w:lvlJc w:val="left"/>
      <w:pPr>
        <w:ind w:left="6480" w:hanging="360"/>
      </w:pPr>
      <w:rPr>
        <w:rFonts w:ascii="Wingdings" w:hAnsi="Wingdings" w:hint="default"/>
      </w:rPr>
    </w:lvl>
  </w:abstractNum>
  <w:abstractNum w:abstractNumId="19" w15:restartNumberingAfterBreak="0">
    <w:nsid w:val="376A0A9D"/>
    <w:multiLevelType w:val="hybridMultilevel"/>
    <w:tmpl w:val="C40EC3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F392165"/>
    <w:multiLevelType w:val="hybridMultilevel"/>
    <w:tmpl w:val="343E78BC"/>
    <w:lvl w:ilvl="0" w:tplc="0C090001">
      <w:start w:val="1"/>
      <w:numFmt w:val="bullet"/>
      <w:lvlText w:val=""/>
      <w:lvlJc w:val="left"/>
      <w:pPr>
        <w:ind w:left="720" w:hanging="360"/>
      </w:pPr>
      <w:rPr>
        <w:rFonts w:ascii="Symbol" w:hAnsi="Symbol" w:hint="default"/>
      </w:rPr>
    </w:lvl>
    <w:lvl w:ilvl="1" w:tplc="5268EFB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680E29"/>
    <w:multiLevelType w:val="hybridMultilevel"/>
    <w:tmpl w:val="DB2E1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366A1F"/>
    <w:multiLevelType w:val="hybridMultilevel"/>
    <w:tmpl w:val="ED8EE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0D965C3"/>
    <w:multiLevelType w:val="hybridMultilevel"/>
    <w:tmpl w:val="E7EAB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5EAD5792"/>
    <w:multiLevelType w:val="hybridMultilevel"/>
    <w:tmpl w:val="8AB26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9B6FB7"/>
    <w:multiLevelType w:val="hybridMultilevel"/>
    <w:tmpl w:val="FDCC0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9" w15:restartNumberingAfterBreak="0">
    <w:nsid w:val="678F2A3F"/>
    <w:multiLevelType w:val="multilevel"/>
    <w:tmpl w:val="E208D690"/>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1" w15:restartNumberingAfterBreak="0">
    <w:nsid w:val="71355152"/>
    <w:multiLevelType w:val="hybridMultilevel"/>
    <w:tmpl w:val="38E0474A"/>
    <w:lvl w:ilvl="0" w:tplc="3AE02F98">
      <w:start w:val="12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097646"/>
    <w:multiLevelType w:val="hybridMultilevel"/>
    <w:tmpl w:val="6824B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4257E6"/>
    <w:multiLevelType w:val="hybridMultilevel"/>
    <w:tmpl w:val="9F028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B6230"/>
    <w:multiLevelType w:val="hybridMultilevel"/>
    <w:tmpl w:val="40AC6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3"/>
  </w:num>
  <w:num w:numId="4">
    <w:abstractNumId w:val="14"/>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11"/>
  </w:num>
  <w:num w:numId="10">
    <w:abstractNumId w:val="10"/>
  </w:num>
  <w:num w:numId="11">
    <w:abstractNumId w:val="6"/>
  </w:num>
  <w:num w:numId="12">
    <w:abstractNumId w:val="1"/>
  </w:num>
  <w:num w:numId="13">
    <w:abstractNumId w:val="22"/>
  </w:num>
  <w:num w:numId="14">
    <w:abstractNumId w:val="32"/>
  </w:num>
  <w:num w:numId="15">
    <w:abstractNumId w:val="2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
  </w:num>
  <w:num w:numId="19">
    <w:abstractNumId w:val="3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num>
  <w:num w:numId="23">
    <w:abstractNumId w:val="21"/>
  </w:num>
  <w:num w:numId="24">
    <w:abstractNumId w:val="31"/>
  </w:num>
  <w:num w:numId="25">
    <w:abstractNumId w:val="20"/>
  </w:num>
  <w:num w:numId="26">
    <w:abstractNumId w:val="4"/>
  </w:num>
  <w:num w:numId="27">
    <w:abstractNumId w:val="23"/>
  </w:num>
  <w:num w:numId="28">
    <w:abstractNumId w:val="19"/>
  </w:num>
  <w:num w:numId="29">
    <w:abstractNumId w:val="3"/>
  </w:num>
  <w:num w:numId="30">
    <w:abstractNumId w:val="18"/>
  </w:num>
  <w:num w:numId="31">
    <w:abstractNumId w:val="17"/>
  </w:num>
  <w:num w:numId="32">
    <w:abstractNumId w:val="16"/>
  </w:num>
  <w:num w:numId="33">
    <w:abstractNumId w:val="0"/>
  </w:num>
  <w:num w:numId="34">
    <w:abstractNumId w:val="29"/>
  </w:num>
  <w:num w:numId="35">
    <w:abstractNumId w:val="34"/>
  </w:num>
  <w:num w:numId="36">
    <w:abstractNumId w:val="12"/>
  </w:num>
  <w:num w:numId="3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hideSpellingErrors/>
  <w:hideGrammaticalErrors/>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6B56"/>
    <w:rsid w:val="000070E7"/>
    <w:rsid w:val="00007DF9"/>
    <w:rsid w:val="00010243"/>
    <w:rsid w:val="000114A6"/>
    <w:rsid w:val="000118BB"/>
    <w:rsid w:val="00011DF6"/>
    <w:rsid w:val="00012C74"/>
    <w:rsid w:val="00012CB9"/>
    <w:rsid w:val="00012D44"/>
    <w:rsid w:val="00014FFC"/>
    <w:rsid w:val="00015510"/>
    <w:rsid w:val="00016219"/>
    <w:rsid w:val="00016690"/>
    <w:rsid w:val="00017136"/>
    <w:rsid w:val="000173B6"/>
    <w:rsid w:val="00017611"/>
    <w:rsid w:val="00017E5D"/>
    <w:rsid w:val="000209F7"/>
    <w:rsid w:val="00020BD0"/>
    <w:rsid w:val="000217C4"/>
    <w:rsid w:val="000223BC"/>
    <w:rsid w:val="000226E5"/>
    <w:rsid w:val="000236C9"/>
    <w:rsid w:val="000241F5"/>
    <w:rsid w:val="00024813"/>
    <w:rsid w:val="00024D0A"/>
    <w:rsid w:val="00025954"/>
    <w:rsid w:val="00025D05"/>
    <w:rsid w:val="00026219"/>
    <w:rsid w:val="00026F4B"/>
    <w:rsid w:val="00027364"/>
    <w:rsid w:val="000274FF"/>
    <w:rsid w:val="00027A9C"/>
    <w:rsid w:val="00030505"/>
    <w:rsid w:val="000305FA"/>
    <w:rsid w:val="0003061C"/>
    <w:rsid w:val="00031029"/>
    <w:rsid w:val="00031D99"/>
    <w:rsid w:val="000323DA"/>
    <w:rsid w:val="00032B9B"/>
    <w:rsid w:val="00032EE7"/>
    <w:rsid w:val="0003356E"/>
    <w:rsid w:val="00034CEB"/>
    <w:rsid w:val="00035EF5"/>
    <w:rsid w:val="00036A66"/>
    <w:rsid w:val="00036C71"/>
    <w:rsid w:val="00036E07"/>
    <w:rsid w:val="00037964"/>
    <w:rsid w:val="000379B4"/>
    <w:rsid w:val="00037AE2"/>
    <w:rsid w:val="00037F36"/>
    <w:rsid w:val="0004052C"/>
    <w:rsid w:val="000405BF"/>
    <w:rsid w:val="0004136D"/>
    <w:rsid w:val="00041918"/>
    <w:rsid w:val="00041CB2"/>
    <w:rsid w:val="000428F2"/>
    <w:rsid w:val="00042CF7"/>
    <w:rsid w:val="00043203"/>
    <w:rsid w:val="00043341"/>
    <w:rsid w:val="0004341B"/>
    <w:rsid w:val="000437A3"/>
    <w:rsid w:val="00044424"/>
    <w:rsid w:val="000444E9"/>
    <w:rsid w:val="000451B4"/>
    <w:rsid w:val="0004539E"/>
    <w:rsid w:val="00045614"/>
    <w:rsid w:val="00046E11"/>
    <w:rsid w:val="000502DB"/>
    <w:rsid w:val="00050309"/>
    <w:rsid w:val="00050443"/>
    <w:rsid w:val="00050BDF"/>
    <w:rsid w:val="00050FD6"/>
    <w:rsid w:val="00052381"/>
    <w:rsid w:val="00052A24"/>
    <w:rsid w:val="00052A3D"/>
    <w:rsid w:val="00053020"/>
    <w:rsid w:val="00053970"/>
    <w:rsid w:val="000540D6"/>
    <w:rsid w:val="000548E4"/>
    <w:rsid w:val="000549D1"/>
    <w:rsid w:val="00055BA8"/>
    <w:rsid w:val="00055BC4"/>
    <w:rsid w:val="00055F73"/>
    <w:rsid w:val="0005650D"/>
    <w:rsid w:val="00056EB6"/>
    <w:rsid w:val="00060D28"/>
    <w:rsid w:val="00061187"/>
    <w:rsid w:val="00061729"/>
    <w:rsid w:val="00061DCB"/>
    <w:rsid w:val="00061E47"/>
    <w:rsid w:val="000621F9"/>
    <w:rsid w:val="00062673"/>
    <w:rsid w:val="000626E9"/>
    <w:rsid w:val="00062D90"/>
    <w:rsid w:val="00062DC0"/>
    <w:rsid w:val="0006315A"/>
    <w:rsid w:val="00064622"/>
    <w:rsid w:val="00064EEB"/>
    <w:rsid w:val="0006530B"/>
    <w:rsid w:val="00065DA4"/>
    <w:rsid w:val="00066049"/>
    <w:rsid w:val="00067DC2"/>
    <w:rsid w:val="00070FB9"/>
    <w:rsid w:val="00070FD3"/>
    <w:rsid w:val="0007110A"/>
    <w:rsid w:val="0007164D"/>
    <w:rsid w:val="000723CA"/>
    <w:rsid w:val="00072616"/>
    <w:rsid w:val="00072B13"/>
    <w:rsid w:val="0007310C"/>
    <w:rsid w:val="0007329E"/>
    <w:rsid w:val="00074977"/>
    <w:rsid w:val="00075BE7"/>
    <w:rsid w:val="00075D55"/>
    <w:rsid w:val="00076717"/>
    <w:rsid w:val="00077283"/>
    <w:rsid w:val="00077F72"/>
    <w:rsid w:val="00080C63"/>
    <w:rsid w:val="00082051"/>
    <w:rsid w:val="00082367"/>
    <w:rsid w:val="0008291F"/>
    <w:rsid w:val="00082A3E"/>
    <w:rsid w:val="00082DAC"/>
    <w:rsid w:val="0008306F"/>
    <w:rsid w:val="00083596"/>
    <w:rsid w:val="000836F6"/>
    <w:rsid w:val="000849BF"/>
    <w:rsid w:val="00084C7A"/>
    <w:rsid w:val="00084F95"/>
    <w:rsid w:val="00085179"/>
    <w:rsid w:val="00085AB1"/>
    <w:rsid w:val="00085B09"/>
    <w:rsid w:val="00087665"/>
    <w:rsid w:val="000917B1"/>
    <w:rsid w:val="00092C3A"/>
    <w:rsid w:val="000935B0"/>
    <w:rsid w:val="00093C26"/>
    <w:rsid w:val="00093E05"/>
    <w:rsid w:val="00093EE2"/>
    <w:rsid w:val="00094AD1"/>
    <w:rsid w:val="00094AF3"/>
    <w:rsid w:val="00095F54"/>
    <w:rsid w:val="0009611E"/>
    <w:rsid w:val="000962A2"/>
    <w:rsid w:val="000964A6"/>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3CB"/>
    <w:rsid w:val="000A54AE"/>
    <w:rsid w:val="000A6332"/>
    <w:rsid w:val="000A6498"/>
    <w:rsid w:val="000A661F"/>
    <w:rsid w:val="000A7502"/>
    <w:rsid w:val="000A786A"/>
    <w:rsid w:val="000A7D59"/>
    <w:rsid w:val="000B06E3"/>
    <w:rsid w:val="000B0FE0"/>
    <w:rsid w:val="000B100B"/>
    <w:rsid w:val="000B167E"/>
    <w:rsid w:val="000B19A3"/>
    <w:rsid w:val="000B2BA4"/>
    <w:rsid w:val="000B2DDD"/>
    <w:rsid w:val="000B36BF"/>
    <w:rsid w:val="000B3E83"/>
    <w:rsid w:val="000B438B"/>
    <w:rsid w:val="000B4396"/>
    <w:rsid w:val="000B4868"/>
    <w:rsid w:val="000B486E"/>
    <w:rsid w:val="000B4ED1"/>
    <w:rsid w:val="000B5413"/>
    <w:rsid w:val="000B54B2"/>
    <w:rsid w:val="000B5F64"/>
    <w:rsid w:val="000B6EB5"/>
    <w:rsid w:val="000B7134"/>
    <w:rsid w:val="000B7AA7"/>
    <w:rsid w:val="000C1FE0"/>
    <w:rsid w:val="000C2329"/>
    <w:rsid w:val="000C2460"/>
    <w:rsid w:val="000C2A3C"/>
    <w:rsid w:val="000C2B91"/>
    <w:rsid w:val="000C33DA"/>
    <w:rsid w:val="000C3B55"/>
    <w:rsid w:val="000C5154"/>
    <w:rsid w:val="000C5AF4"/>
    <w:rsid w:val="000C60C7"/>
    <w:rsid w:val="000C62FE"/>
    <w:rsid w:val="000C6D33"/>
    <w:rsid w:val="000C6E0B"/>
    <w:rsid w:val="000C7715"/>
    <w:rsid w:val="000D02E1"/>
    <w:rsid w:val="000D0ADB"/>
    <w:rsid w:val="000D0BCE"/>
    <w:rsid w:val="000D11F7"/>
    <w:rsid w:val="000D1B54"/>
    <w:rsid w:val="000D2900"/>
    <w:rsid w:val="000D293C"/>
    <w:rsid w:val="000D35B5"/>
    <w:rsid w:val="000D3732"/>
    <w:rsid w:val="000D3914"/>
    <w:rsid w:val="000D4820"/>
    <w:rsid w:val="000D5752"/>
    <w:rsid w:val="000D57C1"/>
    <w:rsid w:val="000D5E62"/>
    <w:rsid w:val="000D640B"/>
    <w:rsid w:val="000D6597"/>
    <w:rsid w:val="000D6730"/>
    <w:rsid w:val="000E148C"/>
    <w:rsid w:val="000E1E87"/>
    <w:rsid w:val="000E22D2"/>
    <w:rsid w:val="000E235A"/>
    <w:rsid w:val="000E2880"/>
    <w:rsid w:val="000E2AE8"/>
    <w:rsid w:val="000E3253"/>
    <w:rsid w:val="000E3565"/>
    <w:rsid w:val="000E3FAB"/>
    <w:rsid w:val="000E42C5"/>
    <w:rsid w:val="000E4C6B"/>
    <w:rsid w:val="000E4D3A"/>
    <w:rsid w:val="000E4D7F"/>
    <w:rsid w:val="000E5B95"/>
    <w:rsid w:val="000E7EA8"/>
    <w:rsid w:val="000F1065"/>
    <w:rsid w:val="000F1448"/>
    <w:rsid w:val="000F1863"/>
    <w:rsid w:val="000F1883"/>
    <w:rsid w:val="000F23AE"/>
    <w:rsid w:val="000F2CB7"/>
    <w:rsid w:val="000F37EC"/>
    <w:rsid w:val="000F3EA7"/>
    <w:rsid w:val="000F3FA4"/>
    <w:rsid w:val="000F42A0"/>
    <w:rsid w:val="000F491B"/>
    <w:rsid w:val="000F52A2"/>
    <w:rsid w:val="001000C4"/>
    <w:rsid w:val="00101F19"/>
    <w:rsid w:val="00102970"/>
    <w:rsid w:val="00103439"/>
    <w:rsid w:val="00103DDF"/>
    <w:rsid w:val="00104359"/>
    <w:rsid w:val="001048A8"/>
    <w:rsid w:val="00104AF1"/>
    <w:rsid w:val="0010579B"/>
    <w:rsid w:val="00105AD5"/>
    <w:rsid w:val="00105FB4"/>
    <w:rsid w:val="00107AA9"/>
    <w:rsid w:val="0011057D"/>
    <w:rsid w:val="00110858"/>
    <w:rsid w:val="00111072"/>
    <w:rsid w:val="0011126F"/>
    <w:rsid w:val="001119CE"/>
    <w:rsid w:val="00111A6E"/>
    <w:rsid w:val="00111AE1"/>
    <w:rsid w:val="00111F31"/>
    <w:rsid w:val="00111FEC"/>
    <w:rsid w:val="001135BE"/>
    <w:rsid w:val="00113CEA"/>
    <w:rsid w:val="00114236"/>
    <w:rsid w:val="00115FE2"/>
    <w:rsid w:val="001168C2"/>
    <w:rsid w:val="001173BD"/>
    <w:rsid w:val="001211B9"/>
    <w:rsid w:val="001221AC"/>
    <w:rsid w:val="00122856"/>
    <w:rsid w:val="00122A23"/>
    <w:rsid w:val="00123073"/>
    <w:rsid w:val="00123D6F"/>
    <w:rsid w:val="00124D06"/>
    <w:rsid w:val="00125FF4"/>
    <w:rsid w:val="00130C06"/>
    <w:rsid w:val="001311B9"/>
    <w:rsid w:val="00131C9C"/>
    <w:rsid w:val="00131E4E"/>
    <w:rsid w:val="00131FD7"/>
    <w:rsid w:val="00132218"/>
    <w:rsid w:val="00133007"/>
    <w:rsid w:val="00133362"/>
    <w:rsid w:val="00133AF4"/>
    <w:rsid w:val="00134043"/>
    <w:rsid w:val="001340F9"/>
    <w:rsid w:val="001340FA"/>
    <w:rsid w:val="0013460E"/>
    <w:rsid w:val="00134890"/>
    <w:rsid w:val="0013533A"/>
    <w:rsid w:val="001354C0"/>
    <w:rsid w:val="00135D7E"/>
    <w:rsid w:val="001367DE"/>
    <w:rsid w:val="00136BFC"/>
    <w:rsid w:val="00136CF7"/>
    <w:rsid w:val="00137395"/>
    <w:rsid w:val="001400F7"/>
    <w:rsid w:val="00141FE8"/>
    <w:rsid w:val="0014294F"/>
    <w:rsid w:val="00144523"/>
    <w:rsid w:val="00144863"/>
    <w:rsid w:val="00145522"/>
    <w:rsid w:val="00145E67"/>
    <w:rsid w:val="00146362"/>
    <w:rsid w:val="00146A4F"/>
    <w:rsid w:val="00147325"/>
    <w:rsid w:val="00147703"/>
    <w:rsid w:val="0014791A"/>
    <w:rsid w:val="001479A2"/>
    <w:rsid w:val="00151C3A"/>
    <w:rsid w:val="00152C36"/>
    <w:rsid w:val="00154A87"/>
    <w:rsid w:val="00155C82"/>
    <w:rsid w:val="00155D89"/>
    <w:rsid w:val="00156676"/>
    <w:rsid w:val="00157054"/>
    <w:rsid w:val="00157078"/>
    <w:rsid w:val="00157320"/>
    <w:rsid w:val="0016015E"/>
    <w:rsid w:val="00160CFA"/>
    <w:rsid w:val="00161A77"/>
    <w:rsid w:val="00162539"/>
    <w:rsid w:val="00163A4A"/>
    <w:rsid w:val="00166488"/>
    <w:rsid w:val="00166E6A"/>
    <w:rsid w:val="00166E74"/>
    <w:rsid w:val="001677B9"/>
    <w:rsid w:val="00167DE0"/>
    <w:rsid w:val="0017031A"/>
    <w:rsid w:val="00171EF0"/>
    <w:rsid w:val="00172470"/>
    <w:rsid w:val="001724DF"/>
    <w:rsid w:val="00172950"/>
    <w:rsid w:val="00172ACE"/>
    <w:rsid w:val="00173350"/>
    <w:rsid w:val="001741D9"/>
    <w:rsid w:val="00174992"/>
    <w:rsid w:val="00174A68"/>
    <w:rsid w:val="00174A9E"/>
    <w:rsid w:val="00174BA7"/>
    <w:rsid w:val="0017524C"/>
    <w:rsid w:val="00175555"/>
    <w:rsid w:val="001758EE"/>
    <w:rsid w:val="001762E1"/>
    <w:rsid w:val="0017633B"/>
    <w:rsid w:val="00176537"/>
    <w:rsid w:val="00176A40"/>
    <w:rsid w:val="00176E66"/>
    <w:rsid w:val="00176FFE"/>
    <w:rsid w:val="00177302"/>
    <w:rsid w:val="00177653"/>
    <w:rsid w:val="00177828"/>
    <w:rsid w:val="001778AF"/>
    <w:rsid w:val="00180923"/>
    <w:rsid w:val="00180E64"/>
    <w:rsid w:val="0018198C"/>
    <w:rsid w:val="00182074"/>
    <w:rsid w:val="001820FC"/>
    <w:rsid w:val="0018284A"/>
    <w:rsid w:val="001829EF"/>
    <w:rsid w:val="00182A0F"/>
    <w:rsid w:val="00183372"/>
    <w:rsid w:val="00183C30"/>
    <w:rsid w:val="00184A79"/>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B57"/>
    <w:rsid w:val="0019702E"/>
    <w:rsid w:val="001A11F0"/>
    <w:rsid w:val="001A12D0"/>
    <w:rsid w:val="001A135A"/>
    <w:rsid w:val="001A14A8"/>
    <w:rsid w:val="001A1ABB"/>
    <w:rsid w:val="001A1D55"/>
    <w:rsid w:val="001A1D63"/>
    <w:rsid w:val="001A2E7A"/>
    <w:rsid w:val="001A2FB3"/>
    <w:rsid w:val="001A3199"/>
    <w:rsid w:val="001A3271"/>
    <w:rsid w:val="001A3CEF"/>
    <w:rsid w:val="001A4917"/>
    <w:rsid w:val="001A4B54"/>
    <w:rsid w:val="001A4F0D"/>
    <w:rsid w:val="001A59B4"/>
    <w:rsid w:val="001A5ADA"/>
    <w:rsid w:val="001A5B13"/>
    <w:rsid w:val="001A5F1A"/>
    <w:rsid w:val="001A6323"/>
    <w:rsid w:val="001A69CE"/>
    <w:rsid w:val="001A70B2"/>
    <w:rsid w:val="001A776C"/>
    <w:rsid w:val="001A77C4"/>
    <w:rsid w:val="001B017E"/>
    <w:rsid w:val="001B0762"/>
    <w:rsid w:val="001B0E11"/>
    <w:rsid w:val="001B1033"/>
    <w:rsid w:val="001B122D"/>
    <w:rsid w:val="001B279A"/>
    <w:rsid w:val="001B2C4F"/>
    <w:rsid w:val="001B36A9"/>
    <w:rsid w:val="001B4646"/>
    <w:rsid w:val="001B473A"/>
    <w:rsid w:val="001B4B2C"/>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998"/>
    <w:rsid w:val="001C3839"/>
    <w:rsid w:val="001C4C20"/>
    <w:rsid w:val="001C563A"/>
    <w:rsid w:val="001C6CDB"/>
    <w:rsid w:val="001C6DAB"/>
    <w:rsid w:val="001C7119"/>
    <w:rsid w:val="001C73B2"/>
    <w:rsid w:val="001C748B"/>
    <w:rsid w:val="001C7F41"/>
    <w:rsid w:val="001D0C07"/>
    <w:rsid w:val="001D111F"/>
    <w:rsid w:val="001D1390"/>
    <w:rsid w:val="001D1A63"/>
    <w:rsid w:val="001D1C35"/>
    <w:rsid w:val="001D3224"/>
    <w:rsid w:val="001D362C"/>
    <w:rsid w:val="001D419F"/>
    <w:rsid w:val="001D48F5"/>
    <w:rsid w:val="001D4D1B"/>
    <w:rsid w:val="001D5C68"/>
    <w:rsid w:val="001D66FE"/>
    <w:rsid w:val="001D6E1F"/>
    <w:rsid w:val="001D7161"/>
    <w:rsid w:val="001D74F4"/>
    <w:rsid w:val="001D7A67"/>
    <w:rsid w:val="001E0BDF"/>
    <w:rsid w:val="001E1456"/>
    <w:rsid w:val="001E1A6F"/>
    <w:rsid w:val="001E1B51"/>
    <w:rsid w:val="001E1C6F"/>
    <w:rsid w:val="001E1EAD"/>
    <w:rsid w:val="001E2290"/>
    <w:rsid w:val="001E2495"/>
    <w:rsid w:val="001E26A1"/>
    <w:rsid w:val="001E272A"/>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AF"/>
    <w:rsid w:val="001F1595"/>
    <w:rsid w:val="001F2F4D"/>
    <w:rsid w:val="001F31CE"/>
    <w:rsid w:val="001F3F32"/>
    <w:rsid w:val="001F5641"/>
    <w:rsid w:val="001F6715"/>
    <w:rsid w:val="001F6815"/>
    <w:rsid w:val="001F6B1A"/>
    <w:rsid w:val="001F6D90"/>
    <w:rsid w:val="001F72DF"/>
    <w:rsid w:val="002021CE"/>
    <w:rsid w:val="00202352"/>
    <w:rsid w:val="0020244E"/>
    <w:rsid w:val="00202D71"/>
    <w:rsid w:val="00203112"/>
    <w:rsid w:val="002034DF"/>
    <w:rsid w:val="002038E5"/>
    <w:rsid w:val="00203D4C"/>
    <w:rsid w:val="0020546A"/>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F16"/>
    <w:rsid w:val="00220597"/>
    <w:rsid w:val="00221032"/>
    <w:rsid w:val="00221768"/>
    <w:rsid w:val="002220E6"/>
    <w:rsid w:val="002225FB"/>
    <w:rsid w:val="002255DE"/>
    <w:rsid w:val="00225C4C"/>
    <w:rsid w:val="00227FDC"/>
    <w:rsid w:val="002307E1"/>
    <w:rsid w:val="002317C4"/>
    <w:rsid w:val="00232638"/>
    <w:rsid w:val="00233F03"/>
    <w:rsid w:val="00234301"/>
    <w:rsid w:val="002346F4"/>
    <w:rsid w:val="002360E8"/>
    <w:rsid w:val="00236134"/>
    <w:rsid w:val="0023698E"/>
    <w:rsid w:val="002373FE"/>
    <w:rsid w:val="00237628"/>
    <w:rsid w:val="00237ACA"/>
    <w:rsid w:val="002405B7"/>
    <w:rsid w:val="002410E9"/>
    <w:rsid w:val="0024130E"/>
    <w:rsid w:val="00241A02"/>
    <w:rsid w:val="00241A61"/>
    <w:rsid w:val="0024227E"/>
    <w:rsid w:val="002427DC"/>
    <w:rsid w:val="00242DCE"/>
    <w:rsid w:val="002430BF"/>
    <w:rsid w:val="00243B3D"/>
    <w:rsid w:val="00243BC3"/>
    <w:rsid w:val="002442C0"/>
    <w:rsid w:val="00244D35"/>
    <w:rsid w:val="00245228"/>
    <w:rsid w:val="002453AB"/>
    <w:rsid w:val="002459FF"/>
    <w:rsid w:val="00247151"/>
    <w:rsid w:val="0024783E"/>
    <w:rsid w:val="002510C4"/>
    <w:rsid w:val="002514A4"/>
    <w:rsid w:val="0025195A"/>
    <w:rsid w:val="00252B0D"/>
    <w:rsid w:val="00252B4B"/>
    <w:rsid w:val="00252F4A"/>
    <w:rsid w:val="002539B4"/>
    <w:rsid w:val="00253B0E"/>
    <w:rsid w:val="00253D00"/>
    <w:rsid w:val="00254139"/>
    <w:rsid w:val="00254250"/>
    <w:rsid w:val="00254F43"/>
    <w:rsid w:val="0025530F"/>
    <w:rsid w:val="0025583D"/>
    <w:rsid w:val="002559BC"/>
    <w:rsid w:val="00256C00"/>
    <w:rsid w:val="002573BB"/>
    <w:rsid w:val="002575F9"/>
    <w:rsid w:val="00257D05"/>
    <w:rsid w:val="002610DA"/>
    <w:rsid w:val="00263054"/>
    <w:rsid w:val="002632A8"/>
    <w:rsid w:val="0026427D"/>
    <w:rsid w:val="00265A16"/>
    <w:rsid w:val="00265C8C"/>
    <w:rsid w:val="00265D94"/>
    <w:rsid w:val="0026624E"/>
    <w:rsid w:val="0026654E"/>
    <w:rsid w:val="00266F53"/>
    <w:rsid w:val="00266FCD"/>
    <w:rsid w:val="00267075"/>
    <w:rsid w:val="002673F1"/>
    <w:rsid w:val="00267A7C"/>
    <w:rsid w:val="00267F81"/>
    <w:rsid w:val="002707FB"/>
    <w:rsid w:val="00270D5B"/>
    <w:rsid w:val="00270DB3"/>
    <w:rsid w:val="00270F41"/>
    <w:rsid w:val="0027154E"/>
    <w:rsid w:val="00272E52"/>
    <w:rsid w:val="00274345"/>
    <w:rsid w:val="00274435"/>
    <w:rsid w:val="00274BF1"/>
    <w:rsid w:val="00274D94"/>
    <w:rsid w:val="00275443"/>
    <w:rsid w:val="00275B02"/>
    <w:rsid w:val="00276C15"/>
    <w:rsid w:val="0027799D"/>
    <w:rsid w:val="002800CE"/>
    <w:rsid w:val="00281C57"/>
    <w:rsid w:val="00281EAE"/>
    <w:rsid w:val="00282802"/>
    <w:rsid w:val="00282AF7"/>
    <w:rsid w:val="00282E8D"/>
    <w:rsid w:val="00282FC3"/>
    <w:rsid w:val="002839F9"/>
    <w:rsid w:val="00284284"/>
    <w:rsid w:val="0028530A"/>
    <w:rsid w:val="0028700A"/>
    <w:rsid w:val="00287015"/>
    <w:rsid w:val="00291511"/>
    <w:rsid w:val="002915A2"/>
    <w:rsid w:val="00291FBF"/>
    <w:rsid w:val="00293442"/>
    <w:rsid w:val="002936F2"/>
    <w:rsid w:val="00294B3F"/>
    <w:rsid w:val="00294F19"/>
    <w:rsid w:val="00294FBA"/>
    <w:rsid w:val="0029559A"/>
    <w:rsid w:val="002974F9"/>
    <w:rsid w:val="00297FF0"/>
    <w:rsid w:val="002A0F8F"/>
    <w:rsid w:val="002A176E"/>
    <w:rsid w:val="002A2651"/>
    <w:rsid w:val="002A2CB1"/>
    <w:rsid w:val="002A35ED"/>
    <w:rsid w:val="002A365B"/>
    <w:rsid w:val="002A3BC9"/>
    <w:rsid w:val="002A7392"/>
    <w:rsid w:val="002A7EDE"/>
    <w:rsid w:val="002B005C"/>
    <w:rsid w:val="002B0922"/>
    <w:rsid w:val="002B0D32"/>
    <w:rsid w:val="002B11A6"/>
    <w:rsid w:val="002B1C45"/>
    <w:rsid w:val="002B1F96"/>
    <w:rsid w:val="002B1FF0"/>
    <w:rsid w:val="002B2301"/>
    <w:rsid w:val="002B264E"/>
    <w:rsid w:val="002B3900"/>
    <w:rsid w:val="002B43E7"/>
    <w:rsid w:val="002B4444"/>
    <w:rsid w:val="002B4900"/>
    <w:rsid w:val="002B4B18"/>
    <w:rsid w:val="002B4DD0"/>
    <w:rsid w:val="002B4F1E"/>
    <w:rsid w:val="002B531A"/>
    <w:rsid w:val="002B78E2"/>
    <w:rsid w:val="002C0748"/>
    <w:rsid w:val="002C1072"/>
    <w:rsid w:val="002C1B59"/>
    <w:rsid w:val="002C20B7"/>
    <w:rsid w:val="002C2383"/>
    <w:rsid w:val="002C2877"/>
    <w:rsid w:val="002C2AD3"/>
    <w:rsid w:val="002C3293"/>
    <w:rsid w:val="002C34DF"/>
    <w:rsid w:val="002C411F"/>
    <w:rsid w:val="002C4233"/>
    <w:rsid w:val="002C534F"/>
    <w:rsid w:val="002C56CD"/>
    <w:rsid w:val="002C5EC0"/>
    <w:rsid w:val="002C7B17"/>
    <w:rsid w:val="002D0977"/>
    <w:rsid w:val="002D130F"/>
    <w:rsid w:val="002D241B"/>
    <w:rsid w:val="002D4100"/>
    <w:rsid w:val="002D45E6"/>
    <w:rsid w:val="002D506A"/>
    <w:rsid w:val="002D5218"/>
    <w:rsid w:val="002D5314"/>
    <w:rsid w:val="002D5F8B"/>
    <w:rsid w:val="002D6705"/>
    <w:rsid w:val="002D6EA1"/>
    <w:rsid w:val="002D76F1"/>
    <w:rsid w:val="002D7E6C"/>
    <w:rsid w:val="002E06CD"/>
    <w:rsid w:val="002E1499"/>
    <w:rsid w:val="002E1A6F"/>
    <w:rsid w:val="002E26BB"/>
    <w:rsid w:val="002E28D2"/>
    <w:rsid w:val="002E48C1"/>
    <w:rsid w:val="002E4B31"/>
    <w:rsid w:val="002E4C10"/>
    <w:rsid w:val="002E4CAE"/>
    <w:rsid w:val="002E5681"/>
    <w:rsid w:val="002E56EA"/>
    <w:rsid w:val="002E5DBC"/>
    <w:rsid w:val="002E5DC9"/>
    <w:rsid w:val="002E6006"/>
    <w:rsid w:val="002E61B8"/>
    <w:rsid w:val="002E61C7"/>
    <w:rsid w:val="002E624A"/>
    <w:rsid w:val="002E725A"/>
    <w:rsid w:val="002E7359"/>
    <w:rsid w:val="002E7F60"/>
    <w:rsid w:val="002F0593"/>
    <w:rsid w:val="002F0877"/>
    <w:rsid w:val="002F0D29"/>
    <w:rsid w:val="002F0DB1"/>
    <w:rsid w:val="002F1FB2"/>
    <w:rsid w:val="002F2A39"/>
    <w:rsid w:val="002F2D93"/>
    <w:rsid w:val="002F35FC"/>
    <w:rsid w:val="002F3C3D"/>
    <w:rsid w:val="002F3E1A"/>
    <w:rsid w:val="002F3F7A"/>
    <w:rsid w:val="002F5B33"/>
    <w:rsid w:val="002F67C9"/>
    <w:rsid w:val="002F6EFE"/>
    <w:rsid w:val="002F74CD"/>
    <w:rsid w:val="0030006B"/>
    <w:rsid w:val="0030125B"/>
    <w:rsid w:val="00301A16"/>
    <w:rsid w:val="0030226A"/>
    <w:rsid w:val="0030240E"/>
    <w:rsid w:val="00302A8F"/>
    <w:rsid w:val="00302CAB"/>
    <w:rsid w:val="0030381B"/>
    <w:rsid w:val="00304A1C"/>
    <w:rsid w:val="00305C2C"/>
    <w:rsid w:val="00306808"/>
    <w:rsid w:val="00306B69"/>
    <w:rsid w:val="00306F20"/>
    <w:rsid w:val="00307133"/>
    <w:rsid w:val="00307270"/>
    <w:rsid w:val="00307571"/>
    <w:rsid w:val="0030762D"/>
    <w:rsid w:val="00307D96"/>
    <w:rsid w:val="0031066F"/>
    <w:rsid w:val="003112C1"/>
    <w:rsid w:val="003118C6"/>
    <w:rsid w:val="00311D09"/>
    <w:rsid w:val="00312786"/>
    <w:rsid w:val="0031438E"/>
    <w:rsid w:val="00314EDE"/>
    <w:rsid w:val="00315045"/>
    <w:rsid w:val="00315D4B"/>
    <w:rsid w:val="00316F2F"/>
    <w:rsid w:val="003176C8"/>
    <w:rsid w:val="00317D90"/>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B52"/>
    <w:rsid w:val="00326E83"/>
    <w:rsid w:val="003276A6"/>
    <w:rsid w:val="003279E0"/>
    <w:rsid w:val="00327E9A"/>
    <w:rsid w:val="00330FB9"/>
    <w:rsid w:val="00331C96"/>
    <w:rsid w:val="00331DA7"/>
    <w:rsid w:val="00332724"/>
    <w:rsid w:val="00333731"/>
    <w:rsid w:val="0033409E"/>
    <w:rsid w:val="00334196"/>
    <w:rsid w:val="0033422E"/>
    <w:rsid w:val="00334C56"/>
    <w:rsid w:val="00334D0B"/>
    <w:rsid w:val="00335A0A"/>
    <w:rsid w:val="00335AFF"/>
    <w:rsid w:val="0033726B"/>
    <w:rsid w:val="00337A28"/>
    <w:rsid w:val="0034049B"/>
    <w:rsid w:val="0034133B"/>
    <w:rsid w:val="00341976"/>
    <w:rsid w:val="0034206A"/>
    <w:rsid w:val="003426AD"/>
    <w:rsid w:val="003426B7"/>
    <w:rsid w:val="00342CA2"/>
    <w:rsid w:val="00343548"/>
    <w:rsid w:val="0034493F"/>
    <w:rsid w:val="00345585"/>
    <w:rsid w:val="0034564C"/>
    <w:rsid w:val="00345A3F"/>
    <w:rsid w:val="00346189"/>
    <w:rsid w:val="00346199"/>
    <w:rsid w:val="003463FF"/>
    <w:rsid w:val="00347462"/>
    <w:rsid w:val="00347E7B"/>
    <w:rsid w:val="0035011E"/>
    <w:rsid w:val="0035026F"/>
    <w:rsid w:val="00350579"/>
    <w:rsid w:val="00350A2C"/>
    <w:rsid w:val="00350D94"/>
    <w:rsid w:val="00350DF7"/>
    <w:rsid w:val="003518AA"/>
    <w:rsid w:val="00352766"/>
    <w:rsid w:val="00352EC3"/>
    <w:rsid w:val="00354382"/>
    <w:rsid w:val="00354A02"/>
    <w:rsid w:val="00354A16"/>
    <w:rsid w:val="00355C60"/>
    <w:rsid w:val="003570EA"/>
    <w:rsid w:val="00357662"/>
    <w:rsid w:val="00357DEF"/>
    <w:rsid w:val="003605AC"/>
    <w:rsid w:val="00360A88"/>
    <w:rsid w:val="00360F30"/>
    <w:rsid w:val="0036198B"/>
    <w:rsid w:val="00361EB4"/>
    <w:rsid w:val="003620B0"/>
    <w:rsid w:val="003625AD"/>
    <w:rsid w:val="00363243"/>
    <w:rsid w:val="003639EE"/>
    <w:rsid w:val="003645D7"/>
    <w:rsid w:val="00364AD1"/>
    <w:rsid w:val="00364AE8"/>
    <w:rsid w:val="003661C2"/>
    <w:rsid w:val="003662F7"/>
    <w:rsid w:val="00366B0D"/>
    <w:rsid w:val="003670FC"/>
    <w:rsid w:val="003679D2"/>
    <w:rsid w:val="00367C0D"/>
    <w:rsid w:val="00367FBF"/>
    <w:rsid w:val="003700A6"/>
    <w:rsid w:val="003708B8"/>
    <w:rsid w:val="00370E65"/>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19B4"/>
    <w:rsid w:val="00381A22"/>
    <w:rsid w:val="00382EBD"/>
    <w:rsid w:val="00383793"/>
    <w:rsid w:val="00383CF4"/>
    <w:rsid w:val="0038414B"/>
    <w:rsid w:val="003847EC"/>
    <w:rsid w:val="003854FB"/>
    <w:rsid w:val="00385EF6"/>
    <w:rsid w:val="003864E9"/>
    <w:rsid w:val="003875A7"/>
    <w:rsid w:val="00387766"/>
    <w:rsid w:val="003879FC"/>
    <w:rsid w:val="00387CD3"/>
    <w:rsid w:val="00387EB5"/>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018"/>
    <w:rsid w:val="003A07A5"/>
    <w:rsid w:val="003A084B"/>
    <w:rsid w:val="003A0A31"/>
    <w:rsid w:val="003A10F5"/>
    <w:rsid w:val="003A16BB"/>
    <w:rsid w:val="003A1787"/>
    <w:rsid w:val="003A1946"/>
    <w:rsid w:val="003A2247"/>
    <w:rsid w:val="003A2329"/>
    <w:rsid w:val="003A2761"/>
    <w:rsid w:val="003A279B"/>
    <w:rsid w:val="003A3516"/>
    <w:rsid w:val="003A36F3"/>
    <w:rsid w:val="003A4805"/>
    <w:rsid w:val="003A4C51"/>
    <w:rsid w:val="003A578D"/>
    <w:rsid w:val="003A5A2D"/>
    <w:rsid w:val="003A61F1"/>
    <w:rsid w:val="003A73FB"/>
    <w:rsid w:val="003A760B"/>
    <w:rsid w:val="003A7EF1"/>
    <w:rsid w:val="003B0522"/>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06C4"/>
    <w:rsid w:val="003C1231"/>
    <w:rsid w:val="003C1913"/>
    <w:rsid w:val="003C1F37"/>
    <w:rsid w:val="003C2514"/>
    <w:rsid w:val="003C26D0"/>
    <w:rsid w:val="003C3251"/>
    <w:rsid w:val="003C474E"/>
    <w:rsid w:val="003C4DF6"/>
    <w:rsid w:val="003C5618"/>
    <w:rsid w:val="003C5FC3"/>
    <w:rsid w:val="003C7169"/>
    <w:rsid w:val="003C744C"/>
    <w:rsid w:val="003C76D7"/>
    <w:rsid w:val="003C7A02"/>
    <w:rsid w:val="003D00A7"/>
    <w:rsid w:val="003D1183"/>
    <w:rsid w:val="003D17E2"/>
    <w:rsid w:val="003D2E45"/>
    <w:rsid w:val="003D2F27"/>
    <w:rsid w:val="003D4FC8"/>
    <w:rsid w:val="003D4FE0"/>
    <w:rsid w:val="003D542A"/>
    <w:rsid w:val="003D5689"/>
    <w:rsid w:val="003D588E"/>
    <w:rsid w:val="003D597E"/>
    <w:rsid w:val="003D6EA6"/>
    <w:rsid w:val="003D6F9E"/>
    <w:rsid w:val="003D7B87"/>
    <w:rsid w:val="003E0291"/>
    <w:rsid w:val="003E07D6"/>
    <w:rsid w:val="003E0C9C"/>
    <w:rsid w:val="003E0ECF"/>
    <w:rsid w:val="003E1B34"/>
    <w:rsid w:val="003E1CF8"/>
    <w:rsid w:val="003E2003"/>
    <w:rsid w:val="003E23A6"/>
    <w:rsid w:val="003E253F"/>
    <w:rsid w:val="003E331E"/>
    <w:rsid w:val="003E371F"/>
    <w:rsid w:val="003E42FA"/>
    <w:rsid w:val="003E4EAB"/>
    <w:rsid w:val="003E4FAE"/>
    <w:rsid w:val="003E5BCD"/>
    <w:rsid w:val="003E6A13"/>
    <w:rsid w:val="003E6C4C"/>
    <w:rsid w:val="003E78E4"/>
    <w:rsid w:val="003E7942"/>
    <w:rsid w:val="003E7B14"/>
    <w:rsid w:val="003E7BB4"/>
    <w:rsid w:val="003E7C11"/>
    <w:rsid w:val="003F0270"/>
    <w:rsid w:val="003F0ECD"/>
    <w:rsid w:val="003F18BE"/>
    <w:rsid w:val="003F1E18"/>
    <w:rsid w:val="003F216A"/>
    <w:rsid w:val="003F2E7A"/>
    <w:rsid w:val="003F39D8"/>
    <w:rsid w:val="003F4078"/>
    <w:rsid w:val="003F5C16"/>
    <w:rsid w:val="003F5C26"/>
    <w:rsid w:val="003F7497"/>
    <w:rsid w:val="003F7B79"/>
    <w:rsid w:val="00400828"/>
    <w:rsid w:val="00400C4C"/>
    <w:rsid w:val="00401046"/>
    <w:rsid w:val="00401647"/>
    <w:rsid w:val="00401A60"/>
    <w:rsid w:val="00401CB4"/>
    <w:rsid w:val="00402881"/>
    <w:rsid w:val="00403046"/>
    <w:rsid w:val="0040312C"/>
    <w:rsid w:val="004038DD"/>
    <w:rsid w:val="004043FA"/>
    <w:rsid w:val="00404DE6"/>
    <w:rsid w:val="004058CD"/>
    <w:rsid w:val="004059E0"/>
    <w:rsid w:val="004061A6"/>
    <w:rsid w:val="0040747B"/>
    <w:rsid w:val="0040786A"/>
    <w:rsid w:val="00410B45"/>
    <w:rsid w:val="00410BA9"/>
    <w:rsid w:val="00410F2E"/>
    <w:rsid w:val="00411596"/>
    <w:rsid w:val="00411B47"/>
    <w:rsid w:val="004124BB"/>
    <w:rsid w:val="00412E9A"/>
    <w:rsid w:val="00413743"/>
    <w:rsid w:val="00413F33"/>
    <w:rsid w:val="0041410B"/>
    <w:rsid w:val="004148E2"/>
    <w:rsid w:val="00414EA2"/>
    <w:rsid w:val="00415313"/>
    <w:rsid w:val="004158D2"/>
    <w:rsid w:val="004166F1"/>
    <w:rsid w:val="00416F61"/>
    <w:rsid w:val="004172E6"/>
    <w:rsid w:val="00417632"/>
    <w:rsid w:val="00417FE1"/>
    <w:rsid w:val="00420558"/>
    <w:rsid w:val="00420B58"/>
    <w:rsid w:val="00421312"/>
    <w:rsid w:val="00421DA5"/>
    <w:rsid w:val="00422B59"/>
    <w:rsid w:val="00422DEC"/>
    <w:rsid w:val="004230A1"/>
    <w:rsid w:val="004238EE"/>
    <w:rsid w:val="004240D5"/>
    <w:rsid w:val="00424471"/>
    <w:rsid w:val="0042468B"/>
    <w:rsid w:val="0042615E"/>
    <w:rsid w:val="0042651B"/>
    <w:rsid w:val="00426669"/>
    <w:rsid w:val="00426688"/>
    <w:rsid w:val="00427E9B"/>
    <w:rsid w:val="00427FD1"/>
    <w:rsid w:val="004307B6"/>
    <w:rsid w:val="00430A36"/>
    <w:rsid w:val="004314EA"/>
    <w:rsid w:val="00431599"/>
    <w:rsid w:val="00431D96"/>
    <w:rsid w:val="00432AAB"/>
    <w:rsid w:val="00433165"/>
    <w:rsid w:val="00433F79"/>
    <w:rsid w:val="00433FED"/>
    <w:rsid w:val="00434996"/>
    <w:rsid w:val="00434A2B"/>
    <w:rsid w:val="00435B5A"/>
    <w:rsid w:val="00435F84"/>
    <w:rsid w:val="00436125"/>
    <w:rsid w:val="00436553"/>
    <w:rsid w:val="004368A7"/>
    <w:rsid w:val="00436F1E"/>
    <w:rsid w:val="004374C9"/>
    <w:rsid w:val="004403BB"/>
    <w:rsid w:val="00440464"/>
    <w:rsid w:val="00441D97"/>
    <w:rsid w:val="00443662"/>
    <w:rsid w:val="00445E1A"/>
    <w:rsid w:val="0044615C"/>
    <w:rsid w:val="004465BD"/>
    <w:rsid w:val="00446AE2"/>
    <w:rsid w:val="00446AEF"/>
    <w:rsid w:val="0044702A"/>
    <w:rsid w:val="0044773F"/>
    <w:rsid w:val="00452111"/>
    <w:rsid w:val="004534F2"/>
    <w:rsid w:val="00453C0E"/>
    <w:rsid w:val="00453D5E"/>
    <w:rsid w:val="00453E99"/>
    <w:rsid w:val="00454194"/>
    <w:rsid w:val="00456099"/>
    <w:rsid w:val="00456A96"/>
    <w:rsid w:val="004575A4"/>
    <w:rsid w:val="00457DD1"/>
    <w:rsid w:val="00460480"/>
    <w:rsid w:val="00460734"/>
    <w:rsid w:val="00460793"/>
    <w:rsid w:val="0046093E"/>
    <w:rsid w:val="00460C80"/>
    <w:rsid w:val="00460CD6"/>
    <w:rsid w:val="0046101A"/>
    <w:rsid w:val="00461256"/>
    <w:rsid w:val="00461442"/>
    <w:rsid w:val="0046279E"/>
    <w:rsid w:val="00463D98"/>
    <w:rsid w:val="004649BC"/>
    <w:rsid w:val="00464E36"/>
    <w:rsid w:val="00466717"/>
    <w:rsid w:val="00466769"/>
    <w:rsid w:val="004668D5"/>
    <w:rsid w:val="00466ABF"/>
    <w:rsid w:val="004676F4"/>
    <w:rsid w:val="00467B25"/>
    <w:rsid w:val="004700D9"/>
    <w:rsid w:val="004709BB"/>
    <w:rsid w:val="00470F90"/>
    <w:rsid w:val="0047102F"/>
    <w:rsid w:val="004710C8"/>
    <w:rsid w:val="0047165B"/>
    <w:rsid w:val="004722A2"/>
    <w:rsid w:val="0047254D"/>
    <w:rsid w:val="00472F3F"/>
    <w:rsid w:val="004731BB"/>
    <w:rsid w:val="00473262"/>
    <w:rsid w:val="004735A0"/>
    <w:rsid w:val="004747CD"/>
    <w:rsid w:val="00474F8B"/>
    <w:rsid w:val="004754DE"/>
    <w:rsid w:val="0047573D"/>
    <w:rsid w:val="00475ED9"/>
    <w:rsid w:val="004768D0"/>
    <w:rsid w:val="004800FD"/>
    <w:rsid w:val="004802E1"/>
    <w:rsid w:val="00480908"/>
    <w:rsid w:val="00481F47"/>
    <w:rsid w:val="00481FA8"/>
    <w:rsid w:val="00482872"/>
    <w:rsid w:val="00482B16"/>
    <w:rsid w:val="00482C9F"/>
    <w:rsid w:val="00483E0D"/>
    <w:rsid w:val="00484480"/>
    <w:rsid w:val="00484C14"/>
    <w:rsid w:val="00485321"/>
    <w:rsid w:val="0048602F"/>
    <w:rsid w:val="00486278"/>
    <w:rsid w:val="00486DEB"/>
    <w:rsid w:val="00486E2C"/>
    <w:rsid w:val="004872CB"/>
    <w:rsid w:val="0048768E"/>
    <w:rsid w:val="00487794"/>
    <w:rsid w:val="004877BB"/>
    <w:rsid w:val="00487A96"/>
    <w:rsid w:val="00487ED7"/>
    <w:rsid w:val="0049015A"/>
    <w:rsid w:val="0049018F"/>
    <w:rsid w:val="004905C5"/>
    <w:rsid w:val="004906AE"/>
    <w:rsid w:val="004916B2"/>
    <w:rsid w:val="00491B5D"/>
    <w:rsid w:val="00491D82"/>
    <w:rsid w:val="00492408"/>
    <w:rsid w:val="00493093"/>
    <w:rsid w:val="00493A8C"/>
    <w:rsid w:val="00494148"/>
    <w:rsid w:val="0049533F"/>
    <w:rsid w:val="004958D3"/>
    <w:rsid w:val="00496D4E"/>
    <w:rsid w:val="00496DED"/>
    <w:rsid w:val="00497454"/>
    <w:rsid w:val="004A0471"/>
    <w:rsid w:val="004A0F06"/>
    <w:rsid w:val="004A0F94"/>
    <w:rsid w:val="004A1542"/>
    <w:rsid w:val="004A15A6"/>
    <w:rsid w:val="004A1633"/>
    <w:rsid w:val="004A2438"/>
    <w:rsid w:val="004A2D1E"/>
    <w:rsid w:val="004A32FF"/>
    <w:rsid w:val="004A34F8"/>
    <w:rsid w:val="004A4F38"/>
    <w:rsid w:val="004A4F82"/>
    <w:rsid w:val="004A5FBC"/>
    <w:rsid w:val="004A63AF"/>
    <w:rsid w:val="004A6CCC"/>
    <w:rsid w:val="004A7090"/>
    <w:rsid w:val="004A7097"/>
    <w:rsid w:val="004A7274"/>
    <w:rsid w:val="004A7F5A"/>
    <w:rsid w:val="004B14CB"/>
    <w:rsid w:val="004B24D1"/>
    <w:rsid w:val="004B2D2B"/>
    <w:rsid w:val="004B2D45"/>
    <w:rsid w:val="004B3077"/>
    <w:rsid w:val="004B3705"/>
    <w:rsid w:val="004B3BC6"/>
    <w:rsid w:val="004B412D"/>
    <w:rsid w:val="004B463A"/>
    <w:rsid w:val="004B4986"/>
    <w:rsid w:val="004B4BE0"/>
    <w:rsid w:val="004B5808"/>
    <w:rsid w:val="004B5D60"/>
    <w:rsid w:val="004B6664"/>
    <w:rsid w:val="004B68A9"/>
    <w:rsid w:val="004B6B5D"/>
    <w:rsid w:val="004B7A7B"/>
    <w:rsid w:val="004B7B49"/>
    <w:rsid w:val="004C035D"/>
    <w:rsid w:val="004C041F"/>
    <w:rsid w:val="004C0C17"/>
    <w:rsid w:val="004C0EA0"/>
    <w:rsid w:val="004C1081"/>
    <w:rsid w:val="004C1A7F"/>
    <w:rsid w:val="004C1F0D"/>
    <w:rsid w:val="004C2503"/>
    <w:rsid w:val="004C3428"/>
    <w:rsid w:val="004C4026"/>
    <w:rsid w:val="004C4182"/>
    <w:rsid w:val="004C54ED"/>
    <w:rsid w:val="004C5856"/>
    <w:rsid w:val="004C6568"/>
    <w:rsid w:val="004C70CC"/>
    <w:rsid w:val="004C7A94"/>
    <w:rsid w:val="004C7FCD"/>
    <w:rsid w:val="004D059A"/>
    <w:rsid w:val="004D0AEA"/>
    <w:rsid w:val="004D142A"/>
    <w:rsid w:val="004D14CB"/>
    <w:rsid w:val="004D15F7"/>
    <w:rsid w:val="004D1ED2"/>
    <w:rsid w:val="004D23B2"/>
    <w:rsid w:val="004D3045"/>
    <w:rsid w:val="004D33C0"/>
    <w:rsid w:val="004D392F"/>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34E4"/>
    <w:rsid w:val="004E354F"/>
    <w:rsid w:val="004E3E50"/>
    <w:rsid w:val="004E3E72"/>
    <w:rsid w:val="004E494B"/>
    <w:rsid w:val="004E49B1"/>
    <w:rsid w:val="004E4AD1"/>
    <w:rsid w:val="004E538D"/>
    <w:rsid w:val="004E56E2"/>
    <w:rsid w:val="004E6ED9"/>
    <w:rsid w:val="004E729A"/>
    <w:rsid w:val="004E7CFB"/>
    <w:rsid w:val="004F2BFB"/>
    <w:rsid w:val="004F324E"/>
    <w:rsid w:val="004F338B"/>
    <w:rsid w:val="004F3A5E"/>
    <w:rsid w:val="004F401C"/>
    <w:rsid w:val="004F49A5"/>
    <w:rsid w:val="004F50D8"/>
    <w:rsid w:val="004F573E"/>
    <w:rsid w:val="004F6053"/>
    <w:rsid w:val="0050044A"/>
    <w:rsid w:val="00500BA5"/>
    <w:rsid w:val="00500F12"/>
    <w:rsid w:val="00501CDD"/>
    <w:rsid w:val="00501D0A"/>
    <w:rsid w:val="00501E38"/>
    <w:rsid w:val="00501F3D"/>
    <w:rsid w:val="00503CCA"/>
    <w:rsid w:val="00504628"/>
    <w:rsid w:val="0050484C"/>
    <w:rsid w:val="00505162"/>
    <w:rsid w:val="005051A0"/>
    <w:rsid w:val="0050522D"/>
    <w:rsid w:val="00505482"/>
    <w:rsid w:val="005057E9"/>
    <w:rsid w:val="00506B6A"/>
    <w:rsid w:val="00506CC8"/>
    <w:rsid w:val="00506DF2"/>
    <w:rsid w:val="005070AE"/>
    <w:rsid w:val="00507444"/>
    <w:rsid w:val="005100A5"/>
    <w:rsid w:val="0051153F"/>
    <w:rsid w:val="00511CFF"/>
    <w:rsid w:val="00512A98"/>
    <w:rsid w:val="00512E37"/>
    <w:rsid w:val="005137B9"/>
    <w:rsid w:val="00515217"/>
    <w:rsid w:val="00515507"/>
    <w:rsid w:val="00515539"/>
    <w:rsid w:val="00515663"/>
    <w:rsid w:val="00516E4E"/>
    <w:rsid w:val="00517AE1"/>
    <w:rsid w:val="00517AEB"/>
    <w:rsid w:val="0052002F"/>
    <w:rsid w:val="0052032C"/>
    <w:rsid w:val="00520D23"/>
    <w:rsid w:val="00522364"/>
    <w:rsid w:val="005224E4"/>
    <w:rsid w:val="0052331A"/>
    <w:rsid w:val="00523344"/>
    <w:rsid w:val="0052493C"/>
    <w:rsid w:val="00525576"/>
    <w:rsid w:val="00525929"/>
    <w:rsid w:val="00525A2B"/>
    <w:rsid w:val="00525CB3"/>
    <w:rsid w:val="00525F2D"/>
    <w:rsid w:val="00526203"/>
    <w:rsid w:val="005264AB"/>
    <w:rsid w:val="00526DFE"/>
    <w:rsid w:val="00527395"/>
    <w:rsid w:val="00532D0E"/>
    <w:rsid w:val="00532DB2"/>
    <w:rsid w:val="005344D2"/>
    <w:rsid w:val="00534774"/>
    <w:rsid w:val="00534B73"/>
    <w:rsid w:val="00534DC6"/>
    <w:rsid w:val="00534E27"/>
    <w:rsid w:val="00535341"/>
    <w:rsid w:val="00535D85"/>
    <w:rsid w:val="00535DF5"/>
    <w:rsid w:val="00537611"/>
    <w:rsid w:val="00540011"/>
    <w:rsid w:val="005401E2"/>
    <w:rsid w:val="005402E9"/>
    <w:rsid w:val="005417D4"/>
    <w:rsid w:val="0054192A"/>
    <w:rsid w:val="00541D81"/>
    <w:rsid w:val="00541E48"/>
    <w:rsid w:val="00541EE7"/>
    <w:rsid w:val="00541F59"/>
    <w:rsid w:val="00542BCD"/>
    <w:rsid w:val="00542E7D"/>
    <w:rsid w:val="0054316D"/>
    <w:rsid w:val="005431B0"/>
    <w:rsid w:val="00543DE0"/>
    <w:rsid w:val="00543E65"/>
    <w:rsid w:val="0054436D"/>
    <w:rsid w:val="005443A5"/>
    <w:rsid w:val="005445BC"/>
    <w:rsid w:val="005446D9"/>
    <w:rsid w:val="00544CD7"/>
    <w:rsid w:val="00544E22"/>
    <w:rsid w:val="005457B9"/>
    <w:rsid w:val="00545E3D"/>
    <w:rsid w:val="005461E1"/>
    <w:rsid w:val="0054683E"/>
    <w:rsid w:val="00546E65"/>
    <w:rsid w:val="005473A7"/>
    <w:rsid w:val="00547BCD"/>
    <w:rsid w:val="00547E92"/>
    <w:rsid w:val="00550588"/>
    <w:rsid w:val="00550720"/>
    <w:rsid w:val="005518ED"/>
    <w:rsid w:val="005521B0"/>
    <w:rsid w:val="00553029"/>
    <w:rsid w:val="00555186"/>
    <w:rsid w:val="0055623C"/>
    <w:rsid w:val="00557342"/>
    <w:rsid w:val="00561302"/>
    <w:rsid w:val="0056140D"/>
    <w:rsid w:val="00561ECC"/>
    <w:rsid w:val="00561F55"/>
    <w:rsid w:val="00562074"/>
    <w:rsid w:val="00563508"/>
    <w:rsid w:val="00563D71"/>
    <w:rsid w:val="005655C1"/>
    <w:rsid w:val="00565EC3"/>
    <w:rsid w:val="00566197"/>
    <w:rsid w:val="005664FB"/>
    <w:rsid w:val="0056722B"/>
    <w:rsid w:val="00567A1E"/>
    <w:rsid w:val="0057022C"/>
    <w:rsid w:val="00570F17"/>
    <w:rsid w:val="0057130C"/>
    <w:rsid w:val="0057258D"/>
    <w:rsid w:val="005732B9"/>
    <w:rsid w:val="005733B9"/>
    <w:rsid w:val="005735D1"/>
    <w:rsid w:val="0057440F"/>
    <w:rsid w:val="005750EE"/>
    <w:rsid w:val="0057516A"/>
    <w:rsid w:val="0057536E"/>
    <w:rsid w:val="00575A46"/>
    <w:rsid w:val="00576B68"/>
    <w:rsid w:val="00577155"/>
    <w:rsid w:val="0057717E"/>
    <w:rsid w:val="00577E08"/>
    <w:rsid w:val="00580B5C"/>
    <w:rsid w:val="005815CB"/>
    <w:rsid w:val="0058251E"/>
    <w:rsid w:val="00582963"/>
    <w:rsid w:val="00583C97"/>
    <w:rsid w:val="00584763"/>
    <w:rsid w:val="00584DFE"/>
    <w:rsid w:val="005853AF"/>
    <w:rsid w:val="0058552C"/>
    <w:rsid w:val="005863C0"/>
    <w:rsid w:val="00586C1E"/>
    <w:rsid w:val="00586C46"/>
    <w:rsid w:val="00586D7C"/>
    <w:rsid w:val="005904F7"/>
    <w:rsid w:val="0059064E"/>
    <w:rsid w:val="00590951"/>
    <w:rsid w:val="005913FC"/>
    <w:rsid w:val="00591C93"/>
    <w:rsid w:val="0059284C"/>
    <w:rsid w:val="00593281"/>
    <w:rsid w:val="005935B6"/>
    <w:rsid w:val="005935EE"/>
    <w:rsid w:val="0059381A"/>
    <w:rsid w:val="00594D11"/>
    <w:rsid w:val="0059541F"/>
    <w:rsid w:val="005959C1"/>
    <w:rsid w:val="00597C86"/>
    <w:rsid w:val="005A0723"/>
    <w:rsid w:val="005A0D88"/>
    <w:rsid w:val="005A1F98"/>
    <w:rsid w:val="005A2A49"/>
    <w:rsid w:val="005A41B3"/>
    <w:rsid w:val="005A5762"/>
    <w:rsid w:val="005A68E5"/>
    <w:rsid w:val="005A6C58"/>
    <w:rsid w:val="005A7365"/>
    <w:rsid w:val="005B0597"/>
    <w:rsid w:val="005B1C52"/>
    <w:rsid w:val="005B1D4C"/>
    <w:rsid w:val="005B1EA7"/>
    <w:rsid w:val="005B2320"/>
    <w:rsid w:val="005B2507"/>
    <w:rsid w:val="005B2F89"/>
    <w:rsid w:val="005B31A6"/>
    <w:rsid w:val="005B3B68"/>
    <w:rsid w:val="005B407C"/>
    <w:rsid w:val="005B4BBB"/>
    <w:rsid w:val="005B4D87"/>
    <w:rsid w:val="005B4E77"/>
    <w:rsid w:val="005B4EC5"/>
    <w:rsid w:val="005B5852"/>
    <w:rsid w:val="005B592B"/>
    <w:rsid w:val="005B5998"/>
    <w:rsid w:val="005B789F"/>
    <w:rsid w:val="005B78E5"/>
    <w:rsid w:val="005C09AE"/>
    <w:rsid w:val="005C2442"/>
    <w:rsid w:val="005C24DE"/>
    <w:rsid w:val="005C3790"/>
    <w:rsid w:val="005C3EFF"/>
    <w:rsid w:val="005C3F23"/>
    <w:rsid w:val="005C43F4"/>
    <w:rsid w:val="005C43FF"/>
    <w:rsid w:val="005C457B"/>
    <w:rsid w:val="005C4C17"/>
    <w:rsid w:val="005C5ADF"/>
    <w:rsid w:val="005C5E00"/>
    <w:rsid w:val="005C677A"/>
    <w:rsid w:val="005C6994"/>
    <w:rsid w:val="005C6B7F"/>
    <w:rsid w:val="005C6FA2"/>
    <w:rsid w:val="005C7017"/>
    <w:rsid w:val="005C7B35"/>
    <w:rsid w:val="005D006B"/>
    <w:rsid w:val="005D0AAC"/>
    <w:rsid w:val="005D147D"/>
    <w:rsid w:val="005D312C"/>
    <w:rsid w:val="005D328F"/>
    <w:rsid w:val="005D3CB9"/>
    <w:rsid w:val="005D3D8F"/>
    <w:rsid w:val="005D3EBF"/>
    <w:rsid w:val="005D47F5"/>
    <w:rsid w:val="005D63E3"/>
    <w:rsid w:val="005D6F1D"/>
    <w:rsid w:val="005D6FEF"/>
    <w:rsid w:val="005D7114"/>
    <w:rsid w:val="005D7BFB"/>
    <w:rsid w:val="005E08B2"/>
    <w:rsid w:val="005E11A0"/>
    <w:rsid w:val="005E1F53"/>
    <w:rsid w:val="005E223B"/>
    <w:rsid w:val="005E26B6"/>
    <w:rsid w:val="005E2C75"/>
    <w:rsid w:val="005E34DA"/>
    <w:rsid w:val="005E34FC"/>
    <w:rsid w:val="005E3536"/>
    <w:rsid w:val="005E3771"/>
    <w:rsid w:val="005E3931"/>
    <w:rsid w:val="005E3C2A"/>
    <w:rsid w:val="005E3C5F"/>
    <w:rsid w:val="005E48E8"/>
    <w:rsid w:val="005E5613"/>
    <w:rsid w:val="005E5934"/>
    <w:rsid w:val="005E789B"/>
    <w:rsid w:val="005F0FAB"/>
    <w:rsid w:val="005F181B"/>
    <w:rsid w:val="005F218B"/>
    <w:rsid w:val="005F35AA"/>
    <w:rsid w:val="005F366D"/>
    <w:rsid w:val="005F36F0"/>
    <w:rsid w:val="005F3977"/>
    <w:rsid w:val="005F47C2"/>
    <w:rsid w:val="005F4DB3"/>
    <w:rsid w:val="005F5180"/>
    <w:rsid w:val="005F5244"/>
    <w:rsid w:val="005F5640"/>
    <w:rsid w:val="005F5F64"/>
    <w:rsid w:val="005F6539"/>
    <w:rsid w:val="005F6C7C"/>
    <w:rsid w:val="005F72CD"/>
    <w:rsid w:val="006012C1"/>
    <w:rsid w:val="006012CF"/>
    <w:rsid w:val="006014E3"/>
    <w:rsid w:val="00602440"/>
    <w:rsid w:val="00602B88"/>
    <w:rsid w:val="0060302A"/>
    <w:rsid w:val="00603853"/>
    <w:rsid w:val="00603DDC"/>
    <w:rsid w:val="00603DE4"/>
    <w:rsid w:val="006041E5"/>
    <w:rsid w:val="0060461B"/>
    <w:rsid w:val="00605AC8"/>
    <w:rsid w:val="00606085"/>
    <w:rsid w:val="006068E2"/>
    <w:rsid w:val="00606B83"/>
    <w:rsid w:val="006070F3"/>
    <w:rsid w:val="006071BC"/>
    <w:rsid w:val="00610743"/>
    <w:rsid w:val="00610A60"/>
    <w:rsid w:val="00610B65"/>
    <w:rsid w:val="006118E6"/>
    <w:rsid w:val="0061392F"/>
    <w:rsid w:val="00614CBD"/>
    <w:rsid w:val="00615984"/>
    <w:rsid w:val="00616492"/>
    <w:rsid w:val="00616BF6"/>
    <w:rsid w:val="00616D4A"/>
    <w:rsid w:val="00617608"/>
    <w:rsid w:val="00617B0E"/>
    <w:rsid w:val="0062121F"/>
    <w:rsid w:val="00621407"/>
    <w:rsid w:val="0062181F"/>
    <w:rsid w:val="00621AC2"/>
    <w:rsid w:val="00621AF3"/>
    <w:rsid w:val="00621CA3"/>
    <w:rsid w:val="00622E16"/>
    <w:rsid w:val="006232D8"/>
    <w:rsid w:val="00624BB5"/>
    <w:rsid w:val="006253CE"/>
    <w:rsid w:val="00625AF4"/>
    <w:rsid w:val="00626462"/>
    <w:rsid w:val="006265DD"/>
    <w:rsid w:val="00626BFD"/>
    <w:rsid w:val="00627087"/>
    <w:rsid w:val="0062717F"/>
    <w:rsid w:val="006272FD"/>
    <w:rsid w:val="00627CE0"/>
    <w:rsid w:val="00630B73"/>
    <w:rsid w:val="00631035"/>
    <w:rsid w:val="006314AD"/>
    <w:rsid w:val="00631662"/>
    <w:rsid w:val="00633011"/>
    <w:rsid w:val="00633F45"/>
    <w:rsid w:val="0063482C"/>
    <w:rsid w:val="00634FAA"/>
    <w:rsid w:val="006356F1"/>
    <w:rsid w:val="00635CD2"/>
    <w:rsid w:val="0063630B"/>
    <w:rsid w:val="00636367"/>
    <w:rsid w:val="00636417"/>
    <w:rsid w:val="0063666B"/>
    <w:rsid w:val="00636F71"/>
    <w:rsid w:val="00637643"/>
    <w:rsid w:val="00637B22"/>
    <w:rsid w:val="00637DF8"/>
    <w:rsid w:val="0064042E"/>
    <w:rsid w:val="00640DD8"/>
    <w:rsid w:val="00640E12"/>
    <w:rsid w:val="006419D1"/>
    <w:rsid w:val="006438A8"/>
    <w:rsid w:val="0064390D"/>
    <w:rsid w:val="00643D8F"/>
    <w:rsid w:val="00644BA4"/>
    <w:rsid w:val="00644F4F"/>
    <w:rsid w:val="00645405"/>
    <w:rsid w:val="00645CA6"/>
    <w:rsid w:val="00645E35"/>
    <w:rsid w:val="006463DD"/>
    <w:rsid w:val="006466FC"/>
    <w:rsid w:val="00646723"/>
    <w:rsid w:val="0064758D"/>
    <w:rsid w:val="006475A0"/>
    <w:rsid w:val="00647A9C"/>
    <w:rsid w:val="0065121B"/>
    <w:rsid w:val="006512AB"/>
    <w:rsid w:val="0065144E"/>
    <w:rsid w:val="00653AD7"/>
    <w:rsid w:val="00653BA0"/>
    <w:rsid w:val="00653CFB"/>
    <w:rsid w:val="0065424E"/>
    <w:rsid w:val="0065484E"/>
    <w:rsid w:val="00654E77"/>
    <w:rsid w:val="006550B7"/>
    <w:rsid w:val="00655B79"/>
    <w:rsid w:val="0065648C"/>
    <w:rsid w:val="00657B2C"/>
    <w:rsid w:val="00657D93"/>
    <w:rsid w:val="00660568"/>
    <w:rsid w:val="006609CE"/>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BC6"/>
    <w:rsid w:val="00666FEC"/>
    <w:rsid w:val="006672FA"/>
    <w:rsid w:val="00667D94"/>
    <w:rsid w:val="00667E14"/>
    <w:rsid w:val="006718A5"/>
    <w:rsid w:val="00671D38"/>
    <w:rsid w:val="0067241A"/>
    <w:rsid w:val="00672B7E"/>
    <w:rsid w:val="006731B3"/>
    <w:rsid w:val="00673620"/>
    <w:rsid w:val="006737BD"/>
    <w:rsid w:val="00673C57"/>
    <w:rsid w:val="00673FA5"/>
    <w:rsid w:val="006742D4"/>
    <w:rsid w:val="00674311"/>
    <w:rsid w:val="006749F9"/>
    <w:rsid w:val="00674F1F"/>
    <w:rsid w:val="00675CCC"/>
    <w:rsid w:val="006765E7"/>
    <w:rsid w:val="0067666C"/>
    <w:rsid w:val="006768BF"/>
    <w:rsid w:val="00677949"/>
    <w:rsid w:val="006802DC"/>
    <w:rsid w:val="006809C5"/>
    <w:rsid w:val="00680C17"/>
    <w:rsid w:val="00680ED8"/>
    <w:rsid w:val="006812F1"/>
    <w:rsid w:val="006816E2"/>
    <w:rsid w:val="006818C0"/>
    <w:rsid w:val="00681919"/>
    <w:rsid w:val="00681F83"/>
    <w:rsid w:val="00682275"/>
    <w:rsid w:val="006822C0"/>
    <w:rsid w:val="006846E9"/>
    <w:rsid w:val="00684738"/>
    <w:rsid w:val="006847E9"/>
    <w:rsid w:val="00684BDD"/>
    <w:rsid w:val="00686571"/>
    <w:rsid w:val="00686C58"/>
    <w:rsid w:val="00687D43"/>
    <w:rsid w:val="0069011E"/>
    <w:rsid w:val="00690491"/>
    <w:rsid w:val="00690B3B"/>
    <w:rsid w:val="006915EB"/>
    <w:rsid w:val="006915F0"/>
    <w:rsid w:val="0069161F"/>
    <w:rsid w:val="00692482"/>
    <w:rsid w:val="00692511"/>
    <w:rsid w:val="00692B91"/>
    <w:rsid w:val="00692DEA"/>
    <w:rsid w:val="00693275"/>
    <w:rsid w:val="006943B7"/>
    <w:rsid w:val="0069492C"/>
    <w:rsid w:val="006950AD"/>
    <w:rsid w:val="00696D10"/>
    <w:rsid w:val="006970AD"/>
    <w:rsid w:val="006979BA"/>
    <w:rsid w:val="006A0252"/>
    <w:rsid w:val="006A0858"/>
    <w:rsid w:val="006A0BCB"/>
    <w:rsid w:val="006A0C4D"/>
    <w:rsid w:val="006A150A"/>
    <w:rsid w:val="006A1958"/>
    <w:rsid w:val="006A1DD8"/>
    <w:rsid w:val="006A1FF2"/>
    <w:rsid w:val="006A2BC2"/>
    <w:rsid w:val="006A39E8"/>
    <w:rsid w:val="006A3A4A"/>
    <w:rsid w:val="006A3AB6"/>
    <w:rsid w:val="006A400E"/>
    <w:rsid w:val="006A445C"/>
    <w:rsid w:val="006A4475"/>
    <w:rsid w:val="006A5831"/>
    <w:rsid w:val="006A5E2B"/>
    <w:rsid w:val="006A5EE5"/>
    <w:rsid w:val="006A5EFF"/>
    <w:rsid w:val="006A6327"/>
    <w:rsid w:val="006A66BD"/>
    <w:rsid w:val="006A6704"/>
    <w:rsid w:val="006A72D5"/>
    <w:rsid w:val="006B1218"/>
    <w:rsid w:val="006B1231"/>
    <w:rsid w:val="006B1796"/>
    <w:rsid w:val="006B1BF7"/>
    <w:rsid w:val="006B1DDF"/>
    <w:rsid w:val="006B315E"/>
    <w:rsid w:val="006B33C0"/>
    <w:rsid w:val="006B365F"/>
    <w:rsid w:val="006B3C19"/>
    <w:rsid w:val="006B4396"/>
    <w:rsid w:val="006B46B6"/>
    <w:rsid w:val="006B4E0D"/>
    <w:rsid w:val="006B5F38"/>
    <w:rsid w:val="006B607F"/>
    <w:rsid w:val="006B6172"/>
    <w:rsid w:val="006B62FF"/>
    <w:rsid w:val="006B6C0B"/>
    <w:rsid w:val="006B6DBC"/>
    <w:rsid w:val="006B7092"/>
    <w:rsid w:val="006B71BC"/>
    <w:rsid w:val="006B775A"/>
    <w:rsid w:val="006B7A5C"/>
    <w:rsid w:val="006C0328"/>
    <w:rsid w:val="006C0923"/>
    <w:rsid w:val="006C0B55"/>
    <w:rsid w:val="006C0D75"/>
    <w:rsid w:val="006C3F12"/>
    <w:rsid w:val="006C42CF"/>
    <w:rsid w:val="006C4985"/>
    <w:rsid w:val="006C5846"/>
    <w:rsid w:val="006C5847"/>
    <w:rsid w:val="006C5852"/>
    <w:rsid w:val="006C5EC9"/>
    <w:rsid w:val="006C6525"/>
    <w:rsid w:val="006C67BF"/>
    <w:rsid w:val="006C6A79"/>
    <w:rsid w:val="006C6D2E"/>
    <w:rsid w:val="006C7637"/>
    <w:rsid w:val="006C7ABB"/>
    <w:rsid w:val="006C7B4B"/>
    <w:rsid w:val="006D0641"/>
    <w:rsid w:val="006D0C94"/>
    <w:rsid w:val="006D0CBB"/>
    <w:rsid w:val="006D0E83"/>
    <w:rsid w:val="006D1A9C"/>
    <w:rsid w:val="006D1D2F"/>
    <w:rsid w:val="006D2A1D"/>
    <w:rsid w:val="006D2B88"/>
    <w:rsid w:val="006D3CEE"/>
    <w:rsid w:val="006D490C"/>
    <w:rsid w:val="006D5437"/>
    <w:rsid w:val="006D63EB"/>
    <w:rsid w:val="006D6BF3"/>
    <w:rsid w:val="006D7043"/>
    <w:rsid w:val="006D7F9A"/>
    <w:rsid w:val="006E0058"/>
    <w:rsid w:val="006E071B"/>
    <w:rsid w:val="006E14FE"/>
    <w:rsid w:val="006E222E"/>
    <w:rsid w:val="006E332E"/>
    <w:rsid w:val="006E3595"/>
    <w:rsid w:val="006E3865"/>
    <w:rsid w:val="006E3924"/>
    <w:rsid w:val="006E3995"/>
    <w:rsid w:val="006E3BCE"/>
    <w:rsid w:val="006E3DC7"/>
    <w:rsid w:val="006E529E"/>
    <w:rsid w:val="006E66FB"/>
    <w:rsid w:val="006E671B"/>
    <w:rsid w:val="006E686C"/>
    <w:rsid w:val="006E6A19"/>
    <w:rsid w:val="006F00BE"/>
    <w:rsid w:val="006F027D"/>
    <w:rsid w:val="006F07D4"/>
    <w:rsid w:val="006F0CC4"/>
    <w:rsid w:val="006F1336"/>
    <w:rsid w:val="006F3AB2"/>
    <w:rsid w:val="006F3EF7"/>
    <w:rsid w:val="006F3FDA"/>
    <w:rsid w:val="006F41BE"/>
    <w:rsid w:val="006F4803"/>
    <w:rsid w:val="006F4EFD"/>
    <w:rsid w:val="006F5260"/>
    <w:rsid w:val="006F5331"/>
    <w:rsid w:val="006F6F86"/>
    <w:rsid w:val="006F7A4D"/>
    <w:rsid w:val="006F7D5C"/>
    <w:rsid w:val="006F7E86"/>
    <w:rsid w:val="006F7F63"/>
    <w:rsid w:val="0070112F"/>
    <w:rsid w:val="00702246"/>
    <w:rsid w:val="00702666"/>
    <w:rsid w:val="0070299A"/>
    <w:rsid w:val="00702D11"/>
    <w:rsid w:val="007036DD"/>
    <w:rsid w:val="00703BD0"/>
    <w:rsid w:val="0070423D"/>
    <w:rsid w:val="00704915"/>
    <w:rsid w:val="00704D1B"/>
    <w:rsid w:val="00705681"/>
    <w:rsid w:val="00706594"/>
    <w:rsid w:val="007072D2"/>
    <w:rsid w:val="007072E4"/>
    <w:rsid w:val="0071005E"/>
    <w:rsid w:val="0071016D"/>
    <w:rsid w:val="007103FB"/>
    <w:rsid w:val="00710657"/>
    <w:rsid w:val="00711B8A"/>
    <w:rsid w:val="00712306"/>
    <w:rsid w:val="00712B9C"/>
    <w:rsid w:val="0071301D"/>
    <w:rsid w:val="00713090"/>
    <w:rsid w:val="00713106"/>
    <w:rsid w:val="0071364A"/>
    <w:rsid w:val="007138EC"/>
    <w:rsid w:val="0071395D"/>
    <w:rsid w:val="00713B27"/>
    <w:rsid w:val="00713FA3"/>
    <w:rsid w:val="0071486F"/>
    <w:rsid w:val="007155D9"/>
    <w:rsid w:val="00715CF1"/>
    <w:rsid w:val="00715FA2"/>
    <w:rsid w:val="0071668D"/>
    <w:rsid w:val="00716869"/>
    <w:rsid w:val="00721065"/>
    <w:rsid w:val="0072130D"/>
    <w:rsid w:val="00721542"/>
    <w:rsid w:val="0072187D"/>
    <w:rsid w:val="00722EFA"/>
    <w:rsid w:val="00723832"/>
    <w:rsid w:val="00723F29"/>
    <w:rsid w:val="00723F62"/>
    <w:rsid w:val="00724B4F"/>
    <w:rsid w:val="00725080"/>
    <w:rsid w:val="007261B7"/>
    <w:rsid w:val="00726CFF"/>
    <w:rsid w:val="007276CA"/>
    <w:rsid w:val="00727D07"/>
    <w:rsid w:val="00731751"/>
    <w:rsid w:val="00731E21"/>
    <w:rsid w:val="007327EB"/>
    <w:rsid w:val="00733A11"/>
    <w:rsid w:val="00733E68"/>
    <w:rsid w:val="00734501"/>
    <w:rsid w:val="00736372"/>
    <w:rsid w:val="007371F1"/>
    <w:rsid w:val="007401CE"/>
    <w:rsid w:val="007403A3"/>
    <w:rsid w:val="0074096E"/>
    <w:rsid w:val="00740AD7"/>
    <w:rsid w:val="00741793"/>
    <w:rsid w:val="00741A5A"/>
    <w:rsid w:val="00746A1F"/>
    <w:rsid w:val="00746D24"/>
    <w:rsid w:val="00747C2E"/>
    <w:rsid w:val="00750BC1"/>
    <w:rsid w:val="00751706"/>
    <w:rsid w:val="00752636"/>
    <w:rsid w:val="00752BF6"/>
    <w:rsid w:val="007544A8"/>
    <w:rsid w:val="00754CBD"/>
    <w:rsid w:val="007553C2"/>
    <w:rsid w:val="0075565B"/>
    <w:rsid w:val="00755CF6"/>
    <w:rsid w:val="00755D9A"/>
    <w:rsid w:val="00756595"/>
    <w:rsid w:val="00756625"/>
    <w:rsid w:val="007568CD"/>
    <w:rsid w:val="007569C0"/>
    <w:rsid w:val="00757923"/>
    <w:rsid w:val="00757F8D"/>
    <w:rsid w:val="0076005E"/>
    <w:rsid w:val="00760335"/>
    <w:rsid w:val="00760435"/>
    <w:rsid w:val="00760C65"/>
    <w:rsid w:val="00760F88"/>
    <w:rsid w:val="00761103"/>
    <w:rsid w:val="00762077"/>
    <w:rsid w:val="007620EB"/>
    <w:rsid w:val="00763CC6"/>
    <w:rsid w:val="00763CD6"/>
    <w:rsid w:val="007643C1"/>
    <w:rsid w:val="00764C5A"/>
    <w:rsid w:val="00764C97"/>
    <w:rsid w:val="007659B6"/>
    <w:rsid w:val="00765CA2"/>
    <w:rsid w:val="0076618F"/>
    <w:rsid w:val="007675DC"/>
    <w:rsid w:val="007678E9"/>
    <w:rsid w:val="00770FDB"/>
    <w:rsid w:val="00771682"/>
    <w:rsid w:val="0077174A"/>
    <w:rsid w:val="00773341"/>
    <w:rsid w:val="00773832"/>
    <w:rsid w:val="00773FF0"/>
    <w:rsid w:val="007745D0"/>
    <w:rsid w:val="0077558E"/>
    <w:rsid w:val="00776496"/>
    <w:rsid w:val="00781635"/>
    <w:rsid w:val="00781B8C"/>
    <w:rsid w:val="007824B9"/>
    <w:rsid w:val="00782682"/>
    <w:rsid w:val="00782D4D"/>
    <w:rsid w:val="007834F6"/>
    <w:rsid w:val="0078466E"/>
    <w:rsid w:val="007850F7"/>
    <w:rsid w:val="0078650B"/>
    <w:rsid w:val="00787342"/>
    <w:rsid w:val="00787FC7"/>
    <w:rsid w:val="00790126"/>
    <w:rsid w:val="00790FFD"/>
    <w:rsid w:val="00791256"/>
    <w:rsid w:val="007923D8"/>
    <w:rsid w:val="00792638"/>
    <w:rsid w:val="0079285F"/>
    <w:rsid w:val="0079327D"/>
    <w:rsid w:val="00793559"/>
    <w:rsid w:val="00793C9C"/>
    <w:rsid w:val="00793E5B"/>
    <w:rsid w:val="007944BB"/>
    <w:rsid w:val="00794988"/>
    <w:rsid w:val="007967FF"/>
    <w:rsid w:val="00796A68"/>
    <w:rsid w:val="007978D0"/>
    <w:rsid w:val="00797B1F"/>
    <w:rsid w:val="007A0CCF"/>
    <w:rsid w:val="007A0D8C"/>
    <w:rsid w:val="007A1075"/>
    <w:rsid w:val="007A1645"/>
    <w:rsid w:val="007A1C7C"/>
    <w:rsid w:val="007A1F4E"/>
    <w:rsid w:val="007A1F66"/>
    <w:rsid w:val="007A2026"/>
    <w:rsid w:val="007A24A9"/>
    <w:rsid w:val="007A270C"/>
    <w:rsid w:val="007A28B7"/>
    <w:rsid w:val="007A2B1F"/>
    <w:rsid w:val="007A2C23"/>
    <w:rsid w:val="007A2E24"/>
    <w:rsid w:val="007A4DB0"/>
    <w:rsid w:val="007A55FD"/>
    <w:rsid w:val="007A5F5B"/>
    <w:rsid w:val="007A61A7"/>
    <w:rsid w:val="007A6683"/>
    <w:rsid w:val="007A6877"/>
    <w:rsid w:val="007A6F11"/>
    <w:rsid w:val="007A73DC"/>
    <w:rsid w:val="007A7845"/>
    <w:rsid w:val="007B000E"/>
    <w:rsid w:val="007B0126"/>
    <w:rsid w:val="007B12E3"/>
    <w:rsid w:val="007B14C9"/>
    <w:rsid w:val="007B1FD8"/>
    <w:rsid w:val="007B20CE"/>
    <w:rsid w:val="007B229F"/>
    <w:rsid w:val="007B23A5"/>
    <w:rsid w:val="007B315B"/>
    <w:rsid w:val="007B3498"/>
    <w:rsid w:val="007B4C10"/>
    <w:rsid w:val="007B5451"/>
    <w:rsid w:val="007B573A"/>
    <w:rsid w:val="007B5F32"/>
    <w:rsid w:val="007B6140"/>
    <w:rsid w:val="007B690F"/>
    <w:rsid w:val="007B6ACE"/>
    <w:rsid w:val="007B6D7D"/>
    <w:rsid w:val="007B6F85"/>
    <w:rsid w:val="007B6FA8"/>
    <w:rsid w:val="007C022B"/>
    <w:rsid w:val="007C0693"/>
    <w:rsid w:val="007C08A3"/>
    <w:rsid w:val="007C0C1F"/>
    <w:rsid w:val="007C14A4"/>
    <w:rsid w:val="007C17C2"/>
    <w:rsid w:val="007C1E30"/>
    <w:rsid w:val="007C282E"/>
    <w:rsid w:val="007C297B"/>
    <w:rsid w:val="007C3B16"/>
    <w:rsid w:val="007C3D1A"/>
    <w:rsid w:val="007C410C"/>
    <w:rsid w:val="007C5774"/>
    <w:rsid w:val="007C5FCC"/>
    <w:rsid w:val="007C6BBA"/>
    <w:rsid w:val="007C73DD"/>
    <w:rsid w:val="007D0017"/>
    <w:rsid w:val="007D12E0"/>
    <w:rsid w:val="007D15F5"/>
    <w:rsid w:val="007D1725"/>
    <w:rsid w:val="007D239D"/>
    <w:rsid w:val="007D256C"/>
    <w:rsid w:val="007D2776"/>
    <w:rsid w:val="007D3CA2"/>
    <w:rsid w:val="007D635B"/>
    <w:rsid w:val="007E0D86"/>
    <w:rsid w:val="007E0F33"/>
    <w:rsid w:val="007E1764"/>
    <w:rsid w:val="007E2796"/>
    <w:rsid w:val="007E2D1E"/>
    <w:rsid w:val="007E2ED5"/>
    <w:rsid w:val="007E320E"/>
    <w:rsid w:val="007E3261"/>
    <w:rsid w:val="007E387C"/>
    <w:rsid w:val="007E4341"/>
    <w:rsid w:val="007E4456"/>
    <w:rsid w:val="007E539E"/>
    <w:rsid w:val="007E589E"/>
    <w:rsid w:val="007E5CF0"/>
    <w:rsid w:val="007E5D24"/>
    <w:rsid w:val="007E6422"/>
    <w:rsid w:val="007E6505"/>
    <w:rsid w:val="007E7236"/>
    <w:rsid w:val="007E73CD"/>
    <w:rsid w:val="007E77C9"/>
    <w:rsid w:val="007F02AE"/>
    <w:rsid w:val="007F0D2E"/>
    <w:rsid w:val="007F13F7"/>
    <w:rsid w:val="007F1749"/>
    <w:rsid w:val="007F1B53"/>
    <w:rsid w:val="007F2203"/>
    <w:rsid w:val="007F2602"/>
    <w:rsid w:val="007F28C7"/>
    <w:rsid w:val="007F2DF5"/>
    <w:rsid w:val="007F4823"/>
    <w:rsid w:val="007F4DA7"/>
    <w:rsid w:val="007F5CCC"/>
    <w:rsid w:val="007F61A7"/>
    <w:rsid w:val="007F6750"/>
    <w:rsid w:val="007F67A1"/>
    <w:rsid w:val="007F787F"/>
    <w:rsid w:val="007F7B08"/>
    <w:rsid w:val="00800372"/>
    <w:rsid w:val="00800651"/>
    <w:rsid w:val="00800AE8"/>
    <w:rsid w:val="00801202"/>
    <w:rsid w:val="00801400"/>
    <w:rsid w:val="008014C6"/>
    <w:rsid w:val="00802CE1"/>
    <w:rsid w:val="00802D0C"/>
    <w:rsid w:val="008038F4"/>
    <w:rsid w:val="00803BBA"/>
    <w:rsid w:val="00803C8E"/>
    <w:rsid w:val="008047B8"/>
    <w:rsid w:val="00804A5E"/>
    <w:rsid w:val="008070B4"/>
    <w:rsid w:val="008078E1"/>
    <w:rsid w:val="00810D06"/>
    <w:rsid w:val="00812250"/>
    <w:rsid w:val="00813851"/>
    <w:rsid w:val="00814297"/>
    <w:rsid w:val="00814301"/>
    <w:rsid w:val="00814ED3"/>
    <w:rsid w:val="008167C0"/>
    <w:rsid w:val="00816ED2"/>
    <w:rsid w:val="00817671"/>
    <w:rsid w:val="00817AB9"/>
    <w:rsid w:val="00820E8F"/>
    <w:rsid w:val="00820F76"/>
    <w:rsid w:val="00822A9D"/>
    <w:rsid w:val="0082359E"/>
    <w:rsid w:val="00823863"/>
    <w:rsid w:val="0082435A"/>
    <w:rsid w:val="00824924"/>
    <w:rsid w:val="008250F8"/>
    <w:rsid w:val="0082577C"/>
    <w:rsid w:val="00825E39"/>
    <w:rsid w:val="00826B4F"/>
    <w:rsid w:val="00826C73"/>
    <w:rsid w:val="00827235"/>
    <w:rsid w:val="008313A2"/>
    <w:rsid w:val="00831A49"/>
    <w:rsid w:val="00832125"/>
    <w:rsid w:val="008353C5"/>
    <w:rsid w:val="00835470"/>
    <w:rsid w:val="00835499"/>
    <w:rsid w:val="00835749"/>
    <w:rsid w:val="0083583A"/>
    <w:rsid w:val="00835A38"/>
    <w:rsid w:val="00835DFB"/>
    <w:rsid w:val="008363FC"/>
    <w:rsid w:val="00836AE9"/>
    <w:rsid w:val="008370D4"/>
    <w:rsid w:val="00842723"/>
    <w:rsid w:val="00842E86"/>
    <w:rsid w:val="0084304D"/>
    <w:rsid w:val="00844062"/>
    <w:rsid w:val="0084492F"/>
    <w:rsid w:val="00844CDD"/>
    <w:rsid w:val="008459F0"/>
    <w:rsid w:val="00846260"/>
    <w:rsid w:val="0084707F"/>
    <w:rsid w:val="00847623"/>
    <w:rsid w:val="00850AE4"/>
    <w:rsid w:val="00850E18"/>
    <w:rsid w:val="00851F0C"/>
    <w:rsid w:val="00852393"/>
    <w:rsid w:val="0085292F"/>
    <w:rsid w:val="00853D6C"/>
    <w:rsid w:val="0085417E"/>
    <w:rsid w:val="0085616F"/>
    <w:rsid w:val="00856875"/>
    <w:rsid w:val="008571A1"/>
    <w:rsid w:val="00857665"/>
    <w:rsid w:val="008602E2"/>
    <w:rsid w:val="00860E4C"/>
    <w:rsid w:val="00861616"/>
    <w:rsid w:val="00861B85"/>
    <w:rsid w:val="00861D97"/>
    <w:rsid w:val="008622B9"/>
    <w:rsid w:val="008624A0"/>
    <w:rsid w:val="008629E3"/>
    <w:rsid w:val="0086308C"/>
    <w:rsid w:val="008634FD"/>
    <w:rsid w:val="0086444B"/>
    <w:rsid w:val="00864DB6"/>
    <w:rsid w:val="00865614"/>
    <w:rsid w:val="00865DC2"/>
    <w:rsid w:val="008666A3"/>
    <w:rsid w:val="00866945"/>
    <w:rsid w:val="00867BD8"/>
    <w:rsid w:val="00867E7A"/>
    <w:rsid w:val="0087101C"/>
    <w:rsid w:val="00871C6D"/>
    <w:rsid w:val="00871CB7"/>
    <w:rsid w:val="00872323"/>
    <w:rsid w:val="00872570"/>
    <w:rsid w:val="008728D5"/>
    <w:rsid w:val="00872B41"/>
    <w:rsid w:val="00872DA4"/>
    <w:rsid w:val="00873C44"/>
    <w:rsid w:val="00875960"/>
    <w:rsid w:val="0087651A"/>
    <w:rsid w:val="00876756"/>
    <w:rsid w:val="008769C1"/>
    <w:rsid w:val="00877589"/>
    <w:rsid w:val="00881914"/>
    <w:rsid w:val="008822FB"/>
    <w:rsid w:val="00883C73"/>
    <w:rsid w:val="008845E8"/>
    <w:rsid w:val="008853BE"/>
    <w:rsid w:val="008854BF"/>
    <w:rsid w:val="008868DD"/>
    <w:rsid w:val="00887F22"/>
    <w:rsid w:val="00887F29"/>
    <w:rsid w:val="00887F71"/>
    <w:rsid w:val="008901BF"/>
    <w:rsid w:val="00890A6A"/>
    <w:rsid w:val="00890C40"/>
    <w:rsid w:val="008911A6"/>
    <w:rsid w:val="0089125E"/>
    <w:rsid w:val="00891D5D"/>
    <w:rsid w:val="00891EA8"/>
    <w:rsid w:val="00892C65"/>
    <w:rsid w:val="008936C4"/>
    <w:rsid w:val="00893777"/>
    <w:rsid w:val="00893D33"/>
    <w:rsid w:val="0089486B"/>
    <w:rsid w:val="00894DA5"/>
    <w:rsid w:val="00895476"/>
    <w:rsid w:val="008969A7"/>
    <w:rsid w:val="00897E20"/>
    <w:rsid w:val="008A028D"/>
    <w:rsid w:val="008A05A8"/>
    <w:rsid w:val="008A06F3"/>
    <w:rsid w:val="008A09E3"/>
    <w:rsid w:val="008A1B49"/>
    <w:rsid w:val="008A264E"/>
    <w:rsid w:val="008A2AEB"/>
    <w:rsid w:val="008A30D7"/>
    <w:rsid w:val="008A596C"/>
    <w:rsid w:val="008A5B54"/>
    <w:rsid w:val="008A5EF9"/>
    <w:rsid w:val="008A6FAF"/>
    <w:rsid w:val="008A7579"/>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262C"/>
    <w:rsid w:val="008C2C29"/>
    <w:rsid w:val="008C2E1F"/>
    <w:rsid w:val="008C3650"/>
    <w:rsid w:val="008C3861"/>
    <w:rsid w:val="008C3B27"/>
    <w:rsid w:val="008C4EF6"/>
    <w:rsid w:val="008C5046"/>
    <w:rsid w:val="008C5145"/>
    <w:rsid w:val="008C5680"/>
    <w:rsid w:val="008C61CB"/>
    <w:rsid w:val="008C62F5"/>
    <w:rsid w:val="008C77DB"/>
    <w:rsid w:val="008D12F2"/>
    <w:rsid w:val="008D14BF"/>
    <w:rsid w:val="008D284A"/>
    <w:rsid w:val="008D325D"/>
    <w:rsid w:val="008D35CD"/>
    <w:rsid w:val="008D3E28"/>
    <w:rsid w:val="008D42C8"/>
    <w:rsid w:val="008D4E63"/>
    <w:rsid w:val="008D55E1"/>
    <w:rsid w:val="008D5B36"/>
    <w:rsid w:val="008D64AB"/>
    <w:rsid w:val="008D65B8"/>
    <w:rsid w:val="008D686C"/>
    <w:rsid w:val="008D794A"/>
    <w:rsid w:val="008D7980"/>
    <w:rsid w:val="008D7B7B"/>
    <w:rsid w:val="008E1301"/>
    <w:rsid w:val="008E179E"/>
    <w:rsid w:val="008E1886"/>
    <w:rsid w:val="008E1EB1"/>
    <w:rsid w:val="008E2052"/>
    <w:rsid w:val="008E2057"/>
    <w:rsid w:val="008E21BE"/>
    <w:rsid w:val="008E2809"/>
    <w:rsid w:val="008E2C5E"/>
    <w:rsid w:val="008E2DE9"/>
    <w:rsid w:val="008E34F7"/>
    <w:rsid w:val="008E3633"/>
    <w:rsid w:val="008E4DDF"/>
    <w:rsid w:val="008E5D68"/>
    <w:rsid w:val="008E661B"/>
    <w:rsid w:val="008E663A"/>
    <w:rsid w:val="008E6D0E"/>
    <w:rsid w:val="008E6E70"/>
    <w:rsid w:val="008F07E8"/>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5DB1"/>
    <w:rsid w:val="008F5FF1"/>
    <w:rsid w:val="008F628F"/>
    <w:rsid w:val="008F6500"/>
    <w:rsid w:val="008F6A9D"/>
    <w:rsid w:val="008F7C45"/>
    <w:rsid w:val="00900635"/>
    <w:rsid w:val="00900EF9"/>
    <w:rsid w:val="00901A22"/>
    <w:rsid w:val="00901B29"/>
    <w:rsid w:val="009022CB"/>
    <w:rsid w:val="00902E6D"/>
    <w:rsid w:val="009033E6"/>
    <w:rsid w:val="009037D9"/>
    <w:rsid w:val="00903C05"/>
    <w:rsid w:val="0090404E"/>
    <w:rsid w:val="00904E13"/>
    <w:rsid w:val="00904F8A"/>
    <w:rsid w:val="00905D60"/>
    <w:rsid w:val="00905DAA"/>
    <w:rsid w:val="00906338"/>
    <w:rsid w:val="00906409"/>
    <w:rsid w:val="009064E8"/>
    <w:rsid w:val="0090689A"/>
    <w:rsid w:val="00907136"/>
    <w:rsid w:val="00907F53"/>
    <w:rsid w:val="0091094D"/>
    <w:rsid w:val="00910BA7"/>
    <w:rsid w:val="00911119"/>
    <w:rsid w:val="009111CB"/>
    <w:rsid w:val="009117A9"/>
    <w:rsid w:val="00911AD0"/>
    <w:rsid w:val="00912996"/>
    <w:rsid w:val="009129D5"/>
    <w:rsid w:val="00914523"/>
    <w:rsid w:val="00914878"/>
    <w:rsid w:val="009148C0"/>
    <w:rsid w:val="009149B6"/>
    <w:rsid w:val="00914DAE"/>
    <w:rsid w:val="00915153"/>
    <w:rsid w:val="009153AE"/>
    <w:rsid w:val="00915FB0"/>
    <w:rsid w:val="0091655B"/>
    <w:rsid w:val="009167E9"/>
    <w:rsid w:val="009167F8"/>
    <w:rsid w:val="00916DF0"/>
    <w:rsid w:val="009170BF"/>
    <w:rsid w:val="0092016A"/>
    <w:rsid w:val="00920263"/>
    <w:rsid w:val="009217A0"/>
    <w:rsid w:val="00921836"/>
    <w:rsid w:val="00921946"/>
    <w:rsid w:val="00921A26"/>
    <w:rsid w:val="00922147"/>
    <w:rsid w:val="009221E9"/>
    <w:rsid w:val="00922287"/>
    <w:rsid w:val="00922409"/>
    <w:rsid w:val="00922860"/>
    <w:rsid w:val="00923096"/>
    <w:rsid w:val="009236DC"/>
    <w:rsid w:val="00924E9B"/>
    <w:rsid w:val="009254B2"/>
    <w:rsid w:val="0092586C"/>
    <w:rsid w:val="00926922"/>
    <w:rsid w:val="00927303"/>
    <w:rsid w:val="0093093F"/>
    <w:rsid w:val="0093158F"/>
    <w:rsid w:val="00931B0C"/>
    <w:rsid w:val="00931D93"/>
    <w:rsid w:val="00931FD3"/>
    <w:rsid w:val="00933199"/>
    <w:rsid w:val="009335EC"/>
    <w:rsid w:val="00933630"/>
    <w:rsid w:val="00934991"/>
    <w:rsid w:val="0093591A"/>
    <w:rsid w:val="00935AD2"/>
    <w:rsid w:val="00936349"/>
    <w:rsid w:val="00936B42"/>
    <w:rsid w:val="00936E4A"/>
    <w:rsid w:val="00936F51"/>
    <w:rsid w:val="009378E9"/>
    <w:rsid w:val="00937C0D"/>
    <w:rsid w:val="009400B1"/>
    <w:rsid w:val="00940A9F"/>
    <w:rsid w:val="00940AC3"/>
    <w:rsid w:val="00940B26"/>
    <w:rsid w:val="00940E38"/>
    <w:rsid w:val="00940FD5"/>
    <w:rsid w:val="0094112A"/>
    <w:rsid w:val="00941BDB"/>
    <w:rsid w:val="009435C1"/>
    <w:rsid w:val="00943B4D"/>
    <w:rsid w:val="0094431A"/>
    <w:rsid w:val="0094466B"/>
    <w:rsid w:val="0094491F"/>
    <w:rsid w:val="00944EF4"/>
    <w:rsid w:val="00945890"/>
    <w:rsid w:val="00945D37"/>
    <w:rsid w:val="00945EBC"/>
    <w:rsid w:val="00946B46"/>
    <w:rsid w:val="00950089"/>
    <w:rsid w:val="00950718"/>
    <w:rsid w:val="00951A08"/>
    <w:rsid w:val="0095282E"/>
    <w:rsid w:val="009531A0"/>
    <w:rsid w:val="0095357A"/>
    <w:rsid w:val="009539D5"/>
    <w:rsid w:val="00953D4D"/>
    <w:rsid w:val="00954BD7"/>
    <w:rsid w:val="00954E7F"/>
    <w:rsid w:val="00955368"/>
    <w:rsid w:val="0095610E"/>
    <w:rsid w:val="0095613B"/>
    <w:rsid w:val="009563C9"/>
    <w:rsid w:val="0095647D"/>
    <w:rsid w:val="009567BD"/>
    <w:rsid w:val="00956866"/>
    <w:rsid w:val="00956B57"/>
    <w:rsid w:val="0095740E"/>
    <w:rsid w:val="0096025D"/>
    <w:rsid w:val="00960D4E"/>
    <w:rsid w:val="00960F8F"/>
    <w:rsid w:val="00961625"/>
    <w:rsid w:val="00961727"/>
    <w:rsid w:val="009623CF"/>
    <w:rsid w:val="009628BF"/>
    <w:rsid w:val="009639C7"/>
    <w:rsid w:val="0096591C"/>
    <w:rsid w:val="00965D89"/>
    <w:rsid w:val="00966947"/>
    <w:rsid w:val="00966E1C"/>
    <w:rsid w:val="009670E1"/>
    <w:rsid w:val="00967413"/>
    <w:rsid w:val="0096752B"/>
    <w:rsid w:val="00967ED6"/>
    <w:rsid w:val="00970015"/>
    <w:rsid w:val="0097104F"/>
    <w:rsid w:val="0097176A"/>
    <w:rsid w:val="009722E4"/>
    <w:rsid w:val="00972A5F"/>
    <w:rsid w:val="00972FDB"/>
    <w:rsid w:val="009734AC"/>
    <w:rsid w:val="009736EB"/>
    <w:rsid w:val="0097395E"/>
    <w:rsid w:val="00974044"/>
    <w:rsid w:val="00975274"/>
    <w:rsid w:val="00976AE4"/>
    <w:rsid w:val="00977958"/>
    <w:rsid w:val="0098191E"/>
    <w:rsid w:val="00981D5E"/>
    <w:rsid w:val="00982ACA"/>
    <w:rsid w:val="0098418F"/>
    <w:rsid w:val="009846C2"/>
    <w:rsid w:val="009851F5"/>
    <w:rsid w:val="00985785"/>
    <w:rsid w:val="00985A34"/>
    <w:rsid w:val="00986A13"/>
    <w:rsid w:val="0098719D"/>
    <w:rsid w:val="009877C5"/>
    <w:rsid w:val="00987858"/>
    <w:rsid w:val="009903B3"/>
    <w:rsid w:val="009915BE"/>
    <w:rsid w:val="00991A1E"/>
    <w:rsid w:val="0099303C"/>
    <w:rsid w:val="00993142"/>
    <w:rsid w:val="00993B4D"/>
    <w:rsid w:val="009945E4"/>
    <w:rsid w:val="00994FCF"/>
    <w:rsid w:val="00995070"/>
    <w:rsid w:val="00995275"/>
    <w:rsid w:val="009967EE"/>
    <w:rsid w:val="00996818"/>
    <w:rsid w:val="00996F99"/>
    <w:rsid w:val="0099755F"/>
    <w:rsid w:val="009A0261"/>
    <w:rsid w:val="009A060D"/>
    <w:rsid w:val="009A11F0"/>
    <w:rsid w:val="009A1575"/>
    <w:rsid w:val="009A175A"/>
    <w:rsid w:val="009A1AA9"/>
    <w:rsid w:val="009A210E"/>
    <w:rsid w:val="009A2D8F"/>
    <w:rsid w:val="009A35BF"/>
    <w:rsid w:val="009A35C8"/>
    <w:rsid w:val="009A3941"/>
    <w:rsid w:val="009A5257"/>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B5856"/>
    <w:rsid w:val="009B5FC5"/>
    <w:rsid w:val="009B62BC"/>
    <w:rsid w:val="009B69C6"/>
    <w:rsid w:val="009B74A1"/>
    <w:rsid w:val="009B7B9A"/>
    <w:rsid w:val="009B7DD3"/>
    <w:rsid w:val="009C01DC"/>
    <w:rsid w:val="009C03BB"/>
    <w:rsid w:val="009C0960"/>
    <w:rsid w:val="009C1C87"/>
    <w:rsid w:val="009C2D6E"/>
    <w:rsid w:val="009C4366"/>
    <w:rsid w:val="009C44AE"/>
    <w:rsid w:val="009C4DAB"/>
    <w:rsid w:val="009C51F0"/>
    <w:rsid w:val="009C5207"/>
    <w:rsid w:val="009C56A6"/>
    <w:rsid w:val="009C5FC0"/>
    <w:rsid w:val="009C6B49"/>
    <w:rsid w:val="009C6EBD"/>
    <w:rsid w:val="009C78F9"/>
    <w:rsid w:val="009C7ACF"/>
    <w:rsid w:val="009D056B"/>
    <w:rsid w:val="009D0799"/>
    <w:rsid w:val="009D18F9"/>
    <w:rsid w:val="009D20A5"/>
    <w:rsid w:val="009D2206"/>
    <w:rsid w:val="009D29F4"/>
    <w:rsid w:val="009D2C3E"/>
    <w:rsid w:val="009D3192"/>
    <w:rsid w:val="009D3602"/>
    <w:rsid w:val="009D3634"/>
    <w:rsid w:val="009D3879"/>
    <w:rsid w:val="009D52C3"/>
    <w:rsid w:val="009D538F"/>
    <w:rsid w:val="009D63BB"/>
    <w:rsid w:val="009D68E3"/>
    <w:rsid w:val="009D69D5"/>
    <w:rsid w:val="009D702D"/>
    <w:rsid w:val="009D7152"/>
    <w:rsid w:val="009D7612"/>
    <w:rsid w:val="009D782E"/>
    <w:rsid w:val="009D7994"/>
    <w:rsid w:val="009D7E0C"/>
    <w:rsid w:val="009E0361"/>
    <w:rsid w:val="009E0B46"/>
    <w:rsid w:val="009E0E9A"/>
    <w:rsid w:val="009E1081"/>
    <w:rsid w:val="009E1535"/>
    <w:rsid w:val="009E257F"/>
    <w:rsid w:val="009E2864"/>
    <w:rsid w:val="009E2C74"/>
    <w:rsid w:val="009E30ED"/>
    <w:rsid w:val="009E3342"/>
    <w:rsid w:val="009E455D"/>
    <w:rsid w:val="009E53CA"/>
    <w:rsid w:val="009E6979"/>
    <w:rsid w:val="009E6A37"/>
    <w:rsid w:val="009E6BF4"/>
    <w:rsid w:val="009E7903"/>
    <w:rsid w:val="009E7D61"/>
    <w:rsid w:val="009E7EEC"/>
    <w:rsid w:val="009F017E"/>
    <w:rsid w:val="009F0220"/>
    <w:rsid w:val="009F15A1"/>
    <w:rsid w:val="009F1DB2"/>
    <w:rsid w:val="009F1E43"/>
    <w:rsid w:val="009F2300"/>
    <w:rsid w:val="009F25AA"/>
    <w:rsid w:val="009F2E6A"/>
    <w:rsid w:val="009F31C8"/>
    <w:rsid w:val="009F4832"/>
    <w:rsid w:val="009F4EA3"/>
    <w:rsid w:val="009F5B7F"/>
    <w:rsid w:val="009F5CB2"/>
    <w:rsid w:val="009F6229"/>
    <w:rsid w:val="009F68FE"/>
    <w:rsid w:val="009F74BF"/>
    <w:rsid w:val="009F7E9F"/>
    <w:rsid w:val="009F7EAC"/>
    <w:rsid w:val="00A001D4"/>
    <w:rsid w:val="00A002A6"/>
    <w:rsid w:val="00A0187E"/>
    <w:rsid w:val="00A018CB"/>
    <w:rsid w:val="00A03864"/>
    <w:rsid w:val="00A03C47"/>
    <w:rsid w:val="00A03F4F"/>
    <w:rsid w:val="00A047BF"/>
    <w:rsid w:val="00A04FAA"/>
    <w:rsid w:val="00A0651C"/>
    <w:rsid w:val="00A06A55"/>
    <w:rsid w:val="00A06E6C"/>
    <w:rsid w:val="00A071EF"/>
    <w:rsid w:val="00A07F7B"/>
    <w:rsid w:val="00A10E84"/>
    <w:rsid w:val="00A11553"/>
    <w:rsid w:val="00A11724"/>
    <w:rsid w:val="00A11DCE"/>
    <w:rsid w:val="00A11EBD"/>
    <w:rsid w:val="00A13878"/>
    <w:rsid w:val="00A138C1"/>
    <w:rsid w:val="00A14D0F"/>
    <w:rsid w:val="00A15375"/>
    <w:rsid w:val="00A16497"/>
    <w:rsid w:val="00A166EB"/>
    <w:rsid w:val="00A16792"/>
    <w:rsid w:val="00A167D9"/>
    <w:rsid w:val="00A16AE1"/>
    <w:rsid w:val="00A16F86"/>
    <w:rsid w:val="00A20040"/>
    <w:rsid w:val="00A2077F"/>
    <w:rsid w:val="00A21581"/>
    <w:rsid w:val="00A229A4"/>
    <w:rsid w:val="00A23644"/>
    <w:rsid w:val="00A23678"/>
    <w:rsid w:val="00A23D33"/>
    <w:rsid w:val="00A23E50"/>
    <w:rsid w:val="00A247F0"/>
    <w:rsid w:val="00A24842"/>
    <w:rsid w:val="00A25329"/>
    <w:rsid w:val="00A25D12"/>
    <w:rsid w:val="00A262B7"/>
    <w:rsid w:val="00A2651F"/>
    <w:rsid w:val="00A26C93"/>
    <w:rsid w:val="00A26C9E"/>
    <w:rsid w:val="00A27000"/>
    <w:rsid w:val="00A2733C"/>
    <w:rsid w:val="00A315D0"/>
    <w:rsid w:val="00A31909"/>
    <w:rsid w:val="00A322CF"/>
    <w:rsid w:val="00A326FB"/>
    <w:rsid w:val="00A331E1"/>
    <w:rsid w:val="00A33DED"/>
    <w:rsid w:val="00A343CC"/>
    <w:rsid w:val="00A3493E"/>
    <w:rsid w:val="00A351F9"/>
    <w:rsid w:val="00A355FC"/>
    <w:rsid w:val="00A36523"/>
    <w:rsid w:val="00A36AB8"/>
    <w:rsid w:val="00A36D9A"/>
    <w:rsid w:val="00A37D02"/>
    <w:rsid w:val="00A40040"/>
    <w:rsid w:val="00A41068"/>
    <w:rsid w:val="00A4168D"/>
    <w:rsid w:val="00A42474"/>
    <w:rsid w:val="00A4282D"/>
    <w:rsid w:val="00A429CF"/>
    <w:rsid w:val="00A4406D"/>
    <w:rsid w:val="00A44CEC"/>
    <w:rsid w:val="00A4642F"/>
    <w:rsid w:val="00A50E73"/>
    <w:rsid w:val="00A514E9"/>
    <w:rsid w:val="00A51A41"/>
    <w:rsid w:val="00A52D13"/>
    <w:rsid w:val="00A5326C"/>
    <w:rsid w:val="00A538DF"/>
    <w:rsid w:val="00A538F9"/>
    <w:rsid w:val="00A53D36"/>
    <w:rsid w:val="00A54581"/>
    <w:rsid w:val="00A54BE2"/>
    <w:rsid w:val="00A55020"/>
    <w:rsid w:val="00A5562F"/>
    <w:rsid w:val="00A558BC"/>
    <w:rsid w:val="00A559C1"/>
    <w:rsid w:val="00A5693C"/>
    <w:rsid w:val="00A56DAA"/>
    <w:rsid w:val="00A571F0"/>
    <w:rsid w:val="00A601AD"/>
    <w:rsid w:val="00A60E6C"/>
    <w:rsid w:val="00A61574"/>
    <w:rsid w:val="00A61740"/>
    <w:rsid w:val="00A61F01"/>
    <w:rsid w:val="00A623BB"/>
    <w:rsid w:val="00A635DE"/>
    <w:rsid w:val="00A650CC"/>
    <w:rsid w:val="00A6516F"/>
    <w:rsid w:val="00A65672"/>
    <w:rsid w:val="00A6638C"/>
    <w:rsid w:val="00A664A1"/>
    <w:rsid w:val="00A668EF"/>
    <w:rsid w:val="00A672F7"/>
    <w:rsid w:val="00A67397"/>
    <w:rsid w:val="00A6744D"/>
    <w:rsid w:val="00A675F5"/>
    <w:rsid w:val="00A676D0"/>
    <w:rsid w:val="00A71CED"/>
    <w:rsid w:val="00A72B84"/>
    <w:rsid w:val="00A72BAA"/>
    <w:rsid w:val="00A7316C"/>
    <w:rsid w:val="00A739E5"/>
    <w:rsid w:val="00A759C8"/>
    <w:rsid w:val="00A7686A"/>
    <w:rsid w:val="00A779A2"/>
    <w:rsid w:val="00A80343"/>
    <w:rsid w:val="00A80826"/>
    <w:rsid w:val="00A809BB"/>
    <w:rsid w:val="00A80D93"/>
    <w:rsid w:val="00A81126"/>
    <w:rsid w:val="00A817D4"/>
    <w:rsid w:val="00A81A21"/>
    <w:rsid w:val="00A82DBB"/>
    <w:rsid w:val="00A83181"/>
    <w:rsid w:val="00A83393"/>
    <w:rsid w:val="00A83E2C"/>
    <w:rsid w:val="00A841D4"/>
    <w:rsid w:val="00A84608"/>
    <w:rsid w:val="00A84A7E"/>
    <w:rsid w:val="00A84E73"/>
    <w:rsid w:val="00A869C1"/>
    <w:rsid w:val="00A86D2A"/>
    <w:rsid w:val="00A9007D"/>
    <w:rsid w:val="00A900EC"/>
    <w:rsid w:val="00A905EC"/>
    <w:rsid w:val="00A90A74"/>
    <w:rsid w:val="00A919E0"/>
    <w:rsid w:val="00A91B21"/>
    <w:rsid w:val="00A91DE1"/>
    <w:rsid w:val="00A92D77"/>
    <w:rsid w:val="00A92E00"/>
    <w:rsid w:val="00A93905"/>
    <w:rsid w:val="00A93AEC"/>
    <w:rsid w:val="00A93BDC"/>
    <w:rsid w:val="00A94072"/>
    <w:rsid w:val="00A9454E"/>
    <w:rsid w:val="00A94C54"/>
    <w:rsid w:val="00A95B37"/>
    <w:rsid w:val="00A95B9E"/>
    <w:rsid w:val="00A95C37"/>
    <w:rsid w:val="00A95FCF"/>
    <w:rsid w:val="00A96727"/>
    <w:rsid w:val="00AA0074"/>
    <w:rsid w:val="00AA0355"/>
    <w:rsid w:val="00AA0CD1"/>
    <w:rsid w:val="00AA1325"/>
    <w:rsid w:val="00AA2243"/>
    <w:rsid w:val="00AA3423"/>
    <w:rsid w:val="00AA348C"/>
    <w:rsid w:val="00AA359D"/>
    <w:rsid w:val="00AA3B8A"/>
    <w:rsid w:val="00AA3CA8"/>
    <w:rsid w:val="00AA3EBF"/>
    <w:rsid w:val="00AA418F"/>
    <w:rsid w:val="00AA4385"/>
    <w:rsid w:val="00AA5016"/>
    <w:rsid w:val="00AA5CB0"/>
    <w:rsid w:val="00AA606E"/>
    <w:rsid w:val="00AA69AF"/>
    <w:rsid w:val="00AA6F7D"/>
    <w:rsid w:val="00AA6FBD"/>
    <w:rsid w:val="00AB0D21"/>
    <w:rsid w:val="00AB104B"/>
    <w:rsid w:val="00AB12B6"/>
    <w:rsid w:val="00AB155D"/>
    <w:rsid w:val="00AB19E8"/>
    <w:rsid w:val="00AB1BFB"/>
    <w:rsid w:val="00AB27C4"/>
    <w:rsid w:val="00AB2B34"/>
    <w:rsid w:val="00AB3260"/>
    <w:rsid w:val="00AB329A"/>
    <w:rsid w:val="00AB3E4A"/>
    <w:rsid w:val="00AB4C7A"/>
    <w:rsid w:val="00AB5277"/>
    <w:rsid w:val="00AB5612"/>
    <w:rsid w:val="00AB56DB"/>
    <w:rsid w:val="00AB57F4"/>
    <w:rsid w:val="00AB5A1F"/>
    <w:rsid w:val="00AB5ED6"/>
    <w:rsid w:val="00AB7C28"/>
    <w:rsid w:val="00AB7C44"/>
    <w:rsid w:val="00AC017D"/>
    <w:rsid w:val="00AC1BC7"/>
    <w:rsid w:val="00AC1D25"/>
    <w:rsid w:val="00AC1E62"/>
    <w:rsid w:val="00AC2013"/>
    <w:rsid w:val="00AC2169"/>
    <w:rsid w:val="00AC24E8"/>
    <w:rsid w:val="00AC2938"/>
    <w:rsid w:val="00AC302B"/>
    <w:rsid w:val="00AC3DBE"/>
    <w:rsid w:val="00AC425A"/>
    <w:rsid w:val="00AC4453"/>
    <w:rsid w:val="00AC447D"/>
    <w:rsid w:val="00AC4A4A"/>
    <w:rsid w:val="00AC4B18"/>
    <w:rsid w:val="00AC5A05"/>
    <w:rsid w:val="00AC5A9E"/>
    <w:rsid w:val="00AC5AD9"/>
    <w:rsid w:val="00AC604E"/>
    <w:rsid w:val="00AC617F"/>
    <w:rsid w:val="00AC6528"/>
    <w:rsid w:val="00AC6ED6"/>
    <w:rsid w:val="00AC70F9"/>
    <w:rsid w:val="00AC7B95"/>
    <w:rsid w:val="00AD0D23"/>
    <w:rsid w:val="00AD12F1"/>
    <w:rsid w:val="00AD3A40"/>
    <w:rsid w:val="00AD42A7"/>
    <w:rsid w:val="00AD46E2"/>
    <w:rsid w:val="00AD5055"/>
    <w:rsid w:val="00AD5CC5"/>
    <w:rsid w:val="00AD5E46"/>
    <w:rsid w:val="00AD6108"/>
    <w:rsid w:val="00AD641C"/>
    <w:rsid w:val="00AD717A"/>
    <w:rsid w:val="00AE0429"/>
    <w:rsid w:val="00AE1295"/>
    <w:rsid w:val="00AE13ED"/>
    <w:rsid w:val="00AE1413"/>
    <w:rsid w:val="00AE171F"/>
    <w:rsid w:val="00AE1CC5"/>
    <w:rsid w:val="00AE1D9B"/>
    <w:rsid w:val="00AE3735"/>
    <w:rsid w:val="00AE3A0A"/>
    <w:rsid w:val="00AE3B35"/>
    <w:rsid w:val="00AE543A"/>
    <w:rsid w:val="00AE54D5"/>
    <w:rsid w:val="00AE5709"/>
    <w:rsid w:val="00AE5C2E"/>
    <w:rsid w:val="00AE6146"/>
    <w:rsid w:val="00AE7AC8"/>
    <w:rsid w:val="00AE7C3E"/>
    <w:rsid w:val="00AF0558"/>
    <w:rsid w:val="00AF080A"/>
    <w:rsid w:val="00AF0BE2"/>
    <w:rsid w:val="00AF1A1B"/>
    <w:rsid w:val="00AF1DE6"/>
    <w:rsid w:val="00AF22F0"/>
    <w:rsid w:val="00AF277A"/>
    <w:rsid w:val="00AF2926"/>
    <w:rsid w:val="00AF3AE2"/>
    <w:rsid w:val="00AF45D2"/>
    <w:rsid w:val="00AF4702"/>
    <w:rsid w:val="00AF4D25"/>
    <w:rsid w:val="00AF58DD"/>
    <w:rsid w:val="00AF5B9A"/>
    <w:rsid w:val="00AF5C44"/>
    <w:rsid w:val="00AF5FF2"/>
    <w:rsid w:val="00AF60CD"/>
    <w:rsid w:val="00AF6517"/>
    <w:rsid w:val="00AF6D72"/>
    <w:rsid w:val="00AF6DC7"/>
    <w:rsid w:val="00AF6EB6"/>
    <w:rsid w:val="00AF715A"/>
    <w:rsid w:val="00AF7F0A"/>
    <w:rsid w:val="00B007AA"/>
    <w:rsid w:val="00B00C60"/>
    <w:rsid w:val="00B01E4B"/>
    <w:rsid w:val="00B022B3"/>
    <w:rsid w:val="00B03CF8"/>
    <w:rsid w:val="00B03F9D"/>
    <w:rsid w:val="00B044BA"/>
    <w:rsid w:val="00B0463D"/>
    <w:rsid w:val="00B04DEA"/>
    <w:rsid w:val="00B05054"/>
    <w:rsid w:val="00B05DE0"/>
    <w:rsid w:val="00B05F77"/>
    <w:rsid w:val="00B0632F"/>
    <w:rsid w:val="00B06642"/>
    <w:rsid w:val="00B073A9"/>
    <w:rsid w:val="00B10B7E"/>
    <w:rsid w:val="00B10BB1"/>
    <w:rsid w:val="00B1126D"/>
    <w:rsid w:val="00B11BEB"/>
    <w:rsid w:val="00B125AD"/>
    <w:rsid w:val="00B126A7"/>
    <w:rsid w:val="00B12D16"/>
    <w:rsid w:val="00B131AB"/>
    <w:rsid w:val="00B13D45"/>
    <w:rsid w:val="00B13F16"/>
    <w:rsid w:val="00B1426D"/>
    <w:rsid w:val="00B14583"/>
    <w:rsid w:val="00B15379"/>
    <w:rsid w:val="00B172C5"/>
    <w:rsid w:val="00B177EF"/>
    <w:rsid w:val="00B20237"/>
    <w:rsid w:val="00B21125"/>
    <w:rsid w:val="00B21D44"/>
    <w:rsid w:val="00B22324"/>
    <w:rsid w:val="00B22422"/>
    <w:rsid w:val="00B22E34"/>
    <w:rsid w:val="00B237AA"/>
    <w:rsid w:val="00B2383B"/>
    <w:rsid w:val="00B23890"/>
    <w:rsid w:val="00B23B12"/>
    <w:rsid w:val="00B25F1A"/>
    <w:rsid w:val="00B268E8"/>
    <w:rsid w:val="00B307D7"/>
    <w:rsid w:val="00B31744"/>
    <w:rsid w:val="00B31CD7"/>
    <w:rsid w:val="00B323DA"/>
    <w:rsid w:val="00B328BF"/>
    <w:rsid w:val="00B32F40"/>
    <w:rsid w:val="00B3345D"/>
    <w:rsid w:val="00B33AE6"/>
    <w:rsid w:val="00B33EB3"/>
    <w:rsid w:val="00B341A9"/>
    <w:rsid w:val="00B34A41"/>
    <w:rsid w:val="00B372DB"/>
    <w:rsid w:val="00B37398"/>
    <w:rsid w:val="00B37810"/>
    <w:rsid w:val="00B3798A"/>
    <w:rsid w:val="00B4011A"/>
    <w:rsid w:val="00B404E4"/>
    <w:rsid w:val="00B4140C"/>
    <w:rsid w:val="00B41A93"/>
    <w:rsid w:val="00B4204D"/>
    <w:rsid w:val="00B44300"/>
    <w:rsid w:val="00B45182"/>
    <w:rsid w:val="00B46136"/>
    <w:rsid w:val="00B4669C"/>
    <w:rsid w:val="00B46853"/>
    <w:rsid w:val="00B468BD"/>
    <w:rsid w:val="00B470B2"/>
    <w:rsid w:val="00B47C5E"/>
    <w:rsid w:val="00B47EE9"/>
    <w:rsid w:val="00B51921"/>
    <w:rsid w:val="00B51F4C"/>
    <w:rsid w:val="00B522D0"/>
    <w:rsid w:val="00B52430"/>
    <w:rsid w:val="00B52F19"/>
    <w:rsid w:val="00B52F91"/>
    <w:rsid w:val="00B54A8D"/>
    <w:rsid w:val="00B552AB"/>
    <w:rsid w:val="00B567E8"/>
    <w:rsid w:val="00B56948"/>
    <w:rsid w:val="00B56F73"/>
    <w:rsid w:val="00B576F8"/>
    <w:rsid w:val="00B57D33"/>
    <w:rsid w:val="00B60B04"/>
    <w:rsid w:val="00B61391"/>
    <w:rsid w:val="00B61705"/>
    <w:rsid w:val="00B6195F"/>
    <w:rsid w:val="00B62C2A"/>
    <w:rsid w:val="00B62E23"/>
    <w:rsid w:val="00B6368C"/>
    <w:rsid w:val="00B64E68"/>
    <w:rsid w:val="00B65199"/>
    <w:rsid w:val="00B65208"/>
    <w:rsid w:val="00B65403"/>
    <w:rsid w:val="00B655B2"/>
    <w:rsid w:val="00B6636D"/>
    <w:rsid w:val="00B66569"/>
    <w:rsid w:val="00B67B45"/>
    <w:rsid w:val="00B7082C"/>
    <w:rsid w:val="00B7090F"/>
    <w:rsid w:val="00B70F54"/>
    <w:rsid w:val="00B71ED1"/>
    <w:rsid w:val="00B71F06"/>
    <w:rsid w:val="00B72721"/>
    <w:rsid w:val="00B729BC"/>
    <w:rsid w:val="00B73E78"/>
    <w:rsid w:val="00B74AD7"/>
    <w:rsid w:val="00B7655B"/>
    <w:rsid w:val="00B76DE0"/>
    <w:rsid w:val="00B76E0D"/>
    <w:rsid w:val="00B76FFF"/>
    <w:rsid w:val="00B77445"/>
    <w:rsid w:val="00B77911"/>
    <w:rsid w:val="00B8027D"/>
    <w:rsid w:val="00B80CE1"/>
    <w:rsid w:val="00B8129E"/>
    <w:rsid w:val="00B81850"/>
    <w:rsid w:val="00B81DFF"/>
    <w:rsid w:val="00B82652"/>
    <w:rsid w:val="00B828F6"/>
    <w:rsid w:val="00B82A1D"/>
    <w:rsid w:val="00B82A89"/>
    <w:rsid w:val="00B82BA7"/>
    <w:rsid w:val="00B8461D"/>
    <w:rsid w:val="00B85DC5"/>
    <w:rsid w:val="00B86CD5"/>
    <w:rsid w:val="00B87004"/>
    <w:rsid w:val="00B87730"/>
    <w:rsid w:val="00B87986"/>
    <w:rsid w:val="00B87F88"/>
    <w:rsid w:val="00B90D76"/>
    <w:rsid w:val="00B9156E"/>
    <w:rsid w:val="00B923D7"/>
    <w:rsid w:val="00B92817"/>
    <w:rsid w:val="00B92AB1"/>
    <w:rsid w:val="00B94825"/>
    <w:rsid w:val="00B94C9D"/>
    <w:rsid w:val="00B9595C"/>
    <w:rsid w:val="00B96267"/>
    <w:rsid w:val="00B96B4D"/>
    <w:rsid w:val="00B9723B"/>
    <w:rsid w:val="00B9750D"/>
    <w:rsid w:val="00B97E38"/>
    <w:rsid w:val="00BA0150"/>
    <w:rsid w:val="00BA094D"/>
    <w:rsid w:val="00BA38B7"/>
    <w:rsid w:val="00BA4D3F"/>
    <w:rsid w:val="00BA51BC"/>
    <w:rsid w:val="00BA584A"/>
    <w:rsid w:val="00BA6F0D"/>
    <w:rsid w:val="00BA7502"/>
    <w:rsid w:val="00BB0244"/>
    <w:rsid w:val="00BB0EAA"/>
    <w:rsid w:val="00BB1259"/>
    <w:rsid w:val="00BB23B4"/>
    <w:rsid w:val="00BB2ACA"/>
    <w:rsid w:val="00BB2F3C"/>
    <w:rsid w:val="00BB3627"/>
    <w:rsid w:val="00BB36EB"/>
    <w:rsid w:val="00BB3F54"/>
    <w:rsid w:val="00BB48E0"/>
    <w:rsid w:val="00BB48F4"/>
    <w:rsid w:val="00BB4A65"/>
    <w:rsid w:val="00BB4CC3"/>
    <w:rsid w:val="00BB5265"/>
    <w:rsid w:val="00BB6555"/>
    <w:rsid w:val="00BB68ED"/>
    <w:rsid w:val="00BB6968"/>
    <w:rsid w:val="00BB7DF1"/>
    <w:rsid w:val="00BC03D7"/>
    <w:rsid w:val="00BC0E65"/>
    <w:rsid w:val="00BC12AD"/>
    <w:rsid w:val="00BC141E"/>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562"/>
    <w:rsid w:val="00BD294E"/>
    <w:rsid w:val="00BD3314"/>
    <w:rsid w:val="00BD4E3C"/>
    <w:rsid w:val="00BD4F8D"/>
    <w:rsid w:val="00BD5C88"/>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4E7"/>
    <w:rsid w:val="00BE29DB"/>
    <w:rsid w:val="00BE2A62"/>
    <w:rsid w:val="00BE349A"/>
    <w:rsid w:val="00BE3694"/>
    <w:rsid w:val="00BE4DD5"/>
    <w:rsid w:val="00BE5EA5"/>
    <w:rsid w:val="00BE652D"/>
    <w:rsid w:val="00BE740B"/>
    <w:rsid w:val="00BE7574"/>
    <w:rsid w:val="00BE79E8"/>
    <w:rsid w:val="00BF0216"/>
    <w:rsid w:val="00BF05BE"/>
    <w:rsid w:val="00BF1D7E"/>
    <w:rsid w:val="00BF206D"/>
    <w:rsid w:val="00BF2422"/>
    <w:rsid w:val="00BF34F4"/>
    <w:rsid w:val="00BF4E9D"/>
    <w:rsid w:val="00BF5224"/>
    <w:rsid w:val="00BF526C"/>
    <w:rsid w:val="00BF550C"/>
    <w:rsid w:val="00BF55B1"/>
    <w:rsid w:val="00BF56B5"/>
    <w:rsid w:val="00BF6092"/>
    <w:rsid w:val="00BF63E8"/>
    <w:rsid w:val="00BF6ADB"/>
    <w:rsid w:val="00BF6BA6"/>
    <w:rsid w:val="00BF6F4D"/>
    <w:rsid w:val="00BF7557"/>
    <w:rsid w:val="00C003C6"/>
    <w:rsid w:val="00C00410"/>
    <w:rsid w:val="00C00742"/>
    <w:rsid w:val="00C013BC"/>
    <w:rsid w:val="00C02474"/>
    <w:rsid w:val="00C03378"/>
    <w:rsid w:val="00C03EC5"/>
    <w:rsid w:val="00C03FC3"/>
    <w:rsid w:val="00C04451"/>
    <w:rsid w:val="00C04A15"/>
    <w:rsid w:val="00C053BA"/>
    <w:rsid w:val="00C05F11"/>
    <w:rsid w:val="00C0679A"/>
    <w:rsid w:val="00C06FF7"/>
    <w:rsid w:val="00C0719C"/>
    <w:rsid w:val="00C072B9"/>
    <w:rsid w:val="00C0779C"/>
    <w:rsid w:val="00C07BDB"/>
    <w:rsid w:val="00C07CA4"/>
    <w:rsid w:val="00C102A1"/>
    <w:rsid w:val="00C1090F"/>
    <w:rsid w:val="00C10926"/>
    <w:rsid w:val="00C10F5A"/>
    <w:rsid w:val="00C114A3"/>
    <w:rsid w:val="00C11688"/>
    <w:rsid w:val="00C11698"/>
    <w:rsid w:val="00C117C5"/>
    <w:rsid w:val="00C12650"/>
    <w:rsid w:val="00C1284C"/>
    <w:rsid w:val="00C13956"/>
    <w:rsid w:val="00C13D84"/>
    <w:rsid w:val="00C14312"/>
    <w:rsid w:val="00C14CF2"/>
    <w:rsid w:val="00C15743"/>
    <w:rsid w:val="00C162AD"/>
    <w:rsid w:val="00C1691E"/>
    <w:rsid w:val="00C16A45"/>
    <w:rsid w:val="00C16C9B"/>
    <w:rsid w:val="00C16D42"/>
    <w:rsid w:val="00C1741B"/>
    <w:rsid w:val="00C17A99"/>
    <w:rsid w:val="00C21330"/>
    <w:rsid w:val="00C22276"/>
    <w:rsid w:val="00C228B8"/>
    <w:rsid w:val="00C24316"/>
    <w:rsid w:val="00C25EA7"/>
    <w:rsid w:val="00C26090"/>
    <w:rsid w:val="00C26241"/>
    <w:rsid w:val="00C26F43"/>
    <w:rsid w:val="00C3030F"/>
    <w:rsid w:val="00C30423"/>
    <w:rsid w:val="00C307DD"/>
    <w:rsid w:val="00C3088C"/>
    <w:rsid w:val="00C30D90"/>
    <w:rsid w:val="00C32AEE"/>
    <w:rsid w:val="00C32C69"/>
    <w:rsid w:val="00C32FEC"/>
    <w:rsid w:val="00C33E58"/>
    <w:rsid w:val="00C34B90"/>
    <w:rsid w:val="00C34D57"/>
    <w:rsid w:val="00C3550A"/>
    <w:rsid w:val="00C35688"/>
    <w:rsid w:val="00C359A1"/>
    <w:rsid w:val="00C35C3A"/>
    <w:rsid w:val="00C35D09"/>
    <w:rsid w:val="00C36BAB"/>
    <w:rsid w:val="00C37508"/>
    <w:rsid w:val="00C40091"/>
    <w:rsid w:val="00C41BBE"/>
    <w:rsid w:val="00C41CC4"/>
    <w:rsid w:val="00C42095"/>
    <w:rsid w:val="00C42ABD"/>
    <w:rsid w:val="00C43179"/>
    <w:rsid w:val="00C4378E"/>
    <w:rsid w:val="00C4418B"/>
    <w:rsid w:val="00C447AA"/>
    <w:rsid w:val="00C44A6B"/>
    <w:rsid w:val="00C44AFD"/>
    <w:rsid w:val="00C44F77"/>
    <w:rsid w:val="00C4507A"/>
    <w:rsid w:val="00C460F5"/>
    <w:rsid w:val="00C4628C"/>
    <w:rsid w:val="00C469C2"/>
    <w:rsid w:val="00C47B8B"/>
    <w:rsid w:val="00C47C16"/>
    <w:rsid w:val="00C50596"/>
    <w:rsid w:val="00C51334"/>
    <w:rsid w:val="00C516C6"/>
    <w:rsid w:val="00C52300"/>
    <w:rsid w:val="00C52790"/>
    <w:rsid w:val="00C5292C"/>
    <w:rsid w:val="00C52BAE"/>
    <w:rsid w:val="00C52C71"/>
    <w:rsid w:val="00C52F01"/>
    <w:rsid w:val="00C52FD1"/>
    <w:rsid w:val="00C5312C"/>
    <w:rsid w:val="00C55113"/>
    <w:rsid w:val="00C5690E"/>
    <w:rsid w:val="00C5692C"/>
    <w:rsid w:val="00C56F72"/>
    <w:rsid w:val="00C5740A"/>
    <w:rsid w:val="00C57506"/>
    <w:rsid w:val="00C57E0C"/>
    <w:rsid w:val="00C57FAB"/>
    <w:rsid w:val="00C607D4"/>
    <w:rsid w:val="00C609D0"/>
    <w:rsid w:val="00C60F23"/>
    <w:rsid w:val="00C60FD8"/>
    <w:rsid w:val="00C61FE2"/>
    <w:rsid w:val="00C6209A"/>
    <w:rsid w:val="00C622BC"/>
    <w:rsid w:val="00C63986"/>
    <w:rsid w:val="00C63AC3"/>
    <w:rsid w:val="00C63BA8"/>
    <w:rsid w:val="00C640F5"/>
    <w:rsid w:val="00C642C7"/>
    <w:rsid w:val="00C650C9"/>
    <w:rsid w:val="00C65BD7"/>
    <w:rsid w:val="00C662DF"/>
    <w:rsid w:val="00C670B3"/>
    <w:rsid w:val="00C67F76"/>
    <w:rsid w:val="00C701D1"/>
    <w:rsid w:val="00C70352"/>
    <w:rsid w:val="00C71E29"/>
    <w:rsid w:val="00C7327A"/>
    <w:rsid w:val="00C7376E"/>
    <w:rsid w:val="00C74051"/>
    <w:rsid w:val="00C7439D"/>
    <w:rsid w:val="00C743CF"/>
    <w:rsid w:val="00C74CF1"/>
    <w:rsid w:val="00C75459"/>
    <w:rsid w:val="00C75A77"/>
    <w:rsid w:val="00C75A78"/>
    <w:rsid w:val="00C75DEB"/>
    <w:rsid w:val="00C76322"/>
    <w:rsid w:val="00C76A6E"/>
    <w:rsid w:val="00C804C3"/>
    <w:rsid w:val="00C81C15"/>
    <w:rsid w:val="00C821BE"/>
    <w:rsid w:val="00C82ABD"/>
    <w:rsid w:val="00C82F3B"/>
    <w:rsid w:val="00C83B21"/>
    <w:rsid w:val="00C8407C"/>
    <w:rsid w:val="00C84245"/>
    <w:rsid w:val="00C8462F"/>
    <w:rsid w:val="00C8613C"/>
    <w:rsid w:val="00C86B26"/>
    <w:rsid w:val="00C86E3E"/>
    <w:rsid w:val="00C9030D"/>
    <w:rsid w:val="00C9094E"/>
    <w:rsid w:val="00C90E8A"/>
    <w:rsid w:val="00C911F1"/>
    <w:rsid w:val="00C912B9"/>
    <w:rsid w:val="00C915EF"/>
    <w:rsid w:val="00C91BAE"/>
    <w:rsid w:val="00C91E06"/>
    <w:rsid w:val="00C92FCB"/>
    <w:rsid w:val="00C93754"/>
    <w:rsid w:val="00C937E5"/>
    <w:rsid w:val="00C93AFA"/>
    <w:rsid w:val="00C940CE"/>
    <w:rsid w:val="00C94465"/>
    <w:rsid w:val="00C94987"/>
    <w:rsid w:val="00C94E7B"/>
    <w:rsid w:val="00C9514F"/>
    <w:rsid w:val="00C95604"/>
    <w:rsid w:val="00C95F24"/>
    <w:rsid w:val="00C96230"/>
    <w:rsid w:val="00C96595"/>
    <w:rsid w:val="00C96CB1"/>
    <w:rsid w:val="00CA0704"/>
    <w:rsid w:val="00CA093B"/>
    <w:rsid w:val="00CA0D8A"/>
    <w:rsid w:val="00CA128B"/>
    <w:rsid w:val="00CA16AF"/>
    <w:rsid w:val="00CA16C7"/>
    <w:rsid w:val="00CA318B"/>
    <w:rsid w:val="00CA323A"/>
    <w:rsid w:val="00CA325F"/>
    <w:rsid w:val="00CA3625"/>
    <w:rsid w:val="00CA3DC4"/>
    <w:rsid w:val="00CA4058"/>
    <w:rsid w:val="00CA408E"/>
    <w:rsid w:val="00CA4888"/>
    <w:rsid w:val="00CA49F7"/>
    <w:rsid w:val="00CA4A88"/>
    <w:rsid w:val="00CA4BC1"/>
    <w:rsid w:val="00CA54EE"/>
    <w:rsid w:val="00CA648C"/>
    <w:rsid w:val="00CB0300"/>
    <w:rsid w:val="00CB0B81"/>
    <w:rsid w:val="00CB136F"/>
    <w:rsid w:val="00CB1642"/>
    <w:rsid w:val="00CB17A6"/>
    <w:rsid w:val="00CB2CBF"/>
    <w:rsid w:val="00CB3C8F"/>
    <w:rsid w:val="00CB46E8"/>
    <w:rsid w:val="00CB49AB"/>
    <w:rsid w:val="00CB4A1B"/>
    <w:rsid w:val="00CB50C4"/>
    <w:rsid w:val="00CB603F"/>
    <w:rsid w:val="00CB6D6E"/>
    <w:rsid w:val="00CB7196"/>
    <w:rsid w:val="00CB774E"/>
    <w:rsid w:val="00CC00C9"/>
    <w:rsid w:val="00CC02F6"/>
    <w:rsid w:val="00CC06A0"/>
    <w:rsid w:val="00CC1F0A"/>
    <w:rsid w:val="00CC1F3D"/>
    <w:rsid w:val="00CC240B"/>
    <w:rsid w:val="00CC2695"/>
    <w:rsid w:val="00CC2733"/>
    <w:rsid w:val="00CC33B3"/>
    <w:rsid w:val="00CC375D"/>
    <w:rsid w:val="00CC51DF"/>
    <w:rsid w:val="00CC72D7"/>
    <w:rsid w:val="00CC77D9"/>
    <w:rsid w:val="00CC798F"/>
    <w:rsid w:val="00CC7D6A"/>
    <w:rsid w:val="00CC7E72"/>
    <w:rsid w:val="00CD0653"/>
    <w:rsid w:val="00CD1168"/>
    <w:rsid w:val="00CD15EE"/>
    <w:rsid w:val="00CD160B"/>
    <w:rsid w:val="00CD1CA9"/>
    <w:rsid w:val="00CD1EF2"/>
    <w:rsid w:val="00CD222E"/>
    <w:rsid w:val="00CD2C29"/>
    <w:rsid w:val="00CD2C94"/>
    <w:rsid w:val="00CD2D4A"/>
    <w:rsid w:val="00CD3A55"/>
    <w:rsid w:val="00CD4173"/>
    <w:rsid w:val="00CD4760"/>
    <w:rsid w:val="00CD56C7"/>
    <w:rsid w:val="00CD596E"/>
    <w:rsid w:val="00CD5BB9"/>
    <w:rsid w:val="00CD6297"/>
    <w:rsid w:val="00CD6635"/>
    <w:rsid w:val="00CD674A"/>
    <w:rsid w:val="00CD685D"/>
    <w:rsid w:val="00CD6B80"/>
    <w:rsid w:val="00CD788F"/>
    <w:rsid w:val="00CE077E"/>
    <w:rsid w:val="00CE0D3F"/>
    <w:rsid w:val="00CE174F"/>
    <w:rsid w:val="00CE1860"/>
    <w:rsid w:val="00CE1B9C"/>
    <w:rsid w:val="00CE219A"/>
    <w:rsid w:val="00CE2743"/>
    <w:rsid w:val="00CE2B91"/>
    <w:rsid w:val="00CE4492"/>
    <w:rsid w:val="00CE4756"/>
    <w:rsid w:val="00CE49FB"/>
    <w:rsid w:val="00CE4D30"/>
    <w:rsid w:val="00CE598E"/>
    <w:rsid w:val="00CE5C6B"/>
    <w:rsid w:val="00CE6389"/>
    <w:rsid w:val="00CE66F8"/>
    <w:rsid w:val="00CE717D"/>
    <w:rsid w:val="00CE7577"/>
    <w:rsid w:val="00CE7BBB"/>
    <w:rsid w:val="00CF026E"/>
    <w:rsid w:val="00CF04F1"/>
    <w:rsid w:val="00CF1100"/>
    <w:rsid w:val="00CF11EC"/>
    <w:rsid w:val="00CF1AA6"/>
    <w:rsid w:val="00CF1AB4"/>
    <w:rsid w:val="00CF2843"/>
    <w:rsid w:val="00CF37EE"/>
    <w:rsid w:val="00CF45BA"/>
    <w:rsid w:val="00CF4725"/>
    <w:rsid w:val="00CF5527"/>
    <w:rsid w:val="00CF60A8"/>
    <w:rsid w:val="00CF6D66"/>
    <w:rsid w:val="00CF7CA5"/>
    <w:rsid w:val="00D01CC7"/>
    <w:rsid w:val="00D02338"/>
    <w:rsid w:val="00D023EC"/>
    <w:rsid w:val="00D02806"/>
    <w:rsid w:val="00D02E81"/>
    <w:rsid w:val="00D0440D"/>
    <w:rsid w:val="00D0459F"/>
    <w:rsid w:val="00D053C7"/>
    <w:rsid w:val="00D05492"/>
    <w:rsid w:val="00D05AFD"/>
    <w:rsid w:val="00D06934"/>
    <w:rsid w:val="00D06942"/>
    <w:rsid w:val="00D07009"/>
    <w:rsid w:val="00D07DB9"/>
    <w:rsid w:val="00D07EE8"/>
    <w:rsid w:val="00D10B40"/>
    <w:rsid w:val="00D12877"/>
    <w:rsid w:val="00D1293D"/>
    <w:rsid w:val="00D132C5"/>
    <w:rsid w:val="00D1379F"/>
    <w:rsid w:val="00D14946"/>
    <w:rsid w:val="00D14D64"/>
    <w:rsid w:val="00D14F2A"/>
    <w:rsid w:val="00D1526A"/>
    <w:rsid w:val="00D152CC"/>
    <w:rsid w:val="00D15C23"/>
    <w:rsid w:val="00D15C3C"/>
    <w:rsid w:val="00D15DA8"/>
    <w:rsid w:val="00D163AE"/>
    <w:rsid w:val="00D169C0"/>
    <w:rsid w:val="00D175B9"/>
    <w:rsid w:val="00D17613"/>
    <w:rsid w:val="00D20109"/>
    <w:rsid w:val="00D20184"/>
    <w:rsid w:val="00D20779"/>
    <w:rsid w:val="00D20DEA"/>
    <w:rsid w:val="00D224DB"/>
    <w:rsid w:val="00D23D79"/>
    <w:rsid w:val="00D23DD8"/>
    <w:rsid w:val="00D23FD7"/>
    <w:rsid w:val="00D2425F"/>
    <w:rsid w:val="00D24BDB"/>
    <w:rsid w:val="00D25025"/>
    <w:rsid w:val="00D26ADC"/>
    <w:rsid w:val="00D30800"/>
    <w:rsid w:val="00D30CB1"/>
    <w:rsid w:val="00D3160C"/>
    <w:rsid w:val="00D3185A"/>
    <w:rsid w:val="00D32FC2"/>
    <w:rsid w:val="00D333C1"/>
    <w:rsid w:val="00D3382E"/>
    <w:rsid w:val="00D33928"/>
    <w:rsid w:val="00D33E30"/>
    <w:rsid w:val="00D33EFD"/>
    <w:rsid w:val="00D340E0"/>
    <w:rsid w:val="00D34847"/>
    <w:rsid w:val="00D3500B"/>
    <w:rsid w:val="00D35AB4"/>
    <w:rsid w:val="00D35E52"/>
    <w:rsid w:val="00D35F0A"/>
    <w:rsid w:val="00D3619E"/>
    <w:rsid w:val="00D36274"/>
    <w:rsid w:val="00D3685A"/>
    <w:rsid w:val="00D3754F"/>
    <w:rsid w:val="00D40196"/>
    <w:rsid w:val="00D4118C"/>
    <w:rsid w:val="00D416B9"/>
    <w:rsid w:val="00D41B75"/>
    <w:rsid w:val="00D41F6D"/>
    <w:rsid w:val="00D422FD"/>
    <w:rsid w:val="00D42CAF"/>
    <w:rsid w:val="00D4312F"/>
    <w:rsid w:val="00D432A4"/>
    <w:rsid w:val="00D43B4D"/>
    <w:rsid w:val="00D43F23"/>
    <w:rsid w:val="00D43F41"/>
    <w:rsid w:val="00D44716"/>
    <w:rsid w:val="00D455BC"/>
    <w:rsid w:val="00D4572F"/>
    <w:rsid w:val="00D46A7A"/>
    <w:rsid w:val="00D46F4F"/>
    <w:rsid w:val="00D475A1"/>
    <w:rsid w:val="00D4770C"/>
    <w:rsid w:val="00D47865"/>
    <w:rsid w:val="00D47D13"/>
    <w:rsid w:val="00D47D83"/>
    <w:rsid w:val="00D50547"/>
    <w:rsid w:val="00D511EB"/>
    <w:rsid w:val="00D51958"/>
    <w:rsid w:val="00D51E40"/>
    <w:rsid w:val="00D52AEB"/>
    <w:rsid w:val="00D536C5"/>
    <w:rsid w:val="00D5375B"/>
    <w:rsid w:val="00D54531"/>
    <w:rsid w:val="00D545F1"/>
    <w:rsid w:val="00D54BAC"/>
    <w:rsid w:val="00D5539C"/>
    <w:rsid w:val="00D55858"/>
    <w:rsid w:val="00D5619C"/>
    <w:rsid w:val="00D561A0"/>
    <w:rsid w:val="00D561A4"/>
    <w:rsid w:val="00D56439"/>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101"/>
    <w:rsid w:val="00D632AE"/>
    <w:rsid w:val="00D63707"/>
    <w:rsid w:val="00D63B14"/>
    <w:rsid w:val="00D63E0A"/>
    <w:rsid w:val="00D64361"/>
    <w:rsid w:val="00D644FB"/>
    <w:rsid w:val="00D6473D"/>
    <w:rsid w:val="00D64838"/>
    <w:rsid w:val="00D65FCD"/>
    <w:rsid w:val="00D66866"/>
    <w:rsid w:val="00D67530"/>
    <w:rsid w:val="00D67709"/>
    <w:rsid w:val="00D67F41"/>
    <w:rsid w:val="00D70DB6"/>
    <w:rsid w:val="00D7239C"/>
    <w:rsid w:val="00D72AC1"/>
    <w:rsid w:val="00D73735"/>
    <w:rsid w:val="00D74927"/>
    <w:rsid w:val="00D74E8E"/>
    <w:rsid w:val="00D75483"/>
    <w:rsid w:val="00D76BEB"/>
    <w:rsid w:val="00D76EA4"/>
    <w:rsid w:val="00D77526"/>
    <w:rsid w:val="00D77A92"/>
    <w:rsid w:val="00D77C40"/>
    <w:rsid w:val="00D77FA8"/>
    <w:rsid w:val="00D8041C"/>
    <w:rsid w:val="00D81ACE"/>
    <w:rsid w:val="00D81E36"/>
    <w:rsid w:val="00D82616"/>
    <w:rsid w:val="00D82D56"/>
    <w:rsid w:val="00D8339E"/>
    <w:rsid w:val="00D83C22"/>
    <w:rsid w:val="00D844A5"/>
    <w:rsid w:val="00D84BE4"/>
    <w:rsid w:val="00D85109"/>
    <w:rsid w:val="00D859E2"/>
    <w:rsid w:val="00D86D26"/>
    <w:rsid w:val="00D87553"/>
    <w:rsid w:val="00D901A0"/>
    <w:rsid w:val="00D9069A"/>
    <w:rsid w:val="00D907A9"/>
    <w:rsid w:val="00D908D8"/>
    <w:rsid w:val="00D90E8A"/>
    <w:rsid w:val="00D913F8"/>
    <w:rsid w:val="00D914F0"/>
    <w:rsid w:val="00D9161F"/>
    <w:rsid w:val="00D91D21"/>
    <w:rsid w:val="00D925C9"/>
    <w:rsid w:val="00D92911"/>
    <w:rsid w:val="00D92992"/>
    <w:rsid w:val="00D9345D"/>
    <w:rsid w:val="00D941B3"/>
    <w:rsid w:val="00D94460"/>
    <w:rsid w:val="00D94EBE"/>
    <w:rsid w:val="00D95074"/>
    <w:rsid w:val="00D955AD"/>
    <w:rsid w:val="00D95A9B"/>
    <w:rsid w:val="00D960E8"/>
    <w:rsid w:val="00D97576"/>
    <w:rsid w:val="00D97B08"/>
    <w:rsid w:val="00D97B3E"/>
    <w:rsid w:val="00D97C50"/>
    <w:rsid w:val="00DA043C"/>
    <w:rsid w:val="00DA05D8"/>
    <w:rsid w:val="00DA0872"/>
    <w:rsid w:val="00DA0B80"/>
    <w:rsid w:val="00DA0E57"/>
    <w:rsid w:val="00DA164C"/>
    <w:rsid w:val="00DA2594"/>
    <w:rsid w:val="00DA2A39"/>
    <w:rsid w:val="00DA2F2B"/>
    <w:rsid w:val="00DA30BD"/>
    <w:rsid w:val="00DA3445"/>
    <w:rsid w:val="00DA3819"/>
    <w:rsid w:val="00DA4208"/>
    <w:rsid w:val="00DA4253"/>
    <w:rsid w:val="00DA4418"/>
    <w:rsid w:val="00DA5420"/>
    <w:rsid w:val="00DA5B8A"/>
    <w:rsid w:val="00DA6A95"/>
    <w:rsid w:val="00DA6E7D"/>
    <w:rsid w:val="00DA71FE"/>
    <w:rsid w:val="00DA733A"/>
    <w:rsid w:val="00DA7777"/>
    <w:rsid w:val="00DB0C81"/>
    <w:rsid w:val="00DB0F17"/>
    <w:rsid w:val="00DB0FB5"/>
    <w:rsid w:val="00DB2733"/>
    <w:rsid w:val="00DB2B95"/>
    <w:rsid w:val="00DB4883"/>
    <w:rsid w:val="00DB611E"/>
    <w:rsid w:val="00DB6CAA"/>
    <w:rsid w:val="00DB755B"/>
    <w:rsid w:val="00DB7575"/>
    <w:rsid w:val="00DC01C1"/>
    <w:rsid w:val="00DC0392"/>
    <w:rsid w:val="00DC0AB0"/>
    <w:rsid w:val="00DC1069"/>
    <w:rsid w:val="00DC127E"/>
    <w:rsid w:val="00DC25AA"/>
    <w:rsid w:val="00DC262C"/>
    <w:rsid w:val="00DC29C0"/>
    <w:rsid w:val="00DC2F23"/>
    <w:rsid w:val="00DC2FF6"/>
    <w:rsid w:val="00DC398C"/>
    <w:rsid w:val="00DC3C41"/>
    <w:rsid w:val="00DC3E32"/>
    <w:rsid w:val="00DC47CA"/>
    <w:rsid w:val="00DC4B8E"/>
    <w:rsid w:val="00DC4CBD"/>
    <w:rsid w:val="00DC57BF"/>
    <w:rsid w:val="00DC5F23"/>
    <w:rsid w:val="00DC608B"/>
    <w:rsid w:val="00DC797F"/>
    <w:rsid w:val="00DC7A07"/>
    <w:rsid w:val="00DC7C2A"/>
    <w:rsid w:val="00DD0038"/>
    <w:rsid w:val="00DD0194"/>
    <w:rsid w:val="00DD0B56"/>
    <w:rsid w:val="00DD3433"/>
    <w:rsid w:val="00DD3981"/>
    <w:rsid w:val="00DD451B"/>
    <w:rsid w:val="00DD4F65"/>
    <w:rsid w:val="00DD5497"/>
    <w:rsid w:val="00DD6ED6"/>
    <w:rsid w:val="00DE02F3"/>
    <w:rsid w:val="00DE0410"/>
    <w:rsid w:val="00DE063A"/>
    <w:rsid w:val="00DE15BC"/>
    <w:rsid w:val="00DE15F4"/>
    <w:rsid w:val="00DE1674"/>
    <w:rsid w:val="00DE1D03"/>
    <w:rsid w:val="00DE205F"/>
    <w:rsid w:val="00DE22E9"/>
    <w:rsid w:val="00DE4AF1"/>
    <w:rsid w:val="00DE52C2"/>
    <w:rsid w:val="00DE5335"/>
    <w:rsid w:val="00DE5DC5"/>
    <w:rsid w:val="00DE6ABF"/>
    <w:rsid w:val="00DE7487"/>
    <w:rsid w:val="00DE7619"/>
    <w:rsid w:val="00DE77D3"/>
    <w:rsid w:val="00DE7D88"/>
    <w:rsid w:val="00DF060D"/>
    <w:rsid w:val="00DF0854"/>
    <w:rsid w:val="00DF141D"/>
    <w:rsid w:val="00DF33A0"/>
    <w:rsid w:val="00DF42D8"/>
    <w:rsid w:val="00DF5127"/>
    <w:rsid w:val="00DF530E"/>
    <w:rsid w:val="00DF5366"/>
    <w:rsid w:val="00DF59A9"/>
    <w:rsid w:val="00DF5D1D"/>
    <w:rsid w:val="00DF680D"/>
    <w:rsid w:val="00DF6DCF"/>
    <w:rsid w:val="00DF768B"/>
    <w:rsid w:val="00E0005D"/>
    <w:rsid w:val="00E006C8"/>
    <w:rsid w:val="00E00707"/>
    <w:rsid w:val="00E01247"/>
    <w:rsid w:val="00E01841"/>
    <w:rsid w:val="00E018F5"/>
    <w:rsid w:val="00E02272"/>
    <w:rsid w:val="00E02557"/>
    <w:rsid w:val="00E02A4B"/>
    <w:rsid w:val="00E02C70"/>
    <w:rsid w:val="00E032B1"/>
    <w:rsid w:val="00E0350D"/>
    <w:rsid w:val="00E03971"/>
    <w:rsid w:val="00E03E4C"/>
    <w:rsid w:val="00E047C6"/>
    <w:rsid w:val="00E057C4"/>
    <w:rsid w:val="00E05AFB"/>
    <w:rsid w:val="00E06A39"/>
    <w:rsid w:val="00E10AE6"/>
    <w:rsid w:val="00E10C11"/>
    <w:rsid w:val="00E11245"/>
    <w:rsid w:val="00E11D6D"/>
    <w:rsid w:val="00E129DD"/>
    <w:rsid w:val="00E12A13"/>
    <w:rsid w:val="00E12A8C"/>
    <w:rsid w:val="00E1404C"/>
    <w:rsid w:val="00E145A2"/>
    <w:rsid w:val="00E14623"/>
    <w:rsid w:val="00E148B4"/>
    <w:rsid w:val="00E154A3"/>
    <w:rsid w:val="00E15889"/>
    <w:rsid w:val="00E15E69"/>
    <w:rsid w:val="00E16003"/>
    <w:rsid w:val="00E16CB0"/>
    <w:rsid w:val="00E16D40"/>
    <w:rsid w:val="00E173A8"/>
    <w:rsid w:val="00E2014F"/>
    <w:rsid w:val="00E212C2"/>
    <w:rsid w:val="00E213A3"/>
    <w:rsid w:val="00E215F9"/>
    <w:rsid w:val="00E21EB2"/>
    <w:rsid w:val="00E230D9"/>
    <w:rsid w:val="00E248C4"/>
    <w:rsid w:val="00E24D09"/>
    <w:rsid w:val="00E2515A"/>
    <w:rsid w:val="00E254BD"/>
    <w:rsid w:val="00E254E9"/>
    <w:rsid w:val="00E26CD2"/>
    <w:rsid w:val="00E26DB6"/>
    <w:rsid w:val="00E26EFC"/>
    <w:rsid w:val="00E26F4C"/>
    <w:rsid w:val="00E2720A"/>
    <w:rsid w:val="00E30155"/>
    <w:rsid w:val="00E307AC"/>
    <w:rsid w:val="00E308C9"/>
    <w:rsid w:val="00E30F3A"/>
    <w:rsid w:val="00E31610"/>
    <w:rsid w:val="00E31DEC"/>
    <w:rsid w:val="00E31F7B"/>
    <w:rsid w:val="00E3252B"/>
    <w:rsid w:val="00E32947"/>
    <w:rsid w:val="00E32EBE"/>
    <w:rsid w:val="00E33902"/>
    <w:rsid w:val="00E345AD"/>
    <w:rsid w:val="00E34C1A"/>
    <w:rsid w:val="00E34CFE"/>
    <w:rsid w:val="00E34ED5"/>
    <w:rsid w:val="00E35968"/>
    <w:rsid w:val="00E36434"/>
    <w:rsid w:val="00E3655A"/>
    <w:rsid w:val="00E37472"/>
    <w:rsid w:val="00E408E6"/>
    <w:rsid w:val="00E4090A"/>
    <w:rsid w:val="00E40B5A"/>
    <w:rsid w:val="00E40D2C"/>
    <w:rsid w:val="00E42488"/>
    <w:rsid w:val="00E438FF"/>
    <w:rsid w:val="00E44FD9"/>
    <w:rsid w:val="00E451DD"/>
    <w:rsid w:val="00E45EDA"/>
    <w:rsid w:val="00E45F2A"/>
    <w:rsid w:val="00E4655E"/>
    <w:rsid w:val="00E46562"/>
    <w:rsid w:val="00E4672C"/>
    <w:rsid w:val="00E474B0"/>
    <w:rsid w:val="00E476EB"/>
    <w:rsid w:val="00E47995"/>
    <w:rsid w:val="00E47ABA"/>
    <w:rsid w:val="00E503ED"/>
    <w:rsid w:val="00E509D8"/>
    <w:rsid w:val="00E5123D"/>
    <w:rsid w:val="00E51536"/>
    <w:rsid w:val="00E520BC"/>
    <w:rsid w:val="00E52B65"/>
    <w:rsid w:val="00E52CD4"/>
    <w:rsid w:val="00E53821"/>
    <w:rsid w:val="00E53964"/>
    <w:rsid w:val="00E53F69"/>
    <w:rsid w:val="00E540CD"/>
    <w:rsid w:val="00E54461"/>
    <w:rsid w:val="00E5546D"/>
    <w:rsid w:val="00E5567A"/>
    <w:rsid w:val="00E5587E"/>
    <w:rsid w:val="00E56C8A"/>
    <w:rsid w:val="00E57BD0"/>
    <w:rsid w:val="00E57BFE"/>
    <w:rsid w:val="00E6032A"/>
    <w:rsid w:val="00E60365"/>
    <w:rsid w:val="00E60FE5"/>
    <w:rsid w:val="00E61A92"/>
    <w:rsid w:val="00E62BDC"/>
    <w:rsid w:val="00E62C07"/>
    <w:rsid w:val="00E63429"/>
    <w:rsid w:val="00E637AB"/>
    <w:rsid w:val="00E63E47"/>
    <w:rsid w:val="00E640F8"/>
    <w:rsid w:val="00E64C3A"/>
    <w:rsid w:val="00E64FC2"/>
    <w:rsid w:val="00E65037"/>
    <w:rsid w:val="00E65C02"/>
    <w:rsid w:val="00E6696A"/>
    <w:rsid w:val="00E66B42"/>
    <w:rsid w:val="00E67BB6"/>
    <w:rsid w:val="00E67DD3"/>
    <w:rsid w:val="00E7013A"/>
    <w:rsid w:val="00E70CEA"/>
    <w:rsid w:val="00E713DA"/>
    <w:rsid w:val="00E73520"/>
    <w:rsid w:val="00E73932"/>
    <w:rsid w:val="00E7425F"/>
    <w:rsid w:val="00E7468A"/>
    <w:rsid w:val="00E747ED"/>
    <w:rsid w:val="00E74812"/>
    <w:rsid w:val="00E74E14"/>
    <w:rsid w:val="00E758D4"/>
    <w:rsid w:val="00E75F41"/>
    <w:rsid w:val="00E76C25"/>
    <w:rsid w:val="00E76E16"/>
    <w:rsid w:val="00E77A1D"/>
    <w:rsid w:val="00E77CA6"/>
    <w:rsid w:val="00E80342"/>
    <w:rsid w:val="00E80375"/>
    <w:rsid w:val="00E80DE4"/>
    <w:rsid w:val="00E80EA4"/>
    <w:rsid w:val="00E817E5"/>
    <w:rsid w:val="00E81A99"/>
    <w:rsid w:val="00E8231E"/>
    <w:rsid w:val="00E82345"/>
    <w:rsid w:val="00E8234E"/>
    <w:rsid w:val="00E82A8E"/>
    <w:rsid w:val="00E82C8D"/>
    <w:rsid w:val="00E831EA"/>
    <w:rsid w:val="00E83498"/>
    <w:rsid w:val="00E83C9B"/>
    <w:rsid w:val="00E84031"/>
    <w:rsid w:val="00E84509"/>
    <w:rsid w:val="00E846D0"/>
    <w:rsid w:val="00E84C16"/>
    <w:rsid w:val="00E862C4"/>
    <w:rsid w:val="00E86AE7"/>
    <w:rsid w:val="00E86EBE"/>
    <w:rsid w:val="00E8768D"/>
    <w:rsid w:val="00E9204D"/>
    <w:rsid w:val="00E9228A"/>
    <w:rsid w:val="00E92B78"/>
    <w:rsid w:val="00E933C8"/>
    <w:rsid w:val="00E93773"/>
    <w:rsid w:val="00E94CA6"/>
    <w:rsid w:val="00E94F78"/>
    <w:rsid w:val="00E96000"/>
    <w:rsid w:val="00E9613A"/>
    <w:rsid w:val="00E96ED1"/>
    <w:rsid w:val="00E976F6"/>
    <w:rsid w:val="00E9776D"/>
    <w:rsid w:val="00E97E45"/>
    <w:rsid w:val="00EA000A"/>
    <w:rsid w:val="00EA06E0"/>
    <w:rsid w:val="00EA1143"/>
    <w:rsid w:val="00EA162E"/>
    <w:rsid w:val="00EA19E4"/>
    <w:rsid w:val="00EA3204"/>
    <w:rsid w:val="00EA3AB3"/>
    <w:rsid w:val="00EA4853"/>
    <w:rsid w:val="00EA4D94"/>
    <w:rsid w:val="00EA4ECB"/>
    <w:rsid w:val="00EA675F"/>
    <w:rsid w:val="00EA6C95"/>
    <w:rsid w:val="00EA7EE8"/>
    <w:rsid w:val="00EB0897"/>
    <w:rsid w:val="00EB0AAF"/>
    <w:rsid w:val="00EB18FE"/>
    <w:rsid w:val="00EB1AAB"/>
    <w:rsid w:val="00EB1B49"/>
    <w:rsid w:val="00EB1ED9"/>
    <w:rsid w:val="00EB1F41"/>
    <w:rsid w:val="00EB201A"/>
    <w:rsid w:val="00EB2584"/>
    <w:rsid w:val="00EB2E7A"/>
    <w:rsid w:val="00EB3871"/>
    <w:rsid w:val="00EB412A"/>
    <w:rsid w:val="00EB47BA"/>
    <w:rsid w:val="00EB5309"/>
    <w:rsid w:val="00EB54F3"/>
    <w:rsid w:val="00EB5614"/>
    <w:rsid w:val="00EB6031"/>
    <w:rsid w:val="00EB674E"/>
    <w:rsid w:val="00EB6E58"/>
    <w:rsid w:val="00EC076E"/>
    <w:rsid w:val="00EC0FD9"/>
    <w:rsid w:val="00EC14C2"/>
    <w:rsid w:val="00EC1545"/>
    <w:rsid w:val="00EC1C55"/>
    <w:rsid w:val="00EC1D6C"/>
    <w:rsid w:val="00EC2E76"/>
    <w:rsid w:val="00EC36AB"/>
    <w:rsid w:val="00EC3700"/>
    <w:rsid w:val="00EC43E4"/>
    <w:rsid w:val="00EC4730"/>
    <w:rsid w:val="00EC4D70"/>
    <w:rsid w:val="00EC6A24"/>
    <w:rsid w:val="00EC6CCE"/>
    <w:rsid w:val="00EC6FEB"/>
    <w:rsid w:val="00EC744F"/>
    <w:rsid w:val="00EC7AAD"/>
    <w:rsid w:val="00EC7CB9"/>
    <w:rsid w:val="00ED0120"/>
    <w:rsid w:val="00ED07BB"/>
    <w:rsid w:val="00ED095E"/>
    <w:rsid w:val="00ED0A66"/>
    <w:rsid w:val="00ED0DDF"/>
    <w:rsid w:val="00ED178B"/>
    <w:rsid w:val="00ED1B10"/>
    <w:rsid w:val="00ED200D"/>
    <w:rsid w:val="00ED2123"/>
    <w:rsid w:val="00ED237A"/>
    <w:rsid w:val="00ED2585"/>
    <w:rsid w:val="00ED2C28"/>
    <w:rsid w:val="00ED2C44"/>
    <w:rsid w:val="00ED2E25"/>
    <w:rsid w:val="00ED3645"/>
    <w:rsid w:val="00ED3A9C"/>
    <w:rsid w:val="00ED400A"/>
    <w:rsid w:val="00ED4152"/>
    <w:rsid w:val="00ED4609"/>
    <w:rsid w:val="00ED4CEC"/>
    <w:rsid w:val="00ED58B9"/>
    <w:rsid w:val="00ED761C"/>
    <w:rsid w:val="00ED771B"/>
    <w:rsid w:val="00EE0602"/>
    <w:rsid w:val="00EE073E"/>
    <w:rsid w:val="00EE11C5"/>
    <w:rsid w:val="00EE1C6A"/>
    <w:rsid w:val="00EE24A9"/>
    <w:rsid w:val="00EE24EE"/>
    <w:rsid w:val="00EE2DC0"/>
    <w:rsid w:val="00EE33E5"/>
    <w:rsid w:val="00EE358B"/>
    <w:rsid w:val="00EE463C"/>
    <w:rsid w:val="00EE4B12"/>
    <w:rsid w:val="00EE4D60"/>
    <w:rsid w:val="00EE5426"/>
    <w:rsid w:val="00EE5C1C"/>
    <w:rsid w:val="00EE5F3F"/>
    <w:rsid w:val="00EE61F5"/>
    <w:rsid w:val="00EE61FC"/>
    <w:rsid w:val="00EE682A"/>
    <w:rsid w:val="00EE686F"/>
    <w:rsid w:val="00EE6A94"/>
    <w:rsid w:val="00EE7EF7"/>
    <w:rsid w:val="00EE7F06"/>
    <w:rsid w:val="00EF051E"/>
    <w:rsid w:val="00EF217D"/>
    <w:rsid w:val="00EF22F6"/>
    <w:rsid w:val="00EF277F"/>
    <w:rsid w:val="00EF28EC"/>
    <w:rsid w:val="00EF327E"/>
    <w:rsid w:val="00EF3B97"/>
    <w:rsid w:val="00EF4D9E"/>
    <w:rsid w:val="00EF538A"/>
    <w:rsid w:val="00EF5AB0"/>
    <w:rsid w:val="00EF5EA0"/>
    <w:rsid w:val="00EF5F06"/>
    <w:rsid w:val="00EF693F"/>
    <w:rsid w:val="00F00495"/>
    <w:rsid w:val="00F00A78"/>
    <w:rsid w:val="00F0144C"/>
    <w:rsid w:val="00F01CB2"/>
    <w:rsid w:val="00F01E43"/>
    <w:rsid w:val="00F03802"/>
    <w:rsid w:val="00F03921"/>
    <w:rsid w:val="00F03AC4"/>
    <w:rsid w:val="00F04236"/>
    <w:rsid w:val="00F04E65"/>
    <w:rsid w:val="00F05E8F"/>
    <w:rsid w:val="00F064E2"/>
    <w:rsid w:val="00F066CE"/>
    <w:rsid w:val="00F0705E"/>
    <w:rsid w:val="00F0796D"/>
    <w:rsid w:val="00F10456"/>
    <w:rsid w:val="00F10888"/>
    <w:rsid w:val="00F10C53"/>
    <w:rsid w:val="00F11D1E"/>
    <w:rsid w:val="00F1269F"/>
    <w:rsid w:val="00F1298D"/>
    <w:rsid w:val="00F1317B"/>
    <w:rsid w:val="00F1354F"/>
    <w:rsid w:val="00F13FED"/>
    <w:rsid w:val="00F1452A"/>
    <w:rsid w:val="00F14958"/>
    <w:rsid w:val="00F14AE9"/>
    <w:rsid w:val="00F15509"/>
    <w:rsid w:val="00F15891"/>
    <w:rsid w:val="00F15AD2"/>
    <w:rsid w:val="00F16FAA"/>
    <w:rsid w:val="00F1797A"/>
    <w:rsid w:val="00F17BBA"/>
    <w:rsid w:val="00F200A4"/>
    <w:rsid w:val="00F200EA"/>
    <w:rsid w:val="00F207B2"/>
    <w:rsid w:val="00F21060"/>
    <w:rsid w:val="00F2132F"/>
    <w:rsid w:val="00F213D0"/>
    <w:rsid w:val="00F21828"/>
    <w:rsid w:val="00F21AE7"/>
    <w:rsid w:val="00F22664"/>
    <w:rsid w:val="00F22922"/>
    <w:rsid w:val="00F24D6C"/>
    <w:rsid w:val="00F251E9"/>
    <w:rsid w:val="00F25211"/>
    <w:rsid w:val="00F254E5"/>
    <w:rsid w:val="00F26AA7"/>
    <w:rsid w:val="00F272A5"/>
    <w:rsid w:val="00F32483"/>
    <w:rsid w:val="00F34189"/>
    <w:rsid w:val="00F35207"/>
    <w:rsid w:val="00F3560B"/>
    <w:rsid w:val="00F35D7E"/>
    <w:rsid w:val="00F361B4"/>
    <w:rsid w:val="00F3720E"/>
    <w:rsid w:val="00F374C3"/>
    <w:rsid w:val="00F37DFF"/>
    <w:rsid w:val="00F40692"/>
    <w:rsid w:val="00F42953"/>
    <w:rsid w:val="00F42B12"/>
    <w:rsid w:val="00F42BAC"/>
    <w:rsid w:val="00F43BB5"/>
    <w:rsid w:val="00F43C4E"/>
    <w:rsid w:val="00F43E39"/>
    <w:rsid w:val="00F458FA"/>
    <w:rsid w:val="00F45B28"/>
    <w:rsid w:val="00F4632A"/>
    <w:rsid w:val="00F469CA"/>
    <w:rsid w:val="00F500E0"/>
    <w:rsid w:val="00F508C6"/>
    <w:rsid w:val="00F51F87"/>
    <w:rsid w:val="00F5265D"/>
    <w:rsid w:val="00F52C2B"/>
    <w:rsid w:val="00F52E28"/>
    <w:rsid w:val="00F54501"/>
    <w:rsid w:val="00F54B9D"/>
    <w:rsid w:val="00F550E4"/>
    <w:rsid w:val="00F552BF"/>
    <w:rsid w:val="00F563F5"/>
    <w:rsid w:val="00F56EC3"/>
    <w:rsid w:val="00F5719E"/>
    <w:rsid w:val="00F57DDC"/>
    <w:rsid w:val="00F57F49"/>
    <w:rsid w:val="00F57F79"/>
    <w:rsid w:val="00F607E4"/>
    <w:rsid w:val="00F61179"/>
    <w:rsid w:val="00F625DC"/>
    <w:rsid w:val="00F63E02"/>
    <w:rsid w:val="00F64C9E"/>
    <w:rsid w:val="00F6626E"/>
    <w:rsid w:val="00F66501"/>
    <w:rsid w:val="00F66A19"/>
    <w:rsid w:val="00F670B6"/>
    <w:rsid w:val="00F673D8"/>
    <w:rsid w:val="00F71B34"/>
    <w:rsid w:val="00F72560"/>
    <w:rsid w:val="00F72D0A"/>
    <w:rsid w:val="00F72E79"/>
    <w:rsid w:val="00F73459"/>
    <w:rsid w:val="00F73EAF"/>
    <w:rsid w:val="00F7414C"/>
    <w:rsid w:val="00F74BFD"/>
    <w:rsid w:val="00F7534E"/>
    <w:rsid w:val="00F754B5"/>
    <w:rsid w:val="00F7605B"/>
    <w:rsid w:val="00F760DD"/>
    <w:rsid w:val="00F761BB"/>
    <w:rsid w:val="00F7766F"/>
    <w:rsid w:val="00F77A66"/>
    <w:rsid w:val="00F77B8A"/>
    <w:rsid w:val="00F8006A"/>
    <w:rsid w:val="00F803DB"/>
    <w:rsid w:val="00F80A17"/>
    <w:rsid w:val="00F80CD4"/>
    <w:rsid w:val="00F80D8D"/>
    <w:rsid w:val="00F8123A"/>
    <w:rsid w:val="00F81909"/>
    <w:rsid w:val="00F83821"/>
    <w:rsid w:val="00F83D1C"/>
    <w:rsid w:val="00F84793"/>
    <w:rsid w:val="00F851B2"/>
    <w:rsid w:val="00F85950"/>
    <w:rsid w:val="00F862D6"/>
    <w:rsid w:val="00F87E70"/>
    <w:rsid w:val="00F90776"/>
    <w:rsid w:val="00F908DA"/>
    <w:rsid w:val="00F90C25"/>
    <w:rsid w:val="00F9193A"/>
    <w:rsid w:val="00F93BD3"/>
    <w:rsid w:val="00F94801"/>
    <w:rsid w:val="00F9482B"/>
    <w:rsid w:val="00F949D8"/>
    <w:rsid w:val="00F95BFF"/>
    <w:rsid w:val="00F9610C"/>
    <w:rsid w:val="00F96A1F"/>
    <w:rsid w:val="00F97D28"/>
    <w:rsid w:val="00FA0619"/>
    <w:rsid w:val="00FA11B6"/>
    <w:rsid w:val="00FA1D85"/>
    <w:rsid w:val="00FA270C"/>
    <w:rsid w:val="00FA2BAE"/>
    <w:rsid w:val="00FA37CB"/>
    <w:rsid w:val="00FA3909"/>
    <w:rsid w:val="00FA3AC1"/>
    <w:rsid w:val="00FA401E"/>
    <w:rsid w:val="00FA40ED"/>
    <w:rsid w:val="00FA4A00"/>
    <w:rsid w:val="00FA4BC6"/>
    <w:rsid w:val="00FA4F52"/>
    <w:rsid w:val="00FA5224"/>
    <w:rsid w:val="00FA540D"/>
    <w:rsid w:val="00FA5469"/>
    <w:rsid w:val="00FA6B3B"/>
    <w:rsid w:val="00FA6D2D"/>
    <w:rsid w:val="00FA6E99"/>
    <w:rsid w:val="00FB2221"/>
    <w:rsid w:val="00FB445D"/>
    <w:rsid w:val="00FB55A1"/>
    <w:rsid w:val="00FB5C65"/>
    <w:rsid w:val="00FB65AF"/>
    <w:rsid w:val="00FB6641"/>
    <w:rsid w:val="00FB6C93"/>
    <w:rsid w:val="00FB7969"/>
    <w:rsid w:val="00FB7DEC"/>
    <w:rsid w:val="00FC207D"/>
    <w:rsid w:val="00FC2A1E"/>
    <w:rsid w:val="00FC2AD6"/>
    <w:rsid w:val="00FC2C59"/>
    <w:rsid w:val="00FC2F0A"/>
    <w:rsid w:val="00FC34A5"/>
    <w:rsid w:val="00FC3968"/>
    <w:rsid w:val="00FC42B4"/>
    <w:rsid w:val="00FC5175"/>
    <w:rsid w:val="00FC52F4"/>
    <w:rsid w:val="00FC5C80"/>
    <w:rsid w:val="00FC7709"/>
    <w:rsid w:val="00FC79D8"/>
    <w:rsid w:val="00FC7E65"/>
    <w:rsid w:val="00FC7EE0"/>
    <w:rsid w:val="00FD0288"/>
    <w:rsid w:val="00FD06EA"/>
    <w:rsid w:val="00FD143F"/>
    <w:rsid w:val="00FD1E92"/>
    <w:rsid w:val="00FD1ED9"/>
    <w:rsid w:val="00FD1F6D"/>
    <w:rsid w:val="00FD1FA7"/>
    <w:rsid w:val="00FD3FEF"/>
    <w:rsid w:val="00FD56C5"/>
    <w:rsid w:val="00FD5E7D"/>
    <w:rsid w:val="00FD6BF2"/>
    <w:rsid w:val="00FE0048"/>
    <w:rsid w:val="00FE0579"/>
    <w:rsid w:val="00FE073A"/>
    <w:rsid w:val="00FE0834"/>
    <w:rsid w:val="00FE0E3E"/>
    <w:rsid w:val="00FE1333"/>
    <w:rsid w:val="00FE2031"/>
    <w:rsid w:val="00FE2185"/>
    <w:rsid w:val="00FE231F"/>
    <w:rsid w:val="00FE2354"/>
    <w:rsid w:val="00FE26E0"/>
    <w:rsid w:val="00FE2D10"/>
    <w:rsid w:val="00FE367E"/>
    <w:rsid w:val="00FE37FF"/>
    <w:rsid w:val="00FE3AD5"/>
    <w:rsid w:val="00FE436E"/>
    <w:rsid w:val="00FE44F8"/>
    <w:rsid w:val="00FE4501"/>
    <w:rsid w:val="00FE4588"/>
    <w:rsid w:val="00FE5098"/>
    <w:rsid w:val="00FE56A9"/>
    <w:rsid w:val="00FE6204"/>
    <w:rsid w:val="00FE6228"/>
    <w:rsid w:val="00FE645C"/>
    <w:rsid w:val="00FE67BA"/>
    <w:rsid w:val="00FE6912"/>
    <w:rsid w:val="00FE6EE9"/>
    <w:rsid w:val="00FE757F"/>
    <w:rsid w:val="00FE79FF"/>
    <w:rsid w:val="00FE7AE4"/>
    <w:rsid w:val="00FF0300"/>
    <w:rsid w:val="00FF0E65"/>
    <w:rsid w:val="00FF0EDC"/>
    <w:rsid w:val="00FF170A"/>
    <w:rsid w:val="00FF219D"/>
    <w:rsid w:val="00FF23AB"/>
    <w:rsid w:val="00FF23D8"/>
    <w:rsid w:val="00FF3A71"/>
    <w:rsid w:val="00FF3C3F"/>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66D53F5F"/>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paragraph" w:styleId="Heading4">
    <w:name w:val="heading 4"/>
    <w:basedOn w:val="Normal"/>
    <w:next w:val="Normal"/>
    <w:link w:val="Heading4Char"/>
    <w:uiPriority w:val="9"/>
    <w:semiHidden/>
    <w:unhideWhenUsed/>
    <w:qFormat/>
    <w:rsid w:val="004265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hea Level 1,Numberanswer Level 1,N,indentl 1,Number leg2 1,Level 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theNumber Level 4"/>
    <w:basedOn w:val="Normal"/>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qFormat/>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aliases w:val="N6"/>
    <w:basedOn w:val="NumberLevel5"/>
    <w:qFormat/>
    <w:rsid w:val="00355C60"/>
    <w:pPr>
      <w:numPr>
        <w:ilvl w:val="5"/>
      </w:numPr>
    </w:pPr>
  </w:style>
  <w:style w:type="paragraph" w:customStyle="1" w:styleId="NumberLevel7">
    <w:name w:val="Number Level 7"/>
    <w:aliases w:val="N7"/>
    <w:basedOn w:val="NumberLevel6"/>
    <w:qFormat/>
    <w:rsid w:val="00355C60"/>
    <w:pPr>
      <w:numPr>
        <w:ilvl w:val="6"/>
      </w:numPr>
    </w:pPr>
  </w:style>
  <w:style w:type="paragraph" w:customStyle="1" w:styleId="NumberLevel8">
    <w:name w:val="Number Level 8"/>
    <w:aliases w:val="N8"/>
    <w:basedOn w:val="NumberLevel7"/>
    <w:rsid w:val="00355C60"/>
    <w:pPr>
      <w:numPr>
        <w:ilvl w:val="7"/>
      </w:numPr>
    </w:pPr>
  </w:style>
  <w:style w:type="paragraph" w:customStyle="1" w:styleId="NumberLevel9">
    <w:name w:val="Number Level 9"/>
    <w:aliases w:val="N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uiPriority w:val="99"/>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character" w:customStyle="1" w:styleId="Heading4Char">
    <w:name w:val="Heading 4 Char"/>
    <w:basedOn w:val="DefaultParagraphFont"/>
    <w:link w:val="Heading4"/>
    <w:uiPriority w:val="9"/>
    <w:semiHidden/>
    <w:rsid w:val="0042651B"/>
    <w:rPr>
      <w:rFonts w:asciiTheme="majorHAnsi" w:eastAsiaTheme="majorEastAsia" w:hAnsiTheme="majorHAnsi" w:cstheme="majorBidi"/>
      <w:i/>
      <w:iCs/>
      <w:color w:val="365F91" w:themeColor="accent1" w:themeShade="BF"/>
      <w:lang w:eastAsia="en-AU"/>
    </w:rPr>
  </w:style>
  <w:style w:type="paragraph" w:customStyle="1" w:styleId="Tablei">
    <w:name w:val="Table(i)"/>
    <w:aliases w:val="taa"/>
    <w:basedOn w:val="Normal"/>
    <w:rsid w:val="004F6053"/>
    <w:pPr>
      <w:tabs>
        <w:tab w:val="left" w:pos="-6543"/>
        <w:tab w:val="left" w:pos="-6260"/>
        <w:tab w:val="right" w:pos="970"/>
      </w:tabs>
      <w:spacing w:line="240" w:lineRule="exact"/>
      <w:ind w:left="828" w:hanging="284"/>
    </w:pPr>
    <w:rPr>
      <w:rFonts w:ascii="Times New Roman" w:eastAsia="Times New Roman" w:hAnsi="Times New Roman"/>
      <w:sz w:val="20"/>
      <w:szCs w:val="20"/>
    </w:rPr>
  </w:style>
  <w:style w:type="paragraph" w:styleId="FootnoteText">
    <w:name w:val="footnote text"/>
    <w:basedOn w:val="Normal"/>
    <w:link w:val="FootnoteTextChar"/>
    <w:unhideWhenUsed/>
    <w:rsid w:val="00EC1C55"/>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rsid w:val="00EC1C55"/>
    <w:rPr>
      <w:rFonts w:eastAsiaTheme="minorEastAsia"/>
      <w:sz w:val="20"/>
      <w:szCs w:val="20"/>
    </w:rPr>
  </w:style>
  <w:style w:type="character" w:styleId="FootnoteReference">
    <w:name w:val="footnote reference"/>
    <w:basedOn w:val="DefaultParagraphFont"/>
    <w:unhideWhenUsed/>
    <w:rsid w:val="00EC1C55"/>
    <w:rPr>
      <w:vertAlign w:val="superscript"/>
    </w:rPr>
  </w:style>
  <w:style w:type="paragraph" w:styleId="BodyText">
    <w:name w:val="Body Text"/>
    <w:link w:val="BodyTextChar"/>
    <w:qFormat/>
    <w:rsid w:val="00151C3A"/>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151C3A"/>
    <w:rPr>
      <w:rFonts w:cs="Times New Roman"/>
      <w:color w:val="000000" w:themeColor="text1"/>
      <w:szCs w:val="20"/>
    </w:rPr>
  </w:style>
  <w:style w:type="paragraph" w:customStyle="1" w:styleId="CABNETParagraph">
    <w:name w:val="CABNET Paragraph."/>
    <w:basedOn w:val="Normal"/>
    <w:link w:val="CABNETParagraphChar"/>
    <w:uiPriority w:val="98"/>
    <w:qFormat/>
    <w:rsid w:val="00151C3A"/>
    <w:pPr>
      <w:spacing w:before="120" w:after="120"/>
    </w:pPr>
    <w:rPr>
      <w:rFonts w:ascii="Arial" w:eastAsiaTheme="minorHAnsi" w:hAnsi="Arial" w:cstheme="minorHAnsi"/>
      <w:lang w:eastAsia="en-US"/>
    </w:rPr>
  </w:style>
  <w:style w:type="character" w:customStyle="1" w:styleId="CABNETParagraphChar">
    <w:name w:val="CABNET Paragraph. Char"/>
    <w:basedOn w:val="DefaultParagraphFont"/>
    <w:link w:val="CABNETParagraph"/>
    <w:uiPriority w:val="98"/>
    <w:rsid w:val="00151C3A"/>
    <w:rPr>
      <w:rFonts w:ascii="Arial" w:hAnsi="Arial"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856046630">
      <w:bodyDiv w:val="1"/>
      <w:marLeft w:val="0"/>
      <w:marRight w:val="0"/>
      <w:marTop w:val="0"/>
      <w:marBottom w:val="0"/>
      <w:divBdr>
        <w:top w:val="none" w:sz="0" w:space="0" w:color="auto"/>
        <w:left w:val="none" w:sz="0" w:space="0" w:color="auto"/>
        <w:bottom w:val="none" w:sz="0" w:space="0" w:color="auto"/>
        <w:right w:val="none" w:sz="0" w:space="0" w:color="auto"/>
      </w:divBdr>
    </w:div>
    <w:div w:id="901870280">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45988299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ERSONAL DOCUMENT" ma:contentTypeID="0x010100407620DDFF47524F86BCF55EDD3946430600E90F9B09F96EC24BBDD6A5E0CAE64A5C" ma:contentTypeVersion="5" ma:contentTypeDescription="923" ma:contentTypeScope="" ma:versionID="b69e0d0f4744aac934cd62b8f9f9670c">
  <xsd:schema xmlns:xsd="http://www.w3.org/2001/XMLSchema" xmlns:xs="http://www.w3.org/2001/XMLSchema" xmlns:p="http://schemas.microsoft.com/office/2006/metadata/properties" xmlns:ns2="4597da67-68a3-4e9d-8803-ba3e1787ab6c" targetNamespace="http://schemas.microsoft.com/office/2006/metadata/properties" ma:root="true" ma:fieldsID="8e50a90e5fb10bbf6009eda4baac1c7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69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696" ma:index="41" nillable="true" ma:displayName="Delete" ma:format="Dropdown" ma:internalName="TrimUDF_String_696">
      <xsd:simpleType>
        <xsd:restriction base="dms:Choice">
          <xsd:enumeration value="Copy"/>
          <xsd:enumeration value="Draft"/>
          <xsd:enumeration value="Personal"/>
          <xsd:enumeration value="Published"/>
          <xsd:enumeration value="Transitory"/>
          <xsd:enumeration value="Working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TrimUDF_String_696 xmlns="4597da67-68a3-4e9d-8803-ba3e1787ab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1404-9CB1-4194-88B0-B94B45A5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7F7D5-A7D8-4A0A-95C8-7B13D94251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597da67-68a3-4e9d-8803-ba3e1787ab6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4.xml><?xml version="1.0" encoding="utf-8"?>
<ds:datastoreItem xmlns:ds="http://schemas.openxmlformats.org/officeDocument/2006/customXml" ds:itemID="{571BC71B-8F44-4B0E-9F13-66C07A7C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31</Pages>
  <Words>13573</Words>
  <Characters>77371</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Draft ES - ITRDC No 4 - Communications consult 26 Feb 20.docx</vt:lpstr>
    </vt:vector>
  </TitlesOfParts>
  <Company>FINANCE</Company>
  <LinksUpToDate>false</LinksUpToDate>
  <CharactersWithSpaces>90763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ITRDC No 4 - Communications consult 26 Feb 20.docx</dc:title>
  <dc:creator>Eric Shek</dc:creator>
  <cp:lastModifiedBy>Kim, Marina</cp:lastModifiedBy>
  <cp:revision>13</cp:revision>
  <cp:lastPrinted>2020-03-11T01:56:00Z</cp:lastPrinted>
  <dcterms:created xsi:type="dcterms:W3CDTF">2020-07-28T04:52:00Z</dcterms:created>
  <dcterms:modified xsi:type="dcterms:W3CDTF">2020-08-11T04:12:00Z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0x010100407620DDFF47524F86BCF55EDD3946430600E90F9B09F96EC24BBDD6A5E0CAE64A5C</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35</vt:i4>
  </property>
</Properties>
</file>