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1AACF446" w14:textId="77777777" w:rsidTr="00A22E0D">
        <w:tc>
          <w:tcPr>
            <w:tcW w:w="4661" w:type="dxa"/>
          </w:tcPr>
          <w:p w14:paraId="03278DB0" w14:textId="77777777" w:rsidR="00090A6F" w:rsidRPr="0000292B" w:rsidRDefault="00364B30">
            <w:pPr>
              <w:pStyle w:val="CoverStandard"/>
            </w:pPr>
            <w:r>
              <w:t>AASB</w:t>
            </w:r>
            <w:r w:rsidR="00831497">
              <w:t xml:space="preserve"> Standard</w:t>
            </w:r>
          </w:p>
        </w:tc>
        <w:tc>
          <w:tcPr>
            <w:tcW w:w="4661" w:type="dxa"/>
          </w:tcPr>
          <w:p w14:paraId="1F7340A7" w14:textId="38E50BB2" w:rsidR="00090A6F" w:rsidRPr="0000292B" w:rsidRDefault="00831497">
            <w:pPr>
              <w:pStyle w:val="CoverNumber"/>
            </w:pPr>
            <w:r>
              <w:t>AASB</w:t>
            </w:r>
            <w:r w:rsidR="00090A6F" w:rsidRPr="0000292B">
              <w:t xml:space="preserve"> </w:t>
            </w:r>
            <w:bookmarkStart w:id="0" w:name="DocNo"/>
            <w:r w:rsidR="008C1039">
              <w:t>2020-</w:t>
            </w:r>
            <w:r w:rsidR="000C5153">
              <w:t>6</w:t>
            </w:r>
            <w:bookmarkEnd w:id="0"/>
          </w:p>
          <w:p w14:paraId="2384047D" w14:textId="14B267F4" w:rsidR="00090A6F" w:rsidRPr="0000292B" w:rsidRDefault="008C1039">
            <w:pPr>
              <w:pStyle w:val="CoverDate"/>
            </w:pPr>
            <w:bookmarkStart w:id="1" w:name="DocDate"/>
            <w:r>
              <w:t>August 2020</w:t>
            </w:r>
            <w:bookmarkEnd w:id="1"/>
          </w:p>
        </w:tc>
      </w:tr>
    </w:tbl>
    <w:p w14:paraId="7823D221" w14:textId="5B200619" w:rsidR="00090A6F" w:rsidRPr="0000292B" w:rsidRDefault="008C1039" w:rsidP="000A4AF3">
      <w:pPr>
        <w:pStyle w:val="CoverTitle"/>
        <w:jc w:val="left"/>
      </w:pPr>
      <w:bookmarkStart w:id="2" w:name="DocTitle"/>
      <w:r>
        <w:t>Amendments to Australian Accounting Standards</w:t>
      </w:r>
      <w:r w:rsidR="004833D4">
        <w:t xml:space="preserve"> </w:t>
      </w:r>
      <w:r w:rsidR="004E2DC5">
        <w:t>–</w:t>
      </w:r>
      <w:r w:rsidR="00C74585">
        <w:t xml:space="preserve"> </w:t>
      </w:r>
      <w:r>
        <w:t>Classification of Liabilities as Current or Non-</w:t>
      </w:r>
      <w:r w:rsidR="00C61BF6">
        <w:t>c</w:t>
      </w:r>
      <w:r>
        <w:t xml:space="preserve">urrent </w:t>
      </w:r>
      <w:r w:rsidR="004E2DC5">
        <w:t>–</w:t>
      </w:r>
      <w:r>
        <w:t xml:space="preserve"> Deferral of Effective Date</w:t>
      </w:r>
      <w:bookmarkEnd w:id="2"/>
    </w:p>
    <w:p w14:paraId="11413EBE" w14:textId="77777777" w:rsidR="00C5022C" w:rsidRPr="00C5022C" w:rsidRDefault="002B7803" w:rsidP="00930ECE">
      <w:pPr>
        <w:pStyle w:val="CoverSubtitle"/>
        <w:jc w:val="left"/>
      </w:pPr>
      <w:r>
        <w:t>[</w:t>
      </w:r>
      <w:bookmarkStart w:id="3" w:name="AmendingNos"/>
      <w:r w:rsidR="008C1039">
        <w:t>AASB 101</w:t>
      </w:r>
      <w:bookmarkEnd w:id="3"/>
      <w:r>
        <w:t>]</w:t>
      </w:r>
    </w:p>
    <w:p w14:paraId="0F10B127" w14:textId="77777777" w:rsidR="00737714" w:rsidRPr="0000292B" w:rsidRDefault="00737714" w:rsidP="00737714"/>
    <w:p w14:paraId="0E68EC81" w14:textId="77777777" w:rsidR="00090A6F" w:rsidRPr="0000292B" w:rsidRDefault="008B643A">
      <w:pPr>
        <w:sectPr w:rsidR="00090A6F" w:rsidRPr="0000292B" w:rsidSect="00D74C6A">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8240" behindDoc="0" locked="1" layoutInCell="1" allowOverlap="1" wp14:anchorId="066E697A" wp14:editId="54D119FA">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5C157"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11171474"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3D78648E" w14:textId="77777777" w:rsidR="00895809" w:rsidRPr="0000292B" w:rsidRDefault="00895809" w:rsidP="00895809">
      <w:r w:rsidRPr="0000292B">
        <w:t>Australian Accounting Standards Board</w:t>
      </w:r>
    </w:p>
    <w:p w14:paraId="4EB68130" w14:textId="77777777" w:rsidR="00895809" w:rsidRPr="0000292B" w:rsidRDefault="00895809" w:rsidP="00895809">
      <w:r>
        <w:t>PO Box 204</w:t>
      </w:r>
    </w:p>
    <w:p w14:paraId="4A86F3F7" w14:textId="77777777" w:rsidR="00895809" w:rsidRPr="0000292B" w:rsidRDefault="00895809" w:rsidP="00895809">
      <w:r>
        <w:t>Collins Street West</w:t>
      </w:r>
    </w:p>
    <w:p w14:paraId="364A294A" w14:textId="77777777" w:rsidR="00895809" w:rsidRPr="0000292B" w:rsidRDefault="00895809" w:rsidP="00895809">
      <w:r>
        <w:t>Victoria   8007</w:t>
      </w:r>
    </w:p>
    <w:p w14:paraId="561EDE90" w14:textId="77777777" w:rsidR="00895809" w:rsidRDefault="00895809" w:rsidP="00895809">
      <w:pPr>
        <w:pStyle w:val="CoverContact"/>
        <w:spacing w:after="200"/>
      </w:pPr>
      <w:r w:rsidRPr="0000292B">
        <w:t>AUSTRALIA</w:t>
      </w:r>
    </w:p>
    <w:p w14:paraId="794D1C9E" w14:textId="77777777" w:rsidR="00737714" w:rsidRDefault="0034243B" w:rsidP="00B82F15">
      <w:pPr>
        <w:pStyle w:val="CoverContact"/>
      </w:pPr>
      <w:r>
        <w:t>Phone:</w:t>
      </w:r>
      <w:r>
        <w:tab/>
        <w:t>(03) 9617 7600</w:t>
      </w:r>
    </w:p>
    <w:p w14:paraId="1E4FBF3A" w14:textId="77777777" w:rsidR="00E96D45" w:rsidRDefault="00DB00CD" w:rsidP="00DB00CD">
      <w:pPr>
        <w:pStyle w:val="CoverContact"/>
      </w:pPr>
      <w:r>
        <w:t>E-mail:</w:t>
      </w:r>
      <w:r>
        <w:tab/>
      </w:r>
      <w:r w:rsidR="0034243B">
        <w:t>standard</w:t>
      </w:r>
      <w:r>
        <w:t>@aasb.gov</w:t>
      </w:r>
      <w:r w:rsidRPr="00C5022C">
        <w:t>.au</w:t>
      </w:r>
    </w:p>
    <w:p w14:paraId="7467E836" w14:textId="77777777" w:rsidR="00E96D45" w:rsidRPr="00E96D45" w:rsidRDefault="00DB00CD" w:rsidP="00DB00CD">
      <w:pPr>
        <w:pStyle w:val="CoverContact"/>
        <w:spacing w:after="240"/>
      </w:pPr>
      <w:r>
        <w:t>Website:</w:t>
      </w:r>
      <w:r>
        <w:tab/>
        <w:t>www.aasb.gov.au</w:t>
      </w:r>
    </w:p>
    <w:p w14:paraId="51445F25" w14:textId="77777777" w:rsidR="00090A6F" w:rsidRPr="0000292B" w:rsidRDefault="00090A6F" w:rsidP="00F13C5A">
      <w:pPr>
        <w:pStyle w:val="Heading1"/>
      </w:pPr>
      <w:r w:rsidRPr="0000292B">
        <w:t xml:space="preserve">Other </w:t>
      </w:r>
      <w:r w:rsidR="005655CE" w:rsidRPr="0000292B">
        <w:t>enquiries</w:t>
      </w:r>
    </w:p>
    <w:p w14:paraId="4702EE46"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567BD97B" w14:textId="77777777" w:rsidR="00090A6F" w:rsidRPr="0000292B" w:rsidRDefault="00923261">
      <w:pPr>
        <w:pStyle w:val="CoverContact"/>
      </w:pPr>
      <w:r>
        <w:t>E-mail:</w:t>
      </w:r>
      <w:r>
        <w:tab/>
        <w:t>standard@aasb.gov</w:t>
      </w:r>
      <w:r w:rsidR="00090A6F" w:rsidRPr="0000292B">
        <w:t>.au</w:t>
      </w:r>
    </w:p>
    <w:p w14:paraId="68532CA8" w14:textId="77777777" w:rsidR="00276BC5" w:rsidRDefault="00276BC5" w:rsidP="00895809">
      <w:pPr>
        <w:pStyle w:val="NoNumPlain1"/>
        <w:spacing w:before="6240"/>
      </w:pPr>
      <w:r>
        <w:t>COPYRIGHT</w:t>
      </w:r>
    </w:p>
    <w:p w14:paraId="59E5153A" w14:textId="77777777" w:rsidR="00276BC5" w:rsidRDefault="00276BC5" w:rsidP="00276BC5">
      <w:pPr>
        <w:pStyle w:val="NoNumPlain1"/>
      </w:pPr>
      <w:r>
        <w:t xml:space="preserve">© Commonwealth of Australia </w:t>
      </w:r>
      <w:bookmarkStart w:id="4" w:name="Year"/>
      <w:r w:rsidR="008C1039">
        <w:t>2020</w:t>
      </w:r>
      <w:bookmarkEnd w:id="4"/>
    </w:p>
    <w:p w14:paraId="446C3700" w14:textId="77777777"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 xml:space="preserve">commercial use subject to the inclusion of an acknowledgment of the source.  Requests and enquiries concerning reproduction and rights for commercial purposes within Australia should be addressed to The </w:t>
      </w:r>
      <w:r w:rsidR="0034243B">
        <w:t xml:space="preserve">National </w:t>
      </w:r>
      <w:r w:rsidRPr="00DE4E67">
        <w:t xml:space="preserve">Director, Australian Accounting Standards Board, </w:t>
      </w:r>
      <w:r w:rsidR="00895809">
        <w:t>PO Box </w:t>
      </w:r>
      <w:r w:rsidRPr="00DE4E67">
        <w:t>204, Collins Street West, Victoria 8007.</w:t>
      </w:r>
    </w:p>
    <w:p w14:paraId="0686C82E" w14:textId="77777777" w:rsidR="00276BC5" w:rsidRPr="00DE4E67" w:rsidRDefault="00276BC5" w:rsidP="00895809">
      <w:pPr>
        <w:spacing w:after="200"/>
      </w:pPr>
      <w:r w:rsidRPr="00DE4E67">
        <w:t>All existing rights in this material are reserved outside Australia.</w:t>
      </w:r>
      <w:r w:rsidR="00895809">
        <w:t xml:space="preserve">  </w:t>
      </w: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p w14:paraId="7BBA43A1" w14:textId="77777777" w:rsidR="007455F0" w:rsidRPr="0000292B" w:rsidRDefault="006D4700" w:rsidP="006D4700">
      <w:r>
        <w:t xml:space="preserve">ISSN </w:t>
      </w:r>
      <w:bookmarkStart w:id="5" w:name="ISSN"/>
      <w:r w:rsidR="008C1039">
        <w:t>1036-4803</w:t>
      </w:r>
      <w:bookmarkEnd w:id="5"/>
    </w:p>
    <w:p w14:paraId="33C17D29" w14:textId="77777777" w:rsidR="00090A6F" w:rsidRPr="0000292B" w:rsidRDefault="00090A6F">
      <w:pPr>
        <w:sectPr w:rsidR="00090A6F" w:rsidRPr="0000292B" w:rsidSect="00D74C6A">
          <w:footerReference w:type="default" r:id="rId11"/>
          <w:pgSz w:w="11907" w:h="16840" w:code="9"/>
          <w:pgMar w:top="1418" w:right="1418" w:bottom="1418" w:left="1418" w:header="709" w:footer="709" w:gutter="0"/>
          <w:paperSrc w:first="7" w:other="7"/>
          <w:cols w:space="720"/>
        </w:sectPr>
      </w:pPr>
    </w:p>
    <w:p w14:paraId="20EB6989" w14:textId="77777777" w:rsidR="00090A6F" w:rsidRPr="0000292B" w:rsidRDefault="005655CE">
      <w:pPr>
        <w:pStyle w:val="Heading1"/>
      </w:pPr>
      <w:r w:rsidRPr="0000292B">
        <w:lastRenderedPageBreak/>
        <w:t>Contents</w:t>
      </w:r>
    </w:p>
    <w:p w14:paraId="023C65DE" w14:textId="6BBEB369" w:rsidR="00090A6F" w:rsidRPr="0000292B" w:rsidRDefault="00090A6F" w:rsidP="00951AFE">
      <w:pPr>
        <w:pStyle w:val="ContentsCapsPlain"/>
        <w:spacing w:before="400"/>
      </w:pPr>
      <w:r w:rsidRPr="0000292B">
        <w:t>Preface</w:t>
      </w:r>
    </w:p>
    <w:p w14:paraId="621CB8DB" w14:textId="77777777" w:rsidR="00090A6F" w:rsidRPr="0000292B" w:rsidRDefault="00090A6F">
      <w:pPr>
        <w:pStyle w:val="ContentsCapsBold"/>
      </w:pPr>
      <w:r w:rsidRPr="0000292B">
        <w:t>Accounting Standard</w:t>
      </w:r>
    </w:p>
    <w:p w14:paraId="02ECA725" w14:textId="6E85488E"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0C5153" w:rsidRPr="000C5153">
        <w:rPr>
          <w:iCs/>
        </w:rPr>
        <w:t>2020-6</w:t>
      </w:r>
      <w:r w:rsidR="009C2479"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0C5153" w:rsidRPr="000C5153">
        <w:rPr>
          <w:i/>
        </w:rPr>
        <w:t>Amendments to Australian Accounting Standards – Classification of Liabilities as Current or Non-current – Deferral of Effective Date</w:t>
      </w:r>
      <w:r w:rsidR="00CC1DF4" w:rsidRPr="00CC1DF4">
        <w:rPr>
          <w:i/>
        </w:rPr>
        <w:fldChar w:fldCharType="end"/>
      </w:r>
    </w:p>
    <w:p w14:paraId="4BD4EB0A" w14:textId="77777777" w:rsidR="002B7803" w:rsidRPr="002B7803" w:rsidRDefault="002B7803" w:rsidP="002B7803"/>
    <w:p w14:paraId="4249CC1B" w14:textId="77777777" w:rsidR="00090A6F" w:rsidRPr="0000292B" w:rsidRDefault="009965BA">
      <w:pPr>
        <w:pStyle w:val="ContentsParaHead"/>
      </w:pPr>
      <w:r>
        <w:t>from page</w:t>
      </w:r>
    </w:p>
    <w:p w14:paraId="242800C0" w14:textId="765E9DC1" w:rsidR="00090A6F" w:rsidRPr="0000292B" w:rsidRDefault="00090A6F" w:rsidP="00EF4695">
      <w:pPr>
        <w:pStyle w:val="ContentsLevel1"/>
        <w:ind w:right="0"/>
      </w:pPr>
      <w:bookmarkStart w:id="6" w:name="TOCRange"/>
      <w:r w:rsidRPr="0000292B">
        <w:t>Objective</w:t>
      </w:r>
      <w:r w:rsidRPr="0000292B">
        <w:tab/>
      </w:r>
      <w:r w:rsidR="00094A54">
        <w:t>5</w:t>
      </w:r>
    </w:p>
    <w:p w14:paraId="2DB19088" w14:textId="428723F9" w:rsidR="00090A6F" w:rsidRDefault="00090A6F" w:rsidP="00EF4695">
      <w:pPr>
        <w:pStyle w:val="ContentsLevel1"/>
        <w:ind w:right="0"/>
      </w:pPr>
      <w:r w:rsidRPr="0000292B">
        <w:t>Application</w:t>
      </w:r>
      <w:r w:rsidRPr="0000292B">
        <w:tab/>
      </w:r>
      <w:r w:rsidR="00EF4695">
        <w:t>5</w:t>
      </w:r>
    </w:p>
    <w:p w14:paraId="2631D7A7" w14:textId="2573ADCC" w:rsidR="004D5C87" w:rsidRDefault="008C1039" w:rsidP="00EF4695">
      <w:pPr>
        <w:pStyle w:val="ContentsLevel1"/>
        <w:ind w:right="0"/>
      </w:pPr>
      <w:r>
        <w:t>Amendments to AASB 101</w:t>
      </w:r>
      <w:r w:rsidR="004D5C87">
        <w:tab/>
        <w:t>5</w:t>
      </w:r>
    </w:p>
    <w:p w14:paraId="487D3169" w14:textId="49CD5AD8" w:rsidR="00090A6F" w:rsidRPr="0000292B" w:rsidRDefault="004D5C87" w:rsidP="00DA19CB">
      <w:pPr>
        <w:pStyle w:val="ContentsLevel1"/>
        <w:ind w:right="0"/>
      </w:pPr>
      <w:r w:rsidRPr="004D5C87">
        <w:t>Commencement of the legislative instrument</w:t>
      </w:r>
      <w:r w:rsidR="008C1039">
        <w:tab/>
      </w:r>
      <w:r>
        <w:t>5</w:t>
      </w:r>
      <w:bookmarkStart w:id="7" w:name="ContentsMarker"/>
      <w:bookmarkEnd w:id="7"/>
    </w:p>
    <w:bookmarkEnd w:id="6"/>
    <w:p w14:paraId="05DD58CC" w14:textId="77777777" w:rsidR="0034243B" w:rsidRDefault="0034243B" w:rsidP="00951AFE">
      <w:pPr>
        <w:pStyle w:val="ContentsCapsBold"/>
        <w:spacing w:before="400" w:after="60"/>
      </w:pPr>
      <w:r>
        <w:t>aVailable on the AASB website</w:t>
      </w:r>
    </w:p>
    <w:p w14:paraId="17A440CF" w14:textId="6D679C96" w:rsidR="0034243B" w:rsidRDefault="0034243B" w:rsidP="0034243B">
      <w:pPr>
        <w:pStyle w:val="ContentsCapsBoldPg"/>
      </w:pPr>
      <w:r>
        <w:t xml:space="preserve">IASB </w:t>
      </w:r>
      <w:r w:rsidR="00F35F16">
        <w:t>Basis</w:t>
      </w:r>
      <w:r>
        <w:t xml:space="preserve"> for Conclusions – Amendments</w:t>
      </w:r>
    </w:p>
    <w:p w14:paraId="13570F9B" w14:textId="77777777" w:rsidR="0034243B" w:rsidRPr="0034243B" w:rsidRDefault="0034243B" w:rsidP="00951AFE">
      <w:pPr>
        <w:pStyle w:val="ContentsCapsBoldPg"/>
        <w:spacing w:after="0"/>
      </w:pPr>
    </w:p>
    <w:p w14:paraId="0DFE6EF3" w14:textId="7A94A439"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0C5153" w:rsidRPr="000C5153">
        <w:rPr>
          <w:iCs/>
        </w:rPr>
        <w:t>2020-6</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0C5153" w:rsidRPr="000C5153">
        <w:rPr>
          <w:i/>
        </w:rPr>
        <w:t>Amendments to Australian Accounting Standards – Classification of Liabilities as Current or Non-current – Deferral of Effective Date</w:t>
      </w:r>
      <w:r w:rsidR="00CC1DF4" w:rsidRPr="00CC1DF4">
        <w:rPr>
          <w:i/>
        </w:rPr>
        <w:fldChar w:fldCharType="end"/>
      </w:r>
      <w:r w:rsidRPr="0000292B">
        <w:rPr>
          <w:i/>
          <w:iCs/>
        </w:rPr>
        <w:t xml:space="preserve"> </w:t>
      </w:r>
      <w:r w:rsidRPr="0000292B">
        <w:t xml:space="preserve">is set out </w:t>
      </w:r>
      <w:r w:rsidR="005655CE">
        <w:t>o</w:t>
      </w:r>
      <w:r w:rsidRPr="0000292B">
        <w:t xml:space="preserve">n </w:t>
      </w:r>
      <w:r w:rsidR="005655CE">
        <w:t>page</w:t>
      </w:r>
      <w:r w:rsidR="007E28DA">
        <w:t xml:space="preserve"> 5</w:t>
      </w:r>
      <w:r w:rsidRPr="0000292B">
        <w:t>. All the pa</w:t>
      </w:r>
      <w:r w:rsidR="009C2479">
        <w:t>ragraphs have equal authority.</w:t>
      </w:r>
    </w:p>
    <w:p w14:paraId="74F3183F" w14:textId="77777777" w:rsidR="00090A6F" w:rsidRPr="0000292B" w:rsidRDefault="00090A6F">
      <w:pPr>
        <w:pStyle w:val="ContentsBox"/>
        <w:pBdr>
          <w:top w:val="none" w:sz="0" w:space="0" w:color="auto"/>
          <w:left w:val="none" w:sz="0" w:space="0" w:color="auto"/>
          <w:bottom w:val="none" w:sz="0" w:space="0" w:color="auto"/>
          <w:right w:val="none" w:sz="0" w:space="0" w:color="auto"/>
        </w:pBdr>
      </w:pPr>
      <w:bookmarkStart w:id="8" w:name="_GoBack"/>
      <w:bookmarkEnd w:id="8"/>
    </w:p>
    <w:p w14:paraId="2CF61D07" w14:textId="77777777" w:rsidR="00090A6F" w:rsidRPr="0000292B" w:rsidRDefault="00090A6F">
      <w:pPr>
        <w:sectPr w:rsidR="00090A6F" w:rsidRPr="0000292B" w:rsidSect="00D74C6A">
          <w:footerReference w:type="default" r:id="rId12"/>
          <w:pgSz w:w="11907" w:h="16840" w:code="9"/>
          <w:pgMar w:top="1418" w:right="1418" w:bottom="1418" w:left="1418" w:header="709" w:footer="709" w:gutter="0"/>
          <w:paperSrc w:first="7" w:other="7"/>
          <w:cols w:space="720"/>
        </w:sectPr>
      </w:pPr>
    </w:p>
    <w:p w14:paraId="78C45DFF" w14:textId="77777777" w:rsidR="00090A6F" w:rsidRPr="0000292B" w:rsidRDefault="00090A6F">
      <w:pPr>
        <w:pStyle w:val="Heading1"/>
      </w:pPr>
      <w:r w:rsidRPr="0000292B">
        <w:lastRenderedPageBreak/>
        <w:t>Preface</w:t>
      </w:r>
    </w:p>
    <w:p w14:paraId="2056F247" w14:textId="666333CB" w:rsidR="000F64CC" w:rsidRPr="0000292B" w:rsidRDefault="00CA61C5" w:rsidP="00C53D0C">
      <w:pPr>
        <w:pStyle w:val="Heading2"/>
        <w:keepNext w:val="0"/>
        <w:spacing w:before="400"/>
      </w:pPr>
      <w:r>
        <w:t xml:space="preserve">Standards amended by AASB </w:t>
      </w:r>
      <w:r>
        <w:fldChar w:fldCharType="begin" w:fldLock="1"/>
      </w:r>
      <w:r>
        <w:instrText xml:space="preserve"> REF DocNo \* charformat</w:instrText>
      </w:r>
      <w:r>
        <w:fldChar w:fldCharType="separate"/>
      </w:r>
      <w:r w:rsidR="000C5153">
        <w:t>2020-6</w:t>
      </w:r>
      <w:r>
        <w:fldChar w:fldCharType="end"/>
      </w:r>
    </w:p>
    <w:p w14:paraId="11AB0938" w14:textId="24B1E5EA" w:rsidR="00074133" w:rsidRDefault="009C2479" w:rsidP="009B267B">
      <w:pPr>
        <w:pStyle w:val="NoNumPlain1"/>
      </w:pPr>
      <w:r>
        <w:t xml:space="preserve">This Standard makes amendments to </w:t>
      </w:r>
      <w:r w:rsidR="00324C30">
        <w:t xml:space="preserve">AASB 101 </w:t>
      </w:r>
      <w:r w:rsidR="00324C30" w:rsidRPr="008C1039">
        <w:rPr>
          <w:i/>
        </w:rPr>
        <w:t>Presentation of Financial Statements</w:t>
      </w:r>
      <w:r w:rsidR="00F709FE">
        <w:rPr>
          <w:i/>
        </w:rPr>
        <w:t xml:space="preserve"> </w:t>
      </w:r>
      <w:r w:rsidR="00F709FE">
        <w:t>(July 2015)</w:t>
      </w:r>
      <w:r w:rsidR="00392015">
        <w:t>.</w:t>
      </w:r>
    </w:p>
    <w:p w14:paraId="6D8B08D7" w14:textId="0EAD5664" w:rsidR="00401ECA" w:rsidRPr="008D3895" w:rsidRDefault="00401ECA" w:rsidP="00401ECA">
      <w:pPr>
        <w:pStyle w:val="NoNumPlain1"/>
      </w:pPr>
      <w:r>
        <w:t xml:space="preserve">These </w:t>
      </w:r>
      <w:r w:rsidR="00460FBB">
        <w:t>a</w:t>
      </w:r>
      <w:r>
        <w:t>mendments arise from</w:t>
      </w:r>
      <w:r w:rsidR="00D00FD5">
        <w:t xml:space="preserve"> the issuance of </w:t>
      </w:r>
      <w:r w:rsidR="008A16EB">
        <w:t xml:space="preserve">International Financial Reporting Standard </w:t>
      </w:r>
      <w:bookmarkStart w:id="9" w:name="ArisingTitle"/>
      <w:r w:rsidR="008C1039" w:rsidRPr="008C1039">
        <w:rPr>
          <w:i/>
        </w:rPr>
        <w:t>Classification of Liabilities as Current or Non-</w:t>
      </w:r>
      <w:r w:rsidR="007B6841">
        <w:rPr>
          <w:i/>
        </w:rPr>
        <w:t>c</w:t>
      </w:r>
      <w:r w:rsidR="008C1039" w:rsidRPr="008C1039">
        <w:rPr>
          <w:i/>
        </w:rPr>
        <w:t xml:space="preserve">urrent </w:t>
      </w:r>
      <w:r w:rsidR="00540D76">
        <w:rPr>
          <w:i/>
        </w:rPr>
        <w:t>–</w:t>
      </w:r>
      <w:r w:rsidR="008C1039" w:rsidRPr="008C1039">
        <w:rPr>
          <w:i/>
        </w:rPr>
        <w:t xml:space="preserve"> Deferral of Effective Date</w:t>
      </w:r>
      <w:bookmarkEnd w:id="9"/>
      <w:r w:rsidR="008A16EB">
        <w:t xml:space="preserve"> </w:t>
      </w:r>
      <w:r w:rsidR="001B0A13">
        <w:t xml:space="preserve">(Amendment to IAS 1) </w:t>
      </w:r>
      <w:r w:rsidR="008A16EB">
        <w:t xml:space="preserve">by the International Accounting Standards Board (IASB) in </w:t>
      </w:r>
      <w:bookmarkStart w:id="10" w:name="ArisingDate"/>
      <w:r w:rsidR="008C1039">
        <w:t>July 2020</w:t>
      </w:r>
      <w:bookmarkEnd w:id="10"/>
      <w:r w:rsidR="008A16EB">
        <w:t>.</w:t>
      </w:r>
    </w:p>
    <w:p w14:paraId="09DF13B9" w14:textId="77777777" w:rsidR="00090A6F" w:rsidRDefault="00F22AF2" w:rsidP="00951AFE">
      <w:pPr>
        <w:pStyle w:val="Heading2"/>
        <w:spacing w:before="400"/>
      </w:pPr>
      <w:r>
        <w:t>Main features of this Standard</w:t>
      </w:r>
    </w:p>
    <w:p w14:paraId="4E045E2C" w14:textId="77777777" w:rsidR="00F22AF2" w:rsidRDefault="00F22AF2" w:rsidP="00F22AF2">
      <w:pPr>
        <w:pStyle w:val="Heading2Indent1"/>
      </w:pPr>
      <w:r>
        <w:t>Main requirements</w:t>
      </w:r>
    </w:p>
    <w:p w14:paraId="35CF1B77" w14:textId="54C8DD8F" w:rsidR="00DD42FC" w:rsidRDefault="00134BC1" w:rsidP="00D84270">
      <w:pPr>
        <w:pStyle w:val="Heading2Indent1"/>
        <w:keepNext w:val="0"/>
        <w:ind w:left="0"/>
        <w:jc w:val="both"/>
        <w:rPr>
          <w:rFonts w:ascii="Times New Roman" w:hAnsi="Times New Roman" w:cs="Times New Roman"/>
          <w:b w:val="0"/>
          <w:iCs w:val="0"/>
          <w:sz w:val="19"/>
          <w:szCs w:val="20"/>
        </w:rPr>
      </w:pPr>
      <w:r w:rsidRPr="00134BC1">
        <w:rPr>
          <w:rFonts w:ascii="Times New Roman" w:hAnsi="Times New Roman" w:cs="Times New Roman"/>
          <w:b w:val="0"/>
          <w:iCs w:val="0"/>
          <w:sz w:val="19"/>
          <w:szCs w:val="20"/>
        </w:rPr>
        <w:t xml:space="preserve">This Standard amends AASB 101 to </w:t>
      </w:r>
      <w:r w:rsidR="00F67D8B">
        <w:rPr>
          <w:rFonts w:ascii="Times New Roman" w:hAnsi="Times New Roman" w:cs="Times New Roman"/>
          <w:b w:val="0"/>
          <w:iCs w:val="0"/>
          <w:sz w:val="19"/>
          <w:szCs w:val="20"/>
        </w:rPr>
        <w:t>defer</w:t>
      </w:r>
      <w:r w:rsidRPr="00134BC1">
        <w:rPr>
          <w:rFonts w:ascii="Times New Roman" w:hAnsi="Times New Roman" w:cs="Times New Roman"/>
          <w:b w:val="0"/>
          <w:iCs w:val="0"/>
          <w:sz w:val="19"/>
          <w:szCs w:val="20"/>
        </w:rPr>
        <w:t xml:space="preserve"> requirements for the presentation of liabilities in the statement of financial position as current or non-current</w:t>
      </w:r>
      <w:r w:rsidR="00F67D8B">
        <w:rPr>
          <w:rFonts w:ascii="Times New Roman" w:hAnsi="Times New Roman" w:cs="Times New Roman"/>
          <w:b w:val="0"/>
          <w:iCs w:val="0"/>
          <w:sz w:val="19"/>
          <w:szCs w:val="20"/>
        </w:rPr>
        <w:t xml:space="preserve"> that were added to AASB 101 in </w:t>
      </w:r>
      <w:r w:rsidR="00FC16F2">
        <w:rPr>
          <w:rFonts w:ascii="Times New Roman" w:hAnsi="Times New Roman" w:cs="Times New Roman"/>
          <w:b w:val="0"/>
          <w:iCs w:val="0"/>
          <w:sz w:val="19"/>
          <w:szCs w:val="20"/>
        </w:rPr>
        <w:t xml:space="preserve">AASB 2020-1 </w:t>
      </w:r>
      <w:r w:rsidR="00FC16F2" w:rsidRPr="00FC16F2">
        <w:rPr>
          <w:rFonts w:ascii="Times New Roman" w:hAnsi="Times New Roman" w:cs="Times New Roman"/>
          <w:b w:val="0"/>
          <w:i/>
          <w:sz w:val="19"/>
          <w:szCs w:val="20"/>
        </w:rPr>
        <w:t>Amendments to Australian Accounting Standards – Classification of Liabilities as Current or Non-current</w:t>
      </w:r>
      <w:r w:rsidR="00FC16F2" w:rsidRPr="00FC16F2">
        <w:rPr>
          <w:rFonts w:ascii="Times New Roman" w:hAnsi="Times New Roman" w:cs="Times New Roman"/>
          <w:b w:val="0"/>
          <w:iCs w:val="0"/>
          <w:sz w:val="19"/>
          <w:szCs w:val="20"/>
        </w:rPr>
        <w:t xml:space="preserve"> </w:t>
      </w:r>
      <w:r w:rsidR="00FC16F2">
        <w:rPr>
          <w:rFonts w:ascii="Times New Roman" w:hAnsi="Times New Roman" w:cs="Times New Roman"/>
          <w:b w:val="0"/>
          <w:iCs w:val="0"/>
          <w:sz w:val="19"/>
          <w:szCs w:val="20"/>
        </w:rPr>
        <w:t>(</w:t>
      </w:r>
      <w:r w:rsidR="00F67D8B">
        <w:rPr>
          <w:rFonts w:ascii="Times New Roman" w:hAnsi="Times New Roman" w:cs="Times New Roman"/>
          <w:b w:val="0"/>
          <w:iCs w:val="0"/>
          <w:sz w:val="19"/>
          <w:szCs w:val="20"/>
        </w:rPr>
        <w:t>March 2020</w:t>
      </w:r>
      <w:r w:rsidR="00FC16F2">
        <w:rPr>
          <w:rFonts w:ascii="Times New Roman" w:hAnsi="Times New Roman" w:cs="Times New Roman"/>
          <w:b w:val="0"/>
          <w:iCs w:val="0"/>
          <w:sz w:val="19"/>
          <w:szCs w:val="20"/>
        </w:rPr>
        <w:t>)</w:t>
      </w:r>
      <w:r w:rsidRPr="00134BC1">
        <w:rPr>
          <w:rFonts w:ascii="Times New Roman" w:hAnsi="Times New Roman" w:cs="Times New Roman"/>
          <w:b w:val="0"/>
          <w:iCs w:val="0"/>
          <w:sz w:val="19"/>
          <w:szCs w:val="20"/>
        </w:rPr>
        <w:t xml:space="preserve">. </w:t>
      </w:r>
      <w:r w:rsidR="00D118BA">
        <w:rPr>
          <w:rFonts w:ascii="Times New Roman" w:hAnsi="Times New Roman" w:cs="Times New Roman"/>
          <w:b w:val="0"/>
          <w:iCs w:val="0"/>
          <w:sz w:val="19"/>
          <w:szCs w:val="20"/>
        </w:rPr>
        <w:t xml:space="preserve">Those requirements </w:t>
      </w:r>
      <w:r w:rsidR="00A7691F">
        <w:rPr>
          <w:rFonts w:ascii="Times New Roman" w:hAnsi="Times New Roman" w:cs="Times New Roman"/>
          <w:b w:val="0"/>
          <w:iCs w:val="0"/>
          <w:sz w:val="19"/>
          <w:szCs w:val="20"/>
        </w:rPr>
        <w:t xml:space="preserve">will now apply </w:t>
      </w:r>
      <w:r w:rsidR="006B439A">
        <w:rPr>
          <w:rFonts w:ascii="Times New Roman" w:hAnsi="Times New Roman" w:cs="Times New Roman"/>
          <w:b w:val="0"/>
          <w:iCs w:val="0"/>
          <w:sz w:val="19"/>
          <w:szCs w:val="20"/>
        </w:rPr>
        <w:t xml:space="preserve">mandatorily </w:t>
      </w:r>
      <w:r w:rsidR="00A7691F">
        <w:rPr>
          <w:rFonts w:ascii="Times New Roman" w:hAnsi="Times New Roman" w:cs="Times New Roman"/>
          <w:b w:val="0"/>
          <w:iCs w:val="0"/>
          <w:sz w:val="19"/>
          <w:szCs w:val="20"/>
        </w:rPr>
        <w:t>to annual reporting periods beginning on or after 1 January 2023 instead of 1 January 2022</w:t>
      </w:r>
      <w:r w:rsidR="006B439A">
        <w:rPr>
          <w:rFonts w:ascii="Times New Roman" w:hAnsi="Times New Roman" w:cs="Times New Roman"/>
          <w:b w:val="0"/>
          <w:iCs w:val="0"/>
          <w:sz w:val="19"/>
          <w:szCs w:val="20"/>
        </w:rPr>
        <w:t>, with earlier application permitted</w:t>
      </w:r>
      <w:r w:rsidR="00A7691F">
        <w:rPr>
          <w:rFonts w:ascii="Times New Roman" w:hAnsi="Times New Roman" w:cs="Times New Roman"/>
          <w:b w:val="0"/>
          <w:iCs w:val="0"/>
          <w:sz w:val="19"/>
          <w:szCs w:val="20"/>
        </w:rPr>
        <w:t>.</w:t>
      </w:r>
    </w:p>
    <w:p w14:paraId="0E268CFC" w14:textId="7D0CC353" w:rsidR="00AD7551" w:rsidRDefault="00CA173A" w:rsidP="00D84270">
      <w:pPr>
        <w:pStyle w:val="Heading2Indent1"/>
        <w:keepNext w:val="0"/>
        <w:ind w:left="0"/>
        <w:jc w:val="both"/>
        <w:rPr>
          <w:rFonts w:ascii="Times New Roman" w:hAnsi="Times New Roman" w:cs="Times New Roman"/>
          <w:b w:val="0"/>
          <w:iCs w:val="0"/>
          <w:sz w:val="19"/>
          <w:szCs w:val="20"/>
        </w:rPr>
      </w:pPr>
      <w:r>
        <w:rPr>
          <w:rFonts w:ascii="Times New Roman" w:hAnsi="Times New Roman" w:cs="Times New Roman"/>
          <w:b w:val="0"/>
          <w:iCs w:val="0"/>
          <w:sz w:val="19"/>
          <w:szCs w:val="20"/>
        </w:rPr>
        <w:t>T</w:t>
      </w:r>
      <w:r w:rsidR="00742BA3">
        <w:rPr>
          <w:rFonts w:ascii="Times New Roman" w:hAnsi="Times New Roman" w:cs="Times New Roman"/>
          <w:b w:val="0"/>
          <w:iCs w:val="0"/>
          <w:sz w:val="19"/>
          <w:szCs w:val="20"/>
        </w:rPr>
        <w:t>h</w:t>
      </w:r>
      <w:r w:rsidR="00BA4910">
        <w:rPr>
          <w:rFonts w:ascii="Times New Roman" w:hAnsi="Times New Roman" w:cs="Times New Roman"/>
          <w:b w:val="0"/>
          <w:iCs w:val="0"/>
          <w:sz w:val="19"/>
          <w:szCs w:val="20"/>
        </w:rPr>
        <w:t>e deferred</w:t>
      </w:r>
      <w:r w:rsidR="00134BC1" w:rsidRPr="00134BC1">
        <w:rPr>
          <w:rFonts w:ascii="Times New Roman" w:hAnsi="Times New Roman" w:cs="Times New Roman"/>
          <w:b w:val="0"/>
          <w:iCs w:val="0"/>
          <w:sz w:val="19"/>
          <w:szCs w:val="20"/>
        </w:rPr>
        <w:t xml:space="preserve"> amendments</w:t>
      </w:r>
      <w:r w:rsidR="00FB3278">
        <w:rPr>
          <w:rFonts w:ascii="Times New Roman" w:hAnsi="Times New Roman" w:cs="Times New Roman"/>
          <w:b w:val="0"/>
          <w:iCs w:val="0"/>
          <w:sz w:val="19"/>
          <w:szCs w:val="20"/>
        </w:rPr>
        <w:t xml:space="preserve">, for example, </w:t>
      </w:r>
      <w:r w:rsidR="00742BA3">
        <w:rPr>
          <w:rFonts w:ascii="Times New Roman" w:hAnsi="Times New Roman" w:cs="Times New Roman"/>
          <w:b w:val="0"/>
          <w:iCs w:val="0"/>
          <w:sz w:val="19"/>
          <w:szCs w:val="20"/>
        </w:rPr>
        <w:t>clarified</w:t>
      </w:r>
      <w:r w:rsidR="00134BC1" w:rsidRPr="00134BC1">
        <w:rPr>
          <w:rFonts w:ascii="Times New Roman" w:hAnsi="Times New Roman" w:cs="Times New Roman"/>
          <w:b w:val="0"/>
          <w:iCs w:val="0"/>
          <w:sz w:val="19"/>
          <w:szCs w:val="20"/>
        </w:rPr>
        <w:t xml:space="preserve"> that a liability is classified as non-current if an entity has the right at the end of the reporting period to defer settlement of the liability for at least 12 months after the reporting period. The meaning of settlement of a liability </w:t>
      </w:r>
      <w:r w:rsidR="00063EF3">
        <w:rPr>
          <w:rFonts w:ascii="Times New Roman" w:hAnsi="Times New Roman" w:cs="Times New Roman"/>
          <w:b w:val="0"/>
          <w:iCs w:val="0"/>
          <w:sz w:val="19"/>
          <w:szCs w:val="20"/>
        </w:rPr>
        <w:t>was</w:t>
      </w:r>
      <w:r w:rsidR="00134BC1" w:rsidRPr="00134BC1">
        <w:rPr>
          <w:rFonts w:ascii="Times New Roman" w:hAnsi="Times New Roman" w:cs="Times New Roman"/>
          <w:b w:val="0"/>
          <w:iCs w:val="0"/>
          <w:sz w:val="19"/>
          <w:szCs w:val="20"/>
        </w:rPr>
        <w:t xml:space="preserve"> also clarified</w:t>
      </w:r>
      <w:r w:rsidR="00063EF3">
        <w:rPr>
          <w:rFonts w:ascii="Times New Roman" w:hAnsi="Times New Roman" w:cs="Times New Roman"/>
          <w:b w:val="0"/>
          <w:iCs w:val="0"/>
          <w:sz w:val="19"/>
          <w:szCs w:val="20"/>
        </w:rPr>
        <w:t xml:space="preserve"> in those amendments</w:t>
      </w:r>
      <w:r w:rsidR="00134BC1" w:rsidRPr="00134BC1">
        <w:rPr>
          <w:rFonts w:ascii="Times New Roman" w:hAnsi="Times New Roman" w:cs="Times New Roman"/>
          <w:b w:val="0"/>
          <w:iCs w:val="0"/>
          <w:sz w:val="19"/>
          <w:szCs w:val="20"/>
        </w:rPr>
        <w:t>.</w:t>
      </w:r>
    </w:p>
    <w:p w14:paraId="72155CF7" w14:textId="75E28573" w:rsidR="00F22AF2" w:rsidRPr="00AD7551" w:rsidRDefault="00F22AF2" w:rsidP="003B24AE">
      <w:pPr>
        <w:pStyle w:val="Heading2Indent1"/>
      </w:pPr>
      <w:r w:rsidRPr="00AD7551">
        <w:t>Application date</w:t>
      </w:r>
    </w:p>
    <w:p w14:paraId="389C7268" w14:textId="7069A55E" w:rsidR="00F22AF2" w:rsidRPr="00F22AF2" w:rsidRDefault="00B16904" w:rsidP="00F22AF2">
      <w:pPr>
        <w:pStyle w:val="NoNumPlain1"/>
      </w:pPr>
      <w:r>
        <w:t xml:space="preserve">This Standard applies to annual </w:t>
      </w:r>
      <w:r w:rsidR="00C12F03">
        <w:t xml:space="preserve">reporting </w:t>
      </w:r>
      <w:r>
        <w:t xml:space="preserve">periods </w:t>
      </w:r>
      <w:bookmarkStart w:id="11" w:name="ApplyText"/>
      <w:r>
        <w:t>beginning</w:t>
      </w:r>
      <w:bookmarkEnd w:id="11"/>
      <w:r>
        <w:t xml:space="preserve"> on or after</w:t>
      </w:r>
      <w:r w:rsidR="00867FB0">
        <w:t xml:space="preserve"> </w:t>
      </w:r>
      <w:bookmarkStart w:id="12" w:name="ApplyDate"/>
      <w:r w:rsidR="008C1039">
        <w:t>1 January 2022</w:t>
      </w:r>
      <w:bookmarkEnd w:id="12"/>
      <w:r w:rsidR="00B822E0">
        <w:t xml:space="preserve">, </w:t>
      </w:r>
      <w:r w:rsidR="00EB52AA">
        <w:t xml:space="preserve">which </w:t>
      </w:r>
      <w:r w:rsidR="00E17CBC">
        <w:t xml:space="preserve">was </w:t>
      </w:r>
      <w:r w:rsidR="00EB52AA">
        <w:t xml:space="preserve">the original </w:t>
      </w:r>
      <w:r w:rsidR="00E17CBC">
        <w:t>mandatory effective</w:t>
      </w:r>
      <w:r w:rsidR="00EB52AA">
        <w:t xml:space="preserve"> date of the amendments.</w:t>
      </w:r>
    </w:p>
    <w:p w14:paraId="64DDD13A" w14:textId="77777777" w:rsidR="00F22AF2" w:rsidRPr="0000292B" w:rsidRDefault="00F22AF2"/>
    <w:p w14:paraId="2CB088EB" w14:textId="77777777" w:rsidR="00090A6F" w:rsidRPr="0000292B" w:rsidRDefault="00090A6F">
      <w:pPr>
        <w:sectPr w:rsidR="00090A6F" w:rsidRPr="0000292B" w:rsidSect="00D74C6A">
          <w:footerReference w:type="default" r:id="rId13"/>
          <w:pgSz w:w="11907" w:h="16840" w:code="9"/>
          <w:pgMar w:top="1418" w:right="1418" w:bottom="1418" w:left="1418" w:header="709" w:footer="709" w:gutter="0"/>
          <w:paperSrc w:first="7" w:other="7"/>
          <w:cols w:space="720"/>
        </w:sectPr>
      </w:pPr>
    </w:p>
    <w:p w14:paraId="0B8179F7" w14:textId="1801543A"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0C5153" w:rsidRPr="000C5153">
        <w:rPr>
          <w:iCs/>
        </w:rPr>
        <w:t>2020-6</w:t>
      </w:r>
      <w:r w:rsidR="001662B8" w:rsidRPr="00BC0D5D">
        <w:rPr>
          <w:iCs/>
        </w:rPr>
        <w:fldChar w:fldCharType="end"/>
      </w:r>
    </w:p>
    <w:p w14:paraId="01309D00" w14:textId="3F547EBD" w:rsidR="001662B8" w:rsidRDefault="001662B8" w:rsidP="003E1900">
      <w:pPr>
        <w:pStyle w:val="NoNumPlain1"/>
      </w:pPr>
      <w:r>
        <w:t>The Australian Accounting Standards Board makes Accounting Standard AASB </w:t>
      </w:r>
      <w:r>
        <w:fldChar w:fldCharType="begin" w:fldLock="1"/>
      </w:r>
      <w:r>
        <w:instrText>REF DocNo  \* charformat</w:instrText>
      </w:r>
      <w:r>
        <w:fldChar w:fldCharType="separate"/>
      </w:r>
      <w:r w:rsidR="000C5153">
        <w:t>2020-6</w:t>
      </w:r>
      <w:r>
        <w:fldChar w:fldCharType="end"/>
      </w:r>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0C5153" w:rsidRPr="000C5153">
        <w:rPr>
          <w:i/>
        </w:rPr>
        <w:t>Amendments to Australian Accounting Standards – Classification of Liabilities as Current or Non-current – Deferral of Effective Date</w:t>
      </w:r>
      <w:r w:rsidR="00CC1DF4" w:rsidRPr="00CC1DF4">
        <w:rPr>
          <w:i/>
        </w:rPr>
        <w:fldChar w:fldCharType="end"/>
      </w:r>
      <w:bookmarkStart w:id="13" w:name="CorpsAct"/>
      <w:r w:rsidR="002B7803">
        <w:rPr>
          <w:i/>
          <w:iCs/>
        </w:rPr>
        <w:t xml:space="preserve"> </w:t>
      </w:r>
      <w:r>
        <w:t xml:space="preserve">under section 334 of the </w:t>
      </w:r>
      <w:r>
        <w:rPr>
          <w:i/>
          <w:iCs/>
        </w:rPr>
        <w:t>Corporations Act 2001</w:t>
      </w:r>
      <w:bookmarkEnd w:id="13"/>
      <w:r>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14:paraId="30D572F0" w14:textId="77777777" w:rsidTr="008C1C4A">
        <w:tc>
          <w:tcPr>
            <w:tcW w:w="4361" w:type="dxa"/>
          </w:tcPr>
          <w:p w14:paraId="4103B92E" w14:textId="77777777" w:rsidR="00C03C7B" w:rsidRDefault="00C03C7B" w:rsidP="0048155F"/>
        </w:tc>
        <w:tc>
          <w:tcPr>
            <w:tcW w:w="4961" w:type="dxa"/>
          </w:tcPr>
          <w:p w14:paraId="46E3EBAF" w14:textId="7B648BDC" w:rsidR="00C03C7B" w:rsidRDefault="00E23578" w:rsidP="0048155F">
            <w:pPr>
              <w:jc w:val="right"/>
            </w:pPr>
            <w:r>
              <w:t>Keith</w:t>
            </w:r>
            <w:r w:rsidR="008F3EBA">
              <w:t xml:space="preserve"> </w:t>
            </w:r>
            <w:r w:rsidR="00D44692">
              <w:t xml:space="preserve">Kendall </w:t>
            </w:r>
          </w:p>
        </w:tc>
      </w:tr>
      <w:tr w:rsidR="00C03C7B" w14:paraId="682F7916" w14:textId="77777777" w:rsidTr="008C1C4A">
        <w:tc>
          <w:tcPr>
            <w:tcW w:w="4361" w:type="dxa"/>
          </w:tcPr>
          <w:p w14:paraId="07A73D47" w14:textId="103EB211" w:rsidR="00C03C7B" w:rsidRDefault="00C03C7B" w:rsidP="0048155F">
            <w:r>
              <w:t xml:space="preserve">Dated </w:t>
            </w:r>
            <w:bookmarkStart w:id="14" w:name="DateSigned"/>
            <w:r w:rsidR="00C872D6">
              <w:t>10 August 2020</w:t>
            </w:r>
            <w:bookmarkEnd w:id="14"/>
          </w:p>
        </w:tc>
        <w:tc>
          <w:tcPr>
            <w:tcW w:w="4961" w:type="dxa"/>
          </w:tcPr>
          <w:p w14:paraId="35E68956" w14:textId="77777777" w:rsidR="00C03C7B" w:rsidRDefault="00C03C7B" w:rsidP="0048155F">
            <w:pPr>
              <w:jc w:val="right"/>
            </w:pPr>
            <w:r>
              <w:t>Chair – AASB</w:t>
            </w:r>
          </w:p>
        </w:tc>
      </w:tr>
    </w:tbl>
    <w:p w14:paraId="004540D3" w14:textId="6D3E31F3"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0C5153" w:rsidRPr="000C5153">
        <w:rPr>
          <w:iCs/>
        </w:rPr>
        <w:t>2020-6</w:t>
      </w:r>
      <w:r w:rsidR="00BC0D5D" w:rsidRPr="00BC0D5D">
        <w:rPr>
          <w:iCs/>
        </w:rPr>
        <w:fldChar w:fldCharType="end"/>
      </w:r>
    </w:p>
    <w:p w14:paraId="7BD48D7B" w14:textId="30D5BF9F" w:rsidR="00090A6F" w:rsidRDefault="00CC1DF4" w:rsidP="003E1900">
      <w:pPr>
        <w:pStyle w:val="Heading1Italic"/>
        <w:spacing w:before="0"/>
      </w:pPr>
      <w:r>
        <w:fldChar w:fldCharType="begin" w:fldLock="1"/>
      </w:r>
      <w:r>
        <w:instrText xml:space="preserve"> REF DocTitle \* charformat</w:instrText>
      </w:r>
      <w:r>
        <w:fldChar w:fldCharType="separate"/>
      </w:r>
      <w:r w:rsidR="000C5153">
        <w:t>Amendments to Australian Accounting Standards – Classification of Liabilities as Current or Non-current – Deferral of Effective Date</w:t>
      </w:r>
      <w:r>
        <w:fldChar w:fldCharType="end"/>
      </w:r>
    </w:p>
    <w:p w14:paraId="244495AF" w14:textId="77777777" w:rsidR="00090A6F" w:rsidRPr="0000292B" w:rsidRDefault="00090A6F" w:rsidP="00FC30DA">
      <w:pPr>
        <w:pStyle w:val="Heading2"/>
      </w:pPr>
      <w:bookmarkStart w:id="15" w:name="TOCStart"/>
      <w:bookmarkEnd w:id="15"/>
      <w:r w:rsidRPr="0000292B">
        <w:t>Objective</w:t>
      </w:r>
    </w:p>
    <w:p w14:paraId="462624EB" w14:textId="7BA2708D" w:rsidR="001662B8" w:rsidRPr="0000292B" w:rsidRDefault="00867FB0" w:rsidP="005A6AC7">
      <w:pPr>
        <w:pStyle w:val="NoNumPlain1"/>
      </w:pPr>
      <w:r>
        <w:t>This</w:t>
      </w:r>
      <w:r w:rsidR="001662B8">
        <w:t xml:space="preserve"> Standard </w:t>
      </w:r>
      <w:r>
        <w:t>amends</w:t>
      </w:r>
      <w:r w:rsidR="000F7802">
        <w:t xml:space="preserve"> </w:t>
      </w:r>
      <w:r w:rsidR="008C1039">
        <w:t xml:space="preserve">AASB 101 </w:t>
      </w:r>
      <w:r w:rsidR="008C1039" w:rsidRPr="008C1039">
        <w:rPr>
          <w:i/>
        </w:rPr>
        <w:t>Presentation of Financial Statements</w:t>
      </w:r>
      <w:r w:rsidR="00153FAC">
        <w:t xml:space="preserve"> </w:t>
      </w:r>
      <w:r w:rsidR="00B7708D">
        <w:t xml:space="preserve">(July 2015) </w:t>
      </w:r>
      <w:r w:rsidR="001662B8">
        <w:t>a</w:t>
      </w:r>
      <w:bookmarkStart w:id="16" w:name="StndObj"/>
      <w:bookmarkEnd w:id="16"/>
      <w:r w:rsidR="001662B8">
        <w:t>s a consequence of the issuance of</w:t>
      </w:r>
      <w:r>
        <w:t xml:space="preserve"> International Financial Reporting Standard</w:t>
      </w:r>
      <w:r w:rsidR="001662B8">
        <w:t xml:space="preserve"> </w:t>
      </w:r>
      <w:r w:rsidRPr="00867FB0">
        <w:rPr>
          <w:i/>
        </w:rPr>
        <w:fldChar w:fldCharType="begin" w:fldLock="1"/>
      </w:r>
      <w:r w:rsidRPr="00867FB0">
        <w:rPr>
          <w:i/>
        </w:rPr>
        <w:instrText xml:space="preserve"> REF ArisingTitle \* charformat</w:instrText>
      </w:r>
      <w:r w:rsidRPr="00867FB0">
        <w:rPr>
          <w:i/>
        </w:rPr>
        <w:fldChar w:fldCharType="separate"/>
      </w:r>
      <w:r w:rsidR="000C5153" w:rsidRPr="008C1039">
        <w:rPr>
          <w:i/>
        </w:rPr>
        <w:t>Classification of Liabilities as Current or Non-</w:t>
      </w:r>
      <w:r w:rsidR="000C5153">
        <w:rPr>
          <w:i/>
        </w:rPr>
        <w:t>c</w:t>
      </w:r>
      <w:r w:rsidR="000C5153" w:rsidRPr="008C1039">
        <w:rPr>
          <w:i/>
        </w:rPr>
        <w:t xml:space="preserve">urrent </w:t>
      </w:r>
      <w:r w:rsidR="000C5153">
        <w:rPr>
          <w:i/>
        </w:rPr>
        <w:t>–</w:t>
      </w:r>
      <w:r w:rsidR="000C5153" w:rsidRPr="008C1039">
        <w:rPr>
          <w:i/>
        </w:rPr>
        <w:t xml:space="preserve"> Deferral of Effective Date</w:t>
      </w:r>
      <w:r w:rsidRPr="00867FB0">
        <w:rPr>
          <w:i/>
        </w:rPr>
        <w:fldChar w:fldCharType="end"/>
      </w:r>
      <w:r w:rsidR="001662B8">
        <w:t xml:space="preserve"> </w:t>
      </w:r>
      <w:r w:rsidR="001B0A13">
        <w:t xml:space="preserve">(Amendment to IAS 1) </w:t>
      </w:r>
      <w:r>
        <w:t xml:space="preserve">by the International Accounting Standards Board </w:t>
      </w:r>
      <w:r w:rsidR="001662B8">
        <w:t>in</w:t>
      </w:r>
      <w:r w:rsidR="00742E4B">
        <w:t xml:space="preserve"> </w:t>
      </w:r>
      <w:r>
        <w:fldChar w:fldCharType="begin" w:fldLock="1"/>
      </w:r>
      <w:r>
        <w:instrText xml:space="preserve"> REF ArisingDate \* charformat</w:instrText>
      </w:r>
      <w:r>
        <w:fldChar w:fldCharType="separate"/>
      </w:r>
      <w:r w:rsidR="000C5153">
        <w:t>July 2020</w:t>
      </w:r>
      <w:r>
        <w:fldChar w:fldCharType="end"/>
      </w:r>
      <w:r w:rsidR="001662B8">
        <w:t>.</w:t>
      </w:r>
    </w:p>
    <w:p w14:paraId="40632C07" w14:textId="77777777" w:rsidR="00090A6F" w:rsidRPr="0000292B" w:rsidRDefault="00090A6F">
      <w:pPr>
        <w:pStyle w:val="Heading2"/>
      </w:pPr>
      <w:r w:rsidRPr="0000292B">
        <w:t>Application</w:t>
      </w:r>
    </w:p>
    <w:p w14:paraId="1A774653" w14:textId="67E4619F" w:rsidR="005A6AC7" w:rsidRPr="005A6AC7" w:rsidRDefault="005A6AC7" w:rsidP="005A6AC7">
      <w:pPr>
        <w:pStyle w:val="NoNumPlain1"/>
        <w:rPr>
          <w:i/>
        </w:rPr>
      </w:pPr>
      <w:r>
        <w:t xml:space="preserve">The amendments set out in this Standard apply to entities and financial statements in accordance with the application of </w:t>
      </w:r>
      <w:r w:rsidR="00467EEB">
        <w:t xml:space="preserve">AASB 101 </w:t>
      </w:r>
      <w:r>
        <w:t xml:space="preserve">set out in AASB 1057 </w:t>
      </w:r>
      <w:r>
        <w:rPr>
          <w:i/>
        </w:rPr>
        <w:t>Application of Australian Accounting Standards</w:t>
      </w:r>
      <w:r w:rsidR="00E00329">
        <w:t>.</w:t>
      </w:r>
    </w:p>
    <w:p w14:paraId="6CD1A81B" w14:textId="547EDD45" w:rsidR="00090A6F" w:rsidRPr="00027E8B" w:rsidRDefault="00090A6F" w:rsidP="005A6AC7">
      <w:pPr>
        <w:pStyle w:val="NoNumPlain1"/>
      </w:pPr>
      <w:r w:rsidRPr="00027E8B">
        <w:t xml:space="preserve">This Standard applies to annual periods </w:t>
      </w:r>
      <w:r w:rsidR="005A6AC7">
        <w:fldChar w:fldCharType="begin" w:fldLock="1"/>
      </w:r>
      <w:r w:rsidR="005A6AC7">
        <w:instrText xml:space="preserve"> REF ApplyText \* charformat</w:instrText>
      </w:r>
      <w:r w:rsidR="005A6AC7">
        <w:fldChar w:fldCharType="separate"/>
      </w:r>
      <w:r w:rsidR="000C5153">
        <w:t>beginning</w:t>
      </w:r>
      <w:r w:rsidR="005A6AC7">
        <w:fldChar w:fldCharType="end"/>
      </w:r>
      <w:r w:rsidRPr="00027E8B">
        <w:t xml:space="preserve"> on or after </w:t>
      </w:r>
      <w:r w:rsidR="005A6AC7">
        <w:fldChar w:fldCharType="begin" w:fldLock="1"/>
      </w:r>
      <w:r w:rsidR="005A6AC7">
        <w:instrText xml:space="preserve"> REF ApplyDate \* charformat</w:instrText>
      </w:r>
      <w:r w:rsidR="005A6AC7">
        <w:fldChar w:fldCharType="separate"/>
      </w:r>
      <w:r w:rsidR="000C5153">
        <w:t>1 January 2022</w:t>
      </w:r>
      <w:r w:rsidR="005A6AC7">
        <w:fldChar w:fldCharType="end"/>
      </w:r>
      <w:r w:rsidRPr="00027E8B">
        <w:t>.</w:t>
      </w:r>
    </w:p>
    <w:p w14:paraId="0586D8A3" w14:textId="72EE9AB0" w:rsidR="00090A6F" w:rsidRDefault="0048155F" w:rsidP="005A6AC7">
      <w:pPr>
        <w:pStyle w:val="NoNumPlain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t xml:space="preserve"> other typographical material.</w:t>
      </w:r>
      <w:r w:rsidR="00254B16">
        <w:t xml:space="preserve">  Ellipses (…) are used to help provide the context within which amendments are made </w:t>
      </w:r>
      <w:proofErr w:type="gramStart"/>
      <w:r w:rsidR="00254B16">
        <w:t>and also</w:t>
      </w:r>
      <w:proofErr w:type="gramEnd"/>
      <w:r w:rsidR="00254B16">
        <w:t xml:space="preserve"> to indicate text that is not amended.</w:t>
      </w:r>
    </w:p>
    <w:p w14:paraId="21319851" w14:textId="77777777" w:rsidR="008C1039" w:rsidRDefault="008C1039">
      <w:pPr>
        <w:pStyle w:val="Heading2"/>
      </w:pPr>
      <w:r>
        <w:t xml:space="preserve">Amendments to </w:t>
      </w:r>
      <w:bookmarkStart w:id="17" w:name="StndNo2"/>
      <w:r>
        <w:t>AASB 101</w:t>
      </w:r>
      <w:bookmarkEnd w:id="17"/>
    </w:p>
    <w:tbl>
      <w:tblPr>
        <w:tblW w:w="3936"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 instruction"/>
        <w:tblDescription w:val="Details of the amendments"/>
      </w:tblPr>
      <w:tblGrid>
        <w:gridCol w:w="7141"/>
      </w:tblGrid>
      <w:tr w:rsidR="00237570" w14:paraId="66DEF2C9" w14:textId="77777777" w:rsidTr="00533557">
        <w:tc>
          <w:tcPr>
            <w:tcW w:w="5000" w:type="pct"/>
            <w:tcBorders>
              <w:bottom w:val="single" w:sz="0" w:space="0" w:color="auto"/>
              <w:right w:val="single" w:sz="0" w:space="0" w:color="auto"/>
            </w:tcBorders>
          </w:tcPr>
          <w:p w14:paraId="72349903" w14:textId="77777777" w:rsidR="00237570" w:rsidRDefault="00237570" w:rsidP="002E3470">
            <w:pPr>
              <w:pStyle w:val="IASBTableArial"/>
              <w:spacing w:after="120"/>
            </w:pPr>
            <w:r>
              <w:t>Paragraph 139U is amended. Deleted text is struck through and new text is underlined.</w:t>
            </w:r>
          </w:p>
        </w:tc>
      </w:tr>
    </w:tbl>
    <w:p w14:paraId="7686226E" w14:textId="77777777" w:rsidR="00533557" w:rsidRDefault="00533557" w:rsidP="00533557">
      <w:pPr>
        <w:pStyle w:val="IASBSectionTitle1NonInd"/>
      </w:pPr>
      <w:r>
        <w:t>Transition and effective date</w:t>
      </w:r>
    </w:p>
    <w:p w14:paraId="12E3D74A" w14:textId="77777777" w:rsidR="00533557" w:rsidRDefault="00533557" w:rsidP="00533557">
      <w:pPr>
        <w:pStyle w:val="IASBNormalnpara"/>
      </w:pPr>
      <w:r>
        <w:tab/>
        <w:t>...</w:t>
      </w:r>
    </w:p>
    <w:p w14:paraId="49C6F924" w14:textId="5A9C4A1D" w:rsidR="00533557" w:rsidRDefault="00533557" w:rsidP="00533557">
      <w:pPr>
        <w:pStyle w:val="IASBNormalnpara"/>
      </w:pPr>
      <w:r>
        <w:t>139U</w:t>
      </w:r>
      <w:r>
        <w:tab/>
      </w:r>
      <w:r w:rsidR="007B38A4">
        <w:t xml:space="preserve">AASB 2020-1 </w:t>
      </w:r>
      <w:r w:rsidR="007B38A4">
        <w:rPr>
          <w:i/>
          <w:iCs/>
        </w:rPr>
        <w:t xml:space="preserve">Amendments to Australian Accounting Standards – </w:t>
      </w:r>
      <w:r>
        <w:rPr>
          <w:i/>
        </w:rPr>
        <w:t>Classification of Liabilities as Current or Non-current</w:t>
      </w:r>
      <w:r>
        <w:t xml:space="preserve">, issued in </w:t>
      </w:r>
      <w:r w:rsidR="008046D3">
        <w:t>March</w:t>
      </w:r>
      <w:r>
        <w:t xml:space="preserve"> 2020 amended paragraphs 69, 73, 74 and 76 and added paragraphs 72A, 75A, 76A and 76B. An entity shall apply those amendments for annual reporting periods beginning on or after 1</w:t>
      </w:r>
      <w:r w:rsidR="00975AC2">
        <w:t> </w:t>
      </w:r>
      <w:r>
        <w:t xml:space="preserve">January </w:t>
      </w:r>
      <w:proofErr w:type="gramStart"/>
      <w:r>
        <w:rPr>
          <w:strike/>
        </w:rPr>
        <w:t>2022</w:t>
      </w:r>
      <w:proofErr w:type="gramEnd"/>
      <w:r w:rsidR="007F4005" w:rsidRPr="00E32382">
        <w:t xml:space="preserve"> </w:t>
      </w:r>
      <w:r>
        <w:rPr>
          <w:u w:val="single"/>
        </w:rPr>
        <w:t>2023</w:t>
      </w:r>
      <w:r>
        <w:t xml:space="preserve"> retrospectively in accordance with </w:t>
      </w:r>
      <w:r w:rsidR="00893E00">
        <w:t>AASB 10</w:t>
      </w:r>
      <w:r w:rsidR="00F14135">
        <w:t>8</w:t>
      </w:r>
      <w:r>
        <w:t>. Earlier application is permitted. If an entity applies those amendments for an earlier period, it shall disclose that fact.</w:t>
      </w:r>
    </w:p>
    <w:p w14:paraId="3D2F0B65" w14:textId="6F1D933C" w:rsidR="008C1039" w:rsidRDefault="008C1039">
      <w:pPr>
        <w:pStyle w:val="Heading2"/>
      </w:pPr>
      <w:r>
        <w:t>Commencement of the legislative instrument</w:t>
      </w:r>
    </w:p>
    <w:p w14:paraId="13BCF95C" w14:textId="2318E526" w:rsidR="008C1039" w:rsidRDefault="008C1039" w:rsidP="005A6AC7">
      <w:pPr>
        <w:pStyle w:val="NoNumPlain1"/>
      </w:pPr>
      <w:r>
        <w:t xml:space="preserve">For legal purposes, this legislative instrument commences on </w:t>
      </w:r>
      <w:bookmarkStart w:id="18" w:name="CommenceDate"/>
      <w:r>
        <w:t>31 December 2021</w:t>
      </w:r>
      <w:bookmarkEnd w:id="18"/>
      <w:r>
        <w:t>.</w:t>
      </w:r>
    </w:p>
    <w:sectPr w:rsidR="008C1039" w:rsidSect="00D74C6A">
      <w:footerReference w:type="default" r:id="rId14"/>
      <w:headerReference w:type="first" r:id="rId15"/>
      <w:footerReference w:type="first" r:id="rId16"/>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1D4E7" w14:textId="77777777" w:rsidR="00B863BF" w:rsidRDefault="00B863BF">
      <w:r>
        <w:separator/>
      </w:r>
    </w:p>
  </w:endnote>
  <w:endnote w:type="continuationSeparator" w:id="0">
    <w:p w14:paraId="61F9B67E" w14:textId="77777777" w:rsidR="00B863BF" w:rsidRDefault="00B863BF">
      <w:r>
        <w:continuationSeparator/>
      </w:r>
    </w:p>
  </w:endnote>
  <w:endnote w:type="continuationNotice" w:id="1">
    <w:p w14:paraId="4159257D" w14:textId="77777777" w:rsidR="00B863BF" w:rsidRDefault="00B86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F55E" w14:textId="30E4181E"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C5153" w:rsidRPr="000C5153">
      <w:rPr>
        <w:b/>
      </w:rPr>
      <w:t>2020-6</w:t>
    </w:r>
    <w:r>
      <w:rPr>
        <w:b/>
      </w:rPr>
      <w:fldChar w:fldCharType="end"/>
    </w:r>
    <w:r>
      <w:rPr>
        <w:b/>
      </w:rPr>
      <w:tab/>
    </w:r>
    <w:r>
      <w:fldChar w:fldCharType="begin"/>
    </w:r>
    <w:r>
      <w:instrText>PAGE</w:instrText>
    </w:r>
    <w:r>
      <w:fldChar w:fldCharType="separate"/>
    </w:r>
    <w:r w:rsidR="00695732">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AC655" w14:textId="48D5D2CB"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C5153" w:rsidRPr="000C5153">
      <w:rPr>
        <w:b/>
      </w:rPr>
      <w:t>2020-6</w:t>
    </w:r>
    <w:r>
      <w:rPr>
        <w:b/>
      </w:rPr>
      <w:fldChar w:fldCharType="end"/>
    </w:r>
    <w:r>
      <w:rPr>
        <w:b/>
      </w:rPr>
      <w:tab/>
    </w:r>
    <w:r>
      <w:fldChar w:fldCharType="begin"/>
    </w:r>
    <w:r>
      <w:instrText>PAGE</w:instrText>
    </w:r>
    <w:r>
      <w:fldChar w:fldCharType="separate"/>
    </w:r>
    <w:r w:rsidR="00695732">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5D304" w14:textId="2F2834BA"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C5153" w:rsidRPr="000C5153">
      <w:rPr>
        <w:b/>
      </w:rPr>
      <w:t>2020-6</w:t>
    </w:r>
    <w:r>
      <w:rPr>
        <w:b/>
      </w:rPr>
      <w:fldChar w:fldCharType="end"/>
    </w:r>
    <w:r>
      <w:rPr>
        <w:b/>
      </w:rPr>
      <w:tab/>
    </w:r>
    <w:r>
      <w:fldChar w:fldCharType="begin"/>
    </w:r>
    <w:r>
      <w:instrText>PAGE</w:instrText>
    </w:r>
    <w:r>
      <w:fldChar w:fldCharType="separate"/>
    </w:r>
    <w:r w:rsidR="00695732">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6662" w14:textId="0E75AC2D"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C5153" w:rsidRPr="000C5153">
      <w:rPr>
        <w:b/>
      </w:rPr>
      <w:t>2020-6</w:t>
    </w:r>
    <w:r>
      <w:rPr>
        <w:b/>
      </w:rPr>
      <w:fldChar w:fldCharType="end"/>
    </w:r>
    <w:r>
      <w:rPr>
        <w:b/>
      </w:rPr>
      <w:tab/>
    </w:r>
    <w:r>
      <w:fldChar w:fldCharType="begin"/>
    </w:r>
    <w:r>
      <w:instrText>PAGE</w:instrText>
    </w:r>
    <w:r>
      <w:fldChar w:fldCharType="separate"/>
    </w:r>
    <w:r w:rsidR="00695732">
      <w:rPr>
        <w:noProof/>
      </w:rPr>
      <w:t>5</w:t>
    </w:r>
    <w:r>
      <w:fldChar w:fldCharType="end"/>
    </w:r>
    <w:r>
      <w:tab/>
    </w:r>
    <w:r>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80016"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8FAC4" w14:textId="77777777" w:rsidR="00B863BF" w:rsidRDefault="00B863BF">
      <w:r>
        <w:separator/>
      </w:r>
    </w:p>
  </w:footnote>
  <w:footnote w:type="continuationSeparator" w:id="0">
    <w:p w14:paraId="0AD63FC8" w14:textId="77777777" w:rsidR="00B863BF" w:rsidRDefault="00B863BF">
      <w:r>
        <w:continuationSeparator/>
      </w:r>
    </w:p>
  </w:footnote>
  <w:footnote w:type="continuationNotice" w:id="1">
    <w:p w14:paraId="7EB25E92" w14:textId="77777777" w:rsidR="00B863BF" w:rsidRDefault="00B86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90148"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6145">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39"/>
    <w:rsid w:val="00001CF4"/>
    <w:rsid w:val="0000292B"/>
    <w:rsid w:val="00013369"/>
    <w:rsid w:val="00017E2E"/>
    <w:rsid w:val="00027E8B"/>
    <w:rsid w:val="0004455B"/>
    <w:rsid w:val="00050E60"/>
    <w:rsid w:val="000625F2"/>
    <w:rsid w:val="00063EF3"/>
    <w:rsid w:val="00074133"/>
    <w:rsid w:val="000812F8"/>
    <w:rsid w:val="00090A6F"/>
    <w:rsid w:val="00094A54"/>
    <w:rsid w:val="00096027"/>
    <w:rsid w:val="000A489D"/>
    <w:rsid w:val="000A4AF3"/>
    <w:rsid w:val="000B733C"/>
    <w:rsid w:val="000C3EB0"/>
    <w:rsid w:val="000C5153"/>
    <w:rsid w:val="000D7B40"/>
    <w:rsid w:val="000F64CC"/>
    <w:rsid w:val="000F7802"/>
    <w:rsid w:val="00110B96"/>
    <w:rsid w:val="001162C5"/>
    <w:rsid w:val="001206CF"/>
    <w:rsid w:val="00134BC1"/>
    <w:rsid w:val="00153FAC"/>
    <w:rsid w:val="001662B8"/>
    <w:rsid w:val="00171F51"/>
    <w:rsid w:val="001761C6"/>
    <w:rsid w:val="001864D4"/>
    <w:rsid w:val="0019286F"/>
    <w:rsid w:val="001A0C8F"/>
    <w:rsid w:val="001B0A13"/>
    <w:rsid w:val="001B33A5"/>
    <w:rsid w:val="001C225F"/>
    <w:rsid w:val="001C553E"/>
    <w:rsid w:val="001D0759"/>
    <w:rsid w:val="001D5BB5"/>
    <w:rsid w:val="001E07B2"/>
    <w:rsid w:val="001F78DF"/>
    <w:rsid w:val="0022022E"/>
    <w:rsid w:val="00237570"/>
    <w:rsid w:val="00254B16"/>
    <w:rsid w:val="002734B9"/>
    <w:rsid w:val="00276BC5"/>
    <w:rsid w:val="0028086D"/>
    <w:rsid w:val="00280DF3"/>
    <w:rsid w:val="00283482"/>
    <w:rsid w:val="0028567B"/>
    <w:rsid w:val="0029647E"/>
    <w:rsid w:val="002A201D"/>
    <w:rsid w:val="002B7803"/>
    <w:rsid w:val="002E3470"/>
    <w:rsid w:val="002F1CD0"/>
    <w:rsid w:val="002F3342"/>
    <w:rsid w:val="0030429B"/>
    <w:rsid w:val="00307F26"/>
    <w:rsid w:val="0032226C"/>
    <w:rsid w:val="003248BC"/>
    <w:rsid w:val="00324C30"/>
    <w:rsid w:val="003251D8"/>
    <w:rsid w:val="0033581C"/>
    <w:rsid w:val="0034169A"/>
    <w:rsid w:val="0034243B"/>
    <w:rsid w:val="00364B30"/>
    <w:rsid w:val="00367DC9"/>
    <w:rsid w:val="00377B8D"/>
    <w:rsid w:val="00382796"/>
    <w:rsid w:val="0039009E"/>
    <w:rsid w:val="00392015"/>
    <w:rsid w:val="003A488F"/>
    <w:rsid w:val="003B0CAA"/>
    <w:rsid w:val="003B0E71"/>
    <w:rsid w:val="003B24AE"/>
    <w:rsid w:val="003B6633"/>
    <w:rsid w:val="003C0F48"/>
    <w:rsid w:val="003C147C"/>
    <w:rsid w:val="003D1DD4"/>
    <w:rsid w:val="003E0A68"/>
    <w:rsid w:val="003E1900"/>
    <w:rsid w:val="00401ECA"/>
    <w:rsid w:val="004150BD"/>
    <w:rsid w:val="00422E4D"/>
    <w:rsid w:val="00426876"/>
    <w:rsid w:val="00434D86"/>
    <w:rsid w:val="00436A2D"/>
    <w:rsid w:val="0044702C"/>
    <w:rsid w:val="00460FBB"/>
    <w:rsid w:val="00467EEB"/>
    <w:rsid w:val="00470CE9"/>
    <w:rsid w:val="0047683E"/>
    <w:rsid w:val="0048155F"/>
    <w:rsid w:val="004833D4"/>
    <w:rsid w:val="0048385F"/>
    <w:rsid w:val="00487CF6"/>
    <w:rsid w:val="004961F8"/>
    <w:rsid w:val="004A417F"/>
    <w:rsid w:val="004B038C"/>
    <w:rsid w:val="004B2AA5"/>
    <w:rsid w:val="004B736C"/>
    <w:rsid w:val="004C1FD8"/>
    <w:rsid w:val="004C5BDE"/>
    <w:rsid w:val="004D3809"/>
    <w:rsid w:val="004D4D1C"/>
    <w:rsid w:val="004D5C87"/>
    <w:rsid w:val="004E2DC5"/>
    <w:rsid w:val="004E323D"/>
    <w:rsid w:val="004E468A"/>
    <w:rsid w:val="004F4C1F"/>
    <w:rsid w:val="004F55FE"/>
    <w:rsid w:val="00500E80"/>
    <w:rsid w:val="00511C34"/>
    <w:rsid w:val="005166B2"/>
    <w:rsid w:val="00533557"/>
    <w:rsid w:val="0053452C"/>
    <w:rsid w:val="00535EC5"/>
    <w:rsid w:val="00540D76"/>
    <w:rsid w:val="0056274D"/>
    <w:rsid w:val="005655CE"/>
    <w:rsid w:val="005750DD"/>
    <w:rsid w:val="00577065"/>
    <w:rsid w:val="0058004D"/>
    <w:rsid w:val="00580BC4"/>
    <w:rsid w:val="00586E25"/>
    <w:rsid w:val="00590051"/>
    <w:rsid w:val="005A2514"/>
    <w:rsid w:val="005A6AC7"/>
    <w:rsid w:val="005B146F"/>
    <w:rsid w:val="005C0821"/>
    <w:rsid w:val="005E6BE4"/>
    <w:rsid w:val="005F50E5"/>
    <w:rsid w:val="00602261"/>
    <w:rsid w:val="006155CC"/>
    <w:rsid w:val="00625A6C"/>
    <w:rsid w:val="00641282"/>
    <w:rsid w:val="0064230F"/>
    <w:rsid w:val="00652DF8"/>
    <w:rsid w:val="00695732"/>
    <w:rsid w:val="006A3AE9"/>
    <w:rsid w:val="006A40E5"/>
    <w:rsid w:val="006B0CD6"/>
    <w:rsid w:val="006B439A"/>
    <w:rsid w:val="006C2E37"/>
    <w:rsid w:val="006C76A0"/>
    <w:rsid w:val="006D055E"/>
    <w:rsid w:val="006D134A"/>
    <w:rsid w:val="006D4700"/>
    <w:rsid w:val="006D68E0"/>
    <w:rsid w:val="006D7679"/>
    <w:rsid w:val="006E2C39"/>
    <w:rsid w:val="006E386B"/>
    <w:rsid w:val="006F2184"/>
    <w:rsid w:val="006F7A73"/>
    <w:rsid w:val="00714340"/>
    <w:rsid w:val="00714CCB"/>
    <w:rsid w:val="007219F7"/>
    <w:rsid w:val="007333C2"/>
    <w:rsid w:val="007335C1"/>
    <w:rsid w:val="00737714"/>
    <w:rsid w:val="00742BA3"/>
    <w:rsid w:val="00742E4B"/>
    <w:rsid w:val="0074511D"/>
    <w:rsid w:val="007455F0"/>
    <w:rsid w:val="00751F6A"/>
    <w:rsid w:val="007554ED"/>
    <w:rsid w:val="00755E40"/>
    <w:rsid w:val="00756FF6"/>
    <w:rsid w:val="0076127E"/>
    <w:rsid w:val="007672EF"/>
    <w:rsid w:val="00767AEB"/>
    <w:rsid w:val="0078116B"/>
    <w:rsid w:val="007A6BC3"/>
    <w:rsid w:val="007A7CFD"/>
    <w:rsid w:val="007B38A4"/>
    <w:rsid w:val="007B6841"/>
    <w:rsid w:val="007E0BF6"/>
    <w:rsid w:val="007E28DA"/>
    <w:rsid w:val="007E79E7"/>
    <w:rsid w:val="007F1D3D"/>
    <w:rsid w:val="007F4005"/>
    <w:rsid w:val="008046D3"/>
    <w:rsid w:val="00812637"/>
    <w:rsid w:val="00813227"/>
    <w:rsid w:val="00820794"/>
    <w:rsid w:val="00831497"/>
    <w:rsid w:val="008338AA"/>
    <w:rsid w:val="0083467E"/>
    <w:rsid w:val="008459E8"/>
    <w:rsid w:val="00850875"/>
    <w:rsid w:val="008622B9"/>
    <w:rsid w:val="00864ADE"/>
    <w:rsid w:val="00867FB0"/>
    <w:rsid w:val="00871A12"/>
    <w:rsid w:val="00881BBE"/>
    <w:rsid w:val="00882A46"/>
    <w:rsid w:val="008869A6"/>
    <w:rsid w:val="00893E00"/>
    <w:rsid w:val="00895809"/>
    <w:rsid w:val="008A16EB"/>
    <w:rsid w:val="008A6182"/>
    <w:rsid w:val="008B1D94"/>
    <w:rsid w:val="008B4C8D"/>
    <w:rsid w:val="008B643A"/>
    <w:rsid w:val="008C1039"/>
    <w:rsid w:val="008C1C4A"/>
    <w:rsid w:val="008C60B1"/>
    <w:rsid w:val="008C6BD0"/>
    <w:rsid w:val="008D2EBD"/>
    <w:rsid w:val="008D3895"/>
    <w:rsid w:val="008D6F20"/>
    <w:rsid w:val="008F0A81"/>
    <w:rsid w:val="008F3EBA"/>
    <w:rsid w:val="008F4AC5"/>
    <w:rsid w:val="008F5963"/>
    <w:rsid w:val="00906E0A"/>
    <w:rsid w:val="00920D3A"/>
    <w:rsid w:val="00923261"/>
    <w:rsid w:val="009256B7"/>
    <w:rsid w:val="00930ECE"/>
    <w:rsid w:val="00932361"/>
    <w:rsid w:val="00935DD2"/>
    <w:rsid w:val="009374DE"/>
    <w:rsid w:val="00951AFE"/>
    <w:rsid w:val="00961506"/>
    <w:rsid w:val="0096282B"/>
    <w:rsid w:val="00970C7A"/>
    <w:rsid w:val="009721DB"/>
    <w:rsid w:val="00972BFA"/>
    <w:rsid w:val="00975AC2"/>
    <w:rsid w:val="00982FD3"/>
    <w:rsid w:val="009965BA"/>
    <w:rsid w:val="009B267B"/>
    <w:rsid w:val="009B6535"/>
    <w:rsid w:val="009B7505"/>
    <w:rsid w:val="009C1C7D"/>
    <w:rsid w:val="009C2479"/>
    <w:rsid w:val="009D06F8"/>
    <w:rsid w:val="009D73F1"/>
    <w:rsid w:val="00A05041"/>
    <w:rsid w:val="00A13F82"/>
    <w:rsid w:val="00A16664"/>
    <w:rsid w:val="00A22E0D"/>
    <w:rsid w:val="00A33F7D"/>
    <w:rsid w:val="00A41ED3"/>
    <w:rsid w:val="00A47FA2"/>
    <w:rsid w:val="00A50A87"/>
    <w:rsid w:val="00A51A7E"/>
    <w:rsid w:val="00A55F4F"/>
    <w:rsid w:val="00A6237D"/>
    <w:rsid w:val="00A748BA"/>
    <w:rsid w:val="00A7691F"/>
    <w:rsid w:val="00A83862"/>
    <w:rsid w:val="00A8486C"/>
    <w:rsid w:val="00A8700F"/>
    <w:rsid w:val="00A96702"/>
    <w:rsid w:val="00A97EB2"/>
    <w:rsid w:val="00AA14A9"/>
    <w:rsid w:val="00AB780A"/>
    <w:rsid w:val="00AC027D"/>
    <w:rsid w:val="00AC4315"/>
    <w:rsid w:val="00AD42DA"/>
    <w:rsid w:val="00AD7551"/>
    <w:rsid w:val="00AF61B8"/>
    <w:rsid w:val="00B110AD"/>
    <w:rsid w:val="00B16904"/>
    <w:rsid w:val="00B271BA"/>
    <w:rsid w:val="00B3429E"/>
    <w:rsid w:val="00B74237"/>
    <w:rsid w:val="00B7708D"/>
    <w:rsid w:val="00B822E0"/>
    <w:rsid w:val="00B82F15"/>
    <w:rsid w:val="00B863BF"/>
    <w:rsid w:val="00B91A60"/>
    <w:rsid w:val="00BA3AB4"/>
    <w:rsid w:val="00BA4622"/>
    <w:rsid w:val="00BA4910"/>
    <w:rsid w:val="00BB4C9F"/>
    <w:rsid w:val="00BC0794"/>
    <w:rsid w:val="00BC0D5D"/>
    <w:rsid w:val="00BD73EB"/>
    <w:rsid w:val="00BD7C2C"/>
    <w:rsid w:val="00BE2F68"/>
    <w:rsid w:val="00BE38FC"/>
    <w:rsid w:val="00BE6545"/>
    <w:rsid w:val="00BF52DD"/>
    <w:rsid w:val="00C03C6F"/>
    <w:rsid w:val="00C03C7B"/>
    <w:rsid w:val="00C12F03"/>
    <w:rsid w:val="00C3493B"/>
    <w:rsid w:val="00C37458"/>
    <w:rsid w:val="00C438DD"/>
    <w:rsid w:val="00C43CD1"/>
    <w:rsid w:val="00C45020"/>
    <w:rsid w:val="00C5022C"/>
    <w:rsid w:val="00C53D0C"/>
    <w:rsid w:val="00C552FD"/>
    <w:rsid w:val="00C6087A"/>
    <w:rsid w:val="00C61BF6"/>
    <w:rsid w:val="00C63573"/>
    <w:rsid w:val="00C7454B"/>
    <w:rsid w:val="00C74585"/>
    <w:rsid w:val="00C872D6"/>
    <w:rsid w:val="00C95D8A"/>
    <w:rsid w:val="00CA173A"/>
    <w:rsid w:val="00CA61C5"/>
    <w:rsid w:val="00CB719A"/>
    <w:rsid w:val="00CC1DF4"/>
    <w:rsid w:val="00CC6FCD"/>
    <w:rsid w:val="00CD32AC"/>
    <w:rsid w:val="00CD5D1C"/>
    <w:rsid w:val="00CE2F8C"/>
    <w:rsid w:val="00CF14C4"/>
    <w:rsid w:val="00CF75CA"/>
    <w:rsid w:val="00CF7B67"/>
    <w:rsid w:val="00D00FD5"/>
    <w:rsid w:val="00D118BA"/>
    <w:rsid w:val="00D20B9C"/>
    <w:rsid w:val="00D44692"/>
    <w:rsid w:val="00D4650E"/>
    <w:rsid w:val="00D52086"/>
    <w:rsid w:val="00D54F5C"/>
    <w:rsid w:val="00D554F8"/>
    <w:rsid w:val="00D67336"/>
    <w:rsid w:val="00D74038"/>
    <w:rsid w:val="00D74C6A"/>
    <w:rsid w:val="00D84270"/>
    <w:rsid w:val="00D942EB"/>
    <w:rsid w:val="00D96A64"/>
    <w:rsid w:val="00DA19CB"/>
    <w:rsid w:val="00DA2A7B"/>
    <w:rsid w:val="00DB00CD"/>
    <w:rsid w:val="00DC7E1B"/>
    <w:rsid w:val="00DD1DDC"/>
    <w:rsid w:val="00DD3718"/>
    <w:rsid w:val="00DD42FC"/>
    <w:rsid w:val="00DD7E7A"/>
    <w:rsid w:val="00DF39E3"/>
    <w:rsid w:val="00E00329"/>
    <w:rsid w:val="00E033B7"/>
    <w:rsid w:val="00E06C2F"/>
    <w:rsid w:val="00E06F86"/>
    <w:rsid w:val="00E17CBC"/>
    <w:rsid w:val="00E23578"/>
    <w:rsid w:val="00E24399"/>
    <w:rsid w:val="00E274C6"/>
    <w:rsid w:val="00E27D06"/>
    <w:rsid w:val="00E32382"/>
    <w:rsid w:val="00E41399"/>
    <w:rsid w:val="00E62B9B"/>
    <w:rsid w:val="00E63279"/>
    <w:rsid w:val="00E74BD5"/>
    <w:rsid w:val="00E757EA"/>
    <w:rsid w:val="00E7592A"/>
    <w:rsid w:val="00E839DA"/>
    <w:rsid w:val="00E90B4F"/>
    <w:rsid w:val="00E915E3"/>
    <w:rsid w:val="00E9325C"/>
    <w:rsid w:val="00E94DA2"/>
    <w:rsid w:val="00E96D45"/>
    <w:rsid w:val="00E97B4B"/>
    <w:rsid w:val="00EB4197"/>
    <w:rsid w:val="00EB4756"/>
    <w:rsid w:val="00EB52AA"/>
    <w:rsid w:val="00EC4AFD"/>
    <w:rsid w:val="00ED0067"/>
    <w:rsid w:val="00ED06E4"/>
    <w:rsid w:val="00ED3D77"/>
    <w:rsid w:val="00EE2509"/>
    <w:rsid w:val="00EE3D03"/>
    <w:rsid w:val="00EE740D"/>
    <w:rsid w:val="00EF4695"/>
    <w:rsid w:val="00F13C5A"/>
    <w:rsid w:val="00F14135"/>
    <w:rsid w:val="00F14BDB"/>
    <w:rsid w:val="00F22AF2"/>
    <w:rsid w:val="00F2677A"/>
    <w:rsid w:val="00F26A92"/>
    <w:rsid w:val="00F27D29"/>
    <w:rsid w:val="00F35F16"/>
    <w:rsid w:val="00F424C9"/>
    <w:rsid w:val="00F43327"/>
    <w:rsid w:val="00F50DDA"/>
    <w:rsid w:val="00F657F6"/>
    <w:rsid w:val="00F66B41"/>
    <w:rsid w:val="00F67D8B"/>
    <w:rsid w:val="00F70811"/>
    <w:rsid w:val="00F709FE"/>
    <w:rsid w:val="00F82A0E"/>
    <w:rsid w:val="00F970FB"/>
    <w:rsid w:val="00F971FE"/>
    <w:rsid w:val="00FB3278"/>
    <w:rsid w:val="00FB39CB"/>
    <w:rsid w:val="00FC16F2"/>
    <w:rsid w:val="00FC2254"/>
    <w:rsid w:val="00FC30DA"/>
    <w:rsid w:val="00FC4564"/>
    <w:rsid w:val="00FC64EE"/>
    <w:rsid w:val="00FF2BF2"/>
    <w:rsid w:val="4DAF92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62064807"/>
  <w15:docId w15:val="{6CCF10A7-1545-4871-9F3D-F6B821C3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styleId="PlaceholderText">
    <w:name w:val="Placeholder Text"/>
    <w:basedOn w:val="DefaultParagraphFont"/>
    <w:uiPriority w:val="99"/>
    <w:semiHidden/>
    <w:rsid w:val="00935DD2"/>
    <w:rPr>
      <w:color w:val="808080"/>
    </w:rPr>
  </w:style>
  <w:style w:type="paragraph" w:customStyle="1" w:styleId="IASBTableArial">
    <w:name w:val="IASB Table Arial"/>
    <w:basedOn w:val="Normal"/>
    <w:rsid w:val="00237570"/>
    <w:pPr>
      <w:spacing w:before="120"/>
      <w:jc w:val="left"/>
    </w:pPr>
    <w:rPr>
      <w:rFonts w:ascii="Arial" w:hAnsi="Arial"/>
      <w:sz w:val="18"/>
      <w:lang w:val="en-GB" w:eastAsia="en-GB"/>
    </w:rPr>
  </w:style>
  <w:style w:type="paragraph" w:customStyle="1" w:styleId="IASBNormalnpara">
    <w:name w:val="IASB Normal npara"/>
    <w:basedOn w:val="Normal"/>
    <w:rsid w:val="00533557"/>
    <w:pPr>
      <w:spacing w:before="100"/>
      <w:ind w:left="782" w:hanging="782"/>
    </w:pPr>
    <w:rPr>
      <w:lang w:val="en-US"/>
    </w:rPr>
  </w:style>
  <w:style w:type="paragraph" w:customStyle="1" w:styleId="IASBSectionTitle1NonInd">
    <w:name w:val="IASB Section Title 1 NonInd"/>
    <w:basedOn w:val="Normal"/>
    <w:rsid w:val="00533557"/>
    <w:pPr>
      <w:keepNext/>
      <w:keepLines/>
      <w:pBdr>
        <w:bottom w:val="single" w:sz="4" w:space="0" w:color="auto"/>
      </w:pBdr>
      <w:spacing w:before="400" w:after="200"/>
      <w:jc w:val="left"/>
    </w:pPr>
    <w:rPr>
      <w:rFonts w:ascii="Arial" w:hAnsi="Arial" w:cs="Arial"/>
      <w:b/>
      <w:sz w:val="26"/>
      <w:lang w:val="en-US"/>
    </w:rPr>
  </w:style>
  <w:style w:type="character" w:styleId="CommentReference">
    <w:name w:val="annotation reference"/>
    <w:basedOn w:val="DefaultParagraphFont"/>
    <w:semiHidden/>
    <w:unhideWhenUsed/>
    <w:rsid w:val="006F7A73"/>
    <w:rPr>
      <w:sz w:val="16"/>
      <w:szCs w:val="16"/>
    </w:rPr>
  </w:style>
  <w:style w:type="paragraph" w:styleId="CommentText">
    <w:name w:val="annotation text"/>
    <w:basedOn w:val="Normal"/>
    <w:link w:val="CommentTextChar"/>
    <w:semiHidden/>
    <w:unhideWhenUsed/>
    <w:rsid w:val="006F7A73"/>
    <w:rPr>
      <w:sz w:val="20"/>
    </w:rPr>
  </w:style>
  <w:style w:type="character" w:customStyle="1" w:styleId="CommentTextChar">
    <w:name w:val="Comment Text Char"/>
    <w:basedOn w:val="DefaultParagraphFont"/>
    <w:link w:val="CommentText"/>
    <w:semiHidden/>
    <w:rsid w:val="006F7A73"/>
    <w:rPr>
      <w:lang w:eastAsia="en-US"/>
    </w:rPr>
  </w:style>
  <w:style w:type="paragraph" w:styleId="CommentSubject">
    <w:name w:val="annotation subject"/>
    <w:basedOn w:val="CommentText"/>
    <w:next w:val="CommentText"/>
    <w:link w:val="CommentSubjectChar"/>
    <w:semiHidden/>
    <w:unhideWhenUsed/>
    <w:rsid w:val="006F7A73"/>
    <w:rPr>
      <w:b/>
      <w:bCs/>
    </w:rPr>
  </w:style>
  <w:style w:type="character" w:customStyle="1" w:styleId="CommentSubjectChar">
    <w:name w:val="Comment Subject Char"/>
    <w:basedOn w:val="CommentTextChar"/>
    <w:link w:val="CommentSubject"/>
    <w:semiHidden/>
    <w:rsid w:val="006F7A73"/>
    <w:rPr>
      <w:b/>
      <w:bCs/>
      <w:lang w:eastAsia="en-US"/>
    </w:rPr>
  </w:style>
  <w:style w:type="character" w:customStyle="1" w:styleId="UnresolvedMention1">
    <w:name w:val="Unresolved Mention1"/>
    <w:basedOn w:val="DefaultParagraphFont"/>
    <w:uiPriority w:val="99"/>
    <w:unhideWhenUsed/>
    <w:rsid w:val="006F2184"/>
    <w:rPr>
      <w:color w:val="605E5C"/>
      <w:shd w:val="clear" w:color="auto" w:fill="E1DFDD"/>
    </w:rPr>
  </w:style>
  <w:style w:type="character" w:customStyle="1" w:styleId="Mention1">
    <w:name w:val="Mention1"/>
    <w:basedOn w:val="DefaultParagraphFont"/>
    <w:uiPriority w:val="99"/>
    <w:unhideWhenUsed/>
    <w:rsid w:val="00F657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umar\AUSTRALIAN%20ACCOUNTING%20STANDARDS%20-%20AUDITING%20AND%20ASSURANCE%20STANDARDS%20BOARD\OfficeTemplates%20-%20Documents\Templates\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080DCE937BC4193B4FD2D66D63179" ma:contentTypeVersion="12" ma:contentTypeDescription="Create a new document." ma:contentTypeScope="" ma:versionID="a601d67ecffe78ff47005ec521e50fa0">
  <xsd:schema xmlns:xsd="http://www.w3.org/2001/XMLSchema" xmlns:xs="http://www.w3.org/2001/XMLSchema" xmlns:p="http://schemas.microsoft.com/office/2006/metadata/properties" xmlns:ns3="8f29ff0a-c24a-4029-aee2-2a2f89573606" xmlns:ns4="032eba86-0271-4027-a076-c1e4ae26e3a0" targetNamespace="http://schemas.microsoft.com/office/2006/metadata/properties" ma:root="true" ma:fieldsID="106fed288f0a909d7127c83a803797a0" ns3:_="" ns4:_="">
    <xsd:import namespace="8f29ff0a-c24a-4029-aee2-2a2f89573606"/>
    <xsd:import namespace="032eba86-0271-4027-a076-c1e4ae26e3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9ff0a-c24a-4029-aee2-2a2f8957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eba86-0271-4027-a076-c1e4ae26e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8CE46-E436-47E8-907F-09329D8BA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9ff0a-c24a-4029-aee2-2a2f89573606"/>
    <ds:schemaRef ds:uri="032eba86-0271-4027-a076-c1e4ae26e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3.xml><?xml version="1.0" encoding="utf-8"?>
<ds:datastoreItem xmlns:ds="http://schemas.openxmlformats.org/officeDocument/2006/customXml" ds:itemID="{C6F821C3-00EA-46A5-8D5F-F5FD41216991}">
  <ds:schemaRefs>
    <ds:schemaRef ds:uri="http://www.w3.org/XML/1998/namespace"/>
    <ds:schemaRef ds:uri="http://purl.org/dc/elements/1.1/"/>
    <ds:schemaRef ds:uri="http://schemas.microsoft.com/office/2006/metadata/properties"/>
    <ds:schemaRef ds:uri="8f29ff0a-c24a-4029-aee2-2a2f89573606"/>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032eba86-0271-4027-a076-c1e4ae26e3a0"/>
  </ds:schemaRefs>
</ds:datastoreItem>
</file>

<file path=docProps/app.xml><?xml version="1.0" encoding="utf-8"?>
<Properties xmlns="http://schemas.openxmlformats.org/officeDocument/2006/extended-properties" xmlns:vt="http://schemas.openxmlformats.org/officeDocument/2006/docPropsVTypes">
  <Template>AmendingIFRS</Template>
  <TotalTime>1</TotalTime>
  <Pages>5</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subject/>
  <dc:creator>.</dc:creator>
  <cp:keywords/>
  <cp:lastModifiedBy>Akaash Kumar</cp:lastModifiedBy>
  <cp:revision>2</cp:revision>
  <cp:lastPrinted>2018-04-08T06:06:00Z</cp:lastPrinted>
  <dcterms:created xsi:type="dcterms:W3CDTF">2020-08-13T01:43:00Z</dcterms:created>
  <dcterms:modified xsi:type="dcterms:W3CDTF">2020-08-13T01:43:00Z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0x0101000C1080DCE937BC4193B4FD2D66D63179</vt:lpwstr>
  </property>
</Properties>
</file>