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E7" w:rsidRDefault="001367E7" w:rsidP="001367E7">
      <w:r>
        <w:rPr>
          <w:noProof/>
        </w:rPr>
        <w:drawing>
          <wp:inline distT="0" distB="0" distL="0" distR="0" wp14:anchorId="119DA179" wp14:editId="6748635D">
            <wp:extent cx="14097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rsidR="001367E7" w:rsidRDefault="001367E7" w:rsidP="001367E7">
      <w:pPr>
        <w:shd w:val="clear" w:color="auto" w:fill="FFFFFF"/>
        <w:rPr>
          <w:b/>
          <w:bCs/>
          <w:color w:val="000000"/>
          <w:sz w:val="36"/>
          <w:szCs w:val="36"/>
        </w:rPr>
      </w:pPr>
      <w:bookmarkStart w:id="0" w:name="Citation"/>
    </w:p>
    <w:bookmarkEnd w:id="0"/>
    <w:p w:rsidR="001367E7" w:rsidRPr="00575252" w:rsidRDefault="001367E7" w:rsidP="001367E7">
      <w:pPr>
        <w:pStyle w:val="CoverAct"/>
        <w:spacing w:before="360"/>
        <w:rPr>
          <w:rFonts w:ascii="Times New Roman" w:hAnsi="Times New Roman"/>
          <w:b/>
          <w:i w:val="0"/>
          <w:sz w:val="40"/>
          <w:szCs w:val="40"/>
        </w:rPr>
      </w:pPr>
      <w:r>
        <w:rPr>
          <w:rFonts w:ascii="Times New Roman" w:hAnsi="Times New Roman"/>
          <w:b/>
          <w:i w:val="0"/>
          <w:sz w:val="40"/>
          <w:szCs w:val="40"/>
        </w:rPr>
        <w:t>Telecommunications (Superfast Broadband Network Class Exemption) Determination 2020</w:t>
      </w:r>
    </w:p>
    <w:p w:rsidR="001367E7" w:rsidRPr="00612E02" w:rsidRDefault="001367E7" w:rsidP="001367E7">
      <w:pPr>
        <w:pStyle w:val="CoverUpdate"/>
      </w:pPr>
      <w:r w:rsidRPr="00612E02">
        <w:t xml:space="preserve">The </w:t>
      </w:r>
      <w:r>
        <w:t>Australian Competition</w:t>
      </w:r>
      <w:r w:rsidRPr="00612E02">
        <w:t xml:space="preserve"> </w:t>
      </w:r>
      <w:r>
        <w:t xml:space="preserve">and Consumer Commission </w:t>
      </w:r>
      <w:r w:rsidRPr="00612E02">
        <w:t xml:space="preserve">makes this </w:t>
      </w:r>
      <w:r>
        <w:t>Determination</w:t>
      </w:r>
      <w:r w:rsidRPr="00612E02">
        <w:t xml:space="preserve"> under </w:t>
      </w:r>
      <w:r>
        <w:t xml:space="preserve">subsections </w:t>
      </w:r>
      <w:proofErr w:type="gramStart"/>
      <w:r>
        <w:t>142BD(</w:t>
      </w:r>
      <w:proofErr w:type="gramEnd"/>
      <w:r>
        <w:t>2), 143A(1) and 143A(2)</w:t>
      </w:r>
      <w:r w:rsidRPr="00612E02">
        <w:t xml:space="preserve"> of the </w:t>
      </w:r>
      <w:r>
        <w:rPr>
          <w:i/>
        </w:rPr>
        <w:t>Telecommunications Act 1997</w:t>
      </w:r>
      <w:r w:rsidRPr="00612E02">
        <w:t>.</w:t>
      </w:r>
    </w:p>
    <w:p w:rsidR="001367E7" w:rsidRDefault="001367E7" w:rsidP="001367E7">
      <w:pPr>
        <w:tabs>
          <w:tab w:val="left" w:pos="2265"/>
        </w:tabs>
        <w:spacing w:before="300"/>
      </w:pPr>
    </w:p>
    <w:p w:rsidR="001367E7" w:rsidRPr="00612E02" w:rsidRDefault="001367E7" w:rsidP="001367E7">
      <w:pPr>
        <w:tabs>
          <w:tab w:val="left" w:pos="2265"/>
        </w:tabs>
        <w:spacing w:before="300"/>
      </w:pPr>
      <w:r w:rsidRPr="00612E02">
        <w:t>Dated</w:t>
      </w:r>
      <w:bookmarkStart w:id="1" w:name="MadeDate"/>
      <w:bookmarkEnd w:id="1"/>
      <w:r>
        <w:t xml:space="preserve">: </w:t>
      </w:r>
      <w:r w:rsidR="001E563D">
        <w:t>21 August 2020</w:t>
      </w:r>
    </w:p>
    <w:p w:rsidR="001367E7" w:rsidRDefault="001367E7" w:rsidP="001367E7">
      <w:pPr>
        <w:tabs>
          <w:tab w:val="right" w:pos="3686"/>
        </w:tabs>
        <w:spacing w:before="240" w:after="240"/>
        <w:jc w:val="right"/>
      </w:pPr>
    </w:p>
    <w:p w:rsidR="001367E7" w:rsidRDefault="001367E7" w:rsidP="001367E7">
      <w:pPr>
        <w:tabs>
          <w:tab w:val="right" w:pos="3686"/>
        </w:tabs>
        <w:spacing w:before="240" w:after="240"/>
        <w:jc w:val="right"/>
      </w:pPr>
    </w:p>
    <w:p w:rsidR="001367E7" w:rsidRDefault="001367E7" w:rsidP="001367E7">
      <w:pPr>
        <w:tabs>
          <w:tab w:val="right" w:pos="3686"/>
        </w:tabs>
        <w:spacing w:before="240" w:after="240"/>
        <w:jc w:val="right"/>
      </w:pPr>
    </w:p>
    <w:p w:rsidR="001367E7" w:rsidRDefault="00612F26" w:rsidP="00612F26">
      <w:pPr>
        <w:tabs>
          <w:tab w:val="right" w:pos="3686"/>
        </w:tabs>
        <w:spacing w:before="240" w:after="240"/>
        <w:jc w:val="center"/>
      </w:pPr>
      <w:r>
        <w:tab/>
      </w:r>
      <w:r>
        <w:tab/>
      </w:r>
      <w:r>
        <w:tab/>
      </w:r>
      <w:r>
        <w:tab/>
      </w:r>
      <w:r>
        <w:tab/>
      </w:r>
      <w:r>
        <w:tab/>
      </w:r>
      <w:r>
        <w:tab/>
      </w:r>
      <w:r>
        <w:tab/>
      </w:r>
      <w:r>
        <w:tab/>
      </w:r>
      <w:r>
        <w:tab/>
      </w:r>
      <w:r>
        <w:tab/>
      </w:r>
      <w:r>
        <w:tab/>
      </w:r>
      <w:r>
        <w:tab/>
        <w:t>[</w:t>
      </w:r>
      <w:proofErr w:type="gramStart"/>
      <w:r>
        <w:t>signed</w:t>
      </w:r>
      <w:proofErr w:type="gramEnd"/>
      <w:r>
        <w:t>]</w:t>
      </w:r>
    </w:p>
    <w:p w:rsidR="001367E7" w:rsidRDefault="001367E7" w:rsidP="001367E7">
      <w:pPr>
        <w:tabs>
          <w:tab w:val="left" w:pos="3119"/>
          <w:tab w:val="left" w:pos="3861"/>
          <w:tab w:val="right" w:pos="8652"/>
        </w:tabs>
        <w:spacing w:line="300" w:lineRule="atLeast"/>
        <w:ind w:right="374"/>
        <w:jc w:val="right"/>
      </w:pPr>
      <w:bookmarkStart w:id="2" w:name="_Toc102817933"/>
      <w:r>
        <w:t>Rodney Graham Sims</w:t>
      </w:r>
    </w:p>
    <w:p w:rsidR="001367E7" w:rsidRDefault="001367E7" w:rsidP="001367E7">
      <w:pPr>
        <w:tabs>
          <w:tab w:val="left" w:pos="3119"/>
          <w:tab w:val="left" w:pos="3861"/>
          <w:tab w:val="right" w:pos="8652"/>
        </w:tabs>
        <w:spacing w:line="300" w:lineRule="atLeast"/>
        <w:ind w:right="374"/>
        <w:jc w:val="right"/>
      </w:pPr>
      <w:r>
        <w:t>Chairman</w:t>
      </w:r>
    </w:p>
    <w:p w:rsidR="001367E7" w:rsidRDefault="001367E7" w:rsidP="001367E7">
      <w:pPr>
        <w:tabs>
          <w:tab w:val="left" w:pos="3119"/>
          <w:tab w:val="left" w:pos="3861"/>
          <w:tab w:val="right" w:pos="8652"/>
        </w:tabs>
        <w:spacing w:line="300" w:lineRule="atLeast"/>
        <w:ind w:right="374"/>
        <w:jc w:val="right"/>
      </w:pPr>
      <w:r>
        <w:t>Australian Competition and Consumer Commission</w:t>
      </w:r>
    </w:p>
    <w:p w:rsidR="001367E7" w:rsidRPr="00E318F7" w:rsidRDefault="001367E7" w:rsidP="001367E7">
      <w:pPr>
        <w:pStyle w:val="SignCoverPageEnd"/>
        <w:rPr>
          <w:szCs w:val="22"/>
        </w:rPr>
      </w:pPr>
    </w:p>
    <w:p w:rsidR="001367E7" w:rsidRDefault="001367E7" w:rsidP="001367E7">
      <w:pPr>
        <w:pStyle w:val="SignCoverPageEnd"/>
        <w:rPr>
          <w:szCs w:val="22"/>
        </w:rPr>
      </w:pPr>
    </w:p>
    <w:p w:rsidR="001367E7" w:rsidRDefault="001367E7" w:rsidP="001367E7">
      <w:pPr>
        <w:pStyle w:val="SignCoverPageEnd"/>
        <w:rPr>
          <w:szCs w:val="22"/>
        </w:rPr>
      </w:pPr>
    </w:p>
    <w:p w:rsidR="001367E7" w:rsidRDefault="001367E7" w:rsidP="001367E7">
      <w:pPr>
        <w:pStyle w:val="SignCoverPageEnd"/>
        <w:rPr>
          <w:szCs w:val="22"/>
        </w:rPr>
      </w:pPr>
    </w:p>
    <w:p w:rsidR="001367E7" w:rsidRDefault="001367E7" w:rsidP="001367E7">
      <w:pPr>
        <w:pStyle w:val="SignCoverPageEnd"/>
        <w:rPr>
          <w:szCs w:val="22"/>
        </w:rPr>
      </w:pPr>
    </w:p>
    <w:p w:rsidR="001367E7" w:rsidRDefault="001367E7" w:rsidP="001367E7">
      <w:pPr>
        <w:pStyle w:val="SignCoverPageEnd"/>
        <w:rPr>
          <w:szCs w:val="22"/>
        </w:rPr>
      </w:pPr>
    </w:p>
    <w:p w:rsidR="001367E7" w:rsidRPr="00E318F7" w:rsidRDefault="001367E7" w:rsidP="001367E7">
      <w:pPr>
        <w:pStyle w:val="SignCoverPageEnd"/>
        <w:rPr>
          <w:szCs w:val="22"/>
        </w:rPr>
      </w:pPr>
      <w:r w:rsidRPr="00E318F7">
        <w:rPr>
          <w:szCs w:val="22"/>
        </w:rPr>
        <w:t>Australian Com</w:t>
      </w:r>
      <w:r>
        <w:rPr>
          <w:szCs w:val="22"/>
        </w:rPr>
        <w:t>petition and Consumer Commission</w:t>
      </w:r>
    </w:p>
    <w:p w:rsidR="001367E7" w:rsidRDefault="001367E7" w:rsidP="001367E7">
      <w:pPr>
        <w:spacing w:after="160" w:line="259" w:lineRule="auto"/>
        <w:rPr>
          <w:rStyle w:val="CharSectno"/>
          <w:rFonts w:ascii="Arial" w:hAnsi="Arial"/>
          <w:b/>
          <w:lang w:eastAsia="en-US"/>
        </w:rPr>
      </w:pPr>
      <w:r>
        <w:rPr>
          <w:rStyle w:val="CharSectno"/>
        </w:rPr>
        <w:br w:type="page"/>
      </w:r>
    </w:p>
    <w:bookmarkEnd w:id="2"/>
    <w:p w:rsidR="001367E7" w:rsidRPr="00575252" w:rsidRDefault="001367E7" w:rsidP="001367E7">
      <w:pPr>
        <w:keepNext/>
        <w:keepLines/>
        <w:outlineLvl w:val="4"/>
        <w:rPr>
          <w:b/>
          <w:kern w:val="28"/>
          <w:sz w:val="32"/>
          <w:szCs w:val="32"/>
        </w:rPr>
      </w:pPr>
      <w:proofErr w:type="gramStart"/>
      <w:r w:rsidRPr="00575252">
        <w:rPr>
          <w:b/>
          <w:kern w:val="28"/>
          <w:szCs w:val="20"/>
        </w:rPr>
        <w:lastRenderedPageBreak/>
        <w:t>1  Name</w:t>
      </w:r>
      <w:proofErr w:type="gramEnd"/>
    </w:p>
    <w:p w:rsidR="001367E7" w:rsidRPr="00575252" w:rsidRDefault="001367E7" w:rsidP="001367E7">
      <w:pPr>
        <w:tabs>
          <w:tab w:val="right" w:pos="1021"/>
        </w:tabs>
        <w:spacing w:before="180"/>
        <w:ind w:left="1134" w:hanging="1134"/>
        <w:rPr>
          <w:sz w:val="22"/>
          <w:szCs w:val="20"/>
        </w:rPr>
      </w:pPr>
      <w:r w:rsidRPr="00575252">
        <w:rPr>
          <w:sz w:val="22"/>
          <w:szCs w:val="20"/>
        </w:rPr>
        <w:tab/>
      </w:r>
      <w:r w:rsidRPr="00575252">
        <w:rPr>
          <w:sz w:val="22"/>
          <w:szCs w:val="20"/>
        </w:rPr>
        <w:tab/>
        <w:t xml:space="preserve">This is </w:t>
      </w:r>
      <w:bookmarkStart w:id="3" w:name="BKCheck15B_3"/>
      <w:bookmarkEnd w:id="3"/>
      <w:r w:rsidRPr="00575252">
        <w:rPr>
          <w:sz w:val="22"/>
          <w:szCs w:val="20"/>
        </w:rPr>
        <w:t xml:space="preserve">the </w:t>
      </w:r>
      <w:r>
        <w:rPr>
          <w:i/>
          <w:sz w:val="22"/>
          <w:szCs w:val="20"/>
        </w:rPr>
        <w:t>Telecommunications (Superfast Broadband Network Class Exemption) Determination 2020</w:t>
      </w:r>
      <w:r>
        <w:rPr>
          <w:sz w:val="22"/>
          <w:szCs w:val="20"/>
        </w:rPr>
        <w:t>.</w:t>
      </w:r>
    </w:p>
    <w:p w:rsidR="001367E7" w:rsidRPr="00575252" w:rsidRDefault="001367E7" w:rsidP="001367E7">
      <w:pPr>
        <w:keepNext/>
        <w:keepLines/>
        <w:spacing w:before="120"/>
        <w:ind w:left="1134" w:hanging="1134"/>
        <w:outlineLvl w:val="4"/>
        <w:rPr>
          <w:b/>
          <w:kern w:val="28"/>
          <w:szCs w:val="20"/>
        </w:rPr>
      </w:pPr>
      <w:bookmarkStart w:id="4" w:name="_Toc444596032"/>
      <w:proofErr w:type="gramStart"/>
      <w:r w:rsidRPr="00575252">
        <w:rPr>
          <w:b/>
          <w:kern w:val="28"/>
          <w:szCs w:val="20"/>
        </w:rPr>
        <w:t>2  Commencement</w:t>
      </w:r>
      <w:bookmarkEnd w:id="4"/>
      <w:proofErr w:type="gramEnd"/>
    </w:p>
    <w:p w:rsidR="001367E7" w:rsidRDefault="001367E7" w:rsidP="001367E7">
      <w:pPr>
        <w:pStyle w:val="subsection"/>
        <w:shd w:val="clear" w:color="auto" w:fill="FFFFFF"/>
        <w:spacing w:before="180" w:beforeAutospacing="0" w:after="0" w:afterAutospacing="0"/>
        <w:ind w:left="1134" w:hanging="1134"/>
        <w:rPr>
          <w:color w:val="000000"/>
          <w:sz w:val="22"/>
          <w:szCs w:val="22"/>
        </w:rPr>
      </w:pPr>
      <w:r w:rsidRPr="00575252">
        <w:rPr>
          <w:sz w:val="22"/>
          <w:szCs w:val="20"/>
        </w:rPr>
        <w:tab/>
      </w:r>
      <w:bookmarkStart w:id="5" w:name="_Toc444596033"/>
      <w:r>
        <w:rPr>
          <w:color w:val="000000"/>
          <w:sz w:val="22"/>
          <w:szCs w:val="22"/>
        </w:rPr>
        <w:t>This Determination commences on the later of:</w:t>
      </w:r>
    </w:p>
    <w:p w:rsidR="001367E7" w:rsidRDefault="001367E7" w:rsidP="001367E7">
      <w:pPr>
        <w:pStyle w:val="subsection"/>
        <w:numPr>
          <w:ilvl w:val="0"/>
          <w:numId w:val="28"/>
        </w:numPr>
        <w:shd w:val="clear" w:color="auto" w:fill="FFFFFF"/>
        <w:spacing w:before="120" w:beforeAutospacing="0" w:after="0" w:afterAutospacing="0"/>
        <w:ind w:left="1797" w:hanging="357"/>
        <w:rPr>
          <w:color w:val="000000"/>
          <w:sz w:val="22"/>
          <w:szCs w:val="22"/>
        </w:rPr>
      </w:pPr>
      <w:r>
        <w:rPr>
          <w:color w:val="000000"/>
          <w:sz w:val="22"/>
          <w:szCs w:val="22"/>
        </w:rPr>
        <w:t>the day after this instrument is registered on the Federal Register of Legislation; and</w:t>
      </w:r>
    </w:p>
    <w:p w:rsidR="001367E7" w:rsidRPr="007B4F1A" w:rsidRDefault="001367E7" w:rsidP="001367E7">
      <w:pPr>
        <w:pStyle w:val="subsection"/>
        <w:numPr>
          <w:ilvl w:val="0"/>
          <w:numId w:val="28"/>
        </w:numPr>
        <w:shd w:val="clear" w:color="auto" w:fill="FFFFFF"/>
        <w:spacing w:before="120" w:beforeAutospacing="0" w:after="0" w:afterAutospacing="0"/>
        <w:ind w:left="1797" w:hanging="357"/>
        <w:rPr>
          <w:color w:val="000000"/>
          <w:sz w:val="22"/>
          <w:szCs w:val="22"/>
        </w:rPr>
      </w:pPr>
      <w:proofErr w:type="gramStart"/>
      <w:r>
        <w:rPr>
          <w:color w:val="000000"/>
          <w:sz w:val="22"/>
          <w:szCs w:val="22"/>
        </w:rPr>
        <w:t>the</w:t>
      </w:r>
      <w:proofErr w:type="gramEnd"/>
      <w:r>
        <w:rPr>
          <w:color w:val="000000"/>
          <w:sz w:val="22"/>
          <w:szCs w:val="22"/>
        </w:rPr>
        <w:t xml:space="preserve"> day on which Schedule 2 to the </w:t>
      </w:r>
      <w:r w:rsidRPr="007B4F1A">
        <w:rPr>
          <w:i/>
          <w:color w:val="000000"/>
          <w:sz w:val="22"/>
          <w:szCs w:val="22"/>
        </w:rPr>
        <w:t>Telecommunications Legislation Amendment (Competition and Consumer) Act 2020</w:t>
      </w:r>
      <w:r>
        <w:rPr>
          <w:color w:val="000000"/>
          <w:sz w:val="22"/>
          <w:szCs w:val="22"/>
        </w:rPr>
        <w:t xml:space="preserve"> commences.</w:t>
      </w:r>
    </w:p>
    <w:p w:rsidR="001367E7" w:rsidRDefault="001367E7" w:rsidP="001367E7">
      <w:pPr>
        <w:pStyle w:val="li-bodytextnote"/>
        <w:shd w:val="clear" w:color="auto" w:fill="FFFFFF"/>
        <w:spacing w:before="180" w:beforeAutospacing="0" w:after="0" w:afterAutospacing="0"/>
        <w:ind w:left="1701" w:hanging="567"/>
        <w:rPr>
          <w:color w:val="000000"/>
          <w:sz w:val="18"/>
          <w:szCs w:val="18"/>
        </w:rPr>
      </w:pPr>
      <w:r>
        <w:rPr>
          <w:color w:val="000000"/>
          <w:sz w:val="18"/>
          <w:szCs w:val="18"/>
        </w:rPr>
        <w:t>Note 1: The Federal Register of Legislation may be accessed free of charge at </w:t>
      </w:r>
      <w:hyperlink r:id="rId11" w:history="1">
        <w:r w:rsidRPr="003A6FE1">
          <w:rPr>
            <w:rStyle w:val="Hyperlink"/>
            <w:rFonts w:ascii="Times New Roman" w:hAnsi="Times New Roman"/>
            <w:color w:val="0D4A88"/>
            <w:sz w:val="18"/>
            <w:szCs w:val="18"/>
          </w:rPr>
          <w:t>www.legislation.gov.au</w:t>
        </w:r>
      </w:hyperlink>
      <w:r w:rsidRPr="003A6FE1">
        <w:rPr>
          <w:color w:val="000000"/>
          <w:sz w:val="18"/>
          <w:szCs w:val="18"/>
        </w:rPr>
        <w:t>.</w:t>
      </w:r>
    </w:p>
    <w:p w:rsidR="001367E7" w:rsidRDefault="001367E7" w:rsidP="001367E7">
      <w:pPr>
        <w:pStyle w:val="li-bodytextnote"/>
        <w:shd w:val="clear" w:color="auto" w:fill="FFFFFF"/>
        <w:spacing w:before="122" w:beforeAutospacing="0" w:after="0" w:afterAutospacing="0"/>
        <w:ind w:left="1701" w:hanging="567"/>
        <w:rPr>
          <w:color w:val="000000"/>
          <w:sz w:val="18"/>
          <w:szCs w:val="18"/>
        </w:rPr>
      </w:pPr>
      <w:r>
        <w:rPr>
          <w:color w:val="000000"/>
          <w:sz w:val="18"/>
          <w:szCs w:val="18"/>
        </w:rPr>
        <w:t>Note 2: Both of the events mentioned in paragraphs (a) and (b) must occur before this instrument commences.</w:t>
      </w:r>
    </w:p>
    <w:p w:rsidR="001367E7" w:rsidRPr="00575252" w:rsidRDefault="001367E7" w:rsidP="001367E7">
      <w:pPr>
        <w:tabs>
          <w:tab w:val="right" w:pos="1021"/>
        </w:tabs>
        <w:spacing w:before="120"/>
        <w:ind w:left="1134" w:hanging="1134"/>
        <w:rPr>
          <w:b/>
          <w:kern w:val="28"/>
          <w:szCs w:val="20"/>
        </w:rPr>
      </w:pPr>
      <w:proofErr w:type="gramStart"/>
      <w:r w:rsidRPr="00575252">
        <w:rPr>
          <w:b/>
          <w:kern w:val="28"/>
          <w:szCs w:val="20"/>
        </w:rPr>
        <w:t>3  Authority</w:t>
      </w:r>
      <w:bookmarkEnd w:id="5"/>
      <w:proofErr w:type="gramEnd"/>
    </w:p>
    <w:p w:rsidR="001367E7" w:rsidRPr="00575252" w:rsidRDefault="001367E7" w:rsidP="001367E7">
      <w:pPr>
        <w:tabs>
          <w:tab w:val="right" w:pos="1021"/>
        </w:tabs>
        <w:spacing w:before="180"/>
        <w:ind w:left="1134" w:hanging="1134"/>
        <w:rPr>
          <w:sz w:val="22"/>
          <w:szCs w:val="20"/>
        </w:rPr>
      </w:pPr>
      <w:r w:rsidRPr="00575252">
        <w:rPr>
          <w:sz w:val="22"/>
          <w:szCs w:val="20"/>
        </w:rPr>
        <w:tab/>
      </w:r>
      <w:r w:rsidRPr="00575252">
        <w:rPr>
          <w:sz w:val="22"/>
          <w:szCs w:val="20"/>
        </w:rPr>
        <w:tab/>
        <w:t xml:space="preserve">This </w:t>
      </w:r>
      <w:r>
        <w:rPr>
          <w:sz w:val="22"/>
          <w:szCs w:val="20"/>
        </w:rPr>
        <w:t>Determination</w:t>
      </w:r>
      <w:r w:rsidRPr="00575252">
        <w:rPr>
          <w:sz w:val="22"/>
          <w:szCs w:val="20"/>
        </w:rPr>
        <w:t xml:space="preserve"> is made under </w:t>
      </w:r>
      <w:r w:rsidRPr="007B4F1A">
        <w:rPr>
          <w:sz w:val="22"/>
          <w:szCs w:val="20"/>
        </w:rPr>
        <w:t xml:space="preserve">subsections </w:t>
      </w:r>
      <w:proofErr w:type="gramStart"/>
      <w:r w:rsidRPr="007B4F1A">
        <w:rPr>
          <w:sz w:val="22"/>
          <w:szCs w:val="20"/>
        </w:rPr>
        <w:t>142BD(</w:t>
      </w:r>
      <w:proofErr w:type="gramEnd"/>
      <w:r w:rsidRPr="007B4F1A">
        <w:rPr>
          <w:sz w:val="22"/>
          <w:szCs w:val="20"/>
        </w:rPr>
        <w:t xml:space="preserve">2), 143A(1) and 143A(2) </w:t>
      </w:r>
      <w:r>
        <w:rPr>
          <w:sz w:val="22"/>
          <w:szCs w:val="20"/>
        </w:rPr>
        <w:t>of</w:t>
      </w:r>
      <w:r w:rsidRPr="00575252">
        <w:rPr>
          <w:sz w:val="22"/>
          <w:szCs w:val="20"/>
        </w:rPr>
        <w:t xml:space="preserve"> the </w:t>
      </w:r>
      <w:r w:rsidRPr="00575252">
        <w:rPr>
          <w:i/>
          <w:sz w:val="22"/>
          <w:szCs w:val="20"/>
        </w:rPr>
        <w:t>Telecommunications Act 1997</w:t>
      </w:r>
      <w:r w:rsidRPr="00575252">
        <w:rPr>
          <w:sz w:val="22"/>
          <w:szCs w:val="20"/>
        </w:rPr>
        <w:t>.</w:t>
      </w:r>
    </w:p>
    <w:p w:rsidR="001367E7" w:rsidRPr="00575252" w:rsidRDefault="001367E7" w:rsidP="001367E7">
      <w:pPr>
        <w:keepNext/>
        <w:keepLines/>
        <w:spacing w:before="120"/>
        <w:ind w:left="1843" w:hanging="1843"/>
        <w:outlineLvl w:val="4"/>
        <w:rPr>
          <w:b/>
          <w:kern w:val="28"/>
          <w:szCs w:val="20"/>
        </w:rPr>
      </w:pPr>
      <w:bookmarkStart w:id="6" w:name="_Toc444596034"/>
      <w:proofErr w:type="gramStart"/>
      <w:r w:rsidRPr="00575252">
        <w:rPr>
          <w:b/>
          <w:kern w:val="28"/>
          <w:szCs w:val="20"/>
        </w:rPr>
        <w:t xml:space="preserve">4  </w:t>
      </w:r>
      <w:r>
        <w:rPr>
          <w:b/>
          <w:kern w:val="28"/>
          <w:szCs w:val="20"/>
        </w:rPr>
        <w:t>Definitions</w:t>
      </w:r>
      <w:proofErr w:type="gramEnd"/>
      <w:r w:rsidRPr="00575252">
        <w:rPr>
          <w:b/>
          <w:kern w:val="28"/>
          <w:szCs w:val="20"/>
        </w:rPr>
        <w:t xml:space="preserve"> </w:t>
      </w:r>
    </w:p>
    <w:p w:rsidR="001367E7" w:rsidRDefault="001367E7" w:rsidP="001367E7">
      <w:pPr>
        <w:tabs>
          <w:tab w:val="right" w:pos="1021"/>
        </w:tabs>
        <w:spacing w:before="180"/>
        <w:ind w:left="1134" w:hanging="1134"/>
        <w:rPr>
          <w:sz w:val="22"/>
          <w:szCs w:val="20"/>
        </w:rPr>
      </w:pPr>
      <w:r w:rsidRPr="00575252">
        <w:rPr>
          <w:sz w:val="22"/>
          <w:szCs w:val="20"/>
        </w:rPr>
        <w:tab/>
      </w:r>
      <w:r w:rsidRPr="00575252">
        <w:rPr>
          <w:sz w:val="22"/>
          <w:szCs w:val="20"/>
        </w:rPr>
        <w:tab/>
      </w:r>
      <w:r w:rsidRPr="00327330">
        <w:rPr>
          <w:sz w:val="22"/>
          <w:szCs w:val="20"/>
        </w:rPr>
        <w:t xml:space="preserve">In this </w:t>
      </w:r>
      <w:r>
        <w:rPr>
          <w:sz w:val="22"/>
          <w:szCs w:val="20"/>
        </w:rPr>
        <w:t>Determination</w:t>
      </w:r>
      <w:r w:rsidRPr="00327330">
        <w:rPr>
          <w:sz w:val="22"/>
          <w:szCs w:val="20"/>
        </w:rPr>
        <w:t>, unless the contrary intention appears:</w:t>
      </w:r>
    </w:p>
    <w:p w:rsidR="001367E7" w:rsidRDefault="001367E7" w:rsidP="001367E7">
      <w:pPr>
        <w:tabs>
          <w:tab w:val="right" w:pos="1021"/>
        </w:tabs>
        <w:spacing w:before="120"/>
        <w:ind w:left="1134" w:hanging="1134"/>
        <w:rPr>
          <w:sz w:val="22"/>
          <w:szCs w:val="20"/>
        </w:rPr>
      </w:pPr>
      <w:r>
        <w:rPr>
          <w:sz w:val="22"/>
          <w:szCs w:val="20"/>
        </w:rPr>
        <w:tab/>
      </w:r>
      <w:r>
        <w:rPr>
          <w:sz w:val="22"/>
          <w:szCs w:val="20"/>
        </w:rPr>
        <w:tab/>
      </w:r>
      <w:r w:rsidRPr="0050558F">
        <w:rPr>
          <w:b/>
          <w:i/>
          <w:sz w:val="22"/>
          <w:szCs w:val="20"/>
        </w:rPr>
        <w:t>A</w:t>
      </w:r>
      <w:r>
        <w:rPr>
          <w:b/>
          <w:i/>
          <w:sz w:val="22"/>
          <w:szCs w:val="20"/>
        </w:rPr>
        <w:t xml:space="preserve">ct </w:t>
      </w:r>
      <w:r>
        <w:rPr>
          <w:sz w:val="22"/>
          <w:szCs w:val="20"/>
        </w:rPr>
        <w:t xml:space="preserve">means the </w:t>
      </w:r>
      <w:r w:rsidRPr="00134BFC">
        <w:rPr>
          <w:i/>
          <w:sz w:val="22"/>
          <w:szCs w:val="20"/>
        </w:rPr>
        <w:t>Telecommunications Act 1997</w:t>
      </w:r>
      <w:r>
        <w:rPr>
          <w:sz w:val="22"/>
          <w:szCs w:val="20"/>
        </w:rPr>
        <w:t>.</w:t>
      </w:r>
    </w:p>
    <w:p w:rsidR="001367E7" w:rsidRPr="00AB59CC" w:rsidRDefault="001367E7" w:rsidP="001367E7">
      <w:pPr>
        <w:tabs>
          <w:tab w:val="right" w:pos="1021"/>
        </w:tabs>
        <w:spacing w:before="120"/>
        <w:ind w:left="1134" w:hanging="414"/>
        <w:rPr>
          <w:b/>
          <w:sz w:val="22"/>
          <w:szCs w:val="20"/>
        </w:rPr>
      </w:pPr>
      <w:r>
        <w:rPr>
          <w:b/>
          <w:i/>
          <w:sz w:val="22"/>
          <w:szCs w:val="20"/>
        </w:rPr>
        <w:tab/>
      </w:r>
      <w:r>
        <w:rPr>
          <w:b/>
          <w:i/>
          <w:sz w:val="22"/>
          <w:szCs w:val="20"/>
        </w:rPr>
        <w:tab/>
      </w:r>
      <w:proofErr w:type="gramStart"/>
      <w:r>
        <w:rPr>
          <w:b/>
          <w:i/>
          <w:sz w:val="22"/>
          <w:szCs w:val="20"/>
        </w:rPr>
        <w:t>associated</w:t>
      </w:r>
      <w:proofErr w:type="gramEnd"/>
      <w:r>
        <w:rPr>
          <w:b/>
          <w:i/>
          <w:sz w:val="22"/>
          <w:szCs w:val="20"/>
        </w:rPr>
        <w:t xml:space="preserve"> group</w:t>
      </w:r>
      <w:r>
        <w:rPr>
          <w:b/>
          <w:sz w:val="22"/>
          <w:szCs w:val="20"/>
        </w:rPr>
        <w:t xml:space="preserve"> </w:t>
      </w:r>
      <w:r w:rsidRPr="00AB59CC">
        <w:rPr>
          <w:sz w:val="22"/>
          <w:szCs w:val="20"/>
        </w:rPr>
        <w:t>has the same meaning as in</w:t>
      </w:r>
      <w:r>
        <w:rPr>
          <w:sz w:val="22"/>
          <w:szCs w:val="20"/>
        </w:rPr>
        <w:t xml:space="preserve"> subsection 143A(10) of the Act.</w:t>
      </w:r>
    </w:p>
    <w:p w:rsidR="001367E7" w:rsidRPr="00BF3C1E" w:rsidRDefault="001367E7" w:rsidP="001367E7">
      <w:pPr>
        <w:tabs>
          <w:tab w:val="right" w:pos="1021"/>
        </w:tabs>
        <w:spacing w:before="120"/>
        <w:ind w:left="1134" w:hanging="414"/>
        <w:rPr>
          <w:sz w:val="22"/>
          <w:szCs w:val="20"/>
        </w:rPr>
      </w:pPr>
      <w:r>
        <w:rPr>
          <w:b/>
          <w:i/>
          <w:sz w:val="22"/>
          <w:szCs w:val="20"/>
        </w:rPr>
        <w:tab/>
      </w:r>
      <w:r>
        <w:rPr>
          <w:b/>
          <w:i/>
          <w:sz w:val="22"/>
          <w:szCs w:val="20"/>
        </w:rPr>
        <w:tab/>
      </w:r>
      <w:proofErr w:type="gramStart"/>
      <w:r>
        <w:rPr>
          <w:b/>
          <w:i/>
          <w:sz w:val="22"/>
          <w:szCs w:val="20"/>
        </w:rPr>
        <w:t>designated</w:t>
      </w:r>
      <w:proofErr w:type="gramEnd"/>
      <w:r>
        <w:rPr>
          <w:b/>
          <w:i/>
          <w:sz w:val="22"/>
          <w:szCs w:val="20"/>
        </w:rPr>
        <w:t xml:space="preserve"> carriage service</w:t>
      </w:r>
      <w:r>
        <w:rPr>
          <w:b/>
          <w:sz w:val="22"/>
          <w:szCs w:val="20"/>
        </w:rPr>
        <w:t xml:space="preserve"> </w:t>
      </w:r>
      <w:r>
        <w:rPr>
          <w:sz w:val="22"/>
          <w:szCs w:val="20"/>
        </w:rPr>
        <w:t>has the meaning given by section 142BD of the Act.</w:t>
      </w:r>
    </w:p>
    <w:p w:rsidR="001367E7" w:rsidRPr="003C4F23" w:rsidRDefault="001367E7" w:rsidP="001367E7">
      <w:pPr>
        <w:tabs>
          <w:tab w:val="right" w:pos="1021"/>
        </w:tabs>
        <w:spacing w:before="120"/>
        <w:ind w:left="1134" w:hanging="414"/>
        <w:rPr>
          <w:sz w:val="22"/>
          <w:szCs w:val="20"/>
        </w:rPr>
      </w:pPr>
      <w:r>
        <w:rPr>
          <w:b/>
          <w:i/>
          <w:sz w:val="22"/>
          <w:szCs w:val="20"/>
        </w:rPr>
        <w:tab/>
      </w:r>
      <w:r>
        <w:rPr>
          <w:b/>
          <w:i/>
          <w:sz w:val="22"/>
          <w:szCs w:val="20"/>
        </w:rPr>
        <w:tab/>
      </w:r>
      <w:proofErr w:type="gramStart"/>
      <w:r>
        <w:rPr>
          <w:b/>
          <w:i/>
          <w:sz w:val="22"/>
          <w:szCs w:val="20"/>
        </w:rPr>
        <w:t>eligible</w:t>
      </w:r>
      <w:proofErr w:type="gramEnd"/>
      <w:r>
        <w:rPr>
          <w:b/>
          <w:i/>
          <w:sz w:val="22"/>
          <w:szCs w:val="20"/>
        </w:rPr>
        <w:t xml:space="preserve"> service </w:t>
      </w:r>
      <w:r>
        <w:rPr>
          <w:sz w:val="22"/>
          <w:szCs w:val="20"/>
        </w:rPr>
        <w:t xml:space="preserve">has the same meaning as in section 152AL of the </w:t>
      </w:r>
      <w:r w:rsidRPr="00A8380C">
        <w:rPr>
          <w:i/>
          <w:sz w:val="22"/>
          <w:szCs w:val="20"/>
        </w:rPr>
        <w:t>Competition and Consumer Act 2010</w:t>
      </w:r>
      <w:r>
        <w:rPr>
          <w:i/>
          <w:sz w:val="22"/>
          <w:szCs w:val="20"/>
        </w:rPr>
        <w:t>.</w:t>
      </w:r>
    </w:p>
    <w:p w:rsidR="001367E7" w:rsidRPr="00580666" w:rsidRDefault="001367E7" w:rsidP="001367E7">
      <w:pPr>
        <w:tabs>
          <w:tab w:val="right" w:pos="1021"/>
        </w:tabs>
        <w:spacing w:before="120"/>
        <w:ind w:left="1134" w:hanging="414"/>
        <w:rPr>
          <w:sz w:val="22"/>
          <w:szCs w:val="20"/>
        </w:rPr>
      </w:pPr>
      <w:r>
        <w:rPr>
          <w:b/>
          <w:i/>
          <w:sz w:val="22"/>
          <w:szCs w:val="20"/>
        </w:rPr>
        <w:tab/>
      </w:r>
      <w:r>
        <w:rPr>
          <w:b/>
          <w:i/>
          <w:sz w:val="22"/>
          <w:szCs w:val="20"/>
        </w:rPr>
        <w:tab/>
      </w:r>
      <w:proofErr w:type="gramStart"/>
      <w:r>
        <w:rPr>
          <w:b/>
          <w:i/>
          <w:sz w:val="22"/>
          <w:szCs w:val="20"/>
        </w:rPr>
        <w:t>fixed-line</w:t>
      </w:r>
      <w:proofErr w:type="gramEnd"/>
      <w:r>
        <w:rPr>
          <w:b/>
          <w:i/>
          <w:sz w:val="22"/>
          <w:szCs w:val="20"/>
        </w:rPr>
        <w:t xml:space="preserve"> carriage service </w:t>
      </w:r>
      <w:r>
        <w:rPr>
          <w:sz w:val="22"/>
          <w:szCs w:val="20"/>
        </w:rPr>
        <w:t>has the meaning given by section 142A of the Act.</w:t>
      </w:r>
    </w:p>
    <w:p w:rsidR="001367E7" w:rsidRDefault="001367E7" w:rsidP="001367E7">
      <w:pPr>
        <w:tabs>
          <w:tab w:val="right" w:pos="1021"/>
        </w:tabs>
        <w:spacing w:before="120"/>
        <w:ind w:left="1134" w:hanging="414"/>
        <w:rPr>
          <w:b/>
          <w:i/>
          <w:sz w:val="22"/>
          <w:szCs w:val="20"/>
        </w:rPr>
      </w:pPr>
      <w:r>
        <w:rPr>
          <w:b/>
          <w:i/>
          <w:sz w:val="22"/>
          <w:szCs w:val="20"/>
        </w:rPr>
        <w:tab/>
      </w:r>
      <w:r>
        <w:rPr>
          <w:b/>
          <w:i/>
          <w:sz w:val="22"/>
          <w:szCs w:val="20"/>
        </w:rPr>
        <w:tab/>
        <w:t xml:space="preserve">LBAS </w:t>
      </w:r>
      <w:r w:rsidRPr="005469E7">
        <w:rPr>
          <w:sz w:val="22"/>
          <w:szCs w:val="20"/>
        </w:rPr>
        <w:t xml:space="preserve">means a service defined under the </w:t>
      </w:r>
      <w:r>
        <w:rPr>
          <w:sz w:val="22"/>
          <w:szCs w:val="20"/>
        </w:rPr>
        <w:t>s</w:t>
      </w:r>
      <w:r w:rsidRPr="005469E7">
        <w:rPr>
          <w:sz w:val="22"/>
          <w:szCs w:val="20"/>
        </w:rPr>
        <w:t xml:space="preserve">ervice </w:t>
      </w:r>
      <w:r>
        <w:rPr>
          <w:sz w:val="22"/>
          <w:szCs w:val="20"/>
        </w:rPr>
        <w:t>d</w:t>
      </w:r>
      <w:r w:rsidRPr="005469E7">
        <w:rPr>
          <w:sz w:val="22"/>
          <w:szCs w:val="20"/>
        </w:rPr>
        <w:t xml:space="preserve">escription </w:t>
      </w:r>
      <w:r>
        <w:rPr>
          <w:sz w:val="22"/>
          <w:szCs w:val="20"/>
        </w:rPr>
        <w:t>in an annexure to any d</w:t>
      </w:r>
      <w:r w:rsidRPr="005469E7">
        <w:rPr>
          <w:sz w:val="22"/>
          <w:szCs w:val="20"/>
        </w:rPr>
        <w:t xml:space="preserve">eclaration </w:t>
      </w:r>
      <w:r>
        <w:rPr>
          <w:sz w:val="22"/>
          <w:szCs w:val="20"/>
        </w:rPr>
        <w:t xml:space="preserve">made by the ACCC under subsection 152AL(3) of the </w:t>
      </w:r>
      <w:r w:rsidRPr="00A8380C">
        <w:rPr>
          <w:i/>
          <w:sz w:val="22"/>
          <w:szCs w:val="20"/>
        </w:rPr>
        <w:t>Competition and Consumer Act</w:t>
      </w:r>
      <w:r>
        <w:rPr>
          <w:sz w:val="22"/>
          <w:szCs w:val="20"/>
        </w:rPr>
        <w:t xml:space="preserve"> </w:t>
      </w:r>
      <w:r w:rsidRPr="0096527D">
        <w:rPr>
          <w:i/>
          <w:sz w:val="22"/>
          <w:szCs w:val="20"/>
        </w:rPr>
        <w:t>2010</w:t>
      </w:r>
      <w:r>
        <w:rPr>
          <w:sz w:val="22"/>
          <w:szCs w:val="20"/>
        </w:rPr>
        <w:t xml:space="preserve"> in respect of</w:t>
      </w:r>
      <w:r w:rsidRPr="00A8380C">
        <w:rPr>
          <w:i/>
          <w:sz w:val="22"/>
          <w:szCs w:val="20"/>
        </w:rPr>
        <w:t xml:space="preserve"> </w:t>
      </w:r>
      <w:r w:rsidRPr="005469E7">
        <w:rPr>
          <w:sz w:val="22"/>
          <w:szCs w:val="20"/>
        </w:rPr>
        <w:t>the</w:t>
      </w:r>
      <w:r>
        <w:rPr>
          <w:sz w:val="22"/>
          <w:szCs w:val="20"/>
        </w:rPr>
        <w:t xml:space="preserve"> Local </w:t>
      </w:r>
      <w:proofErr w:type="spellStart"/>
      <w:r>
        <w:rPr>
          <w:sz w:val="22"/>
          <w:szCs w:val="20"/>
        </w:rPr>
        <w:t>Bitstream</w:t>
      </w:r>
      <w:proofErr w:type="spellEnd"/>
      <w:r>
        <w:rPr>
          <w:sz w:val="22"/>
          <w:szCs w:val="20"/>
        </w:rPr>
        <w:t xml:space="preserve"> Access Service, as in force from time to time</w:t>
      </w:r>
      <w:r w:rsidRPr="005469E7">
        <w:rPr>
          <w:i/>
          <w:sz w:val="22"/>
          <w:szCs w:val="20"/>
        </w:rPr>
        <w:t>.</w:t>
      </w:r>
    </w:p>
    <w:p w:rsidR="001367E7" w:rsidRDefault="001367E7" w:rsidP="001367E7">
      <w:pPr>
        <w:tabs>
          <w:tab w:val="right" w:pos="1021"/>
        </w:tabs>
        <w:spacing w:before="120"/>
        <w:ind w:left="1134" w:hanging="414"/>
        <w:rPr>
          <w:sz w:val="22"/>
          <w:szCs w:val="20"/>
        </w:rPr>
      </w:pPr>
      <w:r>
        <w:rPr>
          <w:b/>
          <w:i/>
          <w:sz w:val="22"/>
          <w:szCs w:val="20"/>
        </w:rPr>
        <w:tab/>
      </w:r>
      <w:r>
        <w:rPr>
          <w:b/>
          <w:i/>
          <w:sz w:val="22"/>
          <w:szCs w:val="20"/>
        </w:rPr>
        <w:tab/>
      </w:r>
      <w:proofErr w:type="gramStart"/>
      <w:r>
        <w:rPr>
          <w:b/>
          <w:i/>
          <w:sz w:val="22"/>
          <w:szCs w:val="20"/>
        </w:rPr>
        <w:t>regulations</w:t>
      </w:r>
      <w:proofErr w:type="gramEnd"/>
      <w:r>
        <w:rPr>
          <w:b/>
          <w:i/>
          <w:sz w:val="22"/>
          <w:szCs w:val="20"/>
        </w:rPr>
        <w:t xml:space="preserve"> </w:t>
      </w:r>
      <w:r w:rsidRPr="00134BFC">
        <w:rPr>
          <w:sz w:val="22"/>
          <w:szCs w:val="20"/>
        </w:rPr>
        <w:t>m</w:t>
      </w:r>
      <w:r>
        <w:rPr>
          <w:sz w:val="22"/>
          <w:szCs w:val="20"/>
        </w:rPr>
        <w:t>ean any regulations made for the purpose of paragraphs 143A(1)(d)(ii) or 143A(1)(e)(ii) of the Act.</w:t>
      </w:r>
    </w:p>
    <w:p w:rsidR="001367E7" w:rsidRPr="003C4F23" w:rsidRDefault="001367E7" w:rsidP="001367E7">
      <w:pPr>
        <w:tabs>
          <w:tab w:val="right" w:pos="1021"/>
        </w:tabs>
        <w:spacing w:before="120"/>
        <w:ind w:left="1134" w:hanging="414"/>
        <w:rPr>
          <w:b/>
          <w:sz w:val="22"/>
          <w:szCs w:val="20"/>
        </w:rPr>
      </w:pPr>
      <w:r>
        <w:rPr>
          <w:b/>
          <w:i/>
          <w:sz w:val="22"/>
          <w:szCs w:val="20"/>
        </w:rPr>
        <w:tab/>
      </w:r>
      <w:r>
        <w:rPr>
          <w:b/>
          <w:i/>
          <w:sz w:val="22"/>
          <w:szCs w:val="20"/>
        </w:rPr>
        <w:tab/>
      </w:r>
      <w:proofErr w:type="gramStart"/>
      <w:r>
        <w:rPr>
          <w:b/>
          <w:i/>
          <w:sz w:val="22"/>
          <w:szCs w:val="20"/>
        </w:rPr>
        <w:t>residential</w:t>
      </w:r>
      <w:proofErr w:type="gramEnd"/>
      <w:r>
        <w:rPr>
          <w:b/>
          <w:i/>
          <w:sz w:val="22"/>
          <w:szCs w:val="20"/>
        </w:rPr>
        <w:t xml:space="preserve"> customer </w:t>
      </w:r>
      <w:r w:rsidRPr="00AB59CC">
        <w:rPr>
          <w:sz w:val="22"/>
          <w:szCs w:val="20"/>
        </w:rPr>
        <w:t>has a meaning affected by</w:t>
      </w:r>
      <w:r>
        <w:rPr>
          <w:b/>
          <w:sz w:val="22"/>
          <w:szCs w:val="20"/>
        </w:rPr>
        <w:t xml:space="preserve"> </w:t>
      </w:r>
      <w:r w:rsidRPr="00AB59CC">
        <w:rPr>
          <w:sz w:val="22"/>
          <w:szCs w:val="20"/>
        </w:rPr>
        <w:t>section 161 of the Act.</w:t>
      </w:r>
    </w:p>
    <w:p w:rsidR="001367E7" w:rsidRPr="00134BFC" w:rsidRDefault="001367E7" w:rsidP="001367E7">
      <w:pPr>
        <w:tabs>
          <w:tab w:val="right" w:pos="1021"/>
        </w:tabs>
        <w:spacing w:before="120"/>
        <w:ind w:left="1134" w:hanging="414"/>
        <w:rPr>
          <w:sz w:val="22"/>
          <w:szCs w:val="20"/>
        </w:rPr>
      </w:pPr>
      <w:r>
        <w:rPr>
          <w:b/>
          <w:i/>
          <w:sz w:val="22"/>
          <w:szCs w:val="20"/>
        </w:rPr>
        <w:tab/>
      </w:r>
      <w:r>
        <w:rPr>
          <w:b/>
          <w:i/>
          <w:sz w:val="22"/>
          <w:szCs w:val="20"/>
        </w:rPr>
        <w:tab/>
        <w:t xml:space="preserve">SBAS </w:t>
      </w:r>
      <w:r w:rsidRPr="005469E7">
        <w:rPr>
          <w:sz w:val="22"/>
          <w:szCs w:val="20"/>
        </w:rPr>
        <w:t xml:space="preserve">means a service </w:t>
      </w:r>
      <w:r>
        <w:rPr>
          <w:sz w:val="22"/>
          <w:szCs w:val="20"/>
        </w:rPr>
        <w:t>defined under the service description</w:t>
      </w:r>
      <w:r w:rsidRPr="005469E7">
        <w:rPr>
          <w:sz w:val="22"/>
          <w:szCs w:val="20"/>
        </w:rPr>
        <w:t xml:space="preserve"> </w:t>
      </w:r>
      <w:r>
        <w:rPr>
          <w:sz w:val="22"/>
          <w:szCs w:val="20"/>
        </w:rPr>
        <w:t>in an annexure to any d</w:t>
      </w:r>
      <w:r w:rsidRPr="005469E7">
        <w:rPr>
          <w:sz w:val="22"/>
          <w:szCs w:val="20"/>
        </w:rPr>
        <w:t xml:space="preserve">eclaration </w:t>
      </w:r>
      <w:r>
        <w:rPr>
          <w:sz w:val="22"/>
          <w:szCs w:val="20"/>
        </w:rPr>
        <w:t xml:space="preserve">made by the ACCC under subsection 152AL(3) of the </w:t>
      </w:r>
      <w:r w:rsidRPr="00A8380C">
        <w:rPr>
          <w:i/>
          <w:sz w:val="22"/>
          <w:szCs w:val="20"/>
        </w:rPr>
        <w:t>Competition and Consumer Act 2010</w:t>
      </w:r>
      <w:r>
        <w:rPr>
          <w:sz w:val="22"/>
          <w:szCs w:val="20"/>
        </w:rPr>
        <w:t xml:space="preserve"> in respect of the Superfast Broadband Access Service, as in force from time to time</w:t>
      </w:r>
      <w:r w:rsidRPr="005469E7">
        <w:rPr>
          <w:i/>
          <w:sz w:val="22"/>
          <w:szCs w:val="20"/>
        </w:rPr>
        <w:t>.</w:t>
      </w:r>
    </w:p>
    <w:bookmarkEnd w:id="6"/>
    <w:p w:rsidR="001367E7" w:rsidRDefault="001367E7" w:rsidP="001367E7">
      <w:pPr>
        <w:pStyle w:val="notetext"/>
        <w:rPr>
          <w:szCs w:val="18"/>
          <w:lang w:val="en-US"/>
        </w:rPr>
      </w:pPr>
      <w:r>
        <w:rPr>
          <w:szCs w:val="18"/>
          <w:lang w:val="en-US"/>
        </w:rPr>
        <w:t>Note 1: A number of terms used in this instrument are defined in the Act, including:</w:t>
      </w:r>
    </w:p>
    <w:p w:rsidR="001367E7" w:rsidRDefault="001367E7" w:rsidP="001367E7">
      <w:pPr>
        <w:pStyle w:val="notetext"/>
        <w:numPr>
          <w:ilvl w:val="0"/>
          <w:numId w:val="30"/>
        </w:numPr>
        <w:spacing w:before="60"/>
        <w:ind w:left="1848" w:hanging="357"/>
        <w:rPr>
          <w:szCs w:val="18"/>
          <w:lang w:val="en-US"/>
        </w:rPr>
      </w:pPr>
      <w:r>
        <w:rPr>
          <w:szCs w:val="18"/>
          <w:lang w:val="en-US"/>
        </w:rPr>
        <w:t xml:space="preserve">ACCC; </w:t>
      </w:r>
    </w:p>
    <w:p w:rsidR="001367E7" w:rsidRPr="005634E7" w:rsidRDefault="001367E7" w:rsidP="005634E7">
      <w:pPr>
        <w:pStyle w:val="notetext"/>
        <w:numPr>
          <w:ilvl w:val="0"/>
          <w:numId w:val="30"/>
        </w:numPr>
        <w:spacing w:before="0"/>
        <w:ind w:left="1848" w:hanging="357"/>
        <w:rPr>
          <w:szCs w:val="18"/>
          <w:lang w:val="en-US"/>
        </w:rPr>
      </w:pPr>
      <w:r>
        <w:rPr>
          <w:szCs w:val="18"/>
          <w:lang w:val="en-US"/>
        </w:rPr>
        <w:t xml:space="preserve">facility; </w:t>
      </w:r>
      <w:bookmarkStart w:id="7" w:name="_GoBack"/>
      <w:bookmarkEnd w:id="7"/>
      <w:r w:rsidRPr="005634E7">
        <w:rPr>
          <w:szCs w:val="18"/>
          <w:lang w:val="en-US"/>
        </w:rPr>
        <w:t>and</w:t>
      </w:r>
    </w:p>
    <w:p w:rsidR="001367E7" w:rsidRPr="00283F81" w:rsidRDefault="001367E7" w:rsidP="001367E7">
      <w:pPr>
        <w:pStyle w:val="notetext"/>
        <w:numPr>
          <w:ilvl w:val="0"/>
          <w:numId w:val="30"/>
        </w:numPr>
        <w:spacing w:before="0"/>
        <w:ind w:left="1848" w:hanging="357"/>
        <w:rPr>
          <w:szCs w:val="18"/>
          <w:lang w:val="en-US"/>
        </w:rPr>
      </w:pPr>
      <w:proofErr w:type="gramStart"/>
      <w:r>
        <w:rPr>
          <w:szCs w:val="18"/>
          <w:lang w:val="en-US"/>
        </w:rPr>
        <w:t>telecommunications</w:t>
      </w:r>
      <w:proofErr w:type="gramEnd"/>
      <w:r>
        <w:rPr>
          <w:szCs w:val="18"/>
          <w:lang w:val="en-US"/>
        </w:rPr>
        <w:t xml:space="preserve"> network.</w:t>
      </w:r>
    </w:p>
    <w:p w:rsidR="001367E7" w:rsidRPr="009C6674" w:rsidRDefault="001367E7" w:rsidP="001367E7">
      <w:pPr>
        <w:spacing w:before="122"/>
        <w:ind w:left="1701" w:hanging="567"/>
        <w:rPr>
          <w:sz w:val="18"/>
          <w:szCs w:val="20"/>
        </w:rPr>
      </w:pPr>
      <w:r>
        <w:rPr>
          <w:sz w:val="18"/>
          <w:szCs w:val="20"/>
        </w:rPr>
        <w:t xml:space="preserve">Note 2: </w:t>
      </w:r>
      <w:r w:rsidRPr="009C6674">
        <w:rPr>
          <w:sz w:val="18"/>
          <w:szCs w:val="20"/>
        </w:rPr>
        <w:t>Declaration</w:t>
      </w:r>
      <w:r>
        <w:rPr>
          <w:sz w:val="18"/>
          <w:szCs w:val="20"/>
        </w:rPr>
        <w:t>s</w:t>
      </w:r>
      <w:r w:rsidRPr="009C6674">
        <w:rPr>
          <w:sz w:val="18"/>
          <w:szCs w:val="20"/>
        </w:rPr>
        <w:t xml:space="preserve"> made by the ACCC</w:t>
      </w:r>
      <w:r>
        <w:rPr>
          <w:sz w:val="18"/>
          <w:szCs w:val="20"/>
        </w:rPr>
        <w:t xml:space="preserve"> under subsection 152AL(3) of the </w:t>
      </w:r>
      <w:r w:rsidRPr="006C6C7B">
        <w:rPr>
          <w:i/>
          <w:sz w:val="18"/>
          <w:szCs w:val="20"/>
        </w:rPr>
        <w:t>Competition and Consumer Act 2010</w:t>
      </w:r>
      <w:r>
        <w:rPr>
          <w:sz w:val="18"/>
          <w:szCs w:val="20"/>
        </w:rPr>
        <w:t xml:space="preserve"> in respect of the Local </w:t>
      </w:r>
      <w:proofErr w:type="spellStart"/>
      <w:r>
        <w:rPr>
          <w:sz w:val="18"/>
          <w:szCs w:val="20"/>
        </w:rPr>
        <w:t>Bitstream</w:t>
      </w:r>
      <w:proofErr w:type="spellEnd"/>
      <w:r>
        <w:rPr>
          <w:sz w:val="18"/>
          <w:szCs w:val="20"/>
        </w:rPr>
        <w:t xml:space="preserve"> Access Service and the Superfast Broadband Access Service may be accessed free of charge from the ACCC’s website at </w:t>
      </w:r>
      <w:hyperlink r:id="rId12" w:history="1">
        <w:r w:rsidRPr="003A6FE1">
          <w:rPr>
            <w:rStyle w:val="Hyperlink"/>
            <w:rFonts w:ascii="Times New Roman" w:hAnsi="Times New Roman"/>
            <w:sz w:val="18"/>
            <w:szCs w:val="20"/>
          </w:rPr>
          <w:t>www.accc.gov.au</w:t>
        </w:r>
      </w:hyperlink>
      <w:r w:rsidRPr="003A6FE1">
        <w:rPr>
          <w:sz w:val="18"/>
          <w:szCs w:val="20"/>
        </w:rPr>
        <w:t xml:space="preserve">. </w:t>
      </w:r>
    </w:p>
    <w:p w:rsidR="001367E7" w:rsidRDefault="001367E7" w:rsidP="001367E7">
      <w:pPr>
        <w:keepNext/>
        <w:keepLines/>
        <w:spacing w:before="280"/>
        <w:ind w:left="1843" w:hanging="1843"/>
        <w:outlineLvl w:val="4"/>
        <w:rPr>
          <w:b/>
          <w:kern w:val="28"/>
          <w:szCs w:val="20"/>
        </w:rPr>
      </w:pPr>
      <w:proofErr w:type="gramStart"/>
      <w:r>
        <w:rPr>
          <w:b/>
          <w:kern w:val="28"/>
          <w:szCs w:val="20"/>
        </w:rPr>
        <w:lastRenderedPageBreak/>
        <w:t>5</w:t>
      </w:r>
      <w:r w:rsidRPr="00575252">
        <w:rPr>
          <w:b/>
          <w:kern w:val="28"/>
          <w:szCs w:val="20"/>
        </w:rPr>
        <w:t xml:space="preserve">  </w:t>
      </w:r>
      <w:r w:rsidRPr="006A4C71">
        <w:rPr>
          <w:b/>
          <w:kern w:val="28"/>
          <w:szCs w:val="20"/>
        </w:rPr>
        <w:t>References</w:t>
      </w:r>
      <w:proofErr w:type="gramEnd"/>
      <w:r w:rsidRPr="006A4C71">
        <w:rPr>
          <w:b/>
          <w:kern w:val="28"/>
          <w:szCs w:val="20"/>
        </w:rPr>
        <w:t xml:space="preserve"> to other instruments</w:t>
      </w:r>
    </w:p>
    <w:p w:rsidR="001367E7" w:rsidRDefault="001367E7" w:rsidP="001367E7">
      <w:pPr>
        <w:keepNext/>
        <w:keepLines/>
        <w:spacing w:before="180"/>
        <w:ind w:left="1843" w:hanging="709"/>
        <w:outlineLvl w:val="4"/>
        <w:rPr>
          <w:sz w:val="22"/>
          <w:szCs w:val="20"/>
        </w:rPr>
      </w:pPr>
      <w:r>
        <w:t>In this instrument, unless the contrary intention appears:</w:t>
      </w:r>
    </w:p>
    <w:p w:rsidR="001367E7" w:rsidRDefault="001367E7" w:rsidP="001367E7">
      <w:pPr>
        <w:pStyle w:val="subsection"/>
        <w:numPr>
          <w:ilvl w:val="0"/>
          <w:numId w:val="29"/>
        </w:numPr>
        <w:shd w:val="clear" w:color="auto" w:fill="FFFFFF"/>
        <w:spacing w:before="120" w:beforeAutospacing="0" w:after="0" w:afterAutospacing="0"/>
        <w:rPr>
          <w:color w:val="000000"/>
          <w:sz w:val="22"/>
          <w:szCs w:val="22"/>
        </w:rPr>
      </w:pPr>
      <w:r w:rsidRPr="006A4C71">
        <w:rPr>
          <w:color w:val="000000"/>
          <w:sz w:val="22"/>
          <w:szCs w:val="22"/>
        </w:rPr>
        <w:t>a reference to any other legislative instrument is a reference to</w:t>
      </w:r>
      <w:r>
        <w:rPr>
          <w:color w:val="000000"/>
          <w:sz w:val="22"/>
          <w:szCs w:val="22"/>
        </w:rPr>
        <w:t xml:space="preserve"> </w:t>
      </w:r>
      <w:r w:rsidRPr="006A4C71">
        <w:rPr>
          <w:color w:val="000000"/>
          <w:sz w:val="22"/>
          <w:szCs w:val="22"/>
        </w:rPr>
        <w:t>that other legislative instrument as in force from time to time</w:t>
      </w:r>
      <w:r>
        <w:rPr>
          <w:color w:val="000000"/>
          <w:sz w:val="22"/>
          <w:szCs w:val="22"/>
        </w:rPr>
        <w:t>; and</w:t>
      </w:r>
    </w:p>
    <w:p w:rsidR="001367E7" w:rsidRPr="007B4F1A" w:rsidRDefault="001367E7" w:rsidP="001367E7">
      <w:pPr>
        <w:pStyle w:val="subsection"/>
        <w:numPr>
          <w:ilvl w:val="0"/>
          <w:numId w:val="29"/>
        </w:numPr>
        <w:shd w:val="clear" w:color="auto" w:fill="FFFFFF"/>
        <w:spacing w:before="120" w:beforeAutospacing="0" w:after="0" w:afterAutospacing="0"/>
        <w:ind w:left="1797" w:hanging="357"/>
        <w:rPr>
          <w:color w:val="000000"/>
          <w:sz w:val="22"/>
          <w:szCs w:val="22"/>
        </w:rPr>
      </w:pPr>
      <w:proofErr w:type="gramStart"/>
      <w:r w:rsidRPr="006A4C71">
        <w:rPr>
          <w:color w:val="000000"/>
          <w:sz w:val="22"/>
          <w:szCs w:val="22"/>
        </w:rPr>
        <w:t>a</w:t>
      </w:r>
      <w:proofErr w:type="gramEnd"/>
      <w:r w:rsidRPr="006A4C71">
        <w:rPr>
          <w:color w:val="000000"/>
          <w:sz w:val="22"/>
          <w:szCs w:val="22"/>
        </w:rPr>
        <w:t xml:space="preserve"> reference to any other kind of instrument or writing is a reference to that other instrument or writing as in force or in existence </w:t>
      </w:r>
      <w:r>
        <w:rPr>
          <w:color w:val="000000"/>
          <w:sz w:val="22"/>
          <w:szCs w:val="22"/>
        </w:rPr>
        <w:t>from time to time.</w:t>
      </w:r>
    </w:p>
    <w:p w:rsidR="001367E7" w:rsidRDefault="001367E7" w:rsidP="001367E7">
      <w:pPr>
        <w:pStyle w:val="notetext"/>
        <w:ind w:left="1701" w:hanging="567"/>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rsidR="001367E7" w:rsidRDefault="001367E7" w:rsidP="001367E7">
      <w:pPr>
        <w:pStyle w:val="li-bodytextnote"/>
        <w:shd w:val="clear" w:color="auto" w:fill="FFFFFF"/>
        <w:spacing w:before="122" w:beforeAutospacing="0" w:after="0" w:afterAutospacing="0"/>
        <w:ind w:left="1701" w:hanging="567"/>
        <w:rPr>
          <w:color w:val="000000"/>
          <w:sz w:val="18"/>
          <w:szCs w:val="18"/>
        </w:rPr>
      </w:pPr>
      <w:r w:rsidRPr="006A4C71">
        <w:rPr>
          <w:color w:val="000000"/>
          <w:sz w:val="18"/>
          <w:szCs w:val="18"/>
        </w:rPr>
        <w:t xml:space="preserve">Note 2: All Commonwealth Acts and legislative instruments are registered on the Federal Register of Legislation. </w:t>
      </w:r>
    </w:p>
    <w:p w:rsidR="001367E7" w:rsidRPr="006655FA" w:rsidRDefault="001367E7" w:rsidP="001367E7">
      <w:pPr>
        <w:pStyle w:val="notetext"/>
        <w:ind w:left="414" w:firstLine="720"/>
        <w:rPr>
          <w:color w:val="000000"/>
          <w:szCs w:val="18"/>
        </w:rPr>
      </w:pPr>
      <w:r>
        <w:rPr>
          <w:color w:val="000000"/>
          <w:szCs w:val="18"/>
        </w:rPr>
        <w:t xml:space="preserve">Note 3: </w:t>
      </w:r>
      <w:r w:rsidRPr="006A4C71">
        <w:rPr>
          <w:color w:val="000000"/>
          <w:szCs w:val="18"/>
        </w:rPr>
        <w:t xml:space="preserve">For paragraph (b), see </w:t>
      </w:r>
      <w:r>
        <w:rPr>
          <w:color w:val="000000"/>
          <w:szCs w:val="18"/>
        </w:rPr>
        <w:t>sub</w:t>
      </w:r>
      <w:r w:rsidRPr="006A4C71">
        <w:rPr>
          <w:color w:val="000000"/>
          <w:szCs w:val="18"/>
        </w:rPr>
        <w:t xml:space="preserve">section </w:t>
      </w:r>
      <w:r>
        <w:rPr>
          <w:color w:val="000000"/>
          <w:szCs w:val="18"/>
        </w:rPr>
        <w:t>589(2)</w:t>
      </w:r>
      <w:r w:rsidRPr="006A4C71">
        <w:rPr>
          <w:color w:val="000000"/>
          <w:szCs w:val="18"/>
        </w:rPr>
        <w:t xml:space="preserve"> of the Act.</w:t>
      </w:r>
    </w:p>
    <w:p w:rsidR="001367E7" w:rsidRPr="00575252" w:rsidRDefault="001367E7" w:rsidP="001367E7">
      <w:pPr>
        <w:keepNext/>
        <w:keepLines/>
        <w:spacing w:before="120"/>
        <w:ind w:left="1843" w:hanging="1843"/>
        <w:outlineLvl w:val="4"/>
        <w:rPr>
          <w:b/>
          <w:kern w:val="28"/>
          <w:szCs w:val="20"/>
        </w:rPr>
      </w:pPr>
      <w:proofErr w:type="gramStart"/>
      <w:r>
        <w:rPr>
          <w:b/>
          <w:kern w:val="28"/>
          <w:szCs w:val="20"/>
        </w:rPr>
        <w:t>6</w:t>
      </w:r>
      <w:r w:rsidRPr="00575252">
        <w:rPr>
          <w:b/>
          <w:kern w:val="28"/>
          <w:szCs w:val="20"/>
        </w:rPr>
        <w:t xml:space="preserve">  </w:t>
      </w:r>
      <w:r>
        <w:rPr>
          <w:b/>
          <w:kern w:val="28"/>
          <w:szCs w:val="20"/>
        </w:rPr>
        <w:t>Specification</w:t>
      </w:r>
      <w:proofErr w:type="gramEnd"/>
      <w:r>
        <w:rPr>
          <w:b/>
          <w:kern w:val="28"/>
          <w:szCs w:val="20"/>
        </w:rPr>
        <w:t xml:space="preserve"> of designated carriage service</w:t>
      </w:r>
    </w:p>
    <w:p w:rsidR="001367E7" w:rsidRPr="00575252" w:rsidRDefault="001367E7" w:rsidP="001367E7">
      <w:pPr>
        <w:spacing w:before="120"/>
        <w:ind w:left="1134"/>
        <w:rPr>
          <w:sz w:val="22"/>
          <w:szCs w:val="20"/>
        </w:rPr>
      </w:pPr>
      <w:r w:rsidRPr="00575252">
        <w:rPr>
          <w:sz w:val="22"/>
          <w:szCs w:val="20"/>
        </w:rPr>
        <w:t xml:space="preserve">The </w:t>
      </w:r>
      <w:r>
        <w:rPr>
          <w:sz w:val="22"/>
          <w:szCs w:val="20"/>
        </w:rPr>
        <w:t>SBAS and the LBAS are designated carriage services for the purposes of Part 8 of the Act.</w:t>
      </w:r>
    </w:p>
    <w:p w:rsidR="001367E7" w:rsidRPr="00575252" w:rsidRDefault="001367E7" w:rsidP="001367E7">
      <w:pPr>
        <w:keepNext/>
        <w:keepLines/>
        <w:spacing w:before="120"/>
        <w:ind w:left="1843" w:hanging="1843"/>
        <w:outlineLvl w:val="4"/>
        <w:rPr>
          <w:b/>
          <w:kern w:val="28"/>
          <w:szCs w:val="20"/>
        </w:rPr>
      </w:pPr>
      <w:proofErr w:type="gramStart"/>
      <w:r>
        <w:rPr>
          <w:b/>
          <w:kern w:val="28"/>
          <w:szCs w:val="20"/>
        </w:rPr>
        <w:t>7</w:t>
      </w:r>
      <w:r w:rsidRPr="00575252">
        <w:rPr>
          <w:b/>
          <w:kern w:val="28"/>
          <w:szCs w:val="20"/>
        </w:rPr>
        <w:t xml:space="preserve">  </w:t>
      </w:r>
      <w:r>
        <w:rPr>
          <w:b/>
          <w:kern w:val="28"/>
          <w:szCs w:val="20"/>
        </w:rPr>
        <w:t>Exemption</w:t>
      </w:r>
      <w:proofErr w:type="gramEnd"/>
      <w:r>
        <w:rPr>
          <w:b/>
          <w:kern w:val="28"/>
          <w:szCs w:val="20"/>
        </w:rPr>
        <w:t xml:space="preserve"> </w:t>
      </w:r>
    </w:p>
    <w:p w:rsidR="001367E7" w:rsidRPr="00FF1A2D" w:rsidRDefault="001367E7" w:rsidP="001367E7">
      <w:pPr>
        <w:pStyle w:val="subsection"/>
        <w:tabs>
          <w:tab w:val="right" w:pos="1276"/>
        </w:tabs>
        <w:spacing w:before="120" w:beforeAutospacing="0" w:after="0" w:afterAutospacing="0"/>
        <w:ind w:left="1077"/>
        <w:rPr>
          <w:sz w:val="22"/>
          <w:szCs w:val="22"/>
        </w:rPr>
      </w:pPr>
      <w:r w:rsidRPr="00FF1A2D">
        <w:rPr>
          <w:sz w:val="22"/>
          <w:szCs w:val="22"/>
        </w:rPr>
        <w:t>In circumstances where a person:</w:t>
      </w:r>
    </w:p>
    <w:p w:rsidR="001367E7" w:rsidRPr="00FF1A2D" w:rsidRDefault="001367E7" w:rsidP="001367E7">
      <w:pPr>
        <w:pStyle w:val="subsection"/>
        <w:numPr>
          <w:ilvl w:val="0"/>
          <w:numId w:val="31"/>
        </w:numPr>
        <w:tabs>
          <w:tab w:val="right" w:pos="1276"/>
        </w:tabs>
        <w:spacing w:before="60" w:beforeAutospacing="0" w:after="60" w:afterAutospacing="0"/>
        <w:ind w:left="1434" w:hanging="357"/>
        <w:rPr>
          <w:sz w:val="22"/>
          <w:szCs w:val="22"/>
        </w:rPr>
      </w:pPr>
      <w:r>
        <w:rPr>
          <w:sz w:val="22"/>
          <w:szCs w:val="22"/>
        </w:rPr>
        <w:t xml:space="preserve">is not </w:t>
      </w:r>
      <w:r w:rsidRPr="00FF1A2D">
        <w:rPr>
          <w:sz w:val="22"/>
          <w:szCs w:val="22"/>
        </w:rPr>
        <w:t xml:space="preserve">a member of an associated group </w:t>
      </w:r>
      <w:r>
        <w:rPr>
          <w:sz w:val="22"/>
          <w:szCs w:val="22"/>
        </w:rPr>
        <w:t>and who</w:t>
      </w:r>
      <w:r w:rsidRPr="00FF1A2D">
        <w:rPr>
          <w:sz w:val="22"/>
          <w:szCs w:val="22"/>
        </w:rPr>
        <w:t xml:space="preserve"> suppl</w:t>
      </w:r>
      <w:r>
        <w:rPr>
          <w:sz w:val="22"/>
          <w:szCs w:val="22"/>
        </w:rPr>
        <w:t xml:space="preserve">ies </w:t>
      </w:r>
      <w:r w:rsidRPr="00FF1A2D">
        <w:rPr>
          <w:sz w:val="22"/>
          <w:szCs w:val="22"/>
        </w:rPr>
        <w:t xml:space="preserve">fixed-line carriage services </w:t>
      </w:r>
      <w:r>
        <w:rPr>
          <w:sz w:val="22"/>
          <w:szCs w:val="22"/>
        </w:rPr>
        <w:t>to the higher of no more than:</w:t>
      </w:r>
    </w:p>
    <w:p w:rsidR="001367E7" w:rsidRDefault="001367E7" w:rsidP="001367E7">
      <w:pPr>
        <w:pStyle w:val="subsection"/>
        <w:numPr>
          <w:ilvl w:val="0"/>
          <w:numId w:val="32"/>
        </w:numPr>
        <w:tabs>
          <w:tab w:val="right" w:pos="1276"/>
        </w:tabs>
        <w:spacing w:before="60" w:beforeAutospacing="0"/>
        <w:ind w:left="1843" w:hanging="425"/>
        <w:rPr>
          <w:sz w:val="22"/>
          <w:szCs w:val="22"/>
        </w:rPr>
      </w:pPr>
      <w:r w:rsidRPr="00FF1A2D">
        <w:rPr>
          <w:sz w:val="22"/>
          <w:szCs w:val="22"/>
        </w:rPr>
        <w:t>2,000 residential customers;</w:t>
      </w:r>
      <w:r>
        <w:rPr>
          <w:sz w:val="22"/>
          <w:szCs w:val="22"/>
        </w:rPr>
        <w:t xml:space="preserve"> or</w:t>
      </w:r>
    </w:p>
    <w:p w:rsidR="001367E7" w:rsidRDefault="001367E7" w:rsidP="001367E7">
      <w:pPr>
        <w:pStyle w:val="subsection"/>
        <w:numPr>
          <w:ilvl w:val="0"/>
          <w:numId w:val="32"/>
        </w:numPr>
        <w:tabs>
          <w:tab w:val="right" w:pos="1276"/>
        </w:tabs>
        <w:spacing w:before="60" w:beforeAutospacing="0" w:after="60" w:afterAutospacing="0"/>
        <w:ind w:left="1843" w:hanging="425"/>
        <w:rPr>
          <w:sz w:val="22"/>
          <w:szCs w:val="22"/>
        </w:rPr>
      </w:pPr>
      <w:r>
        <w:rPr>
          <w:sz w:val="22"/>
          <w:szCs w:val="22"/>
        </w:rPr>
        <w:t xml:space="preserve">the number of residential customers (not exceeding 12,000) specified in regulations made for the purpose of subparagraph 143A(1)(d)(ii) of the Act, </w:t>
      </w:r>
      <w:r w:rsidRPr="00150C5D">
        <w:rPr>
          <w:sz w:val="22"/>
          <w:szCs w:val="22"/>
        </w:rPr>
        <w:t>as in force from time to time</w:t>
      </w:r>
      <w:r>
        <w:rPr>
          <w:sz w:val="22"/>
          <w:szCs w:val="22"/>
        </w:rPr>
        <w:t>; or</w:t>
      </w:r>
    </w:p>
    <w:p w:rsidR="001367E7" w:rsidRDefault="001367E7" w:rsidP="001367E7">
      <w:pPr>
        <w:pStyle w:val="subsection"/>
        <w:numPr>
          <w:ilvl w:val="0"/>
          <w:numId w:val="31"/>
        </w:numPr>
        <w:tabs>
          <w:tab w:val="right" w:pos="1276"/>
        </w:tabs>
        <w:spacing w:before="60" w:beforeAutospacing="0" w:after="60" w:afterAutospacing="0"/>
        <w:ind w:left="1434" w:hanging="357"/>
        <w:rPr>
          <w:sz w:val="22"/>
          <w:szCs w:val="22"/>
        </w:rPr>
      </w:pPr>
      <w:r>
        <w:rPr>
          <w:sz w:val="22"/>
          <w:szCs w:val="22"/>
        </w:rPr>
        <w:t xml:space="preserve">is </w:t>
      </w:r>
      <w:r w:rsidRPr="00FF1A2D">
        <w:rPr>
          <w:rFonts w:eastAsia="Calibri"/>
          <w:sz w:val="22"/>
          <w:szCs w:val="22"/>
          <w:lang w:eastAsia="en-US"/>
        </w:rPr>
        <w:t>a member of an associated group</w:t>
      </w:r>
      <w:r>
        <w:rPr>
          <w:rFonts w:eastAsia="Calibri"/>
          <w:sz w:val="22"/>
          <w:szCs w:val="22"/>
          <w:lang w:eastAsia="en-US"/>
        </w:rPr>
        <w:t>,</w:t>
      </w:r>
      <w:r w:rsidRPr="00FF1A2D">
        <w:rPr>
          <w:rFonts w:eastAsia="Calibri"/>
          <w:sz w:val="22"/>
          <w:szCs w:val="22"/>
          <w:lang w:eastAsia="en-US"/>
        </w:rPr>
        <w:t xml:space="preserve"> </w:t>
      </w:r>
      <w:r>
        <w:rPr>
          <w:rFonts w:eastAsia="Calibri"/>
          <w:sz w:val="22"/>
          <w:szCs w:val="22"/>
          <w:lang w:eastAsia="en-US"/>
        </w:rPr>
        <w:t>and the members of that associated group, in aggregate, supply</w:t>
      </w:r>
      <w:r w:rsidRPr="00FF1A2D">
        <w:rPr>
          <w:rFonts w:eastAsia="Calibri"/>
          <w:sz w:val="22"/>
          <w:szCs w:val="22"/>
          <w:lang w:eastAsia="en-US"/>
        </w:rPr>
        <w:t xml:space="preserve"> fixed-line carriage services </w:t>
      </w:r>
      <w:r>
        <w:rPr>
          <w:sz w:val="22"/>
          <w:szCs w:val="22"/>
        </w:rPr>
        <w:t>to the higher of no more than:</w:t>
      </w:r>
    </w:p>
    <w:p w:rsidR="001367E7" w:rsidRDefault="001367E7" w:rsidP="001367E7">
      <w:pPr>
        <w:pStyle w:val="subsection"/>
        <w:numPr>
          <w:ilvl w:val="0"/>
          <w:numId w:val="36"/>
        </w:numPr>
        <w:tabs>
          <w:tab w:val="right" w:pos="1276"/>
        </w:tabs>
        <w:spacing w:before="60" w:beforeAutospacing="0"/>
        <w:ind w:left="1843" w:hanging="425"/>
        <w:rPr>
          <w:sz w:val="22"/>
          <w:szCs w:val="22"/>
        </w:rPr>
      </w:pPr>
      <w:r>
        <w:rPr>
          <w:sz w:val="22"/>
          <w:szCs w:val="22"/>
        </w:rPr>
        <w:t>2,000 residential customers; or</w:t>
      </w:r>
    </w:p>
    <w:p w:rsidR="001367E7" w:rsidRDefault="001367E7" w:rsidP="001367E7">
      <w:pPr>
        <w:pStyle w:val="subsection"/>
        <w:numPr>
          <w:ilvl w:val="0"/>
          <w:numId w:val="36"/>
        </w:numPr>
        <w:tabs>
          <w:tab w:val="right" w:pos="1276"/>
        </w:tabs>
        <w:spacing w:before="60" w:beforeAutospacing="0" w:after="60" w:afterAutospacing="0"/>
        <w:ind w:left="1843" w:hanging="425"/>
        <w:rPr>
          <w:sz w:val="22"/>
          <w:szCs w:val="22"/>
        </w:rPr>
      </w:pPr>
      <w:r>
        <w:rPr>
          <w:sz w:val="22"/>
          <w:szCs w:val="22"/>
        </w:rPr>
        <w:t xml:space="preserve">the number </w:t>
      </w:r>
      <w:r w:rsidRPr="00150C5D">
        <w:rPr>
          <w:sz w:val="22"/>
          <w:szCs w:val="22"/>
        </w:rPr>
        <w:t>of residential customer</w:t>
      </w:r>
      <w:r>
        <w:rPr>
          <w:sz w:val="22"/>
          <w:szCs w:val="22"/>
        </w:rPr>
        <w:t>s</w:t>
      </w:r>
      <w:r w:rsidRPr="00150C5D">
        <w:rPr>
          <w:sz w:val="22"/>
          <w:szCs w:val="22"/>
        </w:rPr>
        <w:t xml:space="preserve"> </w:t>
      </w:r>
      <w:r>
        <w:rPr>
          <w:sz w:val="22"/>
          <w:szCs w:val="22"/>
        </w:rPr>
        <w:t xml:space="preserve">(not exceeding 12,000) </w:t>
      </w:r>
      <w:r w:rsidRPr="00150C5D">
        <w:rPr>
          <w:sz w:val="22"/>
          <w:szCs w:val="22"/>
        </w:rPr>
        <w:t>specified in regulations made for the purpose of subparagraph 143A(1)(</w:t>
      </w:r>
      <w:r>
        <w:rPr>
          <w:sz w:val="22"/>
          <w:szCs w:val="22"/>
        </w:rPr>
        <w:t>e</w:t>
      </w:r>
      <w:r w:rsidRPr="00150C5D">
        <w:rPr>
          <w:sz w:val="22"/>
          <w:szCs w:val="22"/>
        </w:rPr>
        <w:t>)(ii) of the Act</w:t>
      </w:r>
      <w:r>
        <w:rPr>
          <w:sz w:val="22"/>
          <w:szCs w:val="22"/>
        </w:rPr>
        <w:t>,</w:t>
      </w:r>
      <w:r w:rsidRPr="00150C5D">
        <w:rPr>
          <w:sz w:val="22"/>
          <w:szCs w:val="22"/>
        </w:rPr>
        <w:t xml:space="preserve"> as in force from time to time</w:t>
      </w:r>
      <w:r>
        <w:rPr>
          <w:sz w:val="22"/>
          <w:szCs w:val="22"/>
        </w:rPr>
        <w:t>;</w:t>
      </w:r>
    </w:p>
    <w:p w:rsidR="001367E7" w:rsidRDefault="00B21631" w:rsidP="00B21631">
      <w:pPr>
        <w:pStyle w:val="subsection"/>
        <w:tabs>
          <w:tab w:val="right" w:pos="993"/>
        </w:tabs>
        <w:spacing w:before="60" w:beforeAutospacing="0" w:after="60" w:afterAutospacing="0"/>
        <w:rPr>
          <w:sz w:val="22"/>
          <w:szCs w:val="22"/>
        </w:rPr>
      </w:pPr>
      <w:r>
        <w:rPr>
          <w:sz w:val="22"/>
          <w:szCs w:val="22"/>
        </w:rPr>
        <w:tab/>
      </w:r>
      <w:r>
        <w:rPr>
          <w:sz w:val="22"/>
          <w:szCs w:val="22"/>
        </w:rPr>
        <w:tab/>
        <w:t xml:space="preserve"> </w:t>
      </w:r>
      <w:proofErr w:type="gramStart"/>
      <w:r w:rsidR="001367E7">
        <w:rPr>
          <w:sz w:val="22"/>
          <w:szCs w:val="22"/>
        </w:rPr>
        <w:t>and</w:t>
      </w:r>
      <w:proofErr w:type="gramEnd"/>
      <w:r w:rsidR="001367E7">
        <w:rPr>
          <w:sz w:val="22"/>
          <w:szCs w:val="22"/>
        </w:rPr>
        <w:t xml:space="preserve"> that person:</w:t>
      </w:r>
    </w:p>
    <w:p w:rsidR="001367E7" w:rsidRPr="00FF1A2D" w:rsidRDefault="001367E7" w:rsidP="001367E7">
      <w:pPr>
        <w:pStyle w:val="subsection"/>
        <w:numPr>
          <w:ilvl w:val="0"/>
          <w:numId w:val="31"/>
        </w:numPr>
        <w:tabs>
          <w:tab w:val="right" w:pos="1276"/>
        </w:tabs>
        <w:spacing w:before="60" w:beforeAutospacing="0"/>
        <w:ind w:left="1434" w:hanging="357"/>
        <w:rPr>
          <w:sz w:val="22"/>
          <w:szCs w:val="22"/>
        </w:rPr>
      </w:pPr>
      <w:r w:rsidRPr="00FF1A2D">
        <w:rPr>
          <w:sz w:val="22"/>
          <w:szCs w:val="22"/>
        </w:rPr>
        <w:t>has, by written notice to the ACCC, elected to be bound by this Determination; and</w:t>
      </w:r>
    </w:p>
    <w:p w:rsidR="001367E7" w:rsidRDefault="001367E7" w:rsidP="001367E7">
      <w:pPr>
        <w:numPr>
          <w:ilvl w:val="0"/>
          <w:numId w:val="31"/>
        </w:numPr>
        <w:spacing w:before="60" w:line="260" w:lineRule="atLeast"/>
        <w:ind w:left="1434" w:right="397" w:hanging="357"/>
        <w:jc w:val="both"/>
        <w:rPr>
          <w:sz w:val="22"/>
          <w:szCs w:val="22"/>
        </w:rPr>
      </w:pPr>
      <w:r w:rsidRPr="00FF1A2D">
        <w:rPr>
          <w:sz w:val="22"/>
          <w:szCs w:val="22"/>
        </w:rPr>
        <w:t>has not, by written notice to t</w:t>
      </w:r>
      <w:r>
        <w:rPr>
          <w:sz w:val="22"/>
          <w:szCs w:val="22"/>
        </w:rPr>
        <w:t>he ACCC, cancelled the election;</w:t>
      </w:r>
    </w:p>
    <w:p w:rsidR="001367E7" w:rsidRPr="00FF1A2D" w:rsidRDefault="001367E7" w:rsidP="001367E7">
      <w:pPr>
        <w:pStyle w:val="subsection"/>
        <w:tabs>
          <w:tab w:val="right" w:pos="1276"/>
        </w:tabs>
        <w:spacing w:before="120" w:beforeAutospacing="0" w:after="0" w:afterAutospacing="0"/>
        <w:ind w:left="1077"/>
        <w:rPr>
          <w:sz w:val="22"/>
          <w:szCs w:val="22"/>
        </w:rPr>
      </w:pPr>
      <w:proofErr w:type="gramStart"/>
      <w:r w:rsidRPr="00FF1A2D">
        <w:rPr>
          <w:sz w:val="22"/>
          <w:szCs w:val="22"/>
        </w:rPr>
        <w:t>the</w:t>
      </w:r>
      <w:proofErr w:type="gramEnd"/>
      <w:r w:rsidRPr="00FF1A2D">
        <w:rPr>
          <w:sz w:val="22"/>
          <w:szCs w:val="22"/>
        </w:rPr>
        <w:t xml:space="preserve"> person is exempt from sections 142C or 143 of the Act, subject to the conditions</w:t>
      </w:r>
      <w:r>
        <w:rPr>
          <w:sz w:val="22"/>
          <w:szCs w:val="22"/>
        </w:rPr>
        <w:t xml:space="preserve"> and limitations set out in section 8.</w:t>
      </w:r>
    </w:p>
    <w:p w:rsidR="001367E7" w:rsidRPr="00575252" w:rsidRDefault="001367E7" w:rsidP="001367E7">
      <w:pPr>
        <w:keepNext/>
        <w:keepLines/>
        <w:spacing w:before="180"/>
        <w:ind w:left="1843" w:hanging="1843"/>
        <w:outlineLvl w:val="4"/>
        <w:rPr>
          <w:b/>
          <w:kern w:val="28"/>
          <w:szCs w:val="20"/>
        </w:rPr>
      </w:pPr>
      <w:proofErr w:type="gramStart"/>
      <w:r>
        <w:rPr>
          <w:b/>
          <w:kern w:val="28"/>
          <w:szCs w:val="20"/>
        </w:rPr>
        <w:t>8</w:t>
      </w:r>
      <w:r w:rsidRPr="00575252">
        <w:rPr>
          <w:b/>
          <w:kern w:val="28"/>
          <w:szCs w:val="20"/>
        </w:rPr>
        <w:t xml:space="preserve">  </w:t>
      </w:r>
      <w:r>
        <w:rPr>
          <w:b/>
          <w:kern w:val="28"/>
          <w:szCs w:val="20"/>
        </w:rPr>
        <w:t>Conditions</w:t>
      </w:r>
      <w:proofErr w:type="gramEnd"/>
      <w:r>
        <w:rPr>
          <w:b/>
          <w:kern w:val="28"/>
          <w:szCs w:val="20"/>
        </w:rPr>
        <w:t xml:space="preserve"> and limitations</w:t>
      </w:r>
    </w:p>
    <w:p w:rsidR="001367E7" w:rsidRDefault="001367E7" w:rsidP="001367E7">
      <w:pPr>
        <w:spacing w:before="120" w:after="120"/>
        <w:ind w:left="1134" w:hanging="57"/>
        <w:rPr>
          <w:sz w:val="22"/>
          <w:szCs w:val="20"/>
        </w:rPr>
      </w:pPr>
      <w:r>
        <w:rPr>
          <w:sz w:val="22"/>
          <w:szCs w:val="20"/>
        </w:rPr>
        <w:t xml:space="preserve"> For the purpose of section 7, the conditions and limitations are:</w:t>
      </w:r>
    </w:p>
    <w:p w:rsidR="001367E7" w:rsidRDefault="001367E7" w:rsidP="001367E7">
      <w:pPr>
        <w:numPr>
          <w:ilvl w:val="0"/>
          <w:numId w:val="33"/>
        </w:numPr>
        <w:spacing w:before="120" w:line="276" w:lineRule="auto"/>
        <w:ind w:left="1418" w:hanging="284"/>
        <w:rPr>
          <w:rFonts w:eastAsia="Calibri"/>
          <w:sz w:val="22"/>
          <w:szCs w:val="22"/>
        </w:rPr>
      </w:pPr>
      <w:r w:rsidRPr="002735D3">
        <w:rPr>
          <w:rFonts w:eastAsia="Calibri"/>
          <w:sz w:val="22"/>
          <w:szCs w:val="22"/>
        </w:rPr>
        <w:t xml:space="preserve">the person must ensure that </w:t>
      </w:r>
      <w:r>
        <w:rPr>
          <w:rFonts w:eastAsia="Calibri"/>
          <w:sz w:val="22"/>
          <w:szCs w:val="22"/>
        </w:rPr>
        <w:t xml:space="preserve">the </w:t>
      </w:r>
      <w:r w:rsidRPr="002735D3">
        <w:rPr>
          <w:rFonts w:eastAsia="Calibri"/>
          <w:sz w:val="22"/>
          <w:szCs w:val="22"/>
        </w:rPr>
        <w:t xml:space="preserve">LBAS and/or </w:t>
      </w:r>
      <w:r>
        <w:rPr>
          <w:rFonts w:eastAsia="Calibri"/>
          <w:sz w:val="22"/>
          <w:szCs w:val="22"/>
        </w:rPr>
        <w:t xml:space="preserve">the </w:t>
      </w:r>
      <w:r w:rsidRPr="002735D3">
        <w:rPr>
          <w:rFonts w:eastAsia="Calibri"/>
          <w:sz w:val="22"/>
          <w:szCs w:val="22"/>
        </w:rPr>
        <w:t>SBAS is available for supply to wholesale customers, or prospective wholesale customers, of the person;</w:t>
      </w:r>
    </w:p>
    <w:p w:rsidR="001367E7" w:rsidRDefault="001367E7" w:rsidP="001367E7">
      <w:pPr>
        <w:numPr>
          <w:ilvl w:val="0"/>
          <w:numId w:val="33"/>
        </w:numPr>
        <w:spacing w:before="60" w:line="276" w:lineRule="auto"/>
        <w:ind w:left="1418" w:hanging="284"/>
        <w:rPr>
          <w:rFonts w:eastAsia="Calibri"/>
          <w:sz w:val="22"/>
          <w:szCs w:val="22"/>
        </w:rPr>
      </w:pPr>
      <w:r w:rsidRPr="002735D3">
        <w:rPr>
          <w:rFonts w:eastAsia="Calibri"/>
          <w:sz w:val="22"/>
          <w:szCs w:val="22"/>
        </w:rPr>
        <w:t xml:space="preserve">the person must not discriminate between the person’s wholesale customers, or the person’s prospective wholesale customers, in relation to the supply of </w:t>
      </w:r>
      <w:r>
        <w:rPr>
          <w:rFonts w:eastAsia="Calibri"/>
          <w:sz w:val="22"/>
          <w:szCs w:val="22"/>
        </w:rPr>
        <w:t xml:space="preserve">the </w:t>
      </w:r>
      <w:r w:rsidRPr="002735D3">
        <w:rPr>
          <w:rFonts w:eastAsia="Calibri"/>
          <w:sz w:val="22"/>
          <w:szCs w:val="22"/>
        </w:rPr>
        <w:t xml:space="preserve">LBAS and/or </w:t>
      </w:r>
      <w:r>
        <w:rPr>
          <w:rFonts w:eastAsia="Calibri"/>
          <w:sz w:val="22"/>
          <w:szCs w:val="22"/>
        </w:rPr>
        <w:t xml:space="preserve">the </w:t>
      </w:r>
      <w:r w:rsidRPr="002735D3">
        <w:rPr>
          <w:rFonts w:eastAsia="Calibri"/>
          <w:sz w:val="22"/>
          <w:szCs w:val="22"/>
        </w:rPr>
        <w:t>SBAS;</w:t>
      </w:r>
    </w:p>
    <w:p w:rsidR="001367E7" w:rsidRDefault="001367E7" w:rsidP="001367E7">
      <w:pPr>
        <w:numPr>
          <w:ilvl w:val="0"/>
          <w:numId w:val="33"/>
        </w:numPr>
        <w:spacing w:before="60" w:line="276" w:lineRule="auto"/>
        <w:ind w:left="1418" w:hanging="284"/>
        <w:rPr>
          <w:rFonts w:eastAsia="Calibri"/>
          <w:sz w:val="22"/>
          <w:szCs w:val="22"/>
        </w:rPr>
      </w:pPr>
      <w:r w:rsidRPr="002735D3">
        <w:rPr>
          <w:rFonts w:eastAsia="Calibri"/>
          <w:sz w:val="22"/>
          <w:szCs w:val="22"/>
        </w:rPr>
        <w:t xml:space="preserve">the person must not discriminate in favour of itself in relation to the supply of </w:t>
      </w:r>
      <w:r>
        <w:rPr>
          <w:rFonts w:eastAsia="Calibri"/>
          <w:sz w:val="22"/>
          <w:szCs w:val="22"/>
        </w:rPr>
        <w:t xml:space="preserve">the </w:t>
      </w:r>
      <w:r w:rsidRPr="002735D3">
        <w:rPr>
          <w:rFonts w:eastAsia="Calibri"/>
          <w:sz w:val="22"/>
          <w:szCs w:val="22"/>
        </w:rPr>
        <w:t xml:space="preserve">LBAS and/or </w:t>
      </w:r>
      <w:r>
        <w:rPr>
          <w:rFonts w:eastAsia="Calibri"/>
          <w:sz w:val="22"/>
          <w:szCs w:val="22"/>
        </w:rPr>
        <w:t xml:space="preserve">the </w:t>
      </w:r>
      <w:r w:rsidRPr="002735D3">
        <w:rPr>
          <w:rFonts w:eastAsia="Calibri"/>
          <w:sz w:val="22"/>
          <w:szCs w:val="22"/>
        </w:rPr>
        <w:t>SBAS;</w:t>
      </w:r>
    </w:p>
    <w:p w:rsidR="001367E7" w:rsidRPr="002735D3" w:rsidRDefault="001367E7" w:rsidP="001367E7">
      <w:pPr>
        <w:numPr>
          <w:ilvl w:val="0"/>
          <w:numId w:val="33"/>
        </w:numPr>
        <w:spacing w:before="60" w:line="276" w:lineRule="auto"/>
        <w:ind w:left="1418" w:hanging="284"/>
        <w:rPr>
          <w:rFonts w:eastAsia="Calibri"/>
          <w:sz w:val="22"/>
          <w:szCs w:val="22"/>
        </w:rPr>
      </w:pPr>
      <w:r w:rsidRPr="002735D3">
        <w:rPr>
          <w:rFonts w:eastAsia="Calibri"/>
          <w:sz w:val="22"/>
          <w:szCs w:val="22"/>
          <w:lang w:eastAsia="en-US"/>
        </w:rPr>
        <w:lastRenderedPageBreak/>
        <w:t>the person must not, in carrying on any of the following activities, discriminate between the person’s wholesale customers or the person’s prospective wholesale customers:</w:t>
      </w:r>
    </w:p>
    <w:p w:rsidR="001367E7" w:rsidRDefault="001367E7" w:rsidP="001367E7">
      <w:pPr>
        <w:numPr>
          <w:ilvl w:val="0"/>
          <w:numId w:val="34"/>
        </w:numPr>
        <w:spacing w:before="60" w:line="276" w:lineRule="auto"/>
        <w:ind w:left="1843" w:hanging="425"/>
        <w:rPr>
          <w:rFonts w:eastAsia="Calibri"/>
          <w:sz w:val="22"/>
          <w:szCs w:val="22"/>
          <w:lang w:eastAsia="en-US"/>
        </w:rPr>
      </w:pPr>
      <w:r w:rsidRPr="002735D3">
        <w:rPr>
          <w:rFonts w:eastAsia="Calibri"/>
          <w:sz w:val="22"/>
          <w:szCs w:val="22"/>
          <w:lang w:eastAsia="en-US"/>
        </w:rPr>
        <w:t>developing a new eligible service;</w:t>
      </w:r>
    </w:p>
    <w:p w:rsidR="001367E7" w:rsidRDefault="001367E7" w:rsidP="001367E7">
      <w:pPr>
        <w:numPr>
          <w:ilvl w:val="0"/>
          <w:numId w:val="34"/>
        </w:numPr>
        <w:spacing w:before="120" w:after="120" w:line="276" w:lineRule="auto"/>
        <w:ind w:left="1843" w:hanging="425"/>
        <w:contextualSpacing/>
        <w:rPr>
          <w:rFonts w:eastAsia="Calibri"/>
          <w:sz w:val="22"/>
          <w:szCs w:val="22"/>
          <w:lang w:eastAsia="en-US"/>
        </w:rPr>
      </w:pPr>
      <w:r w:rsidRPr="002735D3">
        <w:rPr>
          <w:rFonts w:eastAsia="Calibri"/>
          <w:sz w:val="22"/>
          <w:szCs w:val="22"/>
          <w:lang w:eastAsia="en-US"/>
        </w:rPr>
        <w:t>enhancing an eligible service;</w:t>
      </w:r>
    </w:p>
    <w:p w:rsidR="001367E7" w:rsidRDefault="001367E7" w:rsidP="001367E7">
      <w:pPr>
        <w:numPr>
          <w:ilvl w:val="0"/>
          <w:numId w:val="34"/>
        </w:numPr>
        <w:spacing w:before="120" w:after="120" w:line="276" w:lineRule="auto"/>
        <w:ind w:left="1843" w:hanging="425"/>
        <w:contextualSpacing/>
        <w:rPr>
          <w:rFonts w:eastAsia="Calibri"/>
          <w:sz w:val="22"/>
          <w:szCs w:val="22"/>
          <w:lang w:eastAsia="en-US"/>
        </w:rPr>
      </w:pPr>
      <w:r w:rsidRPr="002735D3">
        <w:rPr>
          <w:rFonts w:eastAsia="Calibri"/>
          <w:sz w:val="22"/>
          <w:szCs w:val="22"/>
          <w:lang w:eastAsia="en-US"/>
        </w:rPr>
        <w:t>extending or enhancing the capability of a facility or telecommunications network by means of which an eligible service is, or is to be, supplied;</w:t>
      </w:r>
    </w:p>
    <w:p w:rsidR="001367E7" w:rsidRDefault="001367E7" w:rsidP="001367E7">
      <w:pPr>
        <w:numPr>
          <w:ilvl w:val="0"/>
          <w:numId w:val="34"/>
        </w:numPr>
        <w:spacing w:before="120" w:after="120" w:line="276" w:lineRule="auto"/>
        <w:ind w:left="1843" w:hanging="425"/>
        <w:contextualSpacing/>
        <w:rPr>
          <w:rFonts w:eastAsia="Calibri"/>
          <w:sz w:val="22"/>
          <w:szCs w:val="22"/>
          <w:lang w:eastAsia="en-US"/>
        </w:rPr>
      </w:pPr>
      <w:r w:rsidRPr="002735D3">
        <w:rPr>
          <w:rFonts w:eastAsia="Calibri"/>
          <w:sz w:val="22"/>
          <w:szCs w:val="22"/>
          <w:lang w:eastAsia="en-US"/>
        </w:rPr>
        <w:t>planning for a facility or telecommunications network by means of which an eligible service is, or is to be, supplied;</w:t>
      </w:r>
    </w:p>
    <w:p w:rsidR="001367E7" w:rsidRDefault="001367E7" w:rsidP="001367E7">
      <w:pPr>
        <w:numPr>
          <w:ilvl w:val="0"/>
          <w:numId w:val="34"/>
        </w:numPr>
        <w:spacing w:before="120" w:after="120" w:line="276" w:lineRule="auto"/>
        <w:ind w:left="1843" w:hanging="425"/>
        <w:contextualSpacing/>
        <w:rPr>
          <w:rFonts w:eastAsia="Calibri"/>
          <w:sz w:val="22"/>
          <w:szCs w:val="22"/>
          <w:lang w:eastAsia="en-US"/>
        </w:rPr>
      </w:pPr>
      <w:r w:rsidRPr="002735D3">
        <w:rPr>
          <w:rFonts w:eastAsia="Calibri"/>
          <w:sz w:val="22"/>
          <w:szCs w:val="22"/>
          <w:lang w:eastAsia="en-US"/>
        </w:rPr>
        <w:t>an activity that is preparatory to the supply of an eligible service;</w:t>
      </w:r>
    </w:p>
    <w:p w:rsidR="001367E7" w:rsidRDefault="001367E7" w:rsidP="001367E7">
      <w:pPr>
        <w:numPr>
          <w:ilvl w:val="0"/>
          <w:numId w:val="34"/>
        </w:numPr>
        <w:spacing w:before="120" w:after="120" w:line="276" w:lineRule="auto"/>
        <w:ind w:left="1843" w:hanging="425"/>
        <w:contextualSpacing/>
        <w:rPr>
          <w:rFonts w:eastAsia="Calibri"/>
          <w:sz w:val="22"/>
          <w:szCs w:val="22"/>
          <w:lang w:eastAsia="en-US"/>
        </w:rPr>
      </w:pPr>
      <w:r w:rsidRPr="002735D3">
        <w:rPr>
          <w:rFonts w:eastAsia="Calibri"/>
          <w:sz w:val="22"/>
          <w:szCs w:val="22"/>
          <w:lang w:eastAsia="en-US"/>
        </w:rPr>
        <w:t>an activity that is ancillary or incidental to the supply of an eligible service;</w:t>
      </w:r>
    </w:p>
    <w:p w:rsidR="001367E7" w:rsidRPr="002735D3" w:rsidRDefault="001367E7" w:rsidP="001367E7">
      <w:pPr>
        <w:numPr>
          <w:ilvl w:val="0"/>
          <w:numId w:val="34"/>
        </w:numPr>
        <w:spacing w:before="120" w:after="60" w:line="276" w:lineRule="auto"/>
        <w:ind w:left="1843" w:hanging="425"/>
        <w:rPr>
          <w:rFonts w:eastAsia="Calibri"/>
          <w:sz w:val="22"/>
          <w:szCs w:val="22"/>
          <w:lang w:eastAsia="en-US"/>
        </w:rPr>
      </w:pPr>
      <w:r w:rsidRPr="002735D3">
        <w:rPr>
          <w:rFonts w:eastAsia="Calibri"/>
          <w:sz w:val="22"/>
          <w:szCs w:val="22"/>
          <w:lang w:eastAsia="en-US"/>
        </w:rPr>
        <w:t>giving information to service providers about any of the above activities;</w:t>
      </w:r>
    </w:p>
    <w:p w:rsidR="001367E7" w:rsidRDefault="001367E7" w:rsidP="001367E7">
      <w:pPr>
        <w:numPr>
          <w:ilvl w:val="0"/>
          <w:numId w:val="33"/>
        </w:numPr>
        <w:spacing w:after="60" w:line="276" w:lineRule="auto"/>
        <w:ind w:left="1418" w:hanging="284"/>
        <w:rPr>
          <w:rFonts w:eastAsia="Calibri"/>
          <w:sz w:val="22"/>
          <w:szCs w:val="22"/>
        </w:rPr>
      </w:pPr>
      <w:r>
        <w:rPr>
          <w:rFonts w:eastAsia="Calibri"/>
          <w:sz w:val="22"/>
          <w:szCs w:val="22"/>
        </w:rPr>
        <w:t>the person must not discriminate in favour of itself in relation to the carrying on of any of the following activities:</w:t>
      </w:r>
    </w:p>
    <w:p w:rsidR="001367E7" w:rsidRDefault="001367E7" w:rsidP="001367E7">
      <w:pPr>
        <w:pStyle w:val="ListParagraph"/>
        <w:numPr>
          <w:ilvl w:val="0"/>
          <w:numId w:val="35"/>
        </w:numPr>
        <w:tabs>
          <w:tab w:val="clear" w:pos="340"/>
        </w:tabs>
        <w:spacing w:before="60" w:line="276" w:lineRule="auto"/>
        <w:ind w:left="1843" w:hanging="425"/>
        <w:rPr>
          <w:rFonts w:eastAsia="Calibri"/>
          <w:sz w:val="22"/>
          <w:szCs w:val="22"/>
          <w:lang w:eastAsia="en-US"/>
        </w:rPr>
      </w:pPr>
      <w:r w:rsidRPr="00D5667B">
        <w:rPr>
          <w:rFonts w:eastAsia="Calibri"/>
          <w:sz w:val="22"/>
          <w:szCs w:val="22"/>
          <w:lang w:eastAsia="en-US"/>
        </w:rPr>
        <w:t>developing a new eligible service;</w:t>
      </w:r>
    </w:p>
    <w:p w:rsidR="001367E7"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enhancing an eligible service;</w:t>
      </w:r>
    </w:p>
    <w:p w:rsidR="001367E7"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extending or enhancing the capability of a facility or telecommunications network by means of which an eligible service is, or is to be, supplied;</w:t>
      </w:r>
    </w:p>
    <w:p w:rsidR="001367E7"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planning for a facility or telecommunications network by means of which an eligible service is, or is to be, supplied;</w:t>
      </w:r>
    </w:p>
    <w:p w:rsidR="001367E7"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an activity that is preparatory to the supply of an eligible service;</w:t>
      </w:r>
    </w:p>
    <w:p w:rsidR="001367E7"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an activity that is ancillary or incidental to the supply of an eligible service;</w:t>
      </w:r>
    </w:p>
    <w:p w:rsidR="001367E7" w:rsidRPr="00D5667B" w:rsidRDefault="001367E7" w:rsidP="001367E7">
      <w:pPr>
        <w:pStyle w:val="ListParagraph"/>
        <w:numPr>
          <w:ilvl w:val="0"/>
          <w:numId w:val="35"/>
        </w:numPr>
        <w:tabs>
          <w:tab w:val="clear" w:pos="340"/>
        </w:tabs>
        <w:spacing w:after="120" w:line="276" w:lineRule="auto"/>
        <w:ind w:left="1843" w:hanging="425"/>
        <w:contextualSpacing/>
        <w:rPr>
          <w:rFonts w:eastAsia="Calibri"/>
          <w:sz w:val="22"/>
          <w:szCs w:val="22"/>
          <w:lang w:eastAsia="en-US"/>
        </w:rPr>
      </w:pPr>
      <w:r w:rsidRPr="00D5667B">
        <w:rPr>
          <w:rFonts w:eastAsia="Calibri"/>
          <w:sz w:val="22"/>
          <w:szCs w:val="22"/>
        </w:rPr>
        <w:t>giving information to service providers about any of the above activities;</w:t>
      </w:r>
    </w:p>
    <w:p w:rsidR="001367E7" w:rsidRDefault="001367E7" w:rsidP="001367E7">
      <w:pPr>
        <w:pStyle w:val="ListParagraph"/>
        <w:numPr>
          <w:ilvl w:val="0"/>
          <w:numId w:val="33"/>
        </w:numPr>
        <w:tabs>
          <w:tab w:val="clear" w:pos="340"/>
          <w:tab w:val="right" w:pos="1021"/>
        </w:tabs>
        <w:spacing w:before="60"/>
        <w:ind w:left="1440" w:hanging="306"/>
        <w:rPr>
          <w:sz w:val="22"/>
          <w:szCs w:val="20"/>
        </w:rPr>
      </w:pPr>
      <w:r>
        <w:rPr>
          <w:sz w:val="22"/>
          <w:szCs w:val="20"/>
        </w:rPr>
        <w:t xml:space="preserve">if the person is not a member of an associated group, the person must notify the ACCC, in writing, within 30 days after 30 June each year, of the number of </w:t>
      </w:r>
      <w:r w:rsidRPr="00C26B9E">
        <w:rPr>
          <w:rFonts w:eastAsia="Calibri"/>
          <w:sz w:val="22"/>
          <w:szCs w:val="22"/>
        </w:rPr>
        <w:t>residential customers to whom the person supplied fixed-line carriage services as at 30 June of that year;</w:t>
      </w:r>
    </w:p>
    <w:p w:rsidR="001367E7" w:rsidRDefault="001367E7" w:rsidP="001367E7">
      <w:pPr>
        <w:pStyle w:val="ListParagraph"/>
        <w:numPr>
          <w:ilvl w:val="0"/>
          <w:numId w:val="33"/>
        </w:numPr>
        <w:tabs>
          <w:tab w:val="clear" w:pos="340"/>
          <w:tab w:val="right" w:pos="1021"/>
        </w:tabs>
        <w:spacing w:before="60"/>
        <w:ind w:left="1440" w:hanging="306"/>
        <w:rPr>
          <w:sz w:val="22"/>
          <w:szCs w:val="20"/>
        </w:rPr>
      </w:pPr>
      <w:r>
        <w:rPr>
          <w:sz w:val="22"/>
          <w:szCs w:val="20"/>
        </w:rPr>
        <w:t>if the person is a member of an associated group, the person must notify the ACCC, in writing, within 30 days after 30 June each year, of the total number of residential customers to whom the members of that associated group supplied fixed-line carriage services as at 30 June of that year;</w:t>
      </w:r>
    </w:p>
    <w:p w:rsidR="001367E7" w:rsidRPr="00E54DD4" w:rsidRDefault="001367E7" w:rsidP="001367E7">
      <w:pPr>
        <w:pStyle w:val="ListParagraph"/>
        <w:numPr>
          <w:ilvl w:val="0"/>
          <w:numId w:val="33"/>
        </w:numPr>
        <w:tabs>
          <w:tab w:val="clear" w:pos="340"/>
          <w:tab w:val="right" w:pos="1021"/>
        </w:tabs>
        <w:spacing w:before="60"/>
        <w:ind w:left="1440" w:hanging="306"/>
        <w:rPr>
          <w:sz w:val="22"/>
          <w:szCs w:val="20"/>
        </w:rPr>
      </w:pPr>
      <w:r>
        <w:rPr>
          <w:sz w:val="22"/>
          <w:szCs w:val="20"/>
        </w:rPr>
        <w:t xml:space="preserve">in the event that a person is not a member of an associated group and the person supplies </w:t>
      </w:r>
      <w:r w:rsidRPr="00FF1A2D">
        <w:rPr>
          <w:sz w:val="22"/>
          <w:szCs w:val="22"/>
        </w:rPr>
        <w:t>fixed-line carriage services</w:t>
      </w:r>
      <w:r>
        <w:rPr>
          <w:sz w:val="22"/>
          <w:szCs w:val="22"/>
        </w:rPr>
        <w:t xml:space="preserve"> to a number of residential customers that exceeds the higher of the number of customers specified at subparagraphs 7(a)(</w:t>
      </w:r>
      <w:proofErr w:type="spellStart"/>
      <w:r>
        <w:rPr>
          <w:sz w:val="22"/>
          <w:szCs w:val="22"/>
        </w:rPr>
        <w:t>i</w:t>
      </w:r>
      <w:proofErr w:type="spellEnd"/>
      <w:r>
        <w:rPr>
          <w:sz w:val="22"/>
          <w:szCs w:val="22"/>
        </w:rPr>
        <w:t>) and 7(a)(ii), the person must notify the ACCC, in writing, of that event within 14 days of that event occurring; and</w:t>
      </w:r>
    </w:p>
    <w:p w:rsidR="001367E7" w:rsidRPr="00A43F67" w:rsidRDefault="001367E7" w:rsidP="001367E7">
      <w:pPr>
        <w:pStyle w:val="ListParagraph"/>
        <w:numPr>
          <w:ilvl w:val="0"/>
          <w:numId w:val="33"/>
        </w:numPr>
        <w:tabs>
          <w:tab w:val="clear" w:pos="340"/>
          <w:tab w:val="right" w:pos="1021"/>
        </w:tabs>
        <w:spacing w:before="60"/>
        <w:ind w:left="1440" w:hanging="306"/>
        <w:rPr>
          <w:sz w:val="22"/>
          <w:szCs w:val="20"/>
        </w:rPr>
      </w:pPr>
      <w:r w:rsidRPr="00A43F67">
        <w:rPr>
          <w:sz w:val="22"/>
          <w:szCs w:val="20"/>
        </w:rPr>
        <w:t xml:space="preserve">in the event that a person is a member of an associated group and the </w:t>
      </w:r>
      <w:r>
        <w:rPr>
          <w:sz w:val="22"/>
          <w:szCs w:val="20"/>
        </w:rPr>
        <w:t xml:space="preserve">members of that </w:t>
      </w:r>
      <w:r w:rsidRPr="00A43F67">
        <w:rPr>
          <w:sz w:val="22"/>
          <w:szCs w:val="20"/>
        </w:rPr>
        <w:t>associated group</w:t>
      </w:r>
      <w:r>
        <w:rPr>
          <w:sz w:val="22"/>
          <w:szCs w:val="20"/>
        </w:rPr>
        <w:t>,</w:t>
      </w:r>
      <w:r w:rsidRPr="00A43F67">
        <w:rPr>
          <w:sz w:val="22"/>
          <w:szCs w:val="20"/>
        </w:rPr>
        <w:t xml:space="preserve"> </w:t>
      </w:r>
      <w:r>
        <w:rPr>
          <w:sz w:val="22"/>
          <w:szCs w:val="20"/>
        </w:rPr>
        <w:t xml:space="preserve">in aggregate, </w:t>
      </w:r>
      <w:r w:rsidRPr="00A43F67">
        <w:rPr>
          <w:sz w:val="22"/>
          <w:szCs w:val="20"/>
        </w:rPr>
        <w:t>suppl</w:t>
      </w:r>
      <w:r>
        <w:rPr>
          <w:sz w:val="22"/>
          <w:szCs w:val="20"/>
        </w:rPr>
        <w:t>y</w:t>
      </w:r>
      <w:r w:rsidRPr="00A43F67">
        <w:rPr>
          <w:sz w:val="22"/>
          <w:szCs w:val="20"/>
        </w:rPr>
        <w:t xml:space="preserve"> </w:t>
      </w:r>
      <w:r w:rsidRPr="00A43F67">
        <w:rPr>
          <w:sz w:val="22"/>
          <w:szCs w:val="22"/>
        </w:rPr>
        <w:t xml:space="preserve">fixed-line carriage services to a number of residential customers that exceeds the higher of the number of customers specified at subparagraphs </w:t>
      </w:r>
      <w:r>
        <w:rPr>
          <w:sz w:val="22"/>
          <w:szCs w:val="22"/>
        </w:rPr>
        <w:t>7</w:t>
      </w:r>
      <w:r w:rsidRPr="00A43F67">
        <w:rPr>
          <w:sz w:val="22"/>
          <w:szCs w:val="22"/>
        </w:rPr>
        <w:t>(b</w:t>
      </w:r>
      <w:proofErr w:type="gramStart"/>
      <w:r w:rsidRPr="00A43F67">
        <w:rPr>
          <w:sz w:val="22"/>
          <w:szCs w:val="22"/>
        </w:rPr>
        <w:t>)(</w:t>
      </w:r>
      <w:proofErr w:type="spellStart"/>
      <w:proofErr w:type="gramEnd"/>
      <w:r w:rsidRPr="00A43F67">
        <w:rPr>
          <w:sz w:val="22"/>
          <w:szCs w:val="22"/>
        </w:rPr>
        <w:t>i</w:t>
      </w:r>
      <w:proofErr w:type="spellEnd"/>
      <w:r w:rsidRPr="00A43F67">
        <w:rPr>
          <w:sz w:val="22"/>
          <w:szCs w:val="22"/>
        </w:rPr>
        <w:t xml:space="preserve">) and </w:t>
      </w:r>
      <w:r>
        <w:rPr>
          <w:sz w:val="22"/>
          <w:szCs w:val="22"/>
        </w:rPr>
        <w:t>7</w:t>
      </w:r>
      <w:r w:rsidRPr="00A43F67">
        <w:rPr>
          <w:sz w:val="22"/>
          <w:szCs w:val="22"/>
        </w:rPr>
        <w:t>(b)(ii), the person must notify the ACCC, in writing, of that event within 14 days of that event occurring.</w:t>
      </w:r>
    </w:p>
    <w:p w:rsidR="00AC3E35" w:rsidRDefault="00AC3E35"/>
    <w:sectPr w:rsidR="00AC3E35" w:rsidSect="001367E7">
      <w:headerReference w:type="default" r:id="rId13"/>
      <w:footerReference w:type="default" r:id="rId14"/>
      <w:footerReference w:type="first" r:id="rId15"/>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79" w:rsidRDefault="002B6F79" w:rsidP="004B4412">
      <w:r>
        <w:separator/>
      </w:r>
    </w:p>
  </w:endnote>
  <w:endnote w:type="continuationSeparator" w:id="0">
    <w:p w:rsidR="002B6F79" w:rsidRDefault="002B6F7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E7" w:rsidRDefault="001367E7" w:rsidP="001367E7">
    <w:pPr>
      <w:pStyle w:val="Footer"/>
      <w:pBdr>
        <w:bottom w:val="single" w:sz="6" w:space="1" w:color="auto"/>
      </w:pBdr>
      <w:rPr>
        <w:i/>
      </w:rPr>
    </w:pPr>
  </w:p>
  <w:p w:rsidR="001367E7" w:rsidRPr="00EA37AF" w:rsidRDefault="001367E7" w:rsidP="001367E7">
    <w:pPr>
      <w:pStyle w:val="Footer"/>
      <w:rPr>
        <w:sz w:val="22"/>
        <w:szCs w:val="22"/>
      </w:rPr>
    </w:pPr>
    <w:r>
      <w:rPr>
        <w:i/>
        <w:sz w:val="22"/>
        <w:szCs w:val="22"/>
      </w:rPr>
      <w:tab/>
    </w:r>
    <w:r w:rsidRPr="00EA37AF">
      <w:rPr>
        <w:i/>
        <w:sz w:val="22"/>
        <w:szCs w:val="22"/>
      </w:rPr>
      <w:t>Telecommunications (Superfast Broadband Network Class Exemption) Determination 2020</w:t>
    </w:r>
  </w:p>
  <w:p w:rsidR="001367E7" w:rsidRDefault="0013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79" w:rsidRDefault="002B6F79" w:rsidP="004B4412">
      <w:r>
        <w:separator/>
      </w:r>
    </w:p>
  </w:footnote>
  <w:footnote w:type="continuationSeparator" w:id="0">
    <w:p w:rsidR="002B6F79" w:rsidRDefault="002B6F79" w:rsidP="004B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E7" w:rsidRDefault="001367E7" w:rsidP="001367E7">
    <w:pPr>
      <w:pBdr>
        <w:bottom w:val="single" w:sz="4" w:space="1" w:color="auto"/>
      </w:pBdr>
    </w:pPr>
  </w:p>
  <w:p w:rsidR="001367E7" w:rsidRDefault="00136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717AB7"/>
    <w:multiLevelType w:val="hybridMultilevel"/>
    <w:tmpl w:val="5ACCBDDC"/>
    <w:lvl w:ilvl="0" w:tplc="D4A08B6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A14E61"/>
    <w:multiLevelType w:val="hybridMultilevel"/>
    <w:tmpl w:val="FD7C1A1A"/>
    <w:lvl w:ilvl="0" w:tplc="DA58F008">
      <w:start w:val="1"/>
      <w:numFmt w:val="lowerLetter"/>
      <w:lvlText w:val="(%1)"/>
      <w:lvlJc w:val="left"/>
      <w:pPr>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A4638F"/>
    <w:multiLevelType w:val="hybridMultilevel"/>
    <w:tmpl w:val="594AD194"/>
    <w:lvl w:ilvl="0" w:tplc="874CD386">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5"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15:restartNumberingAfterBreak="0">
    <w:nsid w:val="21E61E0C"/>
    <w:multiLevelType w:val="hybridMultilevel"/>
    <w:tmpl w:val="FE6031AE"/>
    <w:lvl w:ilvl="0" w:tplc="3BFC82B0">
      <w:start w:val="1"/>
      <w:numFmt w:val="lowerRoman"/>
      <w:lvlText w:val="(%1)"/>
      <w:lvlJc w:val="left"/>
      <w:pPr>
        <w:ind w:left="4712" w:hanging="720"/>
      </w:pPr>
      <w:rPr>
        <w:rFonts w:hint="default"/>
      </w:rPr>
    </w:lvl>
    <w:lvl w:ilvl="1" w:tplc="0C090019" w:tentative="1">
      <w:start w:val="1"/>
      <w:numFmt w:val="lowerLetter"/>
      <w:lvlText w:val="%2."/>
      <w:lvlJc w:val="left"/>
      <w:pPr>
        <w:ind w:left="5072" w:hanging="360"/>
      </w:pPr>
    </w:lvl>
    <w:lvl w:ilvl="2" w:tplc="0C09001B" w:tentative="1">
      <w:start w:val="1"/>
      <w:numFmt w:val="lowerRoman"/>
      <w:lvlText w:val="%3."/>
      <w:lvlJc w:val="right"/>
      <w:pPr>
        <w:ind w:left="5792" w:hanging="180"/>
      </w:pPr>
    </w:lvl>
    <w:lvl w:ilvl="3" w:tplc="0C09000F" w:tentative="1">
      <w:start w:val="1"/>
      <w:numFmt w:val="decimal"/>
      <w:lvlText w:val="%4."/>
      <w:lvlJc w:val="left"/>
      <w:pPr>
        <w:ind w:left="6512" w:hanging="360"/>
      </w:pPr>
    </w:lvl>
    <w:lvl w:ilvl="4" w:tplc="0C090019" w:tentative="1">
      <w:start w:val="1"/>
      <w:numFmt w:val="lowerLetter"/>
      <w:lvlText w:val="%5."/>
      <w:lvlJc w:val="left"/>
      <w:pPr>
        <w:ind w:left="7232" w:hanging="360"/>
      </w:pPr>
    </w:lvl>
    <w:lvl w:ilvl="5" w:tplc="0C09001B" w:tentative="1">
      <w:start w:val="1"/>
      <w:numFmt w:val="lowerRoman"/>
      <w:lvlText w:val="%6."/>
      <w:lvlJc w:val="right"/>
      <w:pPr>
        <w:ind w:left="7952" w:hanging="180"/>
      </w:pPr>
    </w:lvl>
    <w:lvl w:ilvl="6" w:tplc="0C09000F" w:tentative="1">
      <w:start w:val="1"/>
      <w:numFmt w:val="decimal"/>
      <w:lvlText w:val="%7."/>
      <w:lvlJc w:val="left"/>
      <w:pPr>
        <w:ind w:left="8672" w:hanging="360"/>
      </w:pPr>
    </w:lvl>
    <w:lvl w:ilvl="7" w:tplc="0C090019" w:tentative="1">
      <w:start w:val="1"/>
      <w:numFmt w:val="lowerLetter"/>
      <w:lvlText w:val="%8."/>
      <w:lvlJc w:val="left"/>
      <w:pPr>
        <w:ind w:left="9392" w:hanging="360"/>
      </w:pPr>
    </w:lvl>
    <w:lvl w:ilvl="8" w:tplc="0C09001B" w:tentative="1">
      <w:start w:val="1"/>
      <w:numFmt w:val="lowerRoman"/>
      <w:lvlText w:val="%9."/>
      <w:lvlJc w:val="right"/>
      <w:pPr>
        <w:ind w:left="10112" w:hanging="180"/>
      </w:pPr>
    </w:lvl>
  </w:abstractNum>
  <w:abstractNum w:abstractNumId="17" w15:restartNumberingAfterBreak="0">
    <w:nsid w:val="268E4E14"/>
    <w:multiLevelType w:val="hybridMultilevel"/>
    <w:tmpl w:val="3CD2B5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511103"/>
    <w:multiLevelType w:val="hybridMultilevel"/>
    <w:tmpl w:val="5ACCBDDC"/>
    <w:lvl w:ilvl="0" w:tplc="D4A08B6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1C2D4D"/>
    <w:multiLevelType w:val="hybridMultilevel"/>
    <w:tmpl w:val="E68E50DA"/>
    <w:lvl w:ilvl="0" w:tplc="1A1C048C">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691E7AE8"/>
    <w:multiLevelType w:val="hybridMultilevel"/>
    <w:tmpl w:val="3CAE5C80"/>
    <w:lvl w:ilvl="0" w:tplc="3474C1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F12252"/>
    <w:multiLevelType w:val="hybridMultilevel"/>
    <w:tmpl w:val="BF1E87B4"/>
    <w:lvl w:ilvl="0" w:tplc="7A3CF120">
      <w:start w:val="1"/>
      <w:numFmt w:val="lowerRoman"/>
      <w:lvlText w:val="(%1)"/>
      <w:lvlJc w:val="left"/>
      <w:pPr>
        <w:ind w:left="2138" w:hanging="720"/>
      </w:pPr>
      <w:rPr>
        <w:rFonts w:ascii="Times New Roman" w:eastAsia="Calibri" w:hAnsi="Times New Roman" w:cs="Times New Roman"/>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1"/>
  </w:num>
  <w:num w:numId="8">
    <w:abstractNumId w:val="0"/>
  </w:num>
  <w:num w:numId="9">
    <w:abstractNumId w:val="28"/>
  </w:num>
  <w:num w:numId="10">
    <w:abstractNumId w:val="21"/>
  </w:num>
  <w:num w:numId="11">
    <w:abstractNumId w:val="10"/>
  </w:num>
  <w:num w:numId="12">
    <w:abstractNumId w:val="15"/>
  </w:num>
  <w:num w:numId="13">
    <w:abstractNumId w:val="20"/>
  </w:num>
  <w:num w:numId="14">
    <w:abstractNumId w:val="2"/>
  </w:num>
  <w:num w:numId="15">
    <w:abstractNumId w:val="30"/>
  </w:num>
  <w:num w:numId="16">
    <w:abstractNumId w:val="33"/>
  </w:num>
  <w:num w:numId="17">
    <w:abstractNumId w:val="32"/>
  </w:num>
  <w:num w:numId="18">
    <w:abstractNumId w:val="25"/>
  </w:num>
  <w:num w:numId="19">
    <w:abstractNumId w:val="18"/>
  </w:num>
  <w:num w:numId="20">
    <w:abstractNumId w:val="23"/>
  </w:num>
  <w:num w:numId="21">
    <w:abstractNumId w:val="31"/>
  </w:num>
  <w:num w:numId="22">
    <w:abstractNumId w:val="26"/>
  </w:num>
  <w:num w:numId="23">
    <w:abstractNumId w:val="8"/>
  </w:num>
  <w:num w:numId="24">
    <w:abstractNumId w:val="3"/>
  </w:num>
  <w:num w:numId="25">
    <w:abstractNumId w:val="24"/>
  </w:num>
  <w:num w:numId="26">
    <w:abstractNumId w:val="13"/>
  </w:num>
  <w:num w:numId="27">
    <w:abstractNumId w:val="27"/>
  </w:num>
  <w:num w:numId="28">
    <w:abstractNumId w:val="19"/>
  </w:num>
  <w:num w:numId="29">
    <w:abstractNumId w:val="9"/>
  </w:num>
  <w:num w:numId="30">
    <w:abstractNumId w:val="17"/>
  </w:num>
  <w:num w:numId="31">
    <w:abstractNumId w:val="11"/>
  </w:num>
  <w:num w:numId="32">
    <w:abstractNumId w:val="16"/>
  </w:num>
  <w:num w:numId="33">
    <w:abstractNumId w:val="22"/>
  </w:num>
  <w:num w:numId="34">
    <w:abstractNumId w:val="29"/>
  </w:num>
  <w:num w:numId="35">
    <w:abstractNumId w:val="35"/>
  </w:num>
  <w:num w:numId="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1367E7"/>
    <w:rsid w:val="0002115F"/>
    <w:rsid w:val="00021202"/>
    <w:rsid w:val="000225C4"/>
    <w:rsid w:val="0002508C"/>
    <w:rsid w:val="0003578C"/>
    <w:rsid w:val="00063247"/>
    <w:rsid w:val="00070F9F"/>
    <w:rsid w:val="0007137B"/>
    <w:rsid w:val="00085663"/>
    <w:rsid w:val="00085EBF"/>
    <w:rsid w:val="000D122C"/>
    <w:rsid w:val="000E1819"/>
    <w:rsid w:val="000E6C72"/>
    <w:rsid w:val="000F2368"/>
    <w:rsid w:val="00116EB2"/>
    <w:rsid w:val="00124609"/>
    <w:rsid w:val="001367E7"/>
    <w:rsid w:val="001573E4"/>
    <w:rsid w:val="00160756"/>
    <w:rsid w:val="0017232E"/>
    <w:rsid w:val="00174102"/>
    <w:rsid w:val="00180157"/>
    <w:rsid w:val="00181223"/>
    <w:rsid w:val="00186F77"/>
    <w:rsid w:val="001926A4"/>
    <w:rsid w:val="001A3A19"/>
    <w:rsid w:val="001B246B"/>
    <w:rsid w:val="001B45A0"/>
    <w:rsid w:val="001C18EE"/>
    <w:rsid w:val="001D055E"/>
    <w:rsid w:val="001E563D"/>
    <w:rsid w:val="001F492E"/>
    <w:rsid w:val="001F6DA3"/>
    <w:rsid w:val="00210BE8"/>
    <w:rsid w:val="00212737"/>
    <w:rsid w:val="00224DB9"/>
    <w:rsid w:val="00251745"/>
    <w:rsid w:val="00263AC0"/>
    <w:rsid w:val="0026772D"/>
    <w:rsid w:val="00286874"/>
    <w:rsid w:val="00296B65"/>
    <w:rsid w:val="002A7DEF"/>
    <w:rsid w:val="002B6F79"/>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91C4A"/>
    <w:rsid w:val="003A673F"/>
    <w:rsid w:val="003A6FE1"/>
    <w:rsid w:val="003B5A70"/>
    <w:rsid w:val="0041638D"/>
    <w:rsid w:val="00475DDE"/>
    <w:rsid w:val="00480B4B"/>
    <w:rsid w:val="00485DC4"/>
    <w:rsid w:val="004B4412"/>
    <w:rsid w:val="004C348C"/>
    <w:rsid w:val="004D1733"/>
    <w:rsid w:val="004D55BA"/>
    <w:rsid w:val="005038DB"/>
    <w:rsid w:val="0052379B"/>
    <w:rsid w:val="00530128"/>
    <w:rsid w:val="00532467"/>
    <w:rsid w:val="00547BA2"/>
    <w:rsid w:val="00547CCF"/>
    <w:rsid w:val="005634E7"/>
    <w:rsid w:val="00564A4D"/>
    <w:rsid w:val="00571B35"/>
    <w:rsid w:val="00571C9F"/>
    <w:rsid w:val="00577A09"/>
    <w:rsid w:val="00580B78"/>
    <w:rsid w:val="00584D8F"/>
    <w:rsid w:val="00596D42"/>
    <w:rsid w:val="005A404D"/>
    <w:rsid w:val="005B1E3C"/>
    <w:rsid w:val="005C24AC"/>
    <w:rsid w:val="005C26CC"/>
    <w:rsid w:val="005E6C0E"/>
    <w:rsid w:val="00612F26"/>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5671"/>
    <w:rsid w:val="00777EE6"/>
    <w:rsid w:val="00782EEA"/>
    <w:rsid w:val="007938E4"/>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21631"/>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23723"/>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D65D0"/>
  <w15:chartTrackingRefBased/>
  <w15:docId w15:val="{627259FD-6D1E-4D39-BA7B-F73DB7E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7E7"/>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CharSectno">
    <w:name w:val="CharSectno"/>
    <w:basedOn w:val="DefaultParagraphFont"/>
    <w:qFormat/>
    <w:rsid w:val="001367E7"/>
  </w:style>
  <w:style w:type="paragraph" w:customStyle="1" w:styleId="CoverAct">
    <w:name w:val="CoverAct"/>
    <w:basedOn w:val="Normal"/>
    <w:next w:val="Normal"/>
    <w:rsid w:val="001367E7"/>
    <w:pPr>
      <w:pBdr>
        <w:bottom w:val="single" w:sz="4" w:space="3" w:color="auto"/>
      </w:pBdr>
    </w:pPr>
    <w:rPr>
      <w:rFonts w:ascii="Arial" w:hAnsi="Arial"/>
      <w:i/>
      <w:sz w:val="28"/>
    </w:rPr>
  </w:style>
  <w:style w:type="paragraph" w:customStyle="1" w:styleId="CoverUpdate">
    <w:name w:val="CoverUpdate"/>
    <w:basedOn w:val="Normal"/>
    <w:rsid w:val="001367E7"/>
    <w:pPr>
      <w:spacing w:before="240"/>
    </w:pPr>
  </w:style>
  <w:style w:type="paragraph" w:customStyle="1" w:styleId="subsection">
    <w:name w:val="subsection"/>
    <w:aliases w:val="ss"/>
    <w:basedOn w:val="Normal"/>
    <w:link w:val="subsectionChar"/>
    <w:rsid w:val="001367E7"/>
    <w:pPr>
      <w:spacing w:before="100" w:beforeAutospacing="1" w:after="100" w:afterAutospacing="1"/>
    </w:pPr>
  </w:style>
  <w:style w:type="paragraph" w:customStyle="1" w:styleId="li-bodytextnote">
    <w:name w:val="li-bodytextnote"/>
    <w:basedOn w:val="Normal"/>
    <w:uiPriority w:val="99"/>
    <w:rsid w:val="001367E7"/>
    <w:pPr>
      <w:spacing w:before="100" w:beforeAutospacing="1" w:after="100" w:afterAutospacing="1"/>
    </w:pPr>
  </w:style>
  <w:style w:type="paragraph" w:customStyle="1" w:styleId="SignCoverPageEnd">
    <w:name w:val="SignCoverPageEnd"/>
    <w:basedOn w:val="Normal"/>
    <w:next w:val="Normal"/>
    <w:rsid w:val="001367E7"/>
    <w:pPr>
      <w:keepNext/>
      <w:pBdr>
        <w:bottom w:val="single" w:sz="4" w:space="12" w:color="auto"/>
      </w:pBdr>
      <w:tabs>
        <w:tab w:val="left" w:pos="3402"/>
      </w:tabs>
      <w:spacing w:line="300" w:lineRule="atLeast"/>
      <w:ind w:right="397"/>
    </w:pPr>
    <w:rPr>
      <w:sz w:val="22"/>
      <w:szCs w:val="20"/>
    </w:rPr>
  </w:style>
  <w:style w:type="character" w:customStyle="1" w:styleId="subsectionChar">
    <w:name w:val="subsection Char"/>
    <w:aliases w:val="ss Char"/>
    <w:basedOn w:val="DefaultParagraphFont"/>
    <w:link w:val="subsection"/>
    <w:locked/>
    <w:rsid w:val="001367E7"/>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1367E7"/>
    <w:pPr>
      <w:spacing w:before="122"/>
      <w:ind w:left="1985" w:hanging="851"/>
    </w:pPr>
    <w:rPr>
      <w:sz w:val="18"/>
      <w:szCs w:val="20"/>
    </w:rPr>
  </w:style>
  <w:style w:type="character" w:customStyle="1" w:styleId="notetextChar">
    <w:name w:val="note(text) Char"/>
    <w:aliases w:val="n Char"/>
    <w:basedOn w:val="DefaultParagraphFont"/>
    <w:link w:val="notetext"/>
    <w:rsid w:val="001367E7"/>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c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1 6 " ? > < p r o p e r t i e s   x m l n s = " h t t p : / / w w w . i m a n a g e . c o m / w o r k / x m l s c h e m a " >  
     < d o c u m e n t i d > A C C C a n d A E R ! 1 1 4 6 9 5 9 4 . 1 < / d o c u m e n t i d >  
     < s e n d e r i d > J R E I C < / s e n d e r i d >  
     < s e n d e r e m a i l > J O S E P H . R E I C H E R @ A C C C . G O V . A U < / s e n d e r e m a i l >  
     < l a s t m o d i f i e d > 2 0 2 0 - 0 8 - 2 1 T 1 3 : 2 1 : 0 0 . 0 0 0 0 0 0 0 + 1 0 : 0 0 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E0A64-26CF-4903-827A-3FF2866BE248}">
  <ds:schemaRefs>
    <ds:schemaRef ds:uri="http://www.imanage.com/work/xmlschema"/>
  </ds:schemaRefs>
</ds:datastoreItem>
</file>

<file path=customXml/itemProps3.xml><?xml version="1.0" encoding="utf-8"?>
<ds:datastoreItem xmlns:ds="http://schemas.openxmlformats.org/officeDocument/2006/customXml" ds:itemID="{A9F338E3-C8A4-462D-9E5A-645725DA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1140</Words>
  <Characters>6898</Characters>
  <Application>Microsoft Office Word</Application>
  <DocSecurity>0</DocSecurity>
  <Lines>132</Lines>
  <Paragraphs>71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Reicher, Joseph</dc:creator>
  <cp:keywords/>
  <dc:description/>
  <cp:lastModifiedBy>Cranston, Richard</cp:lastModifiedBy>
  <cp:revision>8</cp:revision>
  <dcterms:created xsi:type="dcterms:W3CDTF">2020-08-25T09:49:00Z</dcterms:created>
  <dcterms:modified xsi:type="dcterms:W3CDTF">2020-08-25T10:18:00Z</dcterms:modified>
</cp:coreProperties>
</file>