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8ECB9" w14:textId="77777777" w:rsidR="001B4A7B" w:rsidRPr="006C2E1D" w:rsidRDefault="001B4A7B" w:rsidP="001B4A7B">
      <w:pPr>
        <w:jc w:val="center"/>
        <w:rPr>
          <w:rFonts w:asciiTheme="minorHAnsi" w:hAnsiTheme="minorHAnsi" w:cstheme="minorHAnsi"/>
          <w:b/>
          <w:lang w:val="en-GB"/>
        </w:rPr>
      </w:pPr>
      <w:bookmarkStart w:id="0" w:name="_GoBack"/>
      <w:bookmarkEnd w:id="0"/>
      <w:r w:rsidRPr="006C2E1D">
        <w:rPr>
          <w:rFonts w:asciiTheme="minorHAnsi" w:hAnsiTheme="minorHAnsi" w:cstheme="minorHAnsi"/>
          <w:b/>
          <w:lang w:val="en-GB"/>
        </w:rPr>
        <w:t>EXPLANATORY STATEMENT</w:t>
      </w:r>
    </w:p>
    <w:p w14:paraId="152E64EE" w14:textId="7D90BF00" w:rsidR="001B4A7B" w:rsidRPr="006C2E1D" w:rsidRDefault="001B4A7B" w:rsidP="001B4A7B">
      <w:pPr>
        <w:jc w:val="center"/>
        <w:rPr>
          <w:rFonts w:asciiTheme="minorHAnsi" w:hAnsiTheme="minorHAnsi" w:cstheme="minorHAnsi"/>
          <w:i/>
          <w:lang w:val="en-GB"/>
        </w:rPr>
      </w:pPr>
      <w:r w:rsidRPr="006C2E1D">
        <w:rPr>
          <w:rFonts w:asciiTheme="minorHAnsi" w:hAnsiTheme="minorHAnsi" w:cstheme="minorHAnsi"/>
          <w:i/>
          <w:lang w:val="en-GB"/>
        </w:rPr>
        <w:t>Consumer Goods (</w:t>
      </w:r>
      <w:r w:rsidR="00BE4609">
        <w:rPr>
          <w:rFonts w:asciiTheme="minorHAnsi" w:hAnsiTheme="minorHAnsi" w:cstheme="minorHAnsi"/>
          <w:i/>
          <w:lang w:val="en-GB"/>
        </w:rPr>
        <w:t>Toys</w:t>
      </w:r>
      <w:r w:rsidR="00A2477E">
        <w:rPr>
          <w:rFonts w:asciiTheme="minorHAnsi" w:hAnsiTheme="minorHAnsi" w:cstheme="minorHAnsi"/>
          <w:i/>
          <w:lang w:val="en-GB"/>
        </w:rPr>
        <w:t xml:space="preserve"> Containing Magnets</w:t>
      </w:r>
      <w:r w:rsidRPr="006C2E1D">
        <w:rPr>
          <w:rFonts w:asciiTheme="minorHAnsi" w:hAnsiTheme="minorHAnsi" w:cstheme="minorHAnsi"/>
          <w:i/>
          <w:lang w:val="en-GB"/>
        </w:rPr>
        <w:t xml:space="preserve">) Safety Standard </w:t>
      </w:r>
      <w:r w:rsidR="008B79E4">
        <w:rPr>
          <w:rFonts w:asciiTheme="minorHAnsi" w:hAnsiTheme="minorHAnsi" w:cstheme="minorHAnsi"/>
          <w:i/>
          <w:lang w:val="en-GB"/>
        </w:rPr>
        <w:t>2020</w:t>
      </w:r>
    </w:p>
    <w:p w14:paraId="2FE2AB58" w14:textId="77777777" w:rsidR="001B4A7B" w:rsidRPr="006C2E1D" w:rsidRDefault="001B4A7B" w:rsidP="001B4A7B">
      <w:pPr>
        <w:rPr>
          <w:rFonts w:cs="Arial"/>
          <w:b/>
          <w:lang w:val="en-GB"/>
        </w:rPr>
      </w:pPr>
      <w:r w:rsidRPr="006C2E1D">
        <w:rPr>
          <w:rFonts w:cs="Arial"/>
          <w:b/>
          <w:lang w:val="en-GB"/>
        </w:rPr>
        <w:t>Overview</w:t>
      </w:r>
    </w:p>
    <w:p w14:paraId="25D4213E" w14:textId="5D6E98DE" w:rsidR="00820DAD" w:rsidRDefault="00BE4609" w:rsidP="001B4A7B">
      <w:pPr>
        <w:rPr>
          <w:rFonts w:cs="Arial"/>
          <w:lang w:val="en-GB"/>
        </w:rPr>
      </w:pPr>
      <w:r w:rsidRPr="00281976">
        <w:rPr>
          <w:lang w:val="en-GB"/>
        </w:rPr>
        <w:t xml:space="preserve">The </w:t>
      </w:r>
      <w:r>
        <w:rPr>
          <w:lang w:val="en-GB"/>
        </w:rPr>
        <w:t xml:space="preserve">Minister for Housing and </w:t>
      </w:r>
      <w:r w:rsidRPr="00281976">
        <w:rPr>
          <w:lang w:val="en-GB"/>
        </w:rPr>
        <w:t xml:space="preserve">Assistant Treasurer </w:t>
      </w:r>
      <w:r w:rsidRPr="00281976">
        <w:rPr>
          <w:rFonts w:cs="Arial"/>
          <w:lang w:val="en-GB"/>
        </w:rPr>
        <w:t xml:space="preserve">(the </w:t>
      </w:r>
      <w:r w:rsidRPr="00BE4609">
        <w:rPr>
          <w:rFonts w:cs="Arial"/>
          <w:b/>
          <w:lang w:val="en-GB"/>
        </w:rPr>
        <w:t>Minister</w:t>
      </w:r>
      <w:r w:rsidR="00644E3A" w:rsidRPr="002F6A17">
        <w:rPr>
          <w:rFonts w:cs="Arial"/>
          <w:lang w:val="en-GB"/>
        </w:rPr>
        <w:t xml:space="preserve">) has made </w:t>
      </w:r>
      <w:r w:rsidR="009B1B29">
        <w:rPr>
          <w:rFonts w:cs="Arial"/>
          <w:lang w:val="en-GB"/>
        </w:rPr>
        <w:t xml:space="preserve">the </w:t>
      </w:r>
      <w:r w:rsidR="009B1B29" w:rsidRPr="009B1B29">
        <w:rPr>
          <w:rFonts w:cs="Arial"/>
          <w:lang w:val="en-GB"/>
        </w:rPr>
        <w:t>Consumer Goods (Toys</w:t>
      </w:r>
      <w:r w:rsidR="00A2477E">
        <w:rPr>
          <w:rFonts w:cs="Arial"/>
          <w:lang w:val="en-GB"/>
        </w:rPr>
        <w:t xml:space="preserve"> Containing Magnets</w:t>
      </w:r>
      <w:r w:rsidR="009B1B29" w:rsidRPr="009B1B29">
        <w:rPr>
          <w:rFonts w:cs="Arial"/>
          <w:lang w:val="en-GB"/>
        </w:rPr>
        <w:t xml:space="preserve">) Safety Standard </w:t>
      </w:r>
      <w:r w:rsidR="008B79E4">
        <w:rPr>
          <w:rFonts w:cs="Arial"/>
          <w:lang w:val="en-GB"/>
        </w:rPr>
        <w:t xml:space="preserve">2020 </w:t>
      </w:r>
      <w:r w:rsidR="009B1B29">
        <w:rPr>
          <w:rFonts w:cs="Arial"/>
          <w:lang w:val="en-GB"/>
        </w:rPr>
        <w:t>(</w:t>
      </w:r>
      <w:r w:rsidR="00903DB5">
        <w:rPr>
          <w:rFonts w:cs="Arial"/>
          <w:lang w:val="en-GB"/>
        </w:rPr>
        <w:t xml:space="preserve">the </w:t>
      </w:r>
      <w:r w:rsidR="009B1B29" w:rsidRPr="00F07661">
        <w:rPr>
          <w:rFonts w:cs="Arial"/>
          <w:b/>
          <w:lang w:val="en-GB"/>
        </w:rPr>
        <w:t>new</w:t>
      </w:r>
      <w:r w:rsidR="009B1B29">
        <w:rPr>
          <w:rFonts w:cs="Arial"/>
          <w:lang w:val="en-GB"/>
        </w:rPr>
        <w:t xml:space="preserve"> </w:t>
      </w:r>
      <w:r w:rsidR="009B1B29">
        <w:rPr>
          <w:rFonts w:cs="Arial"/>
          <w:b/>
          <w:lang w:val="en-GB"/>
        </w:rPr>
        <w:t>safety standard</w:t>
      </w:r>
      <w:r w:rsidR="009B1B29">
        <w:rPr>
          <w:rFonts w:cs="Arial"/>
          <w:lang w:val="en-GB"/>
        </w:rPr>
        <w:t>),</w:t>
      </w:r>
      <w:r w:rsidR="00644E3A" w:rsidRPr="002F6A17">
        <w:rPr>
          <w:rFonts w:cs="Arial"/>
          <w:lang w:val="en-GB"/>
        </w:rPr>
        <w:t xml:space="preserve"> pursuant to section 104</w:t>
      </w:r>
      <w:r w:rsidR="004024D9">
        <w:rPr>
          <w:rFonts w:cs="Arial"/>
          <w:lang w:val="en-GB"/>
        </w:rPr>
        <w:t xml:space="preserve"> </w:t>
      </w:r>
      <w:r w:rsidR="00644E3A" w:rsidRPr="002F6A17">
        <w:rPr>
          <w:rFonts w:cs="Arial"/>
          <w:lang w:val="en-GB"/>
        </w:rPr>
        <w:t xml:space="preserve">of the Australian Consumer Law, which is Schedule 2 of the </w:t>
      </w:r>
      <w:r w:rsidR="00644E3A" w:rsidRPr="002F6A17">
        <w:rPr>
          <w:rFonts w:cs="Arial"/>
          <w:i/>
          <w:lang w:val="en-GB"/>
        </w:rPr>
        <w:t xml:space="preserve">Competition and Consumer Act 2010 </w:t>
      </w:r>
      <w:r w:rsidR="00644E3A" w:rsidRPr="001F01A9">
        <w:rPr>
          <w:rFonts w:cs="Arial"/>
          <w:lang w:val="en-GB"/>
        </w:rPr>
        <w:t>(Cth</w:t>
      </w:r>
      <w:r w:rsidR="00197372" w:rsidRPr="001F01A9">
        <w:rPr>
          <w:rFonts w:cs="Arial"/>
          <w:lang w:val="en-GB"/>
        </w:rPr>
        <w:t>)</w:t>
      </w:r>
      <w:r w:rsidR="00644E3A" w:rsidRPr="001F01A9">
        <w:rPr>
          <w:rFonts w:cs="Arial"/>
          <w:lang w:val="en-GB"/>
        </w:rPr>
        <w:t>.</w:t>
      </w:r>
    </w:p>
    <w:p w14:paraId="0CBE838D" w14:textId="4B9BA5C8" w:rsidR="00BE4609" w:rsidRDefault="00BE4609" w:rsidP="00BE4609">
      <w:pPr>
        <w:rPr>
          <w:rFonts w:cs="Arial"/>
          <w:lang w:val="en-GB"/>
        </w:rPr>
      </w:pPr>
      <w:r w:rsidRPr="000F7A89">
        <w:rPr>
          <w:rFonts w:cs="Arial"/>
          <w:lang w:val="en-GB"/>
        </w:rPr>
        <w:t xml:space="preserve">The </w:t>
      </w:r>
      <w:r>
        <w:rPr>
          <w:rFonts w:cs="Arial"/>
          <w:lang w:val="en-GB"/>
        </w:rPr>
        <w:t xml:space="preserve">new </w:t>
      </w:r>
      <w:r w:rsidRPr="000F7A89">
        <w:rPr>
          <w:rFonts w:cs="Arial"/>
          <w:lang w:val="en-GB"/>
        </w:rPr>
        <w:t xml:space="preserve">safety standard comes into effect on the day after </w:t>
      </w:r>
      <w:r w:rsidR="00F07661">
        <w:rPr>
          <w:rFonts w:cs="Arial"/>
          <w:lang w:val="en-GB"/>
        </w:rPr>
        <w:t>registration</w:t>
      </w:r>
      <w:r w:rsidRPr="000F7A89">
        <w:rPr>
          <w:rFonts w:cs="Arial"/>
          <w:lang w:val="en-GB"/>
        </w:rPr>
        <w:t xml:space="preserve"> on the Federal Register of Legislation. </w:t>
      </w:r>
      <w:r>
        <w:rPr>
          <w:rFonts w:cs="Arial"/>
          <w:lang w:val="en-GB"/>
        </w:rPr>
        <w:t>A transitional period of 12 months will apply during which s</w:t>
      </w:r>
      <w:r w:rsidRPr="000F7A89">
        <w:rPr>
          <w:rFonts w:cs="Arial"/>
          <w:lang w:val="en-GB"/>
        </w:rPr>
        <w:t xml:space="preserve">uppliers </w:t>
      </w:r>
      <w:r w:rsidR="00A2477E">
        <w:rPr>
          <w:rFonts w:cs="Arial"/>
          <w:lang w:val="en-GB"/>
        </w:rPr>
        <w:t xml:space="preserve">either may </w:t>
      </w:r>
      <w:r>
        <w:rPr>
          <w:rFonts w:cs="Arial"/>
          <w:lang w:val="en-GB"/>
        </w:rPr>
        <w:t xml:space="preserve">comply with the new safety standard or the </w:t>
      </w:r>
      <w:r w:rsidR="00A22EB3">
        <w:rPr>
          <w:rFonts w:cs="Arial"/>
          <w:lang w:val="en-GB"/>
        </w:rPr>
        <w:t>repealed</w:t>
      </w:r>
      <w:r>
        <w:rPr>
          <w:rFonts w:cs="Arial"/>
          <w:lang w:val="en-GB"/>
        </w:rPr>
        <w:t xml:space="preserve"> safety standard. At the end of the 12 month transitional period </w:t>
      </w:r>
      <w:r w:rsidRPr="006C2E1D">
        <w:rPr>
          <w:rFonts w:cs="Arial"/>
          <w:lang w:val="en-GB"/>
        </w:rPr>
        <w:t>su</w:t>
      </w:r>
      <w:r>
        <w:rPr>
          <w:rFonts w:cs="Arial"/>
          <w:lang w:val="en-GB"/>
        </w:rPr>
        <w:t>ppliers must</w:t>
      </w:r>
      <w:r w:rsidRPr="006C2E1D">
        <w:rPr>
          <w:rFonts w:cs="Arial"/>
          <w:lang w:val="en-GB"/>
        </w:rPr>
        <w:t xml:space="preserve"> comply with the new </w:t>
      </w:r>
      <w:r>
        <w:rPr>
          <w:rFonts w:cs="Arial"/>
          <w:lang w:val="en-GB"/>
        </w:rPr>
        <w:t>safety standard</w:t>
      </w:r>
      <w:r w:rsidR="00632AF1">
        <w:rPr>
          <w:rFonts w:cs="Arial"/>
          <w:lang w:val="en-GB"/>
        </w:rPr>
        <w:t xml:space="preserve"> only</w:t>
      </w:r>
      <w:r>
        <w:rPr>
          <w:rFonts w:cs="Arial"/>
          <w:lang w:val="en-GB"/>
        </w:rPr>
        <w:t>.</w:t>
      </w:r>
    </w:p>
    <w:p w14:paraId="662EB991" w14:textId="7C13119C" w:rsidR="009B796D" w:rsidRDefault="00BE4609" w:rsidP="00BE4609">
      <w:pPr>
        <w:shd w:val="clear" w:color="auto" w:fill="FFFFFF"/>
        <w:rPr>
          <w:rFonts w:asciiTheme="minorHAnsi" w:hAnsiTheme="minorHAnsi" w:cstheme="minorHAnsi"/>
        </w:rPr>
      </w:pPr>
      <w:r>
        <w:t>The</w:t>
      </w:r>
      <w:r w:rsidR="00007C46">
        <w:t xml:space="preserve"> Australian Government introduced the </w:t>
      </w:r>
      <w:r w:rsidR="00903DB5">
        <w:t>Consumer Protection Notice No.</w:t>
      </w:r>
      <w:r w:rsidR="00CC6FE1">
        <w:t xml:space="preserve"> </w:t>
      </w:r>
      <w:r w:rsidR="00A2477E">
        <w:t>5</w:t>
      </w:r>
      <w:r w:rsidR="00007C46" w:rsidRPr="00007C46">
        <w:t xml:space="preserve"> of 2010 </w:t>
      </w:r>
      <w:r w:rsidR="00007C46">
        <w:t>(</w:t>
      </w:r>
      <w:r w:rsidR="00A22EB3">
        <w:t xml:space="preserve">the </w:t>
      </w:r>
      <w:r w:rsidR="00A22EB3">
        <w:rPr>
          <w:b/>
        </w:rPr>
        <w:t xml:space="preserve">repealed safety </w:t>
      </w:r>
      <w:r w:rsidR="00007C46">
        <w:rPr>
          <w:b/>
        </w:rPr>
        <w:t>standard</w:t>
      </w:r>
      <w:r w:rsidR="00007C46" w:rsidRPr="00007C46">
        <w:t>)</w:t>
      </w:r>
      <w:r>
        <w:t xml:space="preserve"> </w:t>
      </w:r>
      <w:r w:rsidR="009B796D">
        <w:rPr>
          <w:rFonts w:asciiTheme="minorHAnsi" w:hAnsiTheme="minorHAnsi" w:cstheme="minorHAnsi"/>
        </w:rPr>
        <w:t>to mandate requirements for toys</w:t>
      </w:r>
      <w:r w:rsidR="00007C46">
        <w:rPr>
          <w:rFonts w:asciiTheme="minorHAnsi" w:hAnsiTheme="minorHAnsi" w:cstheme="minorHAnsi"/>
        </w:rPr>
        <w:t xml:space="preserve"> </w:t>
      </w:r>
      <w:r w:rsidR="00A2477E">
        <w:rPr>
          <w:rFonts w:asciiTheme="minorHAnsi" w:hAnsiTheme="minorHAnsi" w:cstheme="minorHAnsi"/>
        </w:rPr>
        <w:t xml:space="preserve">containing magnets </w:t>
      </w:r>
      <w:r w:rsidR="00007C46" w:rsidRPr="0056135B">
        <w:rPr>
          <w:rFonts w:asciiTheme="minorHAnsi" w:hAnsiTheme="minorHAnsi" w:cstheme="minorHAnsi"/>
          <w:color w:val="2D2D2D"/>
          <w:lang w:val="en"/>
        </w:rPr>
        <w:t>to</w:t>
      </w:r>
      <w:r w:rsidR="00007C46" w:rsidRPr="0056135B">
        <w:rPr>
          <w:rFonts w:ascii="Source Sans Pro" w:hAnsi="Source Sans Pro" w:cs="Arial"/>
          <w:color w:val="2D2D2D"/>
          <w:lang w:val="en"/>
        </w:rPr>
        <w:t xml:space="preserve"> </w:t>
      </w:r>
      <w:r w:rsidR="00007C46" w:rsidRPr="00E97A3E">
        <w:rPr>
          <w:rFonts w:eastAsia="Arial" w:cs="Arial"/>
        </w:rPr>
        <w:t>reduce the risk of</w:t>
      </w:r>
      <w:r w:rsidR="00007C46">
        <w:rPr>
          <w:rFonts w:eastAsia="Arial" w:cs="Arial"/>
        </w:rPr>
        <w:t xml:space="preserve"> </w:t>
      </w:r>
      <w:r w:rsidR="00A2477E">
        <w:rPr>
          <w:rFonts w:eastAsia="Arial" w:cs="Arial"/>
        </w:rPr>
        <w:t>injury or death</w:t>
      </w:r>
      <w:r w:rsidR="00007C46">
        <w:rPr>
          <w:rFonts w:eastAsia="Arial" w:cs="Arial"/>
        </w:rPr>
        <w:t xml:space="preserve"> </w:t>
      </w:r>
      <w:r w:rsidR="00354E4B">
        <w:rPr>
          <w:rFonts w:eastAsia="Arial" w:cs="Arial"/>
        </w:rPr>
        <w:t>to</w:t>
      </w:r>
      <w:r w:rsidR="00007C46">
        <w:rPr>
          <w:rFonts w:eastAsia="Arial" w:cs="Arial"/>
        </w:rPr>
        <w:t xml:space="preserve"> </w:t>
      </w:r>
      <w:r w:rsidR="00A2477E">
        <w:rPr>
          <w:rFonts w:eastAsia="Arial" w:cs="Arial"/>
        </w:rPr>
        <w:t>children who ingest hazardous magnets.</w:t>
      </w:r>
    </w:p>
    <w:p w14:paraId="2ADFF06D" w14:textId="0516E86E" w:rsidR="00F5752F" w:rsidRDefault="0088134F" w:rsidP="00F5752F">
      <w:pPr>
        <w:rPr>
          <w:rFonts w:cs="Arial"/>
          <w:b/>
          <w:lang w:val="en-GB"/>
        </w:rPr>
      </w:pPr>
      <w:r>
        <w:rPr>
          <w:rFonts w:cs="Arial"/>
          <w:b/>
          <w:lang w:val="en-GB"/>
        </w:rPr>
        <w:t xml:space="preserve">Repealed </w:t>
      </w:r>
      <w:r w:rsidR="00A22EB3">
        <w:rPr>
          <w:rFonts w:cs="Arial"/>
          <w:b/>
          <w:lang w:val="en-GB"/>
        </w:rPr>
        <w:t>safety</w:t>
      </w:r>
      <w:r w:rsidR="00DB59BC">
        <w:rPr>
          <w:rFonts w:cs="Arial"/>
          <w:b/>
          <w:lang w:val="en-GB"/>
        </w:rPr>
        <w:t xml:space="preserve"> </w:t>
      </w:r>
      <w:r>
        <w:rPr>
          <w:rFonts w:cs="Arial"/>
          <w:b/>
          <w:lang w:val="en-GB"/>
        </w:rPr>
        <w:t>s</w:t>
      </w:r>
      <w:r w:rsidR="00F5752F" w:rsidRPr="00197372">
        <w:rPr>
          <w:rFonts w:cs="Arial"/>
          <w:b/>
          <w:lang w:val="en-GB"/>
        </w:rPr>
        <w:t>tandard</w:t>
      </w:r>
    </w:p>
    <w:p w14:paraId="44E8347D" w14:textId="4574C096" w:rsidR="00DB59BC" w:rsidRPr="00DB59BC" w:rsidRDefault="00DB59BC" w:rsidP="00DB59BC">
      <w:pPr>
        <w:rPr>
          <w:lang w:val="en-GB"/>
        </w:rPr>
      </w:pPr>
      <w:r w:rsidRPr="00AE6841">
        <w:rPr>
          <w:lang w:val="en-GB"/>
        </w:rPr>
        <w:t xml:space="preserve">The </w:t>
      </w:r>
      <w:r w:rsidR="00A22EB3">
        <w:rPr>
          <w:lang w:val="en-GB"/>
        </w:rPr>
        <w:t>repealed</w:t>
      </w:r>
      <w:r>
        <w:rPr>
          <w:lang w:val="en-GB"/>
        </w:rPr>
        <w:t xml:space="preserve"> </w:t>
      </w:r>
      <w:r w:rsidR="00A22EB3">
        <w:rPr>
          <w:lang w:val="en-GB"/>
        </w:rPr>
        <w:t>safety</w:t>
      </w:r>
      <w:r>
        <w:rPr>
          <w:lang w:val="en-GB"/>
        </w:rPr>
        <w:t xml:space="preserve"> standard for toys </w:t>
      </w:r>
      <w:r w:rsidR="00A2477E">
        <w:rPr>
          <w:lang w:val="en-GB"/>
        </w:rPr>
        <w:t xml:space="preserve">containing </w:t>
      </w:r>
      <w:r w:rsidR="00910BBA">
        <w:rPr>
          <w:lang w:val="en-GB"/>
        </w:rPr>
        <w:t>magn</w:t>
      </w:r>
      <w:r w:rsidR="00A2477E">
        <w:rPr>
          <w:lang w:val="en-GB"/>
        </w:rPr>
        <w:t xml:space="preserve">ets </w:t>
      </w:r>
      <w:r>
        <w:rPr>
          <w:lang w:val="en-GB"/>
        </w:rPr>
        <w:t xml:space="preserve">was </w:t>
      </w:r>
      <w:r w:rsidR="00420048">
        <w:rPr>
          <w:lang w:val="en-GB"/>
        </w:rPr>
        <w:t xml:space="preserve">the </w:t>
      </w:r>
      <w:r w:rsidRPr="00DB59BC">
        <w:rPr>
          <w:rFonts w:cs="Arial"/>
          <w:i/>
        </w:rPr>
        <w:t>C</w:t>
      </w:r>
      <w:r w:rsidR="00A2477E">
        <w:rPr>
          <w:rFonts w:cs="Arial"/>
          <w:i/>
        </w:rPr>
        <w:t>onsumer Protection Notice No. 5</w:t>
      </w:r>
      <w:r w:rsidRPr="00DB59BC">
        <w:rPr>
          <w:rFonts w:cs="Arial"/>
          <w:i/>
        </w:rPr>
        <w:t xml:space="preserve"> of 2010</w:t>
      </w:r>
      <w:r>
        <w:rPr>
          <w:rFonts w:cs="Arial"/>
        </w:rPr>
        <w:t xml:space="preserve"> (Consumer Product Safety Standard</w:t>
      </w:r>
      <w:r w:rsidR="00F41785">
        <w:rPr>
          <w:rFonts w:cs="Arial"/>
        </w:rPr>
        <w:t>:</w:t>
      </w:r>
      <w:r>
        <w:rPr>
          <w:rFonts w:cs="Arial"/>
        </w:rPr>
        <w:t xml:space="preserve"> Children’s Toys</w:t>
      </w:r>
      <w:r w:rsidR="00A2477E">
        <w:rPr>
          <w:rFonts w:cs="Arial"/>
        </w:rPr>
        <w:t xml:space="preserve"> Containing Magnets</w:t>
      </w:r>
      <w:r>
        <w:rPr>
          <w:rFonts w:cs="Arial"/>
        </w:rPr>
        <w:t>)</w:t>
      </w:r>
      <w:r w:rsidR="00632AF1">
        <w:rPr>
          <w:rFonts w:cs="Arial"/>
        </w:rPr>
        <w:t xml:space="preserve"> (Federal Register of Legislation No. F2010L00195)</w:t>
      </w:r>
      <w:r>
        <w:rPr>
          <w:rFonts w:cs="Arial"/>
        </w:rPr>
        <w:t>.</w:t>
      </w:r>
    </w:p>
    <w:p w14:paraId="2A22D13A" w14:textId="28BABD20" w:rsidR="008C5FAA" w:rsidRPr="008B62BE" w:rsidRDefault="008C5FAA" w:rsidP="008C5FAA">
      <w:pPr>
        <w:rPr>
          <w:rFonts w:cs="Arial"/>
          <w:lang w:val="en-GB"/>
        </w:rPr>
      </w:pPr>
      <w:r w:rsidRPr="00EE6BA8">
        <w:rPr>
          <w:rFonts w:cs="Arial"/>
          <w:lang w:val="en-GB"/>
        </w:rPr>
        <w:t xml:space="preserve">Under subsection 33(3) of the </w:t>
      </w:r>
      <w:r w:rsidRPr="00EE6BA8">
        <w:rPr>
          <w:rFonts w:cs="Arial"/>
          <w:i/>
          <w:lang w:val="en-GB"/>
        </w:rPr>
        <w:t>Acts Interpretation Act 1901</w:t>
      </w:r>
      <w:r w:rsidR="001F01A9">
        <w:rPr>
          <w:rFonts w:cs="Arial"/>
          <w:i/>
          <w:lang w:val="en-GB"/>
        </w:rPr>
        <w:t xml:space="preserve"> </w:t>
      </w:r>
      <w:r w:rsidR="001F01A9" w:rsidRPr="001F01A9">
        <w:rPr>
          <w:rFonts w:cs="Arial"/>
          <w:lang w:val="en-GB"/>
        </w:rPr>
        <w:t>(Cth)</w:t>
      </w:r>
      <w:r w:rsidRPr="001F01A9">
        <w:rPr>
          <w:rFonts w:cs="Arial"/>
          <w:lang w:val="en-GB"/>
        </w:rPr>
        <w:t>,</w:t>
      </w:r>
      <w:r>
        <w:rPr>
          <w:rFonts w:cs="Arial"/>
          <w:lang w:val="en-GB"/>
        </w:rPr>
        <w:t xml:space="preserve"> where an Act </w:t>
      </w:r>
      <w:r w:rsidRPr="00EE6BA8">
        <w:rPr>
          <w:rFonts w:cs="Arial"/>
          <w:lang w:val="en-GB"/>
        </w:rPr>
        <w:t>confers a power to make, grant or issue any instrument of a legislative or</w:t>
      </w:r>
      <w:r>
        <w:rPr>
          <w:rFonts w:cs="Arial"/>
          <w:lang w:val="en-GB"/>
        </w:rPr>
        <w:t xml:space="preserve"> </w:t>
      </w:r>
      <w:r w:rsidRPr="00EE6BA8">
        <w:rPr>
          <w:rFonts w:cs="Arial"/>
          <w:lang w:val="en-GB"/>
        </w:rPr>
        <w:t>administrative character (including rules, regulations or by-laws),</w:t>
      </w:r>
      <w:r>
        <w:rPr>
          <w:rFonts w:cs="Arial"/>
          <w:lang w:val="en-GB"/>
        </w:rPr>
        <w:t xml:space="preserve"> </w:t>
      </w:r>
      <w:r w:rsidRPr="00EE6BA8">
        <w:rPr>
          <w:rFonts w:cs="Arial"/>
          <w:lang w:val="en-GB"/>
        </w:rPr>
        <w:t>the power shall be construed as including a power exercisable in the like</w:t>
      </w:r>
      <w:r>
        <w:rPr>
          <w:rFonts w:cs="Arial"/>
          <w:lang w:val="en-GB"/>
        </w:rPr>
        <w:t xml:space="preserve"> </w:t>
      </w:r>
      <w:r w:rsidRPr="00EE6BA8">
        <w:rPr>
          <w:rFonts w:cs="Arial"/>
          <w:lang w:val="en-GB"/>
        </w:rPr>
        <w:t>manner and subject to the like conditions (if any) to repeal, rescind,</w:t>
      </w:r>
      <w:r>
        <w:rPr>
          <w:rFonts w:cs="Arial"/>
          <w:lang w:val="en-GB"/>
        </w:rPr>
        <w:t xml:space="preserve"> </w:t>
      </w:r>
      <w:r w:rsidRPr="00EE6BA8">
        <w:rPr>
          <w:rFonts w:cs="Arial"/>
          <w:lang w:val="en-GB"/>
        </w:rPr>
        <w:t>revoke, amend, or vary any such instrument.</w:t>
      </w:r>
    </w:p>
    <w:p w14:paraId="14C1640F" w14:textId="6EA42F9F" w:rsidR="001B4A7B" w:rsidRPr="006C2E1D" w:rsidRDefault="001B4A7B" w:rsidP="001B4A7B">
      <w:pPr>
        <w:rPr>
          <w:rFonts w:cs="Arial"/>
          <w:b/>
          <w:lang w:val="en-GB"/>
        </w:rPr>
      </w:pPr>
      <w:r w:rsidRPr="00197372">
        <w:rPr>
          <w:rFonts w:cs="Arial"/>
          <w:b/>
          <w:lang w:val="en-GB"/>
        </w:rPr>
        <w:t xml:space="preserve">Requirements </w:t>
      </w:r>
      <w:r w:rsidR="007A502D" w:rsidRPr="00197372">
        <w:rPr>
          <w:rFonts w:cs="Arial"/>
          <w:b/>
          <w:lang w:val="en-GB"/>
        </w:rPr>
        <w:t xml:space="preserve">of </w:t>
      </w:r>
      <w:r w:rsidRPr="00197372">
        <w:rPr>
          <w:rFonts w:cs="Arial"/>
          <w:b/>
          <w:lang w:val="en-GB"/>
        </w:rPr>
        <w:t xml:space="preserve">the </w:t>
      </w:r>
      <w:r w:rsidR="00DB59BC">
        <w:rPr>
          <w:rFonts w:cs="Arial"/>
          <w:b/>
          <w:lang w:val="en-GB"/>
        </w:rPr>
        <w:t xml:space="preserve">new </w:t>
      </w:r>
      <w:r w:rsidR="00A22EB3">
        <w:rPr>
          <w:rFonts w:cs="Arial"/>
          <w:b/>
          <w:lang w:val="en-GB"/>
        </w:rPr>
        <w:t>safety</w:t>
      </w:r>
      <w:r w:rsidRPr="00197372">
        <w:rPr>
          <w:rFonts w:cs="Arial"/>
          <w:b/>
          <w:lang w:val="en-GB"/>
        </w:rPr>
        <w:t xml:space="preserve"> standard</w:t>
      </w:r>
    </w:p>
    <w:p w14:paraId="5A284739" w14:textId="2B0D10BC" w:rsidR="00C50FC9" w:rsidRDefault="00A22EB3" w:rsidP="00B9628B">
      <w:pPr>
        <w:rPr>
          <w:rFonts w:cs="Arial"/>
          <w:lang w:val="en-GB"/>
        </w:rPr>
      </w:pPr>
      <w:r>
        <w:rPr>
          <w:rFonts w:cs="Arial"/>
          <w:lang w:val="en-GB"/>
        </w:rPr>
        <w:t>The new</w:t>
      </w:r>
      <w:r w:rsidR="00B9628B" w:rsidRPr="00B9628B">
        <w:rPr>
          <w:rFonts w:cs="Arial"/>
          <w:lang w:val="en-GB"/>
        </w:rPr>
        <w:t xml:space="preserve"> </w:t>
      </w:r>
      <w:r w:rsidR="00EC754B">
        <w:rPr>
          <w:rFonts w:cs="Arial"/>
          <w:lang w:val="en-GB"/>
        </w:rPr>
        <w:t xml:space="preserve">safety </w:t>
      </w:r>
      <w:r w:rsidR="00E747EC">
        <w:rPr>
          <w:rFonts w:cs="Arial"/>
          <w:lang w:val="en-GB"/>
        </w:rPr>
        <w:t xml:space="preserve">standard applies to toys </w:t>
      </w:r>
      <w:r w:rsidR="00910BBA">
        <w:rPr>
          <w:rFonts w:cs="Arial"/>
          <w:lang w:val="en-GB"/>
        </w:rPr>
        <w:t>containing magnets</w:t>
      </w:r>
      <w:r w:rsidR="00A53CC6">
        <w:rPr>
          <w:rFonts w:cs="Arial"/>
          <w:lang w:val="en-GB"/>
        </w:rPr>
        <w:t xml:space="preserve"> (</w:t>
      </w:r>
      <w:r w:rsidR="004957D5">
        <w:rPr>
          <w:rFonts w:cs="Arial"/>
          <w:lang w:val="en-GB"/>
        </w:rPr>
        <w:t>magnetic toy</w:t>
      </w:r>
      <w:r w:rsidR="00A53CC6">
        <w:rPr>
          <w:rFonts w:cs="Arial"/>
          <w:lang w:val="en-GB"/>
        </w:rPr>
        <w:t>s</w:t>
      </w:r>
      <w:r w:rsidR="004957D5">
        <w:rPr>
          <w:rFonts w:cs="Arial"/>
          <w:lang w:val="en-GB"/>
        </w:rPr>
        <w:t>)</w:t>
      </w:r>
      <w:r w:rsidR="00A53CC6">
        <w:rPr>
          <w:rFonts w:cs="Arial"/>
          <w:lang w:val="en-GB"/>
        </w:rPr>
        <w:t>. A magnetic toy is defined in the new safety standard as a product or material</w:t>
      </w:r>
      <w:r w:rsidR="00910BBA">
        <w:rPr>
          <w:rFonts w:cs="Arial"/>
          <w:lang w:val="en-GB"/>
        </w:rPr>
        <w:t xml:space="preserve"> </w:t>
      </w:r>
      <w:r w:rsidR="00E747EC">
        <w:rPr>
          <w:rFonts w:cs="Arial"/>
          <w:lang w:val="en-GB"/>
        </w:rPr>
        <w:t>supplied new that</w:t>
      </w:r>
      <w:r w:rsidR="00A53CC6">
        <w:rPr>
          <w:rFonts w:cs="Arial"/>
          <w:lang w:val="en-GB"/>
        </w:rPr>
        <w:t xml:space="preserve"> is</w:t>
      </w:r>
      <w:r w:rsidR="00E747EC">
        <w:rPr>
          <w:rFonts w:cs="Arial"/>
          <w:lang w:val="en-GB"/>
        </w:rPr>
        <w:t>:</w:t>
      </w:r>
    </w:p>
    <w:p w14:paraId="56414340" w14:textId="0AE93D76" w:rsidR="00B04D1B" w:rsidRDefault="00E747EC" w:rsidP="00420048">
      <w:pPr>
        <w:pStyle w:val="ListParagraph"/>
        <w:numPr>
          <w:ilvl w:val="0"/>
          <w:numId w:val="28"/>
        </w:numPr>
        <w:rPr>
          <w:rFonts w:cs="Arial"/>
          <w:lang w:val="en-GB"/>
        </w:rPr>
      </w:pPr>
      <w:r>
        <w:rPr>
          <w:rFonts w:cs="Arial"/>
          <w:lang w:val="en-GB"/>
        </w:rPr>
        <w:t>designed or clearly intended for use in play by</w:t>
      </w:r>
      <w:r w:rsidR="00910BBA">
        <w:rPr>
          <w:rFonts w:cs="Arial"/>
          <w:lang w:val="en-GB"/>
        </w:rPr>
        <w:t xml:space="preserve"> a child under 14 years of age</w:t>
      </w:r>
      <w:r w:rsidR="004957D5">
        <w:rPr>
          <w:rFonts w:cs="Arial"/>
          <w:lang w:val="en-GB"/>
        </w:rPr>
        <w:t>; and</w:t>
      </w:r>
    </w:p>
    <w:p w14:paraId="68076EE7" w14:textId="3D4C8578" w:rsidR="004957D5" w:rsidRDefault="004957D5" w:rsidP="00420048">
      <w:pPr>
        <w:pStyle w:val="ListParagraph"/>
        <w:numPr>
          <w:ilvl w:val="0"/>
          <w:numId w:val="28"/>
        </w:numPr>
        <w:rPr>
          <w:rFonts w:cs="Arial"/>
          <w:lang w:val="en-GB"/>
        </w:rPr>
      </w:pPr>
      <w:proofErr w:type="gramStart"/>
      <w:r>
        <w:rPr>
          <w:rFonts w:cs="Arial"/>
          <w:lang w:val="en-GB"/>
        </w:rPr>
        <w:t>supplied</w:t>
      </w:r>
      <w:proofErr w:type="gramEnd"/>
      <w:r>
        <w:rPr>
          <w:rFonts w:cs="Arial"/>
          <w:lang w:val="en-GB"/>
        </w:rPr>
        <w:t xml:space="preserve"> with one or more magnets or magnetic components.</w:t>
      </w:r>
    </w:p>
    <w:p w14:paraId="54D68602" w14:textId="27E33792" w:rsidR="00634102" w:rsidRDefault="00634102" w:rsidP="00CD69CA">
      <w:pPr>
        <w:spacing w:after="240"/>
        <w:rPr>
          <w:rFonts w:cs="Arial"/>
          <w:lang w:val="en-GB"/>
        </w:rPr>
      </w:pPr>
      <w:r w:rsidRPr="006C2E1D">
        <w:rPr>
          <w:rFonts w:cs="Arial"/>
          <w:lang w:val="en-GB"/>
        </w:rPr>
        <w:t>The</w:t>
      </w:r>
      <w:r w:rsidR="00A22EB3">
        <w:rPr>
          <w:rFonts w:cs="Arial"/>
          <w:lang w:val="en-GB"/>
        </w:rPr>
        <w:t xml:space="preserve"> new</w:t>
      </w:r>
      <w:r w:rsidRPr="006C2E1D">
        <w:rPr>
          <w:rFonts w:cs="Arial"/>
          <w:lang w:val="en-GB"/>
        </w:rPr>
        <w:t xml:space="preserve"> safety standard includes the following</w:t>
      </w:r>
      <w:r w:rsidR="00F07661">
        <w:rPr>
          <w:rFonts w:cs="Arial"/>
          <w:lang w:val="en-GB"/>
        </w:rPr>
        <w:t xml:space="preserve"> additional</w:t>
      </w:r>
      <w:r w:rsidRPr="006C2E1D">
        <w:rPr>
          <w:rFonts w:cs="Arial"/>
          <w:lang w:val="en-GB"/>
        </w:rPr>
        <w:t xml:space="preserve"> definition</w:t>
      </w:r>
      <w:r w:rsidR="005D4A09">
        <w:rPr>
          <w:rFonts w:cs="Arial"/>
          <w:lang w:val="en-GB"/>
        </w:rPr>
        <w:t>s:</w:t>
      </w:r>
    </w:p>
    <w:p w14:paraId="5A12CE89" w14:textId="493C01E5" w:rsidR="0088134F" w:rsidRPr="00C83A4E" w:rsidRDefault="00B04D1B" w:rsidP="00CD69CA">
      <w:pPr>
        <w:pStyle w:val="Default"/>
        <w:ind w:left="29" w:hanging="29"/>
        <w:rPr>
          <w:rFonts w:asciiTheme="minorHAnsi" w:hAnsiTheme="minorHAnsi" w:cstheme="minorHAnsi"/>
          <w:sz w:val="22"/>
          <w:szCs w:val="22"/>
          <w:lang w:val="en-GB"/>
        </w:rPr>
      </w:pPr>
      <w:r w:rsidRPr="00C83A4E">
        <w:rPr>
          <w:rFonts w:ascii="Arial" w:hAnsi="Arial" w:cs="Arial"/>
          <w:b/>
          <w:bCs/>
          <w:i/>
          <w:iCs/>
          <w:color w:val="auto"/>
          <w:sz w:val="22"/>
          <w:szCs w:val="22"/>
        </w:rPr>
        <w:t>Australian/New Zealand Standard</w:t>
      </w:r>
      <w:r w:rsidRPr="00C83A4E">
        <w:rPr>
          <w:rFonts w:ascii="Arial" w:hAnsi="Arial" w:cs="Arial"/>
          <w:b/>
          <w:bCs/>
          <w:iCs/>
          <w:color w:val="auto"/>
          <w:sz w:val="22"/>
          <w:szCs w:val="22"/>
        </w:rPr>
        <w:t xml:space="preserve"> </w:t>
      </w:r>
      <w:r w:rsidR="00CD69CA" w:rsidRPr="005F19BA">
        <w:rPr>
          <w:rFonts w:ascii="Arial" w:hAnsi="Arial" w:cs="Arial"/>
          <w:color w:val="auto"/>
          <w:sz w:val="22"/>
          <w:szCs w:val="22"/>
        </w:rPr>
        <w:t xml:space="preserve">means the </w:t>
      </w:r>
      <w:r w:rsidR="00CD69CA" w:rsidRPr="005F19BA">
        <w:rPr>
          <w:rFonts w:asciiTheme="minorHAnsi" w:hAnsiTheme="minorHAnsi" w:cstheme="minorHAnsi"/>
          <w:color w:val="auto"/>
          <w:sz w:val="22"/>
          <w:szCs w:val="22"/>
        </w:rPr>
        <w:t xml:space="preserve">Australian/New Zealand Standard </w:t>
      </w:r>
      <w:r w:rsidR="0088134F" w:rsidRPr="009A0618">
        <w:rPr>
          <w:rFonts w:asciiTheme="minorHAnsi" w:hAnsiTheme="minorHAnsi" w:cstheme="minorHAnsi"/>
          <w:i/>
          <w:sz w:val="22"/>
          <w:szCs w:val="22"/>
          <w:lang w:val="en-GB"/>
        </w:rPr>
        <w:t>AS/NZS</w:t>
      </w:r>
      <w:r w:rsidR="009A0618" w:rsidRPr="009A0618">
        <w:rPr>
          <w:rFonts w:asciiTheme="minorHAnsi" w:hAnsiTheme="minorHAnsi" w:cstheme="minorHAnsi"/>
          <w:i/>
          <w:sz w:val="22"/>
          <w:szCs w:val="22"/>
          <w:lang w:val="en-GB"/>
        </w:rPr>
        <w:t xml:space="preserve"> ISO</w:t>
      </w:r>
      <w:r w:rsidR="0088134F" w:rsidRPr="009A0618">
        <w:rPr>
          <w:rFonts w:asciiTheme="minorHAnsi" w:hAnsiTheme="minorHAnsi" w:cstheme="minorHAnsi"/>
          <w:i/>
          <w:sz w:val="22"/>
          <w:szCs w:val="22"/>
          <w:lang w:val="en-GB"/>
        </w:rPr>
        <w:t xml:space="preserve"> </w:t>
      </w:r>
      <w:r w:rsidR="00DB59BC" w:rsidRPr="009A0618">
        <w:rPr>
          <w:rFonts w:asciiTheme="minorHAnsi" w:hAnsiTheme="minorHAnsi" w:cstheme="minorHAnsi"/>
          <w:i/>
          <w:sz w:val="22"/>
          <w:szCs w:val="22"/>
        </w:rPr>
        <w:t>8124.1:2019</w:t>
      </w:r>
      <w:r w:rsidR="009A0618" w:rsidRPr="009A0618">
        <w:rPr>
          <w:rFonts w:asciiTheme="minorHAnsi" w:hAnsiTheme="minorHAnsi" w:cstheme="minorHAnsi"/>
          <w:i/>
          <w:sz w:val="22"/>
          <w:szCs w:val="22"/>
        </w:rPr>
        <w:t xml:space="preserve"> Safety of toys Part 1: Safety aspects related to mechanical and physical p</w:t>
      </w:r>
      <w:r w:rsidR="0088134F" w:rsidRPr="009A0618">
        <w:rPr>
          <w:rFonts w:asciiTheme="minorHAnsi" w:hAnsiTheme="minorHAnsi" w:cstheme="minorHAnsi"/>
          <w:i/>
          <w:sz w:val="22"/>
          <w:szCs w:val="22"/>
        </w:rPr>
        <w:t>roperties</w:t>
      </w:r>
    </w:p>
    <w:p w14:paraId="77D5E0D1" w14:textId="08919F64" w:rsidR="00CD69CA" w:rsidRPr="00C83A4E" w:rsidRDefault="00B04D1B" w:rsidP="00CD69CA">
      <w:pPr>
        <w:rPr>
          <w:rFonts w:cs="Arial"/>
        </w:rPr>
      </w:pPr>
      <w:r w:rsidRPr="00C83A4E">
        <w:rPr>
          <w:rFonts w:cs="Arial"/>
          <w:b/>
          <w:i/>
        </w:rPr>
        <w:t>European Standard</w:t>
      </w:r>
      <w:r w:rsidRPr="00C83A4E">
        <w:rPr>
          <w:rFonts w:cs="Arial"/>
          <w:b/>
        </w:rPr>
        <w:t xml:space="preserve"> </w:t>
      </w:r>
      <w:r w:rsidRPr="00C83A4E">
        <w:rPr>
          <w:rFonts w:cs="Arial"/>
        </w:rPr>
        <w:t xml:space="preserve">means </w:t>
      </w:r>
      <w:r w:rsidR="00CD69CA" w:rsidRPr="00C83A4E">
        <w:rPr>
          <w:rFonts w:cs="Arial"/>
        </w:rPr>
        <w:t xml:space="preserve">the European Standard </w:t>
      </w:r>
      <w:r w:rsidRPr="00D40355">
        <w:rPr>
          <w:rFonts w:cs="Arial"/>
          <w:i/>
        </w:rPr>
        <w:t>EN 71-1:2014</w:t>
      </w:r>
      <w:r w:rsidR="00CD69CA" w:rsidRPr="00D40355">
        <w:rPr>
          <w:rFonts w:cs="Arial"/>
          <w:i/>
        </w:rPr>
        <w:t>+A1:2018</w:t>
      </w:r>
      <w:r w:rsidRPr="00D40355">
        <w:rPr>
          <w:rFonts w:cs="Arial"/>
          <w:i/>
        </w:rPr>
        <w:t xml:space="preserve"> Safety of toys – Part 1: Mechanical and physical properties</w:t>
      </w:r>
    </w:p>
    <w:p w14:paraId="56BE0D1D" w14:textId="3170DCD9" w:rsidR="00CD69CA" w:rsidRPr="00C83A4E" w:rsidRDefault="00CD69CA" w:rsidP="00CD69CA">
      <w:pPr>
        <w:rPr>
          <w:rFonts w:cs="Arial"/>
          <w:lang w:val="en-GB"/>
        </w:rPr>
      </w:pPr>
      <w:r w:rsidRPr="00C83A4E">
        <w:rPr>
          <w:rFonts w:cs="Arial"/>
          <w:b/>
          <w:bCs/>
          <w:i/>
          <w:iCs/>
        </w:rPr>
        <w:t>International Standard</w:t>
      </w:r>
      <w:r w:rsidRPr="00C83A4E">
        <w:rPr>
          <w:rFonts w:cs="Arial"/>
          <w:b/>
          <w:bCs/>
          <w:iCs/>
        </w:rPr>
        <w:t xml:space="preserve"> </w:t>
      </w:r>
      <w:r w:rsidRPr="00C83A4E">
        <w:rPr>
          <w:rFonts w:cs="Arial"/>
          <w:iCs/>
        </w:rPr>
        <w:t xml:space="preserve">means </w:t>
      </w:r>
      <w:r w:rsidR="00D40355">
        <w:rPr>
          <w:rFonts w:cs="Arial"/>
        </w:rPr>
        <w:t>the</w:t>
      </w:r>
      <w:r w:rsidR="00CC6FE1">
        <w:rPr>
          <w:rFonts w:cs="Arial"/>
        </w:rPr>
        <w:t xml:space="preserve"> International Standard</w:t>
      </w:r>
      <w:r w:rsidR="00D40355">
        <w:rPr>
          <w:rFonts w:cs="Arial"/>
        </w:rPr>
        <w:t xml:space="preserve"> </w:t>
      </w:r>
      <w:r w:rsidR="00D40355" w:rsidRPr="00D40355">
        <w:rPr>
          <w:rFonts w:cs="Arial"/>
          <w:i/>
        </w:rPr>
        <w:t>ISO 8124-</w:t>
      </w:r>
      <w:r w:rsidRPr="00D40355">
        <w:rPr>
          <w:rFonts w:cs="Arial"/>
          <w:i/>
        </w:rPr>
        <w:t>1:2018 Safety of toys</w:t>
      </w:r>
      <w:r w:rsidR="00D40355" w:rsidRPr="00D40355">
        <w:rPr>
          <w:rFonts w:cs="Arial"/>
          <w:i/>
        </w:rPr>
        <w:t xml:space="preserve"> – Part </w:t>
      </w:r>
      <w:r w:rsidRPr="00D40355">
        <w:rPr>
          <w:rFonts w:cs="Arial"/>
          <w:i/>
        </w:rPr>
        <w:t>1: Safety aspects related to mechanical and physical properties</w:t>
      </w:r>
    </w:p>
    <w:p w14:paraId="1AA1BED6" w14:textId="19A20E18" w:rsidR="005052F2" w:rsidRPr="005F19BA" w:rsidRDefault="00CD69CA" w:rsidP="00CD69CA">
      <w:pPr>
        <w:rPr>
          <w:rFonts w:cs="Arial"/>
        </w:rPr>
      </w:pPr>
      <w:r w:rsidRPr="00C83A4E">
        <w:rPr>
          <w:rFonts w:cs="Arial"/>
          <w:b/>
          <w:i/>
        </w:rPr>
        <w:t xml:space="preserve">US </w:t>
      </w:r>
      <w:r w:rsidR="00B04D1B" w:rsidRPr="00C83A4E">
        <w:rPr>
          <w:rFonts w:cs="Arial"/>
          <w:b/>
          <w:i/>
        </w:rPr>
        <w:t>Standard</w:t>
      </w:r>
      <w:r w:rsidR="00B04D1B" w:rsidRPr="00C83A4E">
        <w:rPr>
          <w:rFonts w:cs="Arial"/>
          <w:b/>
        </w:rPr>
        <w:t xml:space="preserve"> </w:t>
      </w:r>
      <w:r w:rsidR="00B04D1B" w:rsidRPr="00C83A4E">
        <w:rPr>
          <w:rFonts w:cs="Arial"/>
        </w:rPr>
        <w:t xml:space="preserve">means </w:t>
      </w:r>
      <w:r w:rsidRPr="00C83A4E">
        <w:rPr>
          <w:rFonts w:cs="Arial"/>
        </w:rPr>
        <w:t xml:space="preserve">the American Society for Testing and Materials Standard </w:t>
      </w:r>
      <w:r w:rsidR="00CC6FE1">
        <w:rPr>
          <w:rFonts w:cs="Arial"/>
          <w:i/>
        </w:rPr>
        <w:t>ASTM F963 -</w:t>
      </w:r>
      <w:r w:rsidR="009A0618" w:rsidRPr="00D40355">
        <w:rPr>
          <w:rFonts w:cs="Arial"/>
          <w:i/>
        </w:rPr>
        <w:t xml:space="preserve"> 17 </w:t>
      </w:r>
      <w:r w:rsidR="00D40355">
        <w:rPr>
          <w:rFonts w:cs="Arial"/>
          <w:i/>
        </w:rPr>
        <w:t>Standard Consumer S</w:t>
      </w:r>
      <w:r w:rsidR="00B04D1B" w:rsidRPr="00D40355">
        <w:rPr>
          <w:rFonts w:cs="Arial"/>
          <w:i/>
        </w:rPr>
        <w:t>afe</w:t>
      </w:r>
      <w:r w:rsidR="00D40355">
        <w:rPr>
          <w:rFonts w:cs="Arial"/>
          <w:i/>
        </w:rPr>
        <w:t>ty Specification for Toy S</w:t>
      </w:r>
      <w:r w:rsidR="005052F2" w:rsidRPr="00D40355">
        <w:rPr>
          <w:rFonts w:cs="Arial"/>
          <w:i/>
        </w:rPr>
        <w:t>afety</w:t>
      </w:r>
      <w:r w:rsidR="005F19BA">
        <w:rPr>
          <w:rFonts w:cs="Arial"/>
        </w:rPr>
        <w:t>.</w:t>
      </w:r>
    </w:p>
    <w:p w14:paraId="2CE79EBE" w14:textId="3B4FDDD0" w:rsidR="003046B6" w:rsidRPr="005F19BA" w:rsidRDefault="001B4A7B" w:rsidP="005052F2">
      <w:pPr>
        <w:rPr>
          <w:rFonts w:asciiTheme="minorHAnsi" w:hAnsiTheme="minorHAnsi" w:cstheme="minorHAnsi"/>
          <w:lang w:val="en-GB"/>
        </w:rPr>
      </w:pPr>
      <w:r w:rsidRPr="005F19BA">
        <w:rPr>
          <w:rFonts w:asciiTheme="minorHAnsi" w:hAnsiTheme="minorHAnsi" w:cstheme="minorHAnsi"/>
          <w:lang w:val="en-GB"/>
        </w:rPr>
        <w:t xml:space="preserve">The </w:t>
      </w:r>
      <w:r w:rsidR="00A22EB3" w:rsidRPr="005F19BA">
        <w:rPr>
          <w:rFonts w:asciiTheme="minorHAnsi" w:hAnsiTheme="minorHAnsi" w:cstheme="minorHAnsi"/>
          <w:lang w:val="en-GB"/>
        </w:rPr>
        <w:t>new safety</w:t>
      </w:r>
      <w:r w:rsidRPr="005F19BA">
        <w:rPr>
          <w:rFonts w:asciiTheme="minorHAnsi" w:hAnsiTheme="minorHAnsi" w:cstheme="minorHAnsi"/>
          <w:lang w:val="en-GB"/>
        </w:rPr>
        <w:t xml:space="preserve"> standard requires </w:t>
      </w:r>
      <w:r w:rsidR="00E53F2F" w:rsidRPr="005F19BA">
        <w:rPr>
          <w:rFonts w:asciiTheme="minorHAnsi" w:hAnsiTheme="minorHAnsi" w:cstheme="minorHAnsi"/>
          <w:lang w:val="en-GB"/>
        </w:rPr>
        <w:t>the supply of</w:t>
      </w:r>
      <w:r w:rsidR="004957D5" w:rsidRPr="005F19BA">
        <w:rPr>
          <w:rFonts w:asciiTheme="minorHAnsi" w:hAnsiTheme="minorHAnsi" w:cstheme="minorHAnsi"/>
          <w:lang w:val="en-GB"/>
        </w:rPr>
        <w:t xml:space="preserve"> a magnetic toy</w:t>
      </w:r>
      <w:r w:rsidR="00910BBA" w:rsidRPr="005F19BA">
        <w:rPr>
          <w:rFonts w:asciiTheme="minorHAnsi" w:hAnsiTheme="minorHAnsi" w:cstheme="minorHAnsi"/>
          <w:lang w:val="en-GB"/>
        </w:rPr>
        <w:t xml:space="preserve"> t</w:t>
      </w:r>
      <w:r w:rsidR="00692E2E" w:rsidRPr="005F19BA">
        <w:rPr>
          <w:rFonts w:asciiTheme="minorHAnsi" w:hAnsiTheme="minorHAnsi" w:cstheme="minorHAnsi"/>
          <w:lang w:val="en-GB"/>
        </w:rPr>
        <w:t>o comply with</w:t>
      </w:r>
      <w:r w:rsidR="00140C59" w:rsidRPr="005F19BA">
        <w:rPr>
          <w:rFonts w:asciiTheme="minorHAnsi" w:hAnsiTheme="minorHAnsi" w:cstheme="minorHAnsi"/>
          <w:lang w:val="en-GB"/>
        </w:rPr>
        <w:t xml:space="preserve"> the </w:t>
      </w:r>
      <w:r w:rsidR="008A5A1D" w:rsidRPr="005F19BA">
        <w:rPr>
          <w:rFonts w:asciiTheme="minorHAnsi" w:hAnsiTheme="minorHAnsi" w:cstheme="minorHAnsi"/>
          <w:lang w:val="en-GB"/>
        </w:rPr>
        <w:t xml:space="preserve">relevant </w:t>
      </w:r>
      <w:r w:rsidR="00E20DD1" w:rsidRPr="005F19BA">
        <w:rPr>
          <w:rFonts w:asciiTheme="minorHAnsi" w:hAnsiTheme="minorHAnsi" w:cstheme="minorHAnsi"/>
          <w:lang w:val="en-GB"/>
        </w:rPr>
        <w:t xml:space="preserve">clauses of the latest </w:t>
      </w:r>
      <w:r w:rsidR="00A22EB3" w:rsidRPr="005F19BA">
        <w:rPr>
          <w:rFonts w:asciiTheme="minorHAnsi" w:hAnsiTheme="minorHAnsi" w:cstheme="minorHAnsi"/>
          <w:lang w:val="en-GB"/>
        </w:rPr>
        <w:t xml:space="preserve">voluntary </w:t>
      </w:r>
      <w:r w:rsidR="00597A5A" w:rsidRPr="005F19BA">
        <w:rPr>
          <w:rFonts w:asciiTheme="minorHAnsi" w:hAnsiTheme="minorHAnsi" w:cstheme="minorHAnsi"/>
          <w:lang w:val="en-GB"/>
        </w:rPr>
        <w:t>Australian</w:t>
      </w:r>
      <w:r w:rsidR="008A5A1D" w:rsidRPr="005F19BA">
        <w:rPr>
          <w:rFonts w:asciiTheme="minorHAnsi" w:hAnsiTheme="minorHAnsi" w:cstheme="minorHAnsi"/>
          <w:lang w:val="en-GB"/>
        </w:rPr>
        <w:t>/New Zealand</w:t>
      </w:r>
      <w:r w:rsidR="00597A5A" w:rsidRPr="005F19BA">
        <w:rPr>
          <w:rFonts w:asciiTheme="minorHAnsi" w:hAnsiTheme="minorHAnsi" w:cstheme="minorHAnsi"/>
          <w:lang w:val="en-GB"/>
        </w:rPr>
        <w:t xml:space="preserve"> </w:t>
      </w:r>
      <w:r w:rsidR="00A53CC6" w:rsidRPr="005F19BA">
        <w:rPr>
          <w:rFonts w:asciiTheme="minorHAnsi" w:hAnsiTheme="minorHAnsi" w:cstheme="minorHAnsi"/>
          <w:lang w:val="en-GB"/>
        </w:rPr>
        <w:t>S</w:t>
      </w:r>
      <w:r w:rsidR="00597A5A" w:rsidRPr="005F19BA">
        <w:rPr>
          <w:rFonts w:asciiTheme="minorHAnsi" w:hAnsiTheme="minorHAnsi" w:cstheme="minorHAnsi"/>
          <w:lang w:val="en-GB"/>
        </w:rPr>
        <w:t>tandard</w:t>
      </w:r>
      <w:r w:rsidR="00140C59" w:rsidRPr="005F19BA">
        <w:rPr>
          <w:rFonts w:asciiTheme="minorHAnsi" w:hAnsiTheme="minorHAnsi" w:cstheme="minorHAnsi"/>
          <w:i/>
          <w:lang w:val="en-GB"/>
        </w:rPr>
        <w:t xml:space="preserve"> </w:t>
      </w:r>
      <w:r w:rsidR="003046B6" w:rsidRPr="005F19BA">
        <w:rPr>
          <w:rFonts w:asciiTheme="minorHAnsi" w:hAnsiTheme="minorHAnsi" w:cstheme="minorHAnsi"/>
          <w:lang w:val="en-GB"/>
        </w:rPr>
        <w:t>(with variations)</w:t>
      </w:r>
      <w:r w:rsidR="00A22EB3" w:rsidRPr="005F19BA">
        <w:rPr>
          <w:rFonts w:asciiTheme="minorHAnsi" w:hAnsiTheme="minorHAnsi" w:cstheme="minorHAnsi"/>
          <w:lang w:val="en-GB"/>
        </w:rPr>
        <w:t>,</w:t>
      </w:r>
      <w:r w:rsidR="008A5A1D" w:rsidRPr="005F19BA">
        <w:rPr>
          <w:rFonts w:asciiTheme="minorHAnsi" w:hAnsiTheme="minorHAnsi" w:cstheme="minorHAnsi"/>
          <w:lang w:val="en-GB"/>
        </w:rPr>
        <w:t xml:space="preserve"> or with </w:t>
      </w:r>
      <w:r w:rsidR="008A5A1D" w:rsidRPr="005F19BA">
        <w:rPr>
          <w:rFonts w:asciiTheme="minorHAnsi" w:hAnsiTheme="minorHAnsi" w:cstheme="minorHAnsi"/>
          <w:lang w:val="en-GB"/>
        </w:rPr>
        <w:lastRenderedPageBreak/>
        <w:t>the relevant clauses from</w:t>
      </w:r>
      <w:r w:rsidR="00E20DD1" w:rsidRPr="005F19BA">
        <w:rPr>
          <w:rFonts w:asciiTheme="minorHAnsi" w:hAnsiTheme="minorHAnsi" w:cstheme="minorHAnsi"/>
          <w:lang w:val="en-GB"/>
        </w:rPr>
        <w:t xml:space="preserve"> one of</w:t>
      </w:r>
      <w:r w:rsidR="008A5A1D" w:rsidRPr="005F19BA">
        <w:rPr>
          <w:rFonts w:asciiTheme="minorHAnsi" w:hAnsiTheme="minorHAnsi" w:cstheme="minorHAnsi"/>
          <w:lang w:val="en-GB"/>
        </w:rPr>
        <w:t xml:space="preserve"> </w:t>
      </w:r>
      <w:r w:rsidR="00F07661" w:rsidRPr="005F19BA">
        <w:rPr>
          <w:rFonts w:asciiTheme="minorHAnsi" w:hAnsiTheme="minorHAnsi" w:cstheme="minorHAnsi"/>
          <w:lang w:val="en-GB"/>
        </w:rPr>
        <w:t xml:space="preserve">the above </w:t>
      </w:r>
      <w:r w:rsidR="00603C54" w:rsidRPr="005F19BA">
        <w:rPr>
          <w:rFonts w:asciiTheme="minorHAnsi" w:hAnsiTheme="minorHAnsi" w:cstheme="minorHAnsi"/>
          <w:lang w:val="en-GB"/>
        </w:rPr>
        <w:t xml:space="preserve">overseas </w:t>
      </w:r>
      <w:r w:rsidR="008A5A1D" w:rsidRPr="005F19BA">
        <w:rPr>
          <w:rFonts w:asciiTheme="minorHAnsi" w:hAnsiTheme="minorHAnsi" w:cstheme="minorHAnsi"/>
          <w:lang w:val="en-GB"/>
        </w:rPr>
        <w:t>standards</w:t>
      </w:r>
      <w:r w:rsidR="00E20DD1" w:rsidRPr="005F19BA">
        <w:rPr>
          <w:rFonts w:asciiTheme="minorHAnsi" w:hAnsiTheme="minorHAnsi" w:cstheme="minorHAnsi"/>
          <w:lang w:val="en-GB"/>
        </w:rPr>
        <w:t xml:space="preserve"> (with variations)</w:t>
      </w:r>
      <w:r w:rsidR="008A5A1D" w:rsidRPr="005F19BA">
        <w:rPr>
          <w:rFonts w:asciiTheme="minorHAnsi" w:hAnsiTheme="minorHAnsi" w:cstheme="minorHAnsi"/>
          <w:lang w:val="en-GB"/>
        </w:rPr>
        <w:t>, as particularised by the instrument</w:t>
      </w:r>
      <w:r w:rsidR="00140C59" w:rsidRPr="005F19BA">
        <w:rPr>
          <w:rFonts w:asciiTheme="minorHAnsi" w:hAnsiTheme="minorHAnsi" w:cstheme="minorHAnsi"/>
          <w:lang w:val="en-GB"/>
        </w:rPr>
        <w:t>.</w:t>
      </w:r>
    </w:p>
    <w:p w14:paraId="32012F6A" w14:textId="7AF01F5C" w:rsidR="00E20DD1" w:rsidRPr="00CA6396" w:rsidRDefault="00A53CC6" w:rsidP="00E20DD1">
      <w:pPr>
        <w:rPr>
          <w:rFonts w:asciiTheme="minorHAnsi" w:hAnsiTheme="minorHAnsi" w:cstheme="minorHAnsi"/>
          <w:lang w:val="en-GB"/>
        </w:rPr>
      </w:pPr>
      <w:r w:rsidRPr="005F19BA">
        <w:rPr>
          <w:rFonts w:asciiTheme="minorHAnsi" w:hAnsiTheme="minorHAnsi" w:cstheme="minorHAnsi"/>
          <w:lang w:val="en-GB"/>
        </w:rPr>
        <w:t>The new safety standard continues to address th</w:t>
      </w:r>
      <w:r w:rsidR="000F1F79" w:rsidRPr="005F19BA">
        <w:rPr>
          <w:rFonts w:asciiTheme="minorHAnsi" w:hAnsiTheme="minorHAnsi" w:cstheme="minorHAnsi"/>
          <w:lang w:val="en-GB"/>
        </w:rPr>
        <w:t xml:space="preserve">e </w:t>
      </w:r>
      <w:r w:rsidR="00E20DD1" w:rsidRPr="005F19BA">
        <w:rPr>
          <w:rFonts w:asciiTheme="minorHAnsi" w:hAnsiTheme="minorHAnsi" w:cstheme="minorHAnsi"/>
          <w:lang w:val="en-GB"/>
        </w:rPr>
        <w:t>hazards from</w:t>
      </w:r>
      <w:r w:rsidR="000F1F79" w:rsidRPr="005F19BA">
        <w:rPr>
          <w:rFonts w:asciiTheme="minorHAnsi" w:hAnsiTheme="minorHAnsi" w:cstheme="minorHAnsi"/>
          <w:lang w:val="en-GB"/>
        </w:rPr>
        <w:t xml:space="preserve"> children</w:t>
      </w:r>
      <w:r w:rsidRPr="005F19BA">
        <w:rPr>
          <w:rFonts w:asciiTheme="minorHAnsi" w:hAnsiTheme="minorHAnsi" w:cstheme="minorHAnsi"/>
          <w:lang w:val="en-GB"/>
        </w:rPr>
        <w:t xml:space="preserve"> ingesting </w:t>
      </w:r>
      <w:r w:rsidR="00E20DD1" w:rsidRPr="005F19BA">
        <w:rPr>
          <w:rFonts w:asciiTheme="minorHAnsi" w:hAnsiTheme="minorHAnsi" w:cstheme="minorHAnsi"/>
          <w:lang w:val="en-GB"/>
        </w:rPr>
        <w:t xml:space="preserve">small high-powered </w:t>
      </w:r>
      <w:r w:rsidRPr="005F19BA">
        <w:rPr>
          <w:rFonts w:asciiTheme="minorHAnsi" w:hAnsiTheme="minorHAnsi" w:cstheme="minorHAnsi"/>
          <w:lang w:val="en-GB"/>
        </w:rPr>
        <w:t>magnets</w:t>
      </w:r>
      <w:r w:rsidR="00E20DD1" w:rsidRPr="005F19BA">
        <w:rPr>
          <w:rFonts w:asciiTheme="minorHAnsi" w:hAnsiTheme="minorHAnsi" w:cstheme="minorHAnsi"/>
          <w:lang w:val="en-GB"/>
        </w:rPr>
        <w:t xml:space="preserve"> or </w:t>
      </w:r>
      <w:r w:rsidR="0044129F">
        <w:rPr>
          <w:rFonts w:asciiTheme="minorHAnsi" w:hAnsiTheme="minorHAnsi" w:cstheme="minorHAnsi"/>
          <w:lang w:val="en-GB"/>
        </w:rPr>
        <w:t xml:space="preserve">small high-powered </w:t>
      </w:r>
      <w:r w:rsidR="00E20DD1" w:rsidRPr="005F19BA">
        <w:rPr>
          <w:rFonts w:asciiTheme="minorHAnsi" w:hAnsiTheme="minorHAnsi" w:cstheme="minorHAnsi"/>
          <w:lang w:val="en-GB"/>
        </w:rPr>
        <w:t>magnetic components supplied with children’s toys, i.e.</w:t>
      </w:r>
      <w:r w:rsidRPr="005F19BA">
        <w:rPr>
          <w:rFonts w:asciiTheme="minorHAnsi" w:hAnsiTheme="minorHAnsi" w:cstheme="minorHAnsi"/>
          <w:lang w:val="en-GB"/>
        </w:rPr>
        <w:t xml:space="preserve"> neo</w:t>
      </w:r>
      <w:r w:rsidR="00E20DD1" w:rsidRPr="005F19BA">
        <w:rPr>
          <w:rFonts w:asciiTheme="minorHAnsi" w:hAnsiTheme="minorHAnsi" w:cstheme="minorHAnsi"/>
          <w:lang w:val="en-GB"/>
        </w:rPr>
        <w:t xml:space="preserve">dymium iron boron type magnets. </w:t>
      </w:r>
      <w:r w:rsidR="005F19BA" w:rsidRPr="005F19BA">
        <w:rPr>
          <w:rFonts w:asciiTheme="minorHAnsi" w:hAnsiTheme="minorHAnsi" w:cstheme="minorHAnsi"/>
          <w:lang w:val="en-GB"/>
        </w:rPr>
        <w:t>If ingested</w:t>
      </w:r>
      <w:r w:rsidR="00E20DD1" w:rsidRPr="00D921E5">
        <w:rPr>
          <w:rFonts w:asciiTheme="minorHAnsi" w:hAnsiTheme="minorHAnsi" w:cstheme="minorHAnsi"/>
          <w:lang w:val="en-GB"/>
        </w:rPr>
        <w:t>, small high-powered magnets or magnetic components from a toy may attract to each other across a child’s intestinal wall causing perforation or blockage, and potentially serious injury or death.</w:t>
      </w:r>
      <w:r w:rsidR="00E20DD1" w:rsidRPr="00C83A4E">
        <w:rPr>
          <w:rFonts w:asciiTheme="minorHAnsi" w:hAnsiTheme="minorHAnsi" w:cstheme="minorHAnsi"/>
          <w:lang w:val="en-GB"/>
        </w:rPr>
        <w:t xml:space="preserve"> </w:t>
      </w:r>
      <w:r w:rsidR="00E20DD1" w:rsidRPr="00D921E5">
        <w:rPr>
          <w:rFonts w:asciiTheme="minorHAnsi" w:hAnsiTheme="minorHAnsi" w:cstheme="minorHAnsi"/>
          <w:lang w:val="en-GB"/>
        </w:rPr>
        <w:t>The new safety standard also covers toys supplied wi</w:t>
      </w:r>
      <w:r w:rsidR="0044129F">
        <w:rPr>
          <w:rFonts w:asciiTheme="minorHAnsi" w:hAnsiTheme="minorHAnsi" w:cstheme="minorHAnsi"/>
          <w:lang w:val="en-GB"/>
        </w:rPr>
        <w:t>th one magnet or magnetic component</w:t>
      </w:r>
      <w:r w:rsidR="00E20DD1" w:rsidRPr="00D921E5">
        <w:rPr>
          <w:rFonts w:asciiTheme="minorHAnsi" w:hAnsiTheme="minorHAnsi" w:cstheme="minorHAnsi"/>
          <w:lang w:val="en-GB"/>
        </w:rPr>
        <w:t>, which may also cause intestinal perforation or blockage when attracted to an ingested ferromagnetic object, such as an iron or nickel object.</w:t>
      </w:r>
    </w:p>
    <w:p w14:paraId="5BA3C90F" w14:textId="37D35B3D" w:rsidR="00CA6396" w:rsidRPr="00C83A4E" w:rsidRDefault="00CA6396" w:rsidP="00E20DD1">
      <w:pPr>
        <w:rPr>
          <w:rFonts w:asciiTheme="minorHAnsi" w:hAnsiTheme="minorHAnsi" w:cstheme="minorHAnsi"/>
          <w:lang w:val="en-GB"/>
        </w:rPr>
      </w:pPr>
      <w:r>
        <w:rPr>
          <w:rFonts w:asciiTheme="minorHAnsi" w:hAnsiTheme="minorHAnsi" w:cstheme="minorHAnsi"/>
          <w:lang w:val="en-GB"/>
        </w:rPr>
        <w:t>Other hazards, such as suffocation and asphyxiation from swallowing small parts of a toy, are addressed by the</w:t>
      </w:r>
      <w:r w:rsidR="005F19BA">
        <w:rPr>
          <w:rFonts w:asciiTheme="minorHAnsi" w:hAnsiTheme="minorHAnsi" w:cstheme="minorHAnsi"/>
          <w:lang w:val="en-GB"/>
        </w:rPr>
        <w:t xml:space="preserve"> separate</w:t>
      </w:r>
      <w:r>
        <w:rPr>
          <w:rFonts w:asciiTheme="minorHAnsi" w:hAnsiTheme="minorHAnsi" w:cstheme="minorHAnsi"/>
          <w:lang w:val="en-GB"/>
        </w:rPr>
        <w:t xml:space="preserve"> mandatory safety standard for toys for children up to and including 36 months of age</w:t>
      </w:r>
      <w:r w:rsidR="0044129F">
        <w:rPr>
          <w:rFonts w:asciiTheme="minorHAnsi" w:hAnsiTheme="minorHAnsi" w:cstheme="minorHAnsi"/>
          <w:lang w:val="en-GB"/>
        </w:rPr>
        <w:t xml:space="preserve"> (Consumer Protection Notice No. 14 of 2003, as amended by Consumer Protection Notice No. 1 of 2005)</w:t>
      </w:r>
      <w:r>
        <w:rPr>
          <w:rFonts w:asciiTheme="minorHAnsi" w:hAnsiTheme="minorHAnsi" w:cstheme="minorHAnsi"/>
          <w:lang w:val="en-GB"/>
        </w:rPr>
        <w:t>.</w:t>
      </w:r>
    </w:p>
    <w:p w14:paraId="69759922" w14:textId="53EF2DC5" w:rsidR="00E20DD1" w:rsidRPr="00C83A4E" w:rsidRDefault="00E20DD1" w:rsidP="00E20DD1">
      <w:pPr>
        <w:rPr>
          <w:rFonts w:asciiTheme="minorHAnsi" w:hAnsiTheme="minorHAnsi" w:cstheme="minorHAnsi"/>
          <w:lang w:val="en-GB"/>
        </w:rPr>
      </w:pPr>
      <w:r w:rsidRPr="00D921E5">
        <w:rPr>
          <w:rFonts w:asciiTheme="minorHAnsi" w:hAnsiTheme="minorHAnsi" w:cstheme="minorHAnsi"/>
          <w:lang w:val="en-GB"/>
        </w:rPr>
        <w:t>Magnets and magnetic components that are small enough to be ingested by a chil</w:t>
      </w:r>
      <w:r w:rsidR="0044129F">
        <w:rPr>
          <w:rFonts w:asciiTheme="minorHAnsi" w:hAnsiTheme="minorHAnsi" w:cstheme="minorHAnsi"/>
          <w:lang w:val="en-GB"/>
        </w:rPr>
        <w:t>d are determined by reference to</w:t>
      </w:r>
      <w:r w:rsidRPr="00D921E5">
        <w:rPr>
          <w:rFonts w:asciiTheme="minorHAnsi" w:hAnsiTheme="minorHAnsi" w:cstheme="minorHAnsi"/>
          <w:lang w:val="en-GB"/>
        </w:rPr>
        <w:t xml:space="preserve"> the sm</w:t>
      </w:r>
      <w:r w:rsidR="0044129F">
        <w:rPr>
          <w:rFonts w:asciiTheme="minorHAnsi" w:hAnsiTheme="minorHAnsi" w:cstheme="minorHAnsi"/>
          <w:lang w:val="en-GB"/>
        </w:rPr>
        <w:t>all parts test</w:t>
      </w:r>
      <w:r w:rsidRPr="00D921E5">
        <w:rPr>
          <w:rFonts w:asciiTheme="minorHAnsi" w:hAnsiTheme="minorHAnsi" w:cstheme="minorHAnsi"/>
          <w:lang w:val="en-GB"/>
        </w:rPr>
        <w:t>. While the small parts test cylinder was not developed to identify objects that can be ingested by children over 36 months of age</w:t>
      </w:r>
      <w:r w:rsidR="00DE77D9" w:rsidRPr="00DE77D9">
        <w:rPr>
          <w:rFonts w:asciiTheme="minorHAnsi" w:hAnsiTheme="minorHAnsi" w:cstheme="minorHAnsi"/>
          <w:lang w:val="en-GB"/>
        </w:rPr>
        <w:t>, magnets and magnetic componen</w:t>
      </w:r>
      <w:r w:rsidRPr="00D921E5">
        <w:rPr>
          <w:rFonts w:asciiTheme="minorHAnsi" w:hAnsiTheme="minorHAnsi" w:cstheme="minorHAnsi"/>
          <w:lang w:val="en-GB"/>
        </w:rPr>
        <w:t>ts that have been involved in known incidents have all fit into the prescribed cylinder with a large margin.</w:t>
      </w:r>
    </w:p>
    <w:p w14:paraId="0671A927" w14:textId="581C54FE" w:rsidR="00AD05A8" w:rsidRDefault="00E20DD1" w:rsidP="00DE77D9">
      <w:pPr>
        <w:rPr>
          <w:rFonts w:asciiTheme="minorHAnsi" w:hAnsiTheme="minorHAnsi" w:cstheme="minorHAnsi"/>
          <w:lang w:val="en-GB"/>
        </w:rPr>
      </w:pPr>
      <w:r w:rsidRPr="00D921E5">
        <w:rPr>
          <w:rFonts w:asciiTheme="minorHAnsi" w:hAnsiTheme="minorHAnsi" w:cstheme="minorHAnsi"/>
          <w:lang w:val="en-GB"/>
        </w:rPr>
        <w:t xml:space="preserve">The new safety standard also determines a hazardous magnet or </w:t>
      </w:r>
      <w:r w:rsidR="0044129F">
        <w:rPr>
          <w:rFonts w:asciiTheme="minorHAnsi" w:hAnsiTheme="minorHAnsi" w:cstheme="minorHAnsi"/>
          <w:lang w:val="en-GB"/>
        </w:rPr>
        <w:t xml:space="preserve">a hazardous </w:t>
      </w:r>
      <w:r w:rsidRPr="00D921E5">
        <w:rPr>
          <w:rFonts w:asciiTheme="minorHAnsi" w:hAnsiTheme="minorHAnsi" w:cstheme="minorHAnsi"/>
          <w:lang w:val="en-GB"/>
        </w:rPr>
        <w:t xml:space="preserve">magnetic component based on whether it exceeds a magnetic flux index level of 50 kG²mm². </w:t>
      </w:r>
      <w:r w:rsidR="00AD05A8">
        <w:rPr>
          <w:rFonts w:asciiTheme="minorHAnsi" w:hAnsiTheme="minorHAnsi" w:cstheme="minorHAnsi"/>
          <w:lang w:val="en-GB"/>
        </w:rPr>
        <w:t>Expert opinion</w:t>
      </w:r>
      <w:r w:rsidR="00DE77D9">
        <w:rPr>
          <w:rFonts w:asciiTheme="minorHAnsi" w:hAnsiTheme="minorHAnsi" w:cstheme="minorHAnsi"/>
          <w:lang w:val="en-GB"/>
        </w:rPr>
        <w:t xml:space="preserve"> </w:t>
      </w:r>
      <w:r w:rsidR="00D921E5">
        <w:rPr>
          <w:rFonts w:asciiTheme="minorHAnsi" w:hAnsiTheme="minorHAnsi" w:cstheme="minorHAnsi"/>
          <w:lang w:val="en-GB"/>
        </w:rPr>
        <w:t xml:space="preserve">has determined this to be an appropriate </w:t>
      </w:r>
      <w:r w:rsidR="00D921E5" w:rsidRPr="00D921E5">
        <w:rPr>
          <w:rFonts w:asciiTheme="minorHAnsi" w:hAnsiTheme="minorHAnsi" w:cstheme="minorHAnsi"/>
          <w:lang w:val="en-GB"/>
        </w:rPr>
        <w:t>limit</w:t>
      </w:r>
      <w:r w:rsidR="00D921E5">
        <w:rPr>
          <w:rFonts w:asciiTheme="minorHAnsi" w:hAnsiTheme="minorHAnsi" w:cstheme="minorHAnsi"/>
          <w:lang w:val="en-GB"/>
        </w:rPr>
        <w:t>, with a safe margin,</w:t>
      </w:r>
      <w:r w:rsidR="000F27EA">
        <w:rPr>
          <w:rFonts w:asciiTheme="minorHAnsi" w:hAnsiTheme="minorHAnsi" w:cstheme="minorHAnsi"/>
          <w:lang w:val="en-GB"/>
        </w:rPr>
        <w:t xml:space="preserve"> for magnetic attraction.</w:t>
      </w:r>
    </w:p>
    <w:p w14:paraId="2E4338E6" w14:textId="4C899777" w:rsidR="00DE77D9" w:rsidRDefault="00DE77D9" w:rsidP="00DE77D9">
      <w:pPr>
        <w:rPr>
          <w:rFonts w:cs="Arial"/>
          <w:b/>
          <w:lang w:val="en-GB"/>
        </w:rPr>
      </w:pPr>
      <w:r>
        <w:rPr>
          <w:rFonts w:cs="Arial"/>
          <w:b/>
          <w:lang w:val="en-GB"/>
        </w:rPr>
        <w:t>Permanent ban on small high-powered magnets</w:t>
      </w:r>
    </w:p>
    <w:p w14:paraId="2D0A126C" w14:textId="41753C23" w:rsidR="00DE77D9" w:rsidRDefault="00DE77D9" w:rsidP="00DE77D9">
      <w:r>
        <w:t>In 2011, a one-year-old child died after ingesting 12 small high-powered magnets. This tragic death, as well as other serious incidents, led to the introduction of a permanent ban in 2012 on small high-powered magnets (Consumer Protection Notice No. 5 of 2</w:t>
      </w:r>
      <w:r w:rsidR="000F27EA">
        <w:t>012), which remains in effect.</w:t>
      </w:r>
    </w:p>
    <w:p w14:paraId="270963B7" w14:textId="13EF35B0" w:rsidR="00DE77D9" w:rsidRPr="00DE77D9" w:rsidRDefault="00DE77D9" w:rsidP="00DE77D9">
      <w:r>
        <w:t>This ban is distinct from the new safety standard as it has a narrow focus on separable or loose magnetic objects supplied in multiples of two or more where the magnetic objects are, among other things, marketed by the supplier as, or supplied for use as, a toy, game or puzzle (including but not limited to an adult desk toy, an educational toy or game, a toy, game or puzzle for mental stimulation or stress relief), or a construction or modelling kit, or jewellery to be worn in or around the mouth or nose.</w:t>
      </w:r>
    </w:p>
    <w:p w14:paraId="4CC1AE4C" w14:textId="73C596CB" w:rsidR="00474CC5" w:rsidRDefault="00474CC5" w:rsidP="00474CC5">
      <w:pPr>
        <w:rPr>
          <w:rFonts w:cs="Arial"/>
          <w:b/>
          <w:lang w:val="en-GB"/>
        </w:rPr>
      </w:pPr>
      <w:r>
        <w:rPr>
          <w:rFonts w:cs="Arial"/>
          <w:b/>
          <w:lang w:val="en-GB"/>
        </w:rPr>
        <w:t>Access to Australian and international standards</w:t>
      </w:r>
    </w:p>
    <w:p w14:paraId="2EDEB1A5" w14:textId="77777777" w:rsidR="00F26F71" w:rsidRDefault="00474CC5" w:rsidP="00474CC5">
      <w:pPr>
        <w:rPr>
          <w:iCs/>
        </w:rPr>
      </w:pPr>
      <w:r w:rsidRPr="00BF6D5E">
        <w:rPr>
          <w:iCs/>
        </w:rPr>
        <w:t>Where practicable, product safety legislative instruments only reference extrinsic material that is readily accessible for free by the public. However, as in the current case, many product safety legislative instruments need to incorporate extrinsic technical standards over</w:t>
      </w:r>
      <w:r>
        <w:rPr>
          <w:iCs/>
        </w:rPr>
        <w:t xml:space="preserve"> which certain bodies</w:t>
      </w:r>
      <w:r w:rsidRPr="00BF6D5E">
        <w:rPr>
          <w:iCs/>
        </w:rPr>
        <w:t xml:space="preserve"> have copyright.</w:t>
      </w:r>
    </w:p>
    <w:p w14:paraId="0C70C6AF" w14:textId="5C7539ED" w:rsidR="00F26F71" w:rsidRDefault="00474CC5" w:rsidP="00474CC5">
      <w:pPr>
        <w:rPr>
          <w:iCs/>
        </w:rPr>
      </w:pPr>
      <w:r w:rsidRPr="006635CB">
        <w:rPr>
          <w:iCs/>
        </w:rPr>
        <w:t>The</w:t>
      </w:r>
      <w:r w:rsidR="003A38F1">
        <w:rPr>
          <w:iCs/>
        </w:rPr>
        <w:t xml:space="preserve"> </w:t>
      </w:r>
      <w:r w:rsidRPr="006635CB">
        <w:rPr>
          <w:iCs/>
        </w:rPr>
        <w:t>Australian</w:t>
      </w:r>
      <w:r w:rsidR="00F26F71">
        <w:rPr>
          <w:iCs/>
        </w:rPr>
        <w:t>/New Zealand</w:t>
      </w:r>
      <w:r w:rsidR="007159D7">
        <w:rPr>
          <w:iCs/>
        </w:rPr>
        <w:t xml:space="preserve"> Standard (</w:t>
      </w:r>
      <w:r w:rsidR="007159D7" w:rsidRPr="00CD69CA">
        <w:rPr>
          <w:rFonts w:asciiTheme="minorHAnsi" w:hAnsiTheme="minorHAnsi" w:cstheme="minorHAnsi"/>
          <w:lang w:val="en-GB"/>
        </w:rPr>
        <w:t>AS/NZS</w:t>
      </w:r>
      <w:r w:rsidR="00A61D81">
        <w:rPr>
          <w:rFonts w:asciiTheme="minorHAnsi" w:hAnsiTheme="minorHAnsi" w:cstheme="minorHAnsi"/>
          <w:lang w:val="en-GB"/>
        </w:rPr>
        <w:t xml:space="preserve"> ISO</w:t>
      </w:r>
      <w:r w:rsidR="007159D7" w:rsidRPr="00CD69CA">
        <w:rPr>
          <w:rFonts w:asciiTheme="minorHAnsi" w:hAnsiTheme="minorHAnsi" w:cstheme="minorHAnsi"/>
          <w:lang w:val="en-GB"/>
        </w:rPr>
        <w:t xml:space="preserve"> </w:t>
      </w:r>
      <w:r w:rsidR="007159D7" w:rsidRPr="00CD69CA">
        <w:rPr>
          <w:rFonts w:asciiTheme="minorHAnsi" w:hAnsiTheme="minorHAnsi" w:cstheme="minorHAnsi"/>
        </w:rPr>
        <w:t>8124.1:2019</w:t>
      </w:r>
      <w:r w:rsidR="007159D7">
        <w:rPr>
          <w:rFonts w:asciiTheme="minorHAnsi" w:hAnsiTheme="minorHAnsi" w:cstheme="minorHAnsi"/>
        </w:rPr>
        <w:t>)</w:t>
      </w:r>
      <w:r w:rsidR="00F26F71">
        <w:rPr>
          <w:iCs/>
        </w:rPr>
        <w:t>, European</w:t>
      </w:r>
      <w:r w:rsidR="007159D7">
        <w:rPr>
          <w:iCs/>
        </w:rPr>
        <w:t xml:space="preserve"> Standard (</w:t>
      </w:r>
      <w:r w:rsidR="007159D7" w:rsidRPr="00CD69CA">
        <w:rPr>
          <w:rFonts w:cs="Arial"/>
        </w:rPr>
        <w:t>EN 71-1:2014+A1:2018</w:t>
      </w:r>
      <w:r w:rsidR="007159D7">
        <w:rPr>
          <w:rFonts w:cs="Arial"/>
        </w:rPr>
        <w:t xml:space="preserve">) </w:t>
      </w:r>
      <w:r w:rsidR="00F26F71">
        <w:rPr>
          <w:iCs/>
        </w:rPr>
        <w:t xml:space="preserve">and US </w:t>
      </w:r>
      <w:r w:rsidR="007159D7">
        <w:rPr>
          <w:iCs/>
        </w:rPr>
        <w:t>S</w:t>
      </w:r>
      <w:r w:rsidR="005B5C2D">
        <w:rPr>
          <w:iCs/>
        </w:rPr>
        <w:t>tandard</w:t>
      </w:r>
      <w:r w:rsidR="007159D7">
        <w:rPr>
          <w:iCs/>
        </w:rPr>
        <w:t xml:space="preserve"> (</w:t>
      </w:r>
      <w:r w:rsidR="00CC6FE1">
        <w:rPr>
          <w:rFonts w:cs="Arial"/>
        </w:rPr>
        <w:t>ASTM F963 -</w:t>
      </w:r>
      <w:r w:rsidR="00A61D81">
        <w:rPr>
          <w:rFonts w:cs="Arial"/>
        </w:rPr>
        <w:t xml:space="preserve"> 17</w:t>
      </w:r>
      <w:r w:rsidR="007159D7">
        <w:rPr>
          <w:iCs/>
        </w:rPr>
        <w:t>)</w:t>
      </w:r>
      <w:r w:rsidR="005B5C2D">
        <w:rPr>
          <w:iCs/>
        </w:rPr>
        <w:t xml:space="preserve"> </w:t>
      </w:r>
      <w:r w:rsidR="00D22586" w:rsidRPr="006635CB">
        <w:rPr>
          <w:iCs/>
        </w:rPr>
        <w:t xml:space="preserve">referenced in this instrument </w:t>
      </w:r>
      <w:r w:rsidR="00A1493E">
        <w:rPr>
          <w:iCs/>
        </w:rPr>
        <w:t>are</w:t>
      </w:r>
      <w:r w:rsidRPr="006635CB">
        <w:rPr>
          <w:iCs/>
        </w:rPr>
        <w:t xml:space="preserve"> available for purchase </w:t>
      </w:r>
      <w:r>
        <w:rPr>
          <w:iCs/>
        </w:rPr>
        <w:t xml:space="preserve">at </w:t>
      </w:r>
      <w:r w:rsidRPr="006635CB">
        <w:rPr>
          <w:iCs/>
        </w:rPr>
        <w:t>SAI Global’s website (</w:t>
      </w:r>
      <w:hyperlink r:id="rId9" w:history="1">
        <w:r w:rsidRPr="00035DC6">
          <w:rPr>
            <w:rStyle w:val="Hyperlink"/>
            <w:iCs/>
          </w:rPr>
          <w:t>https://www.saiglobal.com</w:t>
        </w:r>
      </w:hyperlink>
      <w:r>
        <w:rPr>
          <w:iCs/>
        </w:rPr>
        <w:t>)</w:t>
      </w:r>
      <w:r w:rsidRPr="006635CB">
        <w:rPr>
          <w:iCs/>
        </w:rPr>
        <w:t xml:space="preserve">. </w:t>
      </w:r>
      <w:r w:rsidR="007159D7">
        <w:rPr>
          <w:iCs/>
        </w:rPr>
        <w:t>The International S</w:t>
      </w:r>
      <w:r w:rsidR="00F26F71">
        <w:rPr>
          <w:iCs/>
        </w:rPr>
        <w:t>tandard</w:t>
      </w:r>
      <w:r w:rsidR="007159D7">
        <w:rPr>
          <w:iCs/>
        </w:rPr>
        <w:t xml:space="preserve"> (</w:t>
      </w:r>
      <w:r w:rsidR="00A61D81">
        <w:rPr>
          <w:rFonts w:cs="Arial"/>
        </w:rPr>
        <w:t>ISO 8124-</w:t>
      </w:r>
      <w:r w:rsidR="007159D7" w:rsidRPr="00CD69CA">
        <w:rPr>
          <w:rFonts w:cs="Arial"/>
        </w:rPr>
        <w:t>1:2018</w:t>
      </w:r>
      <w:r w:rsidR="007159D7">
        <w:rPr>
          <w:iCs/>
        </w:rPr>
        <w:t>)</w:t>
      </w:r>
      <w:r w:rsidR="00F26F71">
        <w:rPr>
          <w:iCs/>
        </w:rPr>
        <w:t xml:space="preserve"> referenced in this instrument is available for purchase at the International Organization for Standardization’s website (</w:t>
      </w:r>
      <w:hyperlink r:id="rId10" w:history="1">
        <w:r w:rsidR="00F26F71" w:rsidRPr="00186B2E">
          <w:rPr>
            <w:rStyle w:val="Hyperlink"/>
            <w:iCs/>
          </w:rPr>
          <w:t>https://www.iso.org</w:t>
        </w:r>
      </w:hyperlink>
      <w:r w:rsidR="00F26F71">
        <w:rPr>
          <w:iCs/>
        </w:rPr>
        <w:t>).</w:t>
      </w:r>
    </w:p>
    <w:p w14:paraId="2A71A447" w14:textId="37834B71" w:rsidR="00F26F71" w:rsidRPr="006635CB" w:rsidRDefault="00F26F71" w:rsidP="00F26F71">
      <w:pPr>
        <w:rPr>
          <w:rFonts w:cs="Arial"/>
          <w:lang w:val="en-GB"/>
        </w:rPr>
      </w:pPr>
      <w:r w:rsidRPr="006635CB">
        <w:rPr>
          <w:iCs/>
        </w:rPr>
        <w:t xml:space="preserve">The </w:t>
      </w:r>
      <w:r>
        <w:rPr>
          <w:iCs/>
        </w:rPr>
        <w:t>Australian Competition and Consumer Commission (</w:t>
      </w:r>
      <w:r w:rsidRPr="00CB7098">
        <w:rPr>
          <w:b/>
          <w:iCs/>
        </w:rPr>
        <w:t>ACCC</w:t>
      </w:r>
      <w:r>
        <w:rPr>
          <w:iCs/>
        </w:rPr>
        <w:t xml:space="preserve">) </w:t>
      </w:r>
      <w:r w:rsidRPr="006635CB">
        <w:rPr>
          <w:iCs/>
        </w:rPr>
        <w:t xml:space="preserve">can </w:t>
      </w:r>
      <w:r>
        <w:rPr>
          <w:iCs/>
        </w:rPr>
        <w:t xml:space="preserve">make a copy of the above standards </w:t>
      </w:r>
      <w:r w:rsidRPr="006635CB">
        <w:rPr>
          <w:iCs/>
        </w:rPr>
        <w:t>available for viewing at one of its offices, subject to licensing conditions.</w:t>
      </w:r>
    </w:p>
    <w:p w14:paraId="36BB417B" w14:textId="77777777" w:rsidR="007A502D" w:rsidRPr="006C2E1D" w:rsidRDefault="007A502D" w:rsidP="000F27EA">
      <w:pPr>
        <w:keepNext/>
        <w:rPr>
          <w:rFonts w:cs="Arial"/>
          <w:b/>
          <w:lang w:val="en-GB"/>
        </w:rPr>
      </w:pPr>
      <w:r w:rsidRPr="006C2E1D">
        <w:rPr>
          <w:rFonts w:cs="Arial"/>
          <w:b/>
          <w:lang w:val="en-GB"/>
        </w:rPr>
        <w:lastRenderedPageBreak/>
        <w:t>Transitional arrangements</w:t>
      </w:r>
    </w:p>
    <w:p w14:paraId="48CBD32A" w14:textId="01C3FC7F" w:rsidR="00820DAD" w:rsidRDefault="00820DAD" w:rsidP="00820DAD">
      <w:pPr>
        <w:rPr>
          <w:rFonts w:cs="Arial"/>
          <w:lang w:val="en-GB"/>
        </w:rPr>
      </w:pPr>
      <w:r w:rsidRPr="00820DAD">
        <w:rPr>
          <w:rFonts w:cs="Arial"/>
          <w:lang w:val="en-GB"/>
        </w:rPr>
        <w:t xml:space="preserve">The instrument provides a transitional period of </w:t>
      </w:r>
      <w:r w:rsidR="00146119">
        <w:rPr>
          <w:rFonts w:cs="Arial"/>
          <w:lang w:val="en-GB"/>
        </w:rPr>
        <w:t>12</w:t>
      </w:r>
      <w:r w:rsidRPr="00820DAD">
        <w:rPr>
          <w:rFonts w:cs="Arial"/>
          <w:lang w:val="en-GB"/>
        </w:rPr>
        <w:t xml:space="preserve"> months beginning on the day this instrument commences. During the transitional period</w:t>
      </w:r>
      <w:r w:rsidR="009F0946">
        <w:rPr>
          <w:rFonts w:cs="Arial"/>
          <w:lang w:val="en-GB"/>
        </w:rPr>
        <w:t>,</w:t>
      </w:r>
      <w:r w:rsidRPr="00820DAD">
        <w:rPr>
          <w:rFonts w:cs="Arial"/>
          <w:lang w:val="en-GB"/>
        </w:rPr>
        <w:t xml:space="preserve"> suppliers must meet the requirements of either:</w:t>
      </w:r>
    </w:p>
    <w:p w14:paraId="05EA3598" w14:textId="00948006" w:rsidR="00FD565B" w:rsidRPr="00820DAD" w:rsidRDefault="008B79E4" w:rsidP="0010762E">
      <w:pPr>
        <w:pStyle w:val="ListParagraph"/>
        <w:numPr>
          <w:ilvl w:val="0"/>
          <w:numId w:val="28"/>
        </w:numPr>
        <w:rPr>
          <w:rFonts w:cs="Arial"/>
          <w:lang w:val="en-GB"/>
        </w:rPr>
      </w:pPr>
      <w:r w:rsidRPr="008B79E4">
        <w:rPr>
          <w:rFonts w:cs="Arial"/>
          <w:lang w:val="en-GB"/>
        </w:rPr>
        <w:t>the</w:t>
      </w:r>
      <w:r>
        <w:rPr>
          <w:rFonts w:cs="Arial"/>
          <w:i/>
          <w:lang w:val="en-GB"/>
        </w:rPr>
        <w:t xml:space="preserve"> </w:t>
      </w:r>
      <w:r w:rsidR="00910BBA">
        <w:rPr>
          <w:rFonts w:cs="Arial"/>
          <w:i/>
          <w:lang w:val="en-GB"/>
        </w:rPr>
        <w:t>Consumer Goods (</w:t>
      </w:r>
      <w:r w:rsidR="001E0BC0" w:rsidRPr="00DC62DD">
        <w:rPr>
          <w:rFonts w:cs="Arial"/>
          <w:i/>
          <w:lang w:val="en-GB"/>
        </w:rPr>
        <w:t>Toys</w:t>
      </w:r>
      <w:r w:rsidR="00910BBA">
        <w:rPr>
          <w:rFonts w:cs="Arial"/>
          <w:i/>
          <w:lang w:val="en-GB"/>
        </w:rPr>
        <w:t xml:space="preserve"> Containing Magnets</w:t>
      </w:r>
      <w:r w:rsidR="005052F2" w:rsidRPr="00DC62DD">
        <w:rPr>
          <w:rFonts w:cs="Arial"/>
          <w:i/>
          <w:lang w:val="en-GB"/>
        </w:rPr>
        <w:t xml:space="preserve">) Safety Standard </w:t>
      </w:r>
      <w:r>
        <w:rPr>
          <w:rFonts w:cs="Arial"/>
          <w:i/>
          <w:lang w:val="en-GB"/>
        </w:rPr>
        <w:t>2020</w:t>
      </w:r>
      <w:r w:rsidR="005052F2">
        <w:rPr>
          <w:rFonts w:cs="Arial"/>
          <w:lang w:val="en-GB"/>
        </w:rPr>
        <w:t>,</w:t>
      </w:r>
      <w:r w:rsidR="00FC590E" w:rsidRPr="00820DAD">
        <w:rPr>
          <w:rFonts w:cs="Arial"/>
          <w:i/>
          <w:lang w:val="en-GB"/>
        </w:rPr>
        <w:t xml:space="preserve"> </w:t>
      </w:r>
      <w:r w:rsidR="00FC590E" w:rsidRPr="00820DAD">
        <w:rPr>
          <w:rFonts w:cs="Arial"/>
          <w:lang w:val="en-GB"/>
        </w:rPr>
        <w:t>or</w:t>
      </w:r>
    </w:p>
    <w:p w14:paraId="52D83C98" w14:textId="44F5E77F" w:rsidR="00FD565B" w:rsidRPr="00DC62DD" w:rsidRDefault="008B79E4" w:rsidP="00FD565B">
      <w:pPr>
        <w:pStyle w:val="ListParagraph"/>
        <w:numPr>
          <w:ilvl w:val="0"/>
          <w:numId w:val="28"/>
        </w:numPr>
        <w:rPr>
          <w:rFonts w:cs="Arial"/>
          <w:i/>
          <w:lang w:val="en-GB"/>
        </w:rPr>
      </w:pPr>
      <w:proofErr w:type="gramStart"/>
      <w:r w:rsidRPr="008B79E4">
        <w:rPr>
          <w:rFonts w:cs="Arial"/>
          <w:lang w:val="en-GB"/>
        </w:rPr>
        <w:t>the</w:t>
      </w:r>
      <w:proofErr w:type="gramEnd"/>
      <w:r>
        <w:rPr>
          <w:rFonts w:cs="Arial"/>
          <w:i/>
          <w:lang w:val="en-GB"/>
        </w:rPr>
        <w:t xml:space="preserve"> </w:t>
      </w:r>
      <w:r w:rsidR="00C9542C" w:rsidRPr="00DC62DD">
        <w:rPr>
          <w:rFonts w:cs="Arial"/>
          <w:i/>
          <w:lang w:val="en-GB"/>
        </w:rPr>
        <w:t>C</w:t>
      </w:r>
      <w:r w:rsidR="00910BBA">
        <w:rPr>
          <w:rFonts w:cs="Arial"/>
          <w:i/>
          <w:lang w:val="en-GB"/>
        </w:rPr>
        <w:t>onsumer Protection Notice No. 5</w:t>
      </w:r>
      <w:r w:rsidR="00C9542C" w:rsidRPr="00DC62DD">
        <w:rPr>
          <w:rFonts w:cs="Arial"/>
          <w:i/>
          <w:lang w:val="en-GB"/>
        </w:rPr>
        <w:t xml:space="preserve"> of 2010 (Consumer Product Safety Standard for Children’s Toys</w:t>
      </w:r>
      <w:r w:rsidR="00910BBA">
        <w:rPr>
          <w:rFonts w:cs="Arial"/>
          <w:i/>
          <w:lang w:val="en-GB"/>
        </w:rPr>
        <w:t xml:space="preserve"> Containing Magnets</w:t>
      </w:r>
      <w:r w:rsidR="00C9542C" w:rsidRPr="00DC62DD">
        <w:rPr>
          <w:rFonts w:cs="Arial"/>
          <w:i/>
          <w:lang w:val="en-GB"/>
        </w:rPr>
        <w:t>).</w:t>
      </w:r>
    </w:p>
    <w:p w14:paraId="5AE2A58A" w14:textId="1847974B" w:rsidR="007A502D" w:rsidRPr="00FD565B" w:rsidRDefault="00820DAD" w:rsidP="00FD565B">
      <w:pPr>
        <w:rPr>
          <w:rFonts w:cs="Arial"/>
          <w:lang w:val="en-GB"/>
        </w:rPr>
      </w:pPr>
      <w:r w:rsidRPr="00FD565B">
        <w:rPr>
          <w:rFonts w:cs="Arial"/>
          <w:lang w:val="en-GB"/>
        </w:rPr>
        <w:t>After the transitional period</w:t>
      </w:r>
      <w:r w:rsidR="009F0946" w:rsidRPr="00FD565B">
        <w:rPr>
          <w:rFonts w:cs="Arial"/>
          <w:lang w:val="en-GB"/>
        </w:rPr>
        <w:t>,</w:t>
      </w:r>
      <w:r w:rsidRPr="00FD565B">
        <w:rPr>
          <w:rFonts w:cs="Arial"/>
          <w:lang w:val="en-GB"/>
        </w:rPr>
        <w:t xml:space="preserve"> </w:t>
      </w:r>
      <w:r w:rsidR="002345C4" w:rsidRPr="00FD565B">
        <w:rPr>
          <w:rFonts w:cs="Arial"/>
          <w:lang w:val="en-GB"/>
        </w:rPr>
        <w:t>suppliers must</w:t>
      </w:r>
      <w:r w:rsidR="00BD7474" w:rsidRPr="00FD565B">
        <w:rPr>
          <w:rFonts w:cs="Arial"/>
          <w:lang w:val="en-GB"/>
        </w:rPr>
        <w:t xml:space="preserve"> </w:t>
      </w:r>
      <w:r w:rsidR="00FC590E" w:rsidRPr="00FD565B">
        <w:rPr>
          <w:rFonts w:cs="Arial"/>
          <w:lang w:val="en-GB"/>
        </w:rPr>
        <w:t xml:space="preserve">meet the requirements of </w:t>
      </w:r>
      <w:r w:rsidR="00CA22ED" w:rsidRPr="00FD565B">
        <w:rPr>
          <w:rFonts w:cs="Arial"/>
          <w:lang w:val="en-GB"/>
        </w:rPr>
        <w:t xml:space="preserve">the </w:t>
      </w:r>
      <w:r w:rsidR="00FC590E" w:rsidRPr="00FD565B">
        <w:rPr>
          <w:rFonts w:asciiTheme="minorHAnsi" w:hAnsiTheme="minorHAnsi" w:cstheme="minorHAnsi"/>
          <w:i/>
          <w:lang w:val="en-GB"/>
        </w:rPr>
        <w:t>Consumer Goods (</w:t>
      </w:r>
      <w:r w:rsidR="001E0BC0" w:rsidRPr="00FD565B">
        <w:rPr>
          <w:rFonts w:asciiTheme="minorHAnsi" w:hAnsiTheme="minorHAnsi" w:cstheme="minorHAnsi"/>
          <w:i/>
          <w:lang w:val="en-GB"/>
        </w:rPr>
        <w:t>Toys</w:t>
      </w:r>
      <w:r w:rsidR="00910BBA">
        <w:rPr>
          <w:rFonts w:asciiTheme="minorHAnsi" w:hAnsiTheme="minorHAnsi" w:cstheme="minorHAnsi"/>
          <w:i/>
          <w:lang w:val="en-GB"/>
        </w:rPr>
        <w:t xml:space="preserve"> Containing Magnets</w:t>
      </w:r>
      <w:r w:rsidR="00FC590E" w:rsidRPr="00FD565B">
        <w:rPr>
          <w:rFonts w:asciiTheme="minorHAnsi" w:hAnsiTheme="minorHAnsi" w:cstheme="minorHAnsi"/>
          <w:i/>
          <w:lang w:val="en-GB"/>
        </w:rPr>
        <w:t xml:space="preserve">) Safety Standard </w:t>
      </w:r>
      <w:r w:rsidR="008B79E4">
        <w:rPr>
          <w:rFonts w:asciiTheme="minorHAnsi" w:hAnsiTheme="minorHAnsi" w:cstheme="minorHAnsi"/>
          <w:i/>
          <w:lang w:val="en-GB"/>
        </w:rPr>
        <w:t>2020</w:t>
      </w:r>
      <w:r w:rsidR="00FC590E" w:rsidRPr="00FD565B">
        <w:rPr>
          <w:rFonts w:asciiTheme="minorHAnsi" w:hAnsiTheme="minorHAnsi" w:cstheme="minorHAnsi"/>
          <w:i/>
          <w:lang w:val="en-GB"/>
        </w:rPr>
        <w:t>.</w:t>
      </w:r>
    </w:p>
    <w:p w14:paraId="3402E688" w14:textId="77777777" w:rsidR="00B8378D" w:rsidRDefault="001B4A7B" w:rsidP="00B8378D">
      <w:pPr>
        <w:rPr>
          <w:rFonts w:cs="Arial"/>
          <w:lang w:val="en-GB"/>
        </w:rPr>
      </w:pPr>
      <w:r w:rsidRPr="006C2E1D">
        <w:rPr>
          <w:rFonts w:cs="Arial"/>
          <w:b/>
          <w:lang w:val="en-GB"/>
        </w:rPr>
        <w:t>Consultation</w:t>
      </w:r>
    </w:p>
    <w:p w14:paraId="3BE3D1FB" w14:textId="52370444" w:rsidR="00D03B3C" w:rsidRPr="003A38F1" w:rsidRDefault="000F119E" w:rsidP="00B8378D">
      <w:pPr>
        <w:rPr>
          <w:rFonts w:cs="Arial"/>
          <w:lang w:val="en-GB"/>
        </w:rPr>
      </w:pPr>
      <w:r w:rsidRPr="003A38F1">
        <w:rPr>
          <w:rFonts w:cs="Arial"/>
          <w:lang w:val="en-GB"/>
        </w:rPr>
        <w:t xml:space="preserve">The </w:t>
      </w:r>
      <w:r w:rsidR="00B8378D">
        <w:rPr>
          <w:rFonts w:cs="Arial"/>
          <w:lang w:val="en-GB"/>
        </w:rPr>
        <w:t>ACCC</w:t>
      </w:r>
      <w:r w:rsidR="00D03B3C" w:rsidRPr="003A38F1">
        <w:rPr>
          <w:rFonts w:cs="Arial"/>
          <w:lang w:val="en-GB"/>
        </w:rPr>
        <w:t xml:space="preserve"> published a </w:t>
      </w:r>
      <w:r w:rsidR="00D47F69" w:rsidRPr="003A38F1">
        <w:rPr>
          <w:rFonts w:cs="Arial"/>
          <w:lang w:val="en-GB"/>
        </w:rPr>
        <w:t xml:space="preserve">combined </w:t>
      </w:r>
      <w:r w:rsidR="00D03B3C" w:rsidRPr="003A38F1">
        <w:rPr>
          <w:rFonts w:cs="Arial"/>
          <w:lang w:val="en-GB"/>
        </w:rPr>
        <w:t xml:space="preserve">consultation paper </w:t>
      </w:r>
      <w:r w:rsidR="005B5C2D">
        <w:rPr>
          <w:rFonts w:cs="Arial"/>
          <w:lang w:val="en-GB"/>
        </w:rPr>
        <w:t xml:space="preserve">for toys regulated by existing standards </w:t>
      </w:r>
      <w:r w:rsidR="009F0946">
        <w:rPr>
          <w:rFonts w:cs="Arial"/>
          <w:lang w:val="en-GB"/>
        </w:rPr>
        <w:t xml:space="preserve">from </w:t>
      </w:r>
      <w:r w:rsidR="005B5C2D">
        <w:rPr>
          <w:rFonts w:cs="Arial"/>
          <w:lang w:val="en-GB"/>
        </w:rPr>
        <w:t>1</w:t>
      </w:r>
      <w:r w:rsidR="009F0946">
        <w:rPr>
          <w:rFonts w:cs="Arial"/>
          <w:lang w:val="en-GB"/>
        </w:rPr>
        <w:t xml:space="preserve"> </w:t>
      </w:r>
      <w:r w:rsidR="005B5C2D">
        <w:rPr>
          <w:rFonts w:cs="Arial"/>
          <w:lang w:val="en-GB"/>
        </w:rPr>
        <w:t xml:space="preserve">February </w:t>
      </w:r>
      <w:r w:rsidR="009F0946">
        <w:rPr>
          <w:rFonts w:cs="Arial"/>
          <w:lang w:val="en-GB"/>
        </w:rPr>
        <w:t>to</w:t>
      </w:r>
      <w:r w:rsidR="00D03B3C" w:rsidRPr="003A38F1">
        <w:rPr>
          <w:rFonts w:cs="Arial"/>
          <w:lang w:val="en-GB"/>
        </w:rPr>
        <w:t xml:space="preserve"> </w:t>
      </w:r>
      <w:r w:rsidR="005B5C2D">
        <w:rPr>
          <w:rFonts w:cs="Arial"/>
          <w:lang w:val="en-GB"/>
        </w:rPr>
        <w:t>9</w:t>
      </w:r>
      <w:r w:rsidR="00D03B3C" w:rsidRPr="003A38F1">
        <w:rPr>
          <w:rFonts w:cs="Arial"/>
          <w:lang w:val="en-GB"/>
        </w:rPr>
        <w:t xml:space="preserve"> </w:t>
      </w:r>
      <w:r w:rsidR="005B5C2D">
        <w:rPr>
          <w:rFonts w:cs="Arial"/>
          <w:lang w:val="en-GB"/>
        </w:rPr>
        <w:t>April</w:t>
      </w:r>
      <w:r w:rsidR="00D03B3C" w:rsidRPr="003A38F1">
        <w:rPr>
          <w:rFonts w:cs="Arial"/>
          <w:lang w:val="en-GB"/>
        </w:rPr>
        <w:t xml:space="preserve"> 201</w:t>
      </w:r>
      <w:r w:rsidR="005B5C2D">
        <w:rPr>
          <w:rFonts w:cs="Arial"/>
          <w:lang w:val="en-GB"/>
        </w:rPr>
        <w:t>7</w:t>
      </w:r>
      <w:r w:rsidR="00D03B3C" w:rsidRPr="003A38F1">
        <w:rPr>
          <w:rFonts w:cs="Arial"/>
          <w:lang w:val="en-GB"/>
        </w:rPr>
        <w:t>.</w:t>
      </w:r>
      <w:r w:rsidR="001B4A7B" w:rsidRPr="003A38F1">
        <w:rPr>
          <w:rFonts w:cs="Arial"/>
          <w:lang w:val="en-GB"/>
        </w:rPr>
        <w:t xml:space="preserve"> </w:t>
      </w:r>
      <w:r w:rsidR="00D03B3C" w:rsidRPr="003A38F1">
        <w:rPr>
          <w:rFonts w:cs="Arial"/>
          <w:lang w:val="en-GB"/>
        </w:rPr>
        <w:t xml:space="preserve">The paper detailed </w:t>
      </w:r>
      <w:r w:rsidR="005B5C2D">
        <w:rPr>
          <w:rFonts w:cs="Arial"/>
          <w:lang w:val="en-GB"/>
        </w:rPr>
        <w:t>five</w:t>
      </w:r>
      <w:r w:rsidR="00D03B3C" w:rsidRPr="003A38F1">
        <w:rPr>
          <w:rFonts w:cs="Arial"/>
          <w:lang w:val="en-GB"/>
        </w:rPr>
        <w:t xml:space="preserve"> policy options for dealing with the current mandatory safety standard</w:t>
      </w:r>
      <w:r w:rsidR="00D47F69" w:rsidRPr="003A38F1">
        <w:rPr>
          <w:rFonts w:cs="Arial"/>
          <w:lang w:val="en-GB"/>
        </w:rPr>
        <w:t>s</w:t>
      </w:r>
      <w:r w:rsidR="00A22EB3">
        <w:rPr>
          <w:rFonts w:cs="Arial"/>
          <w:lang w:val="en-GB"/>
        </w:rPr>
        <w:t xml:space="preserve"> for toys</w:t>
      </w:r>
      <w:r w:rsidR="00D03B3C" w:rsidRPr="003A38F1">
        <w:rPr>
          <w:rFonts w:cs="Arial"/>
          <w:lang w:val="en-GB"/>
        </w:rPr>
        <w:t>:</w:t>
      </w:r>
    </w:p>
    <w:p w14:paraId="2DFB6C7E" w14:textId="3B14366E" w:rsidR="00D03B3C" w:rsidRPr="00B8378D" w:rsidRDefault="00D03B3C" w:rsidP="0010762E">
      <w:pPr>
        <w:pStyle w:val="ListParagraph"/>
        <w:numPr>
          <w:ilvl w:val="0"/>
          <w:numId w:val="34"/>
        </w:numPr>
        <w:rPr>
          <w:rFonts w:cs="Arial"/>
          <w:lang w:val="en-GB"/>
        </w:rPr>
      </w:pPr>
      <w:r w:rsidRPr="00B8378D">
        <w:rPr>
          <w:rFonts w:cs="Arial"/>
          <w:lang w:val="en-GB"/>
        </w:rPr>
        <w:t xml:space="preserve">Option 1 </w:t>
      </w:r>
      <w:r w:rsidR="008B79E4" w:rsidRPr="00B8378D">
        <w:rPr>
          <w:rFonts w:cs="Arial"/>
          <w:lang w:val="en-GB"/>
        </w:rPr>
        <w:t xml:space="preserve">– </w:t>
      </w:r>
      <w:r w:rsidR="008B79E4">
        <w:rPr>
          <w:rFonts w:cs="Arial"/>
          <w:lang w:val="en-GB"/>
        </w:rPr>
        <w:t>Retain</w:t>
      </w:r>
      <w:r w:rsidRPr="00B8378D">
        <w:rPr>
          <w:rFonts w:cs="Arial"/>
          <w:lang w:val="en-GB"/>
        </w:rPr>
        <w:t xml:space="preserve"> the current mandatory safety standard</w:t>
      </w:r>
      <w:r w:rsidR="00FA0D2F" w:rsidRPr="00B8378D">
        <w:rPr>
          <w:rFonts w:cs="Arial"/>
          <w:lang w:val="en-GB"/>
        </w:rPr>
        <w:t xml:space="preserve"> (status quo)</w:t>
      </w:r>
    </w:p>
    <w:p w14:paraId="217DDD3D" w14:textId="3EB2DCCD" w:rsidR="00D03B3C" w:rsidRPr="00B8378D" w:rsidRDefault="00D03B3C" w:rsidP="00A22EB3">
      <w:pPr>
        <w:pStyle w:val="ListParagraph"/>
        <w:numPr>
          <w:ilvl w:val="0"/>
          <w:numId w:val="34"/>
        </w:numPr>
        <w:ind w:left="771" w:hanging="431"/>
        <w:rPr>
          <w:rFonts w:cs="Arial"/>
          <w:lang w:val="en-GB"/>
        </w:rPr>
      </w:pPr>
      <w:r w:rsidRPr="00B8378D">
        <w:rPr>
          <w:rFonts w:cs="Arial"/>
          <w:lang w:val="en-GB"/>
        </w:rPr>
        <w:t xml:space="preserve">Option 2 </w:t>
      </w:r>
      <w:r w:rsidR="005B5C2D" w:rsidRPr="00B8378D">
        <w:rPr>
          <w:rFonts w:cs="Arial"/>
          <w:lang w:val="en-GB"/>
        </w:rPr>
        <w:t>–</w:t>
      </w:r>
      <w:r w:rsidRPr="00B8378D">
        <w:rPr>
          <w:rFonts w:cs="Arial"/>
          <w:lang w:val="en-GB"/>
        </w:rPr>
        <w:t xml:space="preserve"> </w:t>
      </w:r>
      <w:r w:rsidR="008B79E4">
        <w:rPr>
          <w:rFonts w:cs="Arial"/>
          <w:lang w:val="en-GB"/>
        </w:rPr>
        <w:t xml:space="preserve">Adopt </w:t>
      </w:r>
      <w:r w:rsidR="00B8378D">
        <w:rPr>
          <w:rFonts w:cs="Arial"/>
          <w:lang w:val="en-GB"/>
        </w:rPr>
        <w:t xml:space="preserve">the </w:t>
      </w:r>
      <w:r w:rsidR="008B79E4">
        <w:rPr>
          <w:rFonts w:cs="Arial"/>
          <w:lang w:val="en-GB"/>
        </w:rPr>
        <w:t>updated</w:t>
      </w:r>
      <w:r w:rsidR="00B8378D">
        <w:rPr>
          <w:rFonts w:cs="Arial"/>
          <w:lang w:val="en-GB"/>
        </w:rPr>
        <w:t xml:space="preserve"> voluntary Australian standard</w:t>
      </w:r>
    </w:p>
    <w:p w14:paraId="514D1BF0" w14:textId="4D3024E7" w:rsidR="00603C54" w:rsidRDefault="00603C54" w:rsidP="00A22EB3">
      <w:pPr>
        <w:pStyle w:val="Numberedparagraph11"/>
        <w:numPr>
          <w:ilvl w:val="0"/>
          <w:numId w:val="34"/>
        </w:numPr>
        <w:spacing w:before="120"/>
        <w:ind w:left="771" w:hanging="431"/>
      </w:pPr>
      <w:r w:rsidRPr="00290A92">
        <w:t xml:space="preserve">Option 3 – </w:t>
      </w:r>
      <w:r>
        <w:t>Allow compliance with</w:t>
      </w:r>
      <w:r w:rsidRPr="00290A92">
        <w:t xml:space="preserve"> the updated voluntary Australian </w:t>
      </w:r>
      <w:r w:rsidR="00B91A95">
        <w:t xml:space="preserve">standard </w:t>
      </w:r>
      <w:r>
        <w:t>or trusted overseas standards</w:t>
      </w:r>
    </w:p>
    <w:p w14:paraId="4FDC46A1" w14:textId="783C4446" w:rsidR="005B5C2D" w:rsidRPr="008F6FE8" w:rsidRDefault="005B5C2D" w:rsidP="00A22EB3">
      <w:pPr>
        <w:pStyle w:val="ListParagraph"/>
        <w:numPr>
          <w:ilvl w:val="0"/>
          <w:numId w:val="34"/>
        </w:numPr>
        <w:ind w:left="771" w:hanging="431"/>
        <w:rPr>
          <w:rFonts w:cs="Arial"/>
          <w:lang w:val="en-GB"/>
        </w:rPr>
      </w:pPr>
      <w:r w:rsidRPr="008F6FE8">
        <w:rPr>
          <w:rFonts w:cs="Arial"/>
          <w:lang w:val="en-GB"/>
        </w:rPr>
        <w:t xml:space="preserve">Option 3A – </w:t>
      </w:r>
      <w:r w:rsidR="00B8378D" w:rsidRPr="008F6FE8">
        <w:rPr>
          <w:rFonts w:cs="Arial"/>
          <w:lang w:val="en-GB"/>
        </w:rPr>
        <w:t>A</w:t>
      </w:r>
      <w:r w:rsidRPr="008F6FE8">
        <w:rPr>
          <w:rFonts w:cs="Arial"/>
          <w:lang w:val="en-GB"/>
        </w:rPr>
        <w:t>llow principles-based compliance</w:t>
      </w:r>
      <w:r w:rsidR="00B91A95">
        <w:rPr>
          <w:rFonts w:cs="Arial"/>
          <w:lang w:val="en-GB"/>
        </w:rPr>
        <w:t xml:space="preserve"> with the current voluntary Australian standard and overseas standards</w:t>
      </w:r>
    </w:p>
    <w:p w14:paraId="508E725E" w14:textId="1178DD53" w:rsidR="00D03B3C" w:rsidRPr="00B8378D" w:rsidRDefault="00D03B3C" w:rsidP="00A22EB3">
      <w:pPr>
        <w:pStyle w:val="ListParagraph"/>
        <w:numPr>
          <w:ilvl w:val="0"/>
          <w:numId w:val="34"/>
        </w:numPr>
        <w:ind w:left="771" w:hanging="431"/>
        <w:rPr>
          <w:rFonts w:cs="Arial"/>
          <w:lang w:val="en-GB"/>
        </w:rPr>
      </w:pPr>
      <w:r w:rsidRPr="00B8378D">
        <w:rPr>
          <w:rFonts w:cs="Arial"/>
          <w:lang w:val="en-GB"/>
        </w:rPr>
        <w:t xml:space="preserve">Option 4 </w:t>
      </w:r>
      <w:r w:rsidR="008B79E4" w:rsidRPr="00B8378D">
        <w:rPr>
          <w:rFonts w:cs="Arial"/>
          <w:lang w:val="en-GB"/>
        </w:rPr>
        <w:t xml:space="preserve">– </w:t>
      </w:r>
      <w:r w:rsidRPr="00B8378D">
        <w:rPr>
          <w:rFonts w:cs="Arial"/>
          <w:lang w:val="en-GB"/>
        </w:rPr>
        <w:t>Revoke the mandatory safety standard</w:t>
      </w:r>
      <w:r w:rsidR="00B8378D">
        <w:rPr>
          <w:rFonts w:cs="Arial"/>
          <w:lang w:val="en-GB"/>
        </w:rPr>
        <w:t>.</w:t>
      </w:r>
    </w:p>
    <w:p w14:paraId="7A48692F" w14:textId="182A97F9" w:rsidR="00B27728" w:rsidRDefault="00565A20" w:rsidP="00565A20">
      <w:pPr>
        <w:rPr>
          <w:rFonts w:cs="Arial"/>
          <w:lang w:val="en-GB"/>
        </w:rPr>
      </w:pPr>
      <w:r w:rsidRPr="003A38F1">
        <w:rPr>
          <w:rFonts w:cs="Arial"/>
          <w:lang w:val="en-GB"/>
        </w:rPr>
        <w:t>The ACCC’s preliminary posi</w:t>
      </w:r>
      <w:r w:rsidR="00B8378D">
        <w:rPr>
          <w:rFonts w:cs="Arial"/>
          <w:lang w:val="en-GB"/>
        </w:rPr>
        <w:t>tion outlined in the paper supported O</w:t>
      </w:r>
      <w:r w:rsidRPr="003A38F1">
        <w:rPr>
          <w:rFonts w:cs="Arial"/>
          <w:lang w:val="en-GB"/>
        </w:rPr>
        <w:t>ption 3</w:t>
      </w:r>
      <w:r w:rsidR="00990ED8">
        <w:rPr>
          <w:rFonts w:cs="Arial"/>
          <w:lang w:val="en-GB"/>
        </w:rPr>
        <w:t xml:space="preserve"> as</w:t>
      </w:r>
      <w:r w:rsidR="005B5C2D">
        <w:rPr>
          <w:rFonts w:cs="Arial"/>
          <w:lang w:val="en-GB"/>
        </w:rPr>
        <w:t xml:space="preserve"> </w:t>
      </w:r>
      <w:r w:rsidR="00990ED8">
        <w:rPr>
          <w:rFonts w:cs="Arial"/>
          <w:lang w:val="en-GB"/>
        </w:rPr>
        <w:t>t</w:t>
      </w:r>
      <w:r w:rsidRPr="003A38F1">
        <w:rPr>
          <w:rFonts w:cs="Arial"/>
          <w:lang w:val="en-GB"/>
        </w:rPr>
        <w:t>his option would provide the greatest benefit for consumers, suppliers and regulators</w:t>
      </w:r>
      <w:r w:rsidR="00A22EB3">
        <w:rPr>
          <w:rFonts w:cs="Arial"/>
          <w:lang w:val="en-GB"/>
        </w:rPr>
        <w:t>.</w:t>
      </w:r>
    </w:p>
    <w:p w14:paraId="03C65EDD" w14:textId="7481CD41" w:rsidR="00565A20" w:rsidRPr="00A22EB3" w:rsidRDefault="00DD4E1C" w:rsidP="00565A20">
      <w:pPr>
        <w:rPr>
          <w:rFonts w:cs="Arial"/>
          <w:lang w:val="en-GB"/>
        </w:rPr>
      </w:pPr>
      <w:r>
        <w:rPr>
          <w:rFonts w:cs="Arial"/>
          <w:lang w:val="en-GB"/>
        </w:rPr>
        <w:t xml:space="preserve">Sixteen </w:t>
      </w:r>
      <w:r w:rsidR="00565A20" w:rsidRPr="003A38F1">
        <w:rPr>
          <w:rFonts w:cs="Arial"/>
          <w:lang w:val="en-GB"/>
        </w:rPr>
        <w:t xml:space="preserve">submissions were received from </w:t>
      </w:r>
      <w:r>
        <w:rPr>
          <w:rFonts w:eastAsiaTheme="majorEastAsia" w:cs="Arial"/>
          <w:szCs w:val="26"/>
        </w:rPr>
        <w:t>retail groups, community groups, industry bodies, child safety advocates and an insurer</w:t>
      </w:r>
      <w:r w:rsidR="00565A20" w:rsidRPr="003A38F1">
        <w:rPr>
          <w:rFonts w:cs="Arial"/>
          <w:lang w:val="en-GB"/>
        </w:rPr>
        <w:t xml:space="preserve">. </w:t>
      </w:r>
      <w:r w:rsidR="00A22EB3" w:rsidRPr="00585755">
        <w:rPr>
          <w:rFonts w:cs="Arial"/>
          <w:lang w:val="en-GB"/>
        </w:rPr>
        <w:t xml:space="preserve">Thirteen stakeholders supported allowing compliance with trusted </w:t>
      </w:r>
      <w:r w:rsidR="00A22EB3">
        <w:rPr>
          <w:rFonts w:cs="Arial"/>
          <w:lang w:val="en-GB"/>
        </w:rPr>
        <w:t>overseas</w:t>
      </w:r>
      <w:r w:rsidR="00A22EB3" w:rsidRPr="00585755">
        <w:rPr>
          <w:rFonts w:cs="Arial"/>
          <w:lang w:val="en-GB"/>
        </w:rPr>
        <w:t xml:space="preserve"> standards</w:t>
      </w:r>
      <w:r w:rsidR="00A22EB3">
        <w:rPr>
          <w:rFonts w:cs="Arial"/>
          <w:lang w:val="en-GB"/>
        </w:rPr>
        <w:t xml:space="preserve"> through Option</w:t>
      </w:r>
      <w:r w:rsidR="00A22EB3" w:rsidRPr="00585755">
        <w:rPr>
          <w:rFonts w:cs="Arial"/>
          <w:lang w:val="en-GB"/>
        </w:rPr>
        <w:t xml:space="preserve"> 3</w:t>
      </w:r>
      <w:r w:rsidR="00A22EB3">
        <w:rPr>
          <w:rFonts w:cs="Arial"/>
          <w:lang w:val="en-GB"/>
        </w:rPr>
        <w:t xml:space="preserve"> (nine submissions)</w:t>
      </w:r>
      <w:r w:rsidR="00A22EB3" w:rsidRPr="00585755">
        <w:rPr>
          <w:rFonts w:cs="Arial"/>
          <w:lang w:val="en-GB"/>
        </w:rPr>
        <w:t xml:space="preserve"> and 3A</w:t>
      </w:r>
      <w:r w:rsidR="00A22EB3">
        <w:rPr>
          <w:rFonts w:cs="Arial"/>
          <w:lang w:val="en-GB"/>
        </w:rPr>
        <w:t xml:space="preserve"> (four submissions)</w:t>
      </w:r>
      <w:r w:rsidR="00A22EB3" w:rsidRPr="00585755">
        <w:rPr>
          <w:rFonts w:cs="Arial"/>
          <w:lang w:val="en-GB"/>
        </w:rPr>
        <w:t>.</w:t>
      </w:r>
      <w:r w:rsidR="00A22EB3">
        <w:rPr>
          <w:rFonts w:cs="Arial"/>
          <w:lang w:val="en-GB"/>
        </w:rPr>
        <w:t xml:space="preserve"> </w:t>
      </w:r>
      <w:r w:rsidR="00B27728">
        <w:rPr>
          <w:rFonts w:eastAsiaTheme="majorEastAsia" w:cs="Arial"/>
          <w:szCs w:val="26"/>
        </w:rPr>
        <w:t>One stakeholder each supported o</w:t>
      </w:r>
      <w:r w:rsidRPr="00A0754B">
        <w:rPr>
          <w:rFonts w:eastAsiaTheme="majorEastAsia" w:cs="Arial"/>
          <w:szCs w:val="26"/>
        </w:rPr>
        <w:t xml:space="preserve">ption 4 and </w:t>
      </w:r>
      <w:r w:rsidR="00B27728">
        <w:rPr>
          <w:rFonts w:eastAsiaTheme="majorEastAsia" w:cs="Arial"/>
          <w:szCs w:val="26"/>
        </w:rPr>
        <w:t>o</w:t>
      </w:r>
      <w:r>
        <w:rPr>
          <w:rFonts w:eastAsiaTheme="majorEastAsia" w:cs="Arial"/>
          <w:szCs w:val="26"/>
        </w:rPr>
        <w:t xml:space="preserve">ption </w:t>
      </w:r>
      <w:r w:rsidRPr="00A0754B">
        <w:rPr>
          <w:rFonts w:eastAsiaTheme="majorEastAsia" w:cs="Arial"/>
          <w:szCs w:val="26"/>
        </w:rPr>
        <w:t>2. The remaining stakeholder did not express a preference.</w:t>
      </w:r>
    </w:p>
    <w:p w14:paraId="6C31E82C" w14:textId="360F5A44" w:rsidR="00FA0D56" w:rsidRPr="009F0946" w:rsidRDefault="00565A20" w:rsidP="001B4A7B">
      <w:pPr>
        <w:rPr>
          <w:rFonts w:cs="Arial"/>
          <w:lang w:val="en-GB"/>
        </w:rPr>
      </w:pPr>
      <w:r w:rsidRPr="003A38F1">
        <w:rPr>
          <w:rFonts w:cs="Arial"/>
          <w:lang w:val="en-GB"/>
        </w:rPr>
        <w:t xml:space="preserve">Following the submission process </w:t>
      </w:r>
      <w:r w:rsidR="00990ED8">
        <w:rPr>
          <w:rFonts w:cs="Arial"/>
          <w:lang w:val="en-GB"/>
        </w:rPr>
        <w:t>the ACCC undertook</w:t>
      </w:r>
      <w:r w:rsidR="00DD4E1C">
        <w:rPr>
          <w:rFonts w:cs="Arial"/>
          <w:lang w:val="en-GB"/>
        </w:rPr>
        <w:t xml:space="preserve"> </w:t>
      </w:r>
      <w:r w:rsidR="00990ED8">
        <w:rPr>
          <w:rFonts w:cs="Arial"/>
          <w:lang w:val="en-GB"/>
        </w:rPr>
        <w:t>additional consultation, analysis and</w:t>
      </w:r>
      <w:r w:rsidRPr="003A38F1">
        <w:rPr>
          <w:rFonts w:cs="Arial"/>
          <w:lang w:val="en-GB"/>
        </w:rPr>
        <w:t xml:space="preserve"> </w:t>
      </w:r>
      <w:r w:rsidR="00603C54" w:rsidRPr="003A38F1">
        <w:rPr>
          <w:rFonts w:cs="Arial"/>
          <w:lang w:val="en-GB"/>
        </w:rPr>
        <w:t xml:space="preserve">scrutiny </w:t>
      </w:r>
      <w:r w:rsidR="00603C54">
        <w:rPr>
          <w:rFonts w:cs="Arial"/>
          <w:lang w:val="en-GB"/>
        </w:rPr>
        <w:t>and</w:t>
      </w:r>
      <w:r w:rsidR="00990ED8">
        <w:rPr>
          <w:rFonts w:cs="Arial"/>
          <w:lang w:val="en-GB"/>
        </w:rPr>
        <w:t xml:space="preserve"> </w:t>
      </w:r>
      <w:r w:rsidR="00B27728">
        <w:rPr>
          <w:rFonts w:cs="Arial"/>
          <w:lang w:val="en-GB"/>
        </w:rPr>
        <w:t>reaffirmed</w:t>
      </w:r>
      <w:r w:rsidR="00990ED8">
        <w:rPr>
          <w:rFonts w:cs="Arial"/>
          <w:lang w:val="en-GB"/>
        </w:rPr>
        <w:t xml:space="preserve"> that</w:t>
      </w:r>
      <w:r w:rsidR="00B27728">
        <w:rPr>
          <w:rFonts w:cs="Arial"/>
          <w:lang w:val="en-GB"/>
        </w:rPr>
        <w:t xml:space="preserve"> o</w:t>
      </w:r>
      <w:r w:rsidR="00DD4E1C">
        <w:rPr>
          <w:rFonts w:cs="Arial"/>
          <w:lang w:val="en-GB"/>
        </w:rPr>
        <w:t>ption 3</w:t>
      </w:r>
      <w:r w:rsidR="00990ED8">
        <w:rPr>
          <w:rFonts w:cs="Arial"/>
          <w:lang w:val="en-GB"/>
        </w:rPr>
        <w:t xml:space="preserve"> is</w:t>
      </w:r>
      <w:r w:rsidR="00DD4E1C">
        <w:rPr>
          <w:rFonts w:cs="Arial"/>
          <w:lang w:val="en-GB"/>
        </w:rPr>
        <w:t xml:space="preserve"> </w:t>
      </w:r>
      <w:r w:rsidR="00990ED8">
        <w:rPr>
          <w:rFonts w:cs="Arial"/>
          <w:lang w:val="en-GB"/>
        </w:rPr>
        <w:t>likely to have the greatest net benefit to the Australian community.</w:t>
      </w:r>
    </w:p>
    <w:p w14:paraId="51A4E069" w14:textId="77777777" w:rsidR="001B4A7B" w:rsidRPr="006C2E1D" w:rsidRDefault="001B4A7B" w:rsidP="000F27EA">
      <w:pPr>
        <w:rPr>
          <w:rFonts w:cs="Arial"/>
          <w:b/>
        </w:rPr>
      </w:pPr>
      <w:r w:rsidRPr="006C2E1D">
        <w:rPr>
          <w:rFonts w:cs="Arial"/>
          <w:b/>
        </w:rPr>
        <w:t>Disallowance</w:t>
      </w:r>
    </w:p>
    <w:p w14:paraId="3D4202DF" w14:textId="31965817" w:rsidR="00820DAD" w:rsidRDefault="00820DAD" w:rsidP="001B4A7B">
      <w:pPr>
        <w:rPr>
          <w:rFonts w:cs="Arial"/>
        </w:rPr>
      </w:pPr>
      <w:r w:rsidRPr="00820DAD">
        <w:rPr>
          <w:rFonts w:cs="Arial"/>
        </w:rPr>
        <w:t xml:space="preserve">This legislative instrument is not subject to disallowance due to </w:t>
      </w:r>
      <w:r w:rsidR="00FA0D56">
        <w:rPr>
          <w:rFonts w:cs="Arial"/>
        </w:rPr>
        <w:t>sub</w:t>
      </w:r>
      <w:r w:rsidRPr="00820DAD">
        <w:rPr>
          <w:rFonts w:cs="Arial"/>
        </w:rPr>
        <w:t xml:space="preserve">section 44 of the </w:t>
      </w:r>
      <w:r w:rsidRPr="003A38F1">
        <w:rPr>
          <w:rFonts w:cs="Arial"/>
          <w:i/>
        </w:rPr>
        <w:t>Legislation Act 2003</w:t>
      </w:r>
      <w:r w:rsidR="00FF4CDB" w:rsidRPr="001F01A9">
        <w:rPr>
          <w:rFonts w:cs="Arial"/>
        </w:rPr>
        <w:t xml:space="preserve"> (Cth)</w:t>
      </w:r>
      <w:r w:rsidR="00CF4B39" w:rsidRPr="001F01A9">
        <w:rPr>
          <w:rFonts w:cs="Arial"/>
        </w:rPr>
        <w:t>.</w:t>
      </w:r>
    </w:p>
    <w:p w14:paraId="2874FFFA" w14:textId="77777777" w:rsidR="001B4A7B" w:rsidRPr="006C2E1D" w:rsidRDefault="001B4A7B" w:rsidP="001B4A7B">
      <w:pPr>
        <w:rPr>
          <w:rFonts w:cs="Arial"/>
          <w:b/>
          <w:lang w:val="en-GB"/>
        </w:rPr>
      </w:pPr>
      <w:r w:rsidRPr="006C2E1D">
        <w:rPr>
          <w:rFonts w:cs="Arial"/>
          <w:b/>
          <w:lang w:val="en-GB"/>
        </w:rPr>
        <w:t xml:space="preserve">Commencement </w:t>
      </w:r>
    </w:p>
    <w:p w14:paraId="2B8CE0EE" w14:textId="77777777" w:rsidR="001B4A7B" w:rsidRPr="006C2E1D" w:rsidRDefault="00F960D1" w:rsidP="001B4A7B">
      <w:pPr>
        <w:rPr>
          <w:rFonts w:cs="Arial"/>
          <w:lang w:val="en-GB"/>
        </w:rPr>
      </w:pPr>
      <w:r>
        <w:rPr>
          <w:rFonts w:cs="Arial"/>
          <w:lang w:val="en-GB"/>
        </w:rPr>
        <w:t xml:space="preserve">The </w:t>
      </w:r>
      <w:r w:rsidR="001B4A7B" w:rsidRPr="006C2E1D">
        <w:rPr>
          <w:rFonts w:cs="Arial"/>
          <w:lang w:val="en-GB"/>
        </w:rPr>
        <w:t>legislative instrument commences on the day after it is registered on the Federal Register of Legislation.</w:t>
      </w:r>
    </w:p>
    <w:p w14:paraId="569DCC66" w14:textId="77777777" w:rsidR="001B4A7B" w:rsidRPr="006C2E1D" w:rsidRDefault="001B4A7B" w:rsidP="000F27EA">
      <w:pPr>
        <w:rPr>
          <w:rFonts w:cs="Arial"/>
          <w:b/>
        </w:rPr>
      </w:pPr>
      <w:r w:rsidRPr="006C2E1D">
        <w:rPr>
          <w:rFonts w:cs="Arial"/>
          <w:b/>
        </w:rPr>
        <w:t>Sunsetting</w:t>
      </w:r>
    </w:p>
    <w:p w14:paraId="7EB738E5" w14:textId="2C2AB69A" w:rsidR="001B4A7B" w:rsidRDefault="008F6FE8" w:rsidP="000F27EA">
      <w:pPr>
        <w:rPr>
          <w:rFonts w:cs="Arial"/>
          <w:i/>
        </w:rPr>
      </w:pPr>
      <w:r>
        <w:rPr>
          <w:rFonts w:cs="Arial"/>
        </w:rPr>
        <w:t xml:space="preserve">This legislative instrument is not subject to sunsetting due to section 54 of the </w:t>
      </w:r>
      <w:r w:rsidRPr="008F6FE8">
        <w:rPr>
          <w:rFonts w:cs="Arial"/>
          <w:i/>
        </w:rPr>
        <w:t>Legislation Act 2003</w:t>
      </w:r>
      <w:r>
        <w:rPr>
          <w:rFonts w:cs="Arial"/>
        </w:rPr>
        <w:t xml:space="preserve"> (Cth).</w:t>
      </w:r>
    </w:p>
    <w:p w14:paraId="6F01635C" w14:textId="77777777" w:rsidR="00FF4CDB" w:rsidRPr="00902AD1" w:rsidRDefault="00FF4CDB" w:rsidP="000F27EA">
      <w:pPr>
        <w:keepNext/>
        <w:rPr>
          <w:rFonts w:cs="Arial"/>
          <w:b/>
          <w:lang w:val="en-GB"/>
        </w:rPr>
      </w:pPr>
      <w:r w:rsidRPr="00902AD1">
        <w:rPr>
          <w:rFonts w:cs="Arial"/>
          <w:b/>
          <w:lang w:val="en-GB"/>
        </w:rPr>
        <w:lastRenderedPageBreak/>
        <w:t>Regulation impact assessment</w:t>
      </w:r>
    </w:p>
    <w:p w14:paraId="03D00D99" w14:textId="7BFFFEBD" w:rsidR="00820DAD" w:rsidRPr="00AD05A8" w:rsidRDefault="00FF4CDB" w:rsidP="001B4A7B">
      <w:pPr>
        <w:rPr>
          <w:iCs/>
        </w:rPr>
      </w:pPr>
      <w:r w:rsidRPr="00902AD1">
        <w:rPr>
          <w:iCs/>
        </w:rPr>
        <w:t>The Office of Best Practice Regulation a</w:t>
      </w:r>
      <w:r>
        <w:rPr>
          <w:iCs/>
        </w:rPr>
        <w:t xml:space="preserve">dvised that </w:t>
      </w:r>
      <w:r w:rsidR="00F63E15">
        <w:rPr>
          <w:iCs/>
        </w:rPr>
        <w:t xml:space="preserve">a </w:t>
      </w:r>
      <w:r>
        <w:rPr>
          <w:iCs/>
        </w:rPr>
        <w:t>Regulation Impact Statement</w:t>
      </w:r>
      <w:r w:rsidR="00D37A62">
        <w:rPr>
          <w:iCs/>
        </w:rPr>
        <w:t xml:space="preserve"> was not r</w:t>
      </w:r>
      <w:r w:rsidR="0057208F">
        <w:rPr>
          <w:iCs/>
        </w:rPr>
        <w:t xml:space="preserve">equired (OBPR reference ID </w:t>
      </w:r>
      <w:r w:rsidR="0057208F" w:rsidRPr="00B80787">
        <w:rPr>
          <w:iCs/>
        </w:rPr>
        <w:t>25925</w:t>
      </w:r>
      <w:r w:rsidR="00D37A62">
        <w:rPr>
          <w:iCs/>
        </w:rPr>
        <w:t>).</w:t>
      </w:r>
    </w:p>
    <w:sectPr w:rsidR="00820DAD" w:rsidRPr="00AD05A8" w:rsidSect="003B6396">
      <w:headerReference w:type="even" r:id="rId11"/>
      <w:headerReference w:type="default" r:id="rId12"/>
      <w:footerReference w:type="even" r:id="rId13"/>
      <w:footerReference w:type="default" r:id="rId14"/>
      <w:headerReference w:type="first" r:id="rId15"/>
      <w:footerReference w:type="first" r:id="rId16"/>
      <w:pgSz w:w="11906" w:h="16838" w:code="9"/>
      <w:pgMar w:top="1134" w:right="155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4C2D2" w14:textId="77777777" w:rsidR="004C3541" w:rsidRDefault="004C3541" w:rsidP="004B4412">
      <w:pPr>
        <w:spacing w:before="0"/>
      </w:pPr>
      <w:r>
        <w:separator/>
      </w:r>
    </w:p>
  </w:endnote>
  <w:endnote w:type="continuationSeparator" w:id="0">
    <w:p w14:paraId="119539E6" w14:textId="77777777" w:rsidR="004C3541" w:rsidRDefault="004C3541"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1A8B8" w14:textId="77777777" w:rsidR="00A1493E" w:rsidRDefault="00A14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8EEFD" w14:textId="77777777" w:rsidR="00A1493E" w:rsidRDefault="00A14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884594"/>
      <w:docPartObj>
        <w:docPartGallery w:val="Page Numbers (Bottom of Page)"/>
        <w:docPartUnique/>
      </w:docPartObj>
    </w:sdtPr>
    <w:sdtEndPr>
      <w:rPr>
        <w:noProof/>
      </w:rPr>
    </w:sdtEndPr>
    <w:sdtContent>
      <w:p w14:paraId="6D16C491" w14:textId="77777777"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14:paraId="1D7FF16E"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2A013" w14:textId="77777777" w:rsidR="004C3541" w:rsidRDefault="004C3541" w:rsidP="004B4412">
      <w:pPr>
        <w:spacing w:before="0"/>
      </w:pPr>
      <w:r>
        <w:separator/>
      </w:r>
    </w:p>
  </w:footnote>
  <w:footnote w:type="continuationSeparator" w:id="0">
    <w:p w14:paraId="5BEC98D5" w14:textId="77777777" w:rsidR="004C3541" w:rsidRDefault="004C3541" w:rsidP="004B44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7861D" w14:textId="77777777" w:rsidR="00A1493E" w:rsidRDefault="00A14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B0A9B" w14:textId="77777777" w:rsidR="00A1493E" w:rsidRDefault="00A14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7DB6D" w14:textId="77777777" w:rsidR="00A1493E" w:rsidRDefault="00A14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AD646C"/>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10"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FBF3983"/>
    <w:multiLevelType w:val="multilevel"/>
    <w:tmpl w:val="30CC6D56"/>
    <w:lvl w:ilvl="0">
      <w:start w:val="1"/>
      <w:numFmt w:val="decimal"/>
      <w:lvlText w:val="%1."/>
      <w:lvlJc w:val="left"/>
      <w:pPr>
        <w:ind w:left="432" w:hanging="432"/>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12"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3"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5" w15:restartNumberingAfterBreak="0">
    <w:nsid w:val="268735D6"/>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16"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7"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8"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0" w15:restartNumberingAfterBreak="0">
    <w:nsid w:val="468A5C55"/>
    <w:multiLevelType w:val="hybridMultilevel"/>
    <w:tmpl w:val="FBF69B80"/>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1"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3"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6" w15:restartNumberingAfterBreak="0">
    <w:nsid w:val="69AD65DF"/>
    <w:multiLevelType w:val="multilevel"/>
    <w:tmpl w:val="AD02C00E"/>
    <w:lvl w:ilvl="0">
      <w:start w:val="1"/>
      <w:numFmt w:val="decimal"/>
      <w:lvlText w:val="%1."/>
      <w:lvlJc w:val="left"/>
      <w:pPr>
        <w:ind w:left="432" w:hanging="432"/>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27" w15:restartNumberingAfterBreak="0">
    <w:nsid w:val="6B014D4C"/>
    <w:multiLevelType w:val="hybridMultilevel"/>
    <w:tmpl w:val="2C701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6D12F1"/>
    <w:multiLevelType w:val="multilevel"/>
    <w:tmpl w:val="A7B42DFE"/>
    <w:lvl w:ilvl="0">
      <w:start w:val="1"/>
      <w:numFmt w:val="bullet"/>
      <w:lvlText w:val=""/>
      <w:lvlJc w:val="left"/>
      <w:pPr>
        <w:ind w:left="772" w:hanging="432"/>
      </w:pPr>
      <w:rPr>
        <w:rFonts w:ascii="Symbol" w:hAnsi="Symbol" w:hint="default"/>
      </w:rPr>
    </w:lvl>
    <w:lvl w:ilvl="1">
      <w:start w:val="1"/>
      <w:numFmt w:val="bullet"/>
      <w:lvlText w:val=""/>
      <w:lvlJc w:val="left"/>
      <w:pPr>
        <w:ind w:left="1060" w:hanging="720"/>
      </w:pPr>
      <w:rPr>
        <w:rFonts w:ascii="Symbol" w:hAnsi="Symbol" w:hint="default"/>
      </w:rPr>
    </w:lvl>
    <w:lvl w:ilvl="2">
      <w:start w:val="1"/>
      <w:numFmt w:val="bullet"/>
      <w:lvlText w:val=""/>
      <w:lvlJc w:val="left"/>
      <w:pPr>
        <w:ind w:left="1060" w:hanging="720"/>
      </w:pPr>
      <w:rPr>
        <w:rFonts w:ascii="Symbol" w:hAnsi="Symbol" w:hint="default"/>
      </w:rPr>
    </w:lvl>
    <w:lvl w:ilvl="3">
      <w:start w:val="1"/>
      <w:numFmt w:val="decimal"/>
      <w:lvlText w:val="%1.%2.%3.%4."/>
      <w:lvlJc w:val="left"/>
      <w:pPr>
        <w:ind w:left="1420" w:hanging="1080"/>
      </w:pPr>
      <w:rPr>
        <w:rFonts w:ascii="Arial" w:hAnsi="Arial" w:cs="Arial" w:hint="default"/>
      </w:rPr>
    </w:lvl>
    <w:lvl w:ilvl="4">
      <w:start w:val="1"/>
      <w:numFmt w:val="decimal"/>
      <w:lvlText w:val="%1.%2.%3.%4.%5."/>
      <w:lvlJc w:val="left"/>
      <w:pPr>
        <w:ind w:left="1420" w:hanging="1080"/>
      </w:pPr>
      <w:rPr>
        <w:rFonts w:ascii="Arial" w:hAnsi="Arial" w:cs="Arial" w:hint="default"/>
      </w:rPr>
    </w:lvl>
    <w:lvl w:ilvl="5">
      <w:start w:val="1"/>
      <w:numFmt w:val="decimal"/>
      <w:lvlText w:val="%1.%2.%3.%4.%5.%6."/>
      <w:lvlJc w:val="left"/>
      <w:pPr>
        <w:ind w:left="1780" w:hanging="1440"/>
      </w:pPr>
      <w:rPr>
        <w:rFonts w:ascii="Arial" w:hAnsi="Arial" w:cs="Arial" w:hint="default"/>
      </w:rPr>
    </w:lvl>
    <w:lvl w:ilvl="6">
      <w:start w:val="1"/>
      <w:numFmt w:val="decimal"/>
      <w:lvlText w:val="%1.%2.%3.%4.%5.%6.%7."/>
      <w:lvlJc w:val="left"/>
      <w:pPr>
        <w:ind w:left="2140" w:hanging="1800"/>
      </w:pPr>
      <w:rPr>
        <w:rFonts w:ascii="Arial" w:hAnsi="Arial" w:cs="Arial" w:hint="default"/>
      </w:rPr>
    </w:lvl>
    <w:lvl w:ilvl="7">
      <w:start w:val="1"/>
      <w:numFmt w:val="decimal"/>
      <w:lvlText w:val="%1.%2.%3.%4.%5.%6.%7.%8."/>
      <w:lvlJc w:val="left"/>
      <w:pPr>
        <w:ind w:left="2140" w:hanging="1800"/>
      </w:pPr>
      <w:rPr>
        <w:rFonts w:ascii="Arial" w:hAnsi="Arial" w:cs="Arial" w:hint="default"/>
      </w:rPr>
    </w:lvl>
    <w:lvl w:ilvl="8">
      <w:start w:val="1"/>
      <w:numFmt w:val="decimal"/>
      <w:lvlText w:val="%1.%2.%3.%4.%5.%6.%7.%8.%9."/>
      <w:lvlJc w:val="left"/>
      <w:pPr>
        <w:ind w:left="2500" w:hanging="2160"/>
      </w:pPr>
      <w:rPr>
        <w:rFonts w:ascii="Arial" w:hAnsi="Arial" w:cs="Arial" w:hint="default"/>
      </w:rPr>
    </w:lvl>
  </w:abstractNum>
  <w:abstractNum w:abstractNumId="29" w15:restartNumberingAfterBreak="0">
    <w:nsid w:val="70D02CA1"/>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30"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1" w15:restartNumberingAfterBreak="0">
    <w:nsid w:val="71DC5197"/>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32"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3"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4" w15:restartNumberingAfterBreak="0">
    <w:nsid w:val="78A53688"/>
    <w:multiLevelType w:val="hybridMultilevel"/>
    <w:tmpl w:val="B6428DE8"/>
    <w:lvl w:ilvl="0" w:tplc="DBB4220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6"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6"/>
  </w:num>
  <w:num w:numId="3">
    <w:abstractNumId w:val="7"/>
  </w:num>
  <w:num w:numId="4">
    <w:abstractNumId w:val="6"/>
  </w:num>
  <w:num w:numId="5">
    <w:abstractNumId w:val="5"/>
  </w:num>
  <w:num w:numId="6">
    <w:abstractNumId w:val="4"/>
  </w:num>
  <w:num w:numId="7">
    <w:abstractNumId w:val="1"/>
  </w:num>
  <w:num w:numId="8">
    <w:abstractNumId w:val="0"/>
  </w:num>
  <w:num w:numId="9">
    <w:abstractNumId w:val="25"/>
  </w:num>
  <w:num w:numId="10">
    <w:abstractNumId w:val="18"/>
  </w:num>
  <w:num w:numId="11">
    <w:abstractNumId w:val="10"/>
  </w:num>
  <w:num w:numId="12">
    <w:abstractNumId w:val="14"/>
  </w:num>
  <w:num w:numId="13">
    <w:abstractNumId w:val="17"/>
  </w:num>
  <w:num w:numId="14">
    <w:abstractNumId w:val="2"/>
  </w:num>
  <w:num w:numId="15">
    <w:abstractNumId w:val="30"/>
  </w:num>
  <w:num w:numId="16">
    <w:abstractNumId w:val="35"/>
  </w:num>
  <w:num w:numId="17">
    <w:abstractNumId w:val="33"/>
  </w:num>
  <w:num w:numId="18">
    <w:abstractNumId w:val="22"/>
  </w:num>
  <w:num w:numId="19">
    <w:abstractNumId w:val="16"/>
  </w:num>
  <w:num w:numId="20">
    <w:abstractNumId w:val="19"/>
  </w:num>
  <w:num w:numId="21">
    <w:abstractNumId w:val="32"/>
  </w:num>
  <w:num w:numId="22">
    <w:abstractNumId w:val="23"/>
  </w:num>
  <w:num w:numId="23">
    <w:abstractNumId w:val="8"/>
  </w:num>
  <w:num w:numId="24">
    <w:abstractNumId w:val="3"/>
  </w:num>
  <w:num w:numId="25">
    <w:abstractNumId w:val="21"/>
  </w:num>
  <w:num w:numId="26">
    <w:abstractNumId w:val="13"/>
  </w:num>
  <w:num w:numId="27">
    <w:abstractNumId w:val="24"/>
  </w:num>
  <w:num w:numId="28">
    <w:abstractNumId w:val="20"/>
  </w:num>
  <w:num w:numId="29">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9"/>
  </w:num>
  <w:num w:numId="32">
    <w:abstractNumId w:val="29"/>
  </w:num>
  <w:num w:numId="33">
    <w:abstractNumId w:val="15"/>
  </w:num>
  <w:num w:numId="34">
    <w:abstractNumId w:val="28"/>
  </w:num>
  <w:num w:numId="35">
    <w:abstractNumId w:val="11"/>
  </w:num>
  <w:num w:numId="36">
    <w:abstractNumId w:val="10"/>
  </w:num>
  <w:num w:numId="37">
    <w:abstractNumId w:val="34"/>
  </w:num>
  <w:num w:numId="38">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3920\D17 23987  CPS - SP - Trolley jacks - Explanatory statement - 2017.DOCX"/>
  </w:docVars>
  <w:rsids>
    <w:rsidRoot w:val="001B4A7B"/>
    <w:rsid w:val="00007C46"/>
    <w:rsid w:val="0002115F"/>
    <w:rsid w:val="00021202"/>
    <w:rsid w:val="000225C4"/>
    <w:rsid w:val="0003578C"/>
    <w:rsid w:val="00042971"/>
    <w:rsid w:val="00044BE7"/>
    <w:rsid w:val="00045B25"/>
    <w:rsid w:val="00061003"/>
    <w:rsid w:val="00063247"/>
    <w:rsid w:val="00065A07"/>
    <w:rsid w:val="00070F9F"/>
    <w:rsid w:val="0007137B"/>
    <w:rsid w:val="00085663"/>
    <w:rsid w:val="00085EBF"/>
    <w:rsid w:val="000A02AD"/>
    <w:rsid w:val="000B779C"/>
    <w:rsid w:val="000C1578"/>
    <w:rsid w:val="000C4511"/>
    <w:rsid w:val="000D0C9D"/>
    <w:rsid w:val="000D122C"/>
    <w:rsid w:val="000D48CE"/>
    <w:rsid w:val="000D5A29"/>
    <w:rsid w:val="000E1819"/>
    <w:rsid w:val="000E1BC4"/>
    <w:rsid w:val="000E230E"/>
    <w:rsid w:val="000E3CA1"/>
    <w:rsid w:val="000E6C72"/>
    <w:rsid w:val="000E70CC"/>
    <w:rsid w:val="000F119E"/>
    <w:rsid w:val="000F1F79"/>
    <w:rsid w:val="000F2368"/>
    <w:rsid w:val="000F27EA"/>
    <w:rsid w:val="000F5226"/>
    <w:rsid w:val="000F7A89"/>
    <w:rsid w:val="0010399E"/>
    <w:rsid w:val="001059B1"/>
    <w:rsid w:val="0010762E"/>
    <w:rsid w:val="00116EB2"/>
    <w:rsid w:val="00124609"/>
    <w:rsid w:val="001265CE"/>
    <w:rsid w:val="00127FD6"/>
    <w:rsid w:val="00140C59"/>
    <w:rsid w:val="001426C5"/>
    <w:rsid w:val="00146119"/>
    <w:rsid w:val="001573E4"/>
    <w:rsid w:val="00160756"/>
    <w:rsid w:val="00162F93"/>
    <w:rsid w:val="0017181A"/>
    <w:rsid w:val="0017232E"/>
    <w:rsid w:val="00174102"/>
    <w:rsid w:val="00175E01"/>
    <w:rsid w:val="00176BBC"/>
    <w:rsid w:val="00180157"/>
    <w:rsid w:val="00181223"/>
    <w:rsid w:val="00183627"/>
    <w:rsid w:val="0018500C"/>
    <w:rsid w:val="00186F77"/>
    <w:rsid w:val="00190D23"/>
    <w:rsid w:val="001926A4"/>
    <w:rsid w:val="00196801"/>
    <w:rsid w:val="00197372"/>
    <w:rsid w:val="001A04D9"/>
    <w:rsid w:val="001A30A4"/>
    <w:rsid w:val="001A3A19"/>
    <w:rsid w:val="001B246B"/>
    <w:rsid w:val="001B45A0"/>
    <w:rsid w:val="001B4A7B"/>
    <w:rsid w:val="001C18EE"/>
    <w:rsid w:val="001C6433"/>
    <w:rsid w:val="001D055E"/>
    <w:rsid w:val="001D7724"/>
    <w:rsid w:val="001E0BC0"/>
    <w:rsid w:val="001F01A9"/>
    <w:rsid w:val="001F492E"/>
    <w:rsid w:val="001F4C58"/>
    <w:rsid w:val="001F6DA3"/>
    <w:rsid w:val="002004E3"/>
    <w:rsid w:val="002030FB"/>
    <w:rsid w:val="00205378"/>
    <w:rsid w:val="00211C6F"/>
    <w:rsid w:val="00212737"/>
    <w:rsid w:val="002128E0"/>
    <w:rsid w:val="00216111"/>
    <w:rsid w:val="00224DB9"/>
    <w:rsid w:val="002345C4"/>
    <w:rsid w:val="00235815"/>
    <w:rsid w:val="00241D74"/>
    <w:rsid w:val="00242671"/>
    <w:rsid w:val="00247C27"/>
    <w:rsid w:val="00251745"/>
    <w:rsid w:val="00263AC0"/>
    <w:rsid w:val="0026772D"/>
    <w:rsid w:val="00286874"/>
    <w:rsid w:val="00293F07"/>
    <w:rsid w:val="00296B65"/>
    <w:rsid w:val="002A6EF6"/>
    <w:rsid w:val="002A7DEF"/>
    <w:rsid w:val="002B14FE"/>
    <w:rsid w:val="002B17A9"/>
    <w:rsid w:val="002B24FE"/>
    <w:rsid w:val="002B60C9"/>
    <w:rsid w:val="002C07B6"/>
    <w:rsid w:val="002C7257"/>
    <w:rsid w:val="002E3109"/>
    <w:rsid w:val="002F6062"/>
    <w:rsid w:val="002F6A17"/>
    <w:rsid w:val="002F7986"/>
    <w:rsid w:val="00303C4A"/>
    <w:rsid w:val="003046B6"/>
    <w:rsid w:val="0030488E"/>
    <w:rsid w:val="00307F6D"/>
    <w:rsid w:val="00314977"/>
    <w:rsid w:val="003177A2"/>
    <w:rsid w:val="00320408"/>
    <w:rsid w:val="00321028"/>
    <w:rsid w:val="003271B5"/>
    <w:rsid w:val="003301BA"/>
    <w:rsid w:val="00330CA0"/>
    <w:rsid w:val="00331264"/>
    <w:rsid w:val="00332C56"/>
    <w:rsid w:val="0033341C"/>
    <w:rsid w:val="00334C8D"/>
    <w:rsid w:val="00340655"/>
    <w:rsid w:val="003459E6"/>
    <w:rsid w:val="00347964"/>
    <w:rsid w:val="003518B3"/>
    <w:rsid w:val="00352B50"/>
    <w:rsid w:val="00354E4B"/>
    <w:rsid w:val="003636FA"/>
    <w:rsid w:val="00365954"/>
    <w:rsid w:val="0037078F"/>
    <w:rsid w:val="00371641"/>
    <w:rsid w:val="00372AF2"/>
    <w:rsid w:val="00373486"/>
    <w:rsid w:val="00383C29"/>
    <w:rsid w:val="003846F1"/>
    <w:rsid w:val="00387AFB"/>
    <w:rsid w:val="00390056"/>
    <w:rsid w:val="0039290A"/>
    <w:rsid w:val="003A38F1"/>
    <w:rsid w:val="003A673F"/>
    <w:rsid w:val="003B093B"/>
    <w:rsid w:val="003B0CD8"/>
    <w:rsid w:val="003B21A7"/>
    <w:rsid w:val="003B3529"/>
    <w:rsid w:val="003B5A70"/>
    <w:rsid w:val="003B6396"/>
    <w:rsid w:val="003C1789"/>
    <w:rsid w:val="003E3149"/>
    <w:rsid w:val="003F008A"/>
    <w:rsid w:val="003F3DCD"/>
    <w:rsid w:val="004024D9"/>
    <w:rsid w:val="004142D7"/>
    <w:rsid w:val="00420048"/>
    <w:rsid w:val="004219B3"/>
    <w:rsid w:val="0044129F"/>
    <w:rsid w:val="0044351B"/>
    <w:rsid w:val="004454B6"/>
    <w:rsid w:val="00454DDE"/>
    <w:rsid w:val="00460786"/>
    <w:rsid w:val="00474CC5"/>
    <w:rsid w:val="00475DDE"/>
    <w:rsid w:val="00480B4B"/>
    <w:rsid w:val="00483832"/>
    <w:rsid w:val="00485DC4"/>
    <w:rsid w:val="0049090A"/>
    <w:rsid w:val="004957D5"/>
    <w:rsid w:val="004B2959"/>
    <w:rsid w:val="004B3CD5"/>
    <w:rsid w:val="004B4412"/>
    <w:rsid w:val="004B6617"/>
    <w:rsid w:val="004C348C"/>
    <w:rsid w:val="004C3541"/>
    <w:rsid w:val="004D312D"/>
    <w:rsid w:val="004D506D"/>
    <w:rsid w:val="004D55BA"/>
    <w:rsid w:val="005018F9"/>
    <w:rsid w:val="005038DB"/>
    <w:rsid w:val="005052F2"/>
    <w:rsid w:val="005061E7"/>
    <w:rsid w:val="005215FD"/>
    <w:rsid w:val="0052379B"/>
    <w:rsid w:val="00530091"/>
    <w:rsid w:val="00530128"/>
    <w:rsid w:val="00532467"/>
    <w:rsid w:val="00544F0D"/>
    <w:rsid w:val="00547BA2"/>
    <w:rsid w:val="00547CCF"/>
    <w:rsid w:val="005624EE"/>
    <w:rsid w:val="00562C0C"/>
    <w:rsid w:val="00564A4D"/>
    <w:rsid w:val="00565A20"/>
    <w:rsid w:val="00567053"/>
    <w:rsid w:val="00567DB7"/>
    <w:rsid w:val="00571B35"/>
    <w:rsid w:val="00571C9F"/>
    <w:rsid w:val="0057208F"/>
    <w:rsid w:val="00577A09"/>
    <w:rsid w:val="00580B78"/>
    <w:rsid w:val="00581715"/>
    <w:rsid w:val="00584D8F"/>
    <w:rsid w:val="00586DD2"/>
    <w:rsid w:val="00596D42"/>
    <w:rsid w:val="00597A5A"/>
    <w:rsid w:val="005A404D"/>
    <w:rsid w:val="005B1E3C"/>
    <w:rsid w:val="005B5C2D"/>
    <w:rsid w:val="005C24AC"/>
    <w:rsid w:val="005C26CC"/>
    <w:rsid w:val="005D4A09"/>
    <w:rsid w:val="005D6AFC"/>
    <w:rsid w:val="005E6C0E"/>
    <w:rsid w:val="005F19BA"/>
    <w:rsid w:val="00600EC0"/>
    <w:rsid w:val="00603C54"/>
    <w:rsid w:val="0060463D"/>
    <w:rsid w:val="0060505E"/>
    <w:rsid w:val="00612ADC"/>
    <w:rsid w:val="00614F1F"/>
    <w:rsid w:val="006150AE"/>
    <w:rsid w:val="00615C6B"/>
    <w:rsid w:val="0062508F"/>
    <w:rsid w:val="006274B3"/>
    <w:rsid w:val="00632AF1"/>
    <w:rsid w:val="00632D6D"/>
    <w:rsid w:val="00634102"/>
    <w:rsid w:val="00642C3E"/>
    <w:rsid w:val="00644E3A"/>
    <w:rsid w:val="00646025"/>
    <w:rsid w:val="006479A1"/>
    <w:rsid w:val="00663DAD"/>
    <w:rsid w:val="00676679"/>
    <w:rsid w:val="006808CA"/>
    <w:rsid w:val="00686D33"/>
    <w:rsid w:val="00690157"/>
    <w:rsid w:val="00691616"/>
    <w:rsid w:val="00692E2E"/>
    <w:rsid w:val="00693CA2"/>
    <w:rsid w:val="006A1A2B"/>
    <w:rsid w:val="006A1EC8"/>
    <w:rsid w:val="006A5E88"/>
    <w:rsid w:val="006B361C"/>
    <w:rsid w:val="006B4CF9"/>
    <w:rsid w:val="006B7AC8"/>
    <w:rsid w:val="006C1317"/>
    <w:rsid w:val="006C2E1D"/>
    <w:rsid w:val="006C588D"/>
    <w:rsid w:val="006D40F3"/>
    <w:rsid w:val="006D550F"/>
    <w:rsid w:val="006D75F6"/>
    <w:rsid w:val="006D77F3"/>
    <w:rsid w:val="006F615F"/>
    <w:rsid w:val="00701CAB"/>
    <w:rsid w:val="0070632B"/>
    <w:rsid w:val="00707563"/>
    <w:rsid w:val="007159D7"/>
    <w:rsid w:val="0072348C"/>
    <w:rsid w:val="007249B6"/>
    <w:rsid w:val="00724A37"/>
    <w:rsid w:val="007303C3"/>
    <w:rsid w:val="00743223"/>
    <w:rsid w:val="00746E01"/>
    <w:rsid w:val="00763E5D"/>
    <w:rsid w:val="00767740"/>
    <w:rsid w:val="0077733B"/>
    <w:rsid w:val="00777EE6"/>
    <w:rsid w:val="00782EEA"/>
    <w:rsid w:val="007A1FD7"/>
    <w:rsid w:val="007A502D"/>
    <w:rsid w:val="007A7BE6"/>
    <w:rsid w:val="007B2C72"/>
    <w:rsid w:val="007B699F"/>
    <w:rsid w:val="007B6CB9"/>
    <w:rsid w:val="007C1541"/>
    <w:rsid w:val="007C1C53"/>
    <w:rsid w:val="007E26A9"/>
    <w:rsid w:val="007E4904"/>
    <w:rsid w:val="007E4A75"/>
    <w:rsid w:val="007E4CB5"/>
    <w:rsid w:val="007F066B"/>
    <w:rsid w:val="008033C4"/>
    <w:rsid w:val="0080425E"/>
    <w:rsid w:val="00806C88"/>
    <w:rsid w:val="0081034E"/>
    <w:rsid w:val="0082019F"/>
    <w:rsid w:val="00820DAD"/>
    <w:rsid w:val="008344F6"/>
    <w:rsid w:val="0083510F"/>
    <w:rsid w:val="00844F80"/>
    <w:rsid w:val="0084628F"/>
    <w:rsid w:val="00851209"/>
    <w:rsid w:val="00852C8E"/>
    <w:rsid w:val="00853240"/>
    <w:rsid w:val="00866F6C"/>
    <w:rsid w:val="00867D17"/>
    <w:rsid w:val="0088007E"/>
    <w:rsid w:val="0088134F"/>
    <w:rsid w:val="008837AC"/>
    <w:rsid w:val="00884D6C"/>
    <w:rsid w:val="008852B3"/>
    <w:rsid w:val="008945B4"/>
    <w:rsid w:val="00895586"/>
    <w:rsid w:val="008A587D"/>
    <w:rsid w:val="008A5A1D"/>
    <w:rsid w:val="008B01E0"/>
    <w:rsid w:val="008B08E6"/>
    <w:rsid w:val="008B1C1B"/>
    <w:rsid w:val="008B4EEA"/>
    <w:rsid w:val="008B726D"/>
    <w:rsid w:val="008B79E4"/>
    <w:rsid w:val="008C5209"/>
    <w:rsid w:val="008C5486"/>
    <w:rsid w:val="008C5FAA"/>
    <w:rsid w:val="008D2431"/>
    <w:rsid w:val="008D7F99"/>
    <w:rsid w:val="008E3847"/>
    <w:rsid w:val="008E7031"/>
    <w:rsid w:val="008F6FE8"/>
    <w:rsid w:val="00903DB5"/>
    <w:rsid w:val="00910BBA"/>
    <w:rsid w:val="0091775F"/>
    <w:rsid w:val="00922C95"/>
    <w:rsid w:val="009233EE"/>
    <w:rsid w:val="00923A21"/>
    <w:rsid w:val="00925D12"/>
    <w:rsid w:val="00926885"/>
    <w:rsid w:val="009514B0"/>
    <w:rsid w:val="00956584"/>
    <w:rsid w:val="0096385B"/>
    <w:rsid w:val="00963BED"/>
    <w:rsid w:val="00963F85"/>
    <w:rsid w:val="009661DE"/>
    <w:rsid w:val="00973980"/>
    <w:rsid w:val="00975CEF"/>
    <w:rsid w:val="00982246"/>
    <w:rsid w:val="00984225"/>
    <w:rsid w:val="009856B7"/>
    <w:rsid w:val="00985AE4"/>
    <w:rsid w:val="0098602B"/>
    <w:rsid w:val="00990ED8"/>
    <w:rsid w:val="00991B3B"/>
    <w:rsid w:val="00995370"/>
    <w:rsid w:val="009962BA"/>
    <w:rsid w:val="009A0618"/>
    <w:rsid w:val="009A0FB2"/>
    <w:rsid w:val="009A3AE9"/>
    <w:rsid w:val="009B1B29"/>
    <w:rsid w:val="009B507F"/>
    <w:rsid w:val="009B74B0"/>
    <w:rsid w:val="009B796D"/>
    <w:rsid w:val="009C7EB9"/>
    <w:rsid w:val="009D4414"/>
    <w:rsid w:val="009D6B46"/>
    <w:rsid w:val="009E304C"/>
    <w:rsid w:val="009E6D2B"/>
    <w:rsid w:val="009F0946"/>
    <w:rsid w:val="009F4940"/>
    <w:rsid w:val="00A1493E"/>
    <w:rsid w:val="00A1665B"/>
    <w:rsid w:val="00A22EB3"/>
    <w:rsid w:val="00A2477E"/>
    <w:rsid w:val="00A31A03"/>
    <w:rsid w:val="00A4478A"/>
    <w:rsid w:val="00A44852"/>
    <w:rsid w:val="00A508CC"/>
    <w:rsid w:val="00A53CC6"/>
    <w:rsid w:val="00A57D04"/>
    <w:rsid w:val="00A60A26"/>
    <w:rsid w:val="00A61598"/>
    <w:rsid w:val="00A61D81"/>
    <w:rsid w:val="00A624C1"/>
    <w:rsid w:val="00A64B37"/>
    <w:rsid w:val="00A71F5F"/>
    <w:rsid w:val="00A7241C"/>
    <w:rsid w:val="00A74ECB"/>
    <w:rsid w:val="00A7581D"/>
    <w:rsid w:val="00A75A7D"/>
    <w:rsid w:val="00A84F46"/>
    <w:rsid w:val="00A86D26"/>
    <w:rsid w:val="00A871F4"/>
    <w:rsid w:val="00AB36CB"/>
    <w:rsid w:val="00AC1B2C"/>
    <w:rsid w:val="00AC3264"/>
    <w:rsid w:val="00AC51F5"/>
    <w:rsid w:val="00AC6AE0"/>
    <w:rsid w:val="00AC6F01"/>
    <w:rsid w:val="00AD050D"/>
    <w:rsid w:val="00AD05A8"/>
    <w:rsid w:val="00AD26AA"/>
    <w:rsid w:val="00AE0FE2"/>
    <w:rsid w:val="00AE1694"/>
    <w:rsid w:val="00AE1BF1"/>
    <w:rsid w:val="00AE3231"/>
    <w:rsid w:val="00AE4373"/>
    <w:rsid w:val="00AF0DD2"/>
    <w:rsid w:val="00B04D1B"/>
    <w:rsid w:val="00B10314"/>
    <w:rsid w:val="00B13048"/>
    <w:rsid w:val="00B15998"/>
    <w:rsid w:val="00B1716D"/>
    <w:rsid w:val="00B17482"/>
    <w:rsid w:val="00B17A1D"/>
    <w:rsid w:val="00B207A0"/>
    <w:rsid w:val="00B27728"/>
    <w:rsid w:val="00B44060"/>
    <w:rsid w:val="00B47C2D"/>
    <w:rsid w:val="00B50BAE"/>
    <w:rsid w:val="00B56E03"/>
    <w:rsid w:val="00B60F5D"/>
    <w:rsid w:val="00B61E83"/>
    <w:rsid w:val="00B67E91"/>
    <w:rsid w:val="00B80787"/>
    <w:rsid w:val="00B8080B"/>
    <w:rsid w:val="00B8378D"/>
    <w:rsid w:val="00B87C39"/>
    <w:rsid w:val="00B91A95"/>
    <w:rsid w:val="00B9628B"/>
    <w:rsid w:val="00BA4665"/>
    <w:rsid w:val="00BB2FB2"/>
    <w:rsid w:val="00BB3304"/>
    <w:rsid w:val="00BD3446"/>
    <w:rsid w:val="00BD7474"/>
    <w:rsid w:val="00BE1F1B"/>
    <w:rsid w:val="00BE4609"/>
    <w:rsid w:val="00BE47B5"/>
    <w:rsid w:val="00BE4C99"/>
    <w:rsid w:val="00BE55C6"/>
    <w:rsid w:val="00BF14B6"/>
    <w:rsid w:val="00C04DEF"/>
    <w:rsid w:val="00C058AB"/>
    <w:rsid w:val="00C06739"/>
    <w:rsid w:val="00C12FCF"/>
    <w:rsid w:val="00C257F1"/>
    <w:rsid w:val="00C35F47"/>
    <w:rsid w:val="00C50BD2"/>
    <w:rsid w:val="00C50FC9"/>
    <w:rsid w:val="00C538A9"/>
    <w:rsid w:val="00C53B5A"/>
    <w:rsid w:val="00C54F5A"/>
    <w:rsid w:val="00C64DB3"/>
    <w:rsid w:val="00C64FC8"/>
    <w:rsid w:val="00C65185"/>
    <w:rsid w:val="00C755AD"/>
    <w:rsid w:val="00C83A4E"/>
    <w:rsid w:val="00C86679"/>
    <w:rsid w:val="00C920FF"/>
    <w:rsid w:val="00C9542C"/>
    <w:rsid w:val="00CA22ED"/>
    <w:rsid w:val="00CA3582"/>
    <w:rsid w:val="00CA6396"/>
    <w:rsid w:val="00CB666B"/>
    <w:rsid w:val="00CC3175"/>
    <w:rsid w:val="00CC6FE1"/>
    <w:rsid w:val="00CD3F48"/>
    <w:rsid w:val="00CD5755"/>
    <w:rsid w:val="00CD69CA"/>
    <w:rsid w:val="00CF0530"/>
    <w:rsid w:val="00CF4B39"/>
    <w:rsid w:val="00CF799E"/>
    <w:rsid w:val="00D01CF0"/>
    <w:rsid w:val="00D03B3C"/>
    <w:rsid w:val="00D0442A"/>
    <w:rsid w:val="00D10C2E"/>
    <w:rsid w:val="00D203E1"/>
    <w:rsid w:val="00D22586"/>
    <w:rsid w:val="00D241D2"/>
    <w:rsid w:val="00D308CC"/>
    <w:rsid w:val="00D37A62"/>
    <w:rsid w:val="00D40355"/>
    <w:rsid w:val="00D47F69"/>
    <w:rsid w:val="00D535DE"/>
    <w:rsid w:val="00D544B8"/>
    <w:rsid w:val="00D61388"/>
    <w:rsid w:val="00D61A54"/>
    <w:rsid w:val="00D62CFD"/>
    <w:rsid w:val="00D64DEA"/>
    <w:rsid w:val="00D666D8"/>
    <w:rsid w:val="00D73912"/>
    <w:rsid w:val="00D80893"/>
    <w:rsid w:val="00D84002"/>
    <w:rsid w:val="00D87C84"/>
    <w:rsid w:val="00D921E5"/>
    <w:rsid w:val="00D92CF1"/>
    <w:rsid w:val="00D92D38"/>
    <w:rsid w:val="00D950F5"/>
    <w:rsid w:val="00DB0F93"/>
    <w:rsid w:val="00DB59BC"/>
    <w:rsid w:val="00DC079C"/>
    <w:rsid w:val="00DC129E"/>
    <w:rsid w:val="00DC4EDE"/>
    <w:rsid w:val="00DC542F"/>
    <w:rsid w:val="00DC62DD"/>
    <w:rsid w:val="00DC7981"/>
    <w:rsid w:val="00DD4E1C"/>
    <w:rsid w:val="00DE1007"/>
    <w:rsid w:val="00DE4EFA"/>
    <w:rsid w:val="00DE5520"/>
    <w:rsid w:val="00DE77D9"/>
    <w:rsid w:val="00DF45FF"/>
    <w:rsid w:val="00DF6158"/>
    <w:rsid w:val="00DF6FE8"/>
    <w:rsid w:val="00E04818"/>
    <w:rsid w:val="00E0502D"/>
    <w:rsid w:val="00E06442"/>
    <w:rsid w:val="00E10BF4"/>
    <w:rsid w:val="00E1358F"/>
    <w:rsid w:val="00E20DD1"/>
    <w:rsid w:val="00E23993"/>
    <w:rsid w:val="00E25B8C"/>
    <w:rsid w:val="00E27BF7"/>
    <w:rsid w:val="00E36DC2"/>
    <w:rsid w:val="00E426EE"/>
    <w:rsid w:val="00E444C4"/>
    <w:rsid w:val="00E4674F"/>
    <w:rsid w:val="00E53F2F"/>
    <w:rsid w:val="00E6426C"/>
    <w:rsid w:val="00E65C85"/>
    <w:rsid w:val="00E66199"/>
    <w:rsid w:val="00E7033E"/>
    <w:rsid w:val="00E747EC"/>
    <w:rsid w:val="00E755EC"/>
    <w:rsid w:val="00E7624D"/>
    <w:rsid w:val="00E766EE"/>
    <w:rsid w:val="00E77AF0"/>
    <w:rsid w:val="00E81A2A"/>
    <w:rsid w:val="00E87D83"/>
    <w:rsid w:val="00E91FE0"/>
    <w:rsid w:val="00E97A3E"/>
    <w:rsid w:val="00EA3D42"/>
    <w:rsid w:val="00EA6B1B"/>
    <w:rsid w:val="00EB1465"/>
    <w:rsid w:val="00EC754B"/>
    <w:rsid w:val="00ED46F2"/>
    <w:rsid w:val="00EE24AB"/>
    <w:rsid w:val="00EE28F3"/>
    <w:rsid w:val="00EE620E"/>
    <w:rsid w:val="00EF5110"/>
    <w:rsid w:val="00F07661"/>
    <w:rsid w:val="00F15882"/>
    <w:rsid w:val="00F20BD3"/>
    <w:rsid w:val="00F24562"/>
    <w:rsid w:val="00F26F71"/>
    <w:rsid w:val="00F27715"/>
    <w:rsid w:val="00F32C0D"/>
    <w:rsid w:val="00F3706C"/>
    <w:rsid w:val="00F373A5"/>
    <w:rsid w:val="00F41785"/>
    <w:rsid w:val="00F461D6"/>
    <w:rsid w:val="00F47559"/>
    <w:rsid w:val="00F5752F"/>
    <w:rsid w:val="00F60BE4"/>
    <w:rsid w:val="00F61B84"/>
    <w:rsid w:val="00F63E15"/>
    <w:rsid w:val="00F64C7B"/>
    <w:rsid w:val="00F676DD"/>
    <w:rsid w:val="00F75A26"/>
    <w:rsid w:val="00F76FA1"/>
    <w:rsid w:val="00F778EE"/>
    <w:rsid w:val="00F83FAD"/>
    <w:rsid w:val="00F904CD"/>
    <w:rsid w:val="00F91102"/>
    <w:rsid w:val="00F91DC6"/>
    <w:rsid w:val="00F952A0"/>
    <w:rsid w:val="00F960D1"/>
    <w:rsid w:val="00FA0D2F"/>
    <w:rsid w:val="00FA0D56"/>
    <w:rsid w:val="00FA3C7F"/>
    <w:rsid w:val="00FA42AD"/>
    <w:rsid w:val="00FA45FE"/>
    <w:rsid w:val="00FA64A4"/>
    <w:rsid w:val="00FA6F20"/>
    <w:rsid w:val="00FB27DA"/>
    <w:rsid w:val="00FB52D7"/>
    <w:rsid w:val="00FB74E2"/>
    <w:rsid w:val="00FC2348"/>
    <w:rsid w:val="00FC590E"/>
    <w:rsid w:val="00FD5614"/>
    <w:rsid w:val="00FD565B"/>
    <w:rsid w:val="00FE0BE1"/>
    <w:rsid w:val="00FE1DE9"/>
    <w:rsid w:val="00FE39C2"/>
    <w:rsid w:val="00FE64AE"/>
    <w:rsid w:val="00FF4C08"/>
    <w:rsid w:val="00FF4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C622"/>
  <w15:docId w15:val="{EEB9386D-C98D-4167-9D4E-AD757D45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styleId="CommentText">
    <w:name w:val="annotation text"/>
    <w:basedOn w:val="Normal"/>
    <w:link w:val="CommentTextChar"/>
    <w:uiPriority w:val="99"/>
    <w:unhideWhenUsed/>
    <w:rsid w:val="001B4A7B"/>
    <w:pPr>
      <w:spacing w:before="0"/>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1B4A7B"/>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1B4A7B"/>
    <w:rPr>
      <w:sz w:val="16"/>
      <w:szCs w:val="16"/>
    </w:rPr>
  </w:style>
  <w:style w:type="paragraph" w:customStyle="1" w:styleId="R2">
    <w:name w:val="R2"/>
    <w:aliases w:val="(2)"/>
    <w:basedOn w:val="Normal"/>
    <w:rsid w:val="00CC3175"/>
    <w:pPr>
      <w:tabs>
        <w:tab w:val="right" w:pos="794"/>
      </w:tabs>
      <w:spacing w:before="180" w:line="260" w:lineRule="exact"/>
      <w:ind w:left="964" w:hanging="964"/>
      <w:jc w:val="both"/>
    </w:pPr>
    <w:rPr>
      <w:rFonts w:ascii="Times New Roman" w:eastAsia="Times New Roman" w:hAnsi="Times New Roman" w:cs="Times New Roman"/>
      <w:sz w:val="24"/>
      <w:szCs w:val="24"/>
    </w:rPr>
  </w:style>
  <w:style w:type="paragraph" w:customStyle="1" w:styleId="HSR">
    <w:name w:val="HSR"/>
    <w:aliases w:val="Subregulation Heading"/>
    <w:basedOn w:val="Normal"/>
    <w:next w:val="R2"/>
    <w:rsid w:val="00CC3175"/>
    <w:pPr>
      <w:keepNext/>
      <w:spacing w:before="300"/>
      <w:ind w:left="964"/>
    </w:pPr>
    <w:rPr>
      <w:rFonts w:eastAsia="Times New Roman" w:cs="Times New Roman"/>
      <w:i/>
      <w:sz w:val="24"/>
      <w:szCs w:val="24"/>
    </w:rPr>
  </w:style>
  <w:style w:type="paragraph" w:customStyle="1" w:styleId="P1">
    <w:name w:val="P1"/>
    <w:aliases w:val="(a)"/>
    <w:basedOn w:val="Normal"/>
    <w:rsid w:val="00CC3175"/>
    <w:pPr>
      <w:tabs>
        <w:tab w:val="right" w:pos="1191"/>
      </w:tabs>
      <w:spacing w:before="60" w:line="260" w:lineRule="exact"/>
      <w:ind w:left="1418" w:hanging="1418"/>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4102"/>
    <w:pPr>
      <w:spacing w:before="200"/>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634102"/>
    <w:rPr>
      <w:rFonts w:ascii="Arial" w:eastAsia="Times New Roman" w:hAnsi="Arial" w:cs="Times New Roman"/>
      <w:b/>
      <w:bCs/>
      <w:sz w:val="20"/>
      <w:szCs w:val="20"/>
      <w:lang w:eastAsia="en-AU"/>
    </w:rPr>
  </w:style>
  <w:style w:type="paragraph" w:customStyle="1" w:styleId="Definition">
    <w:name w:val="Definition"/>
    <w:aliases w:val="dd"/>
    <w:basedOn w:val="Normal"/>
    <w:rsid w:val="00567DB7"/>
    <w:pPr>
      <w:spacing w:before="180"/>
      <w:ind w:left="1134"/>
    </w:pPr>
    <w:rPr>
      <w:rFonts w:ascii="Times New Roman" w:eastAsia="Times New Roman" w:hAnsi="Times New Roman" w:cs="Times New Roman"/>
      <w:szCs w:val="20"/>
      <w:lang w:eastAsia="en-AU"/>
    </w:rPr>
  </w:style>
  <w:style w:type="character" w:customStyle="1" w:styleId="legsubtitle1">
    <w:name w:val="legsubtitle1"/>
    <w:basedOn w:val="DefaultParagraphFont"/>
    <w:rsid w:val="000F7A89"/>
    <w:rPr>
      <w:b/>
      <w:bCs/>
    </w:rPr>
  </w:style>
  <w:style w:type="paragraph" w:customStyle="1" w:styleId="Default">
    <w:name w:val="Default"/>
    <w:rsid w:val="00D666D8"/>
    <w:pPr>
      <w:autoSpaceDE w:val="0"/>
      <w:autoSpaceDN w:val="0"/>
      <w:adjustRightInd w:val="0"/>
      <w:spacing w:before="0"/>
    </w:pPr>
    <w:rPr>
      <w:rFonts w:ascii="Lucida Fax" w:hAnsi="Lucida Fax" w:cs="Lucida Fax"/>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7711">
      <w:bodyDiv w:val="1"/>
      <w:marLeft w:val="0"/>
      <w:marRight w:val="0"/>
      <w:marTop w:val="0"/>
      <w:marBottom w:val="0"/>
      <w:divBdr>
        <w:top w:val="none" w:sz="0" w:space="0" w:color="auto"/>
        <w:left w:val="none" w:sz="0" w:space="0" w:color="auto"/>
        <w:bottom w:val="none" w:sz="0" w:space="0" w:color="auto"/>
        <w:right w:val="none" w:sz="0" w:space="0" w:color="auto"/>
      </w:divBdr>
    </w:div>
    <w:div w:id="487207939">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228998188">
      <w:bodyDiv w:val="1"/>
      <w:marLeft w:val="0"/>
      <w:marRight w:val="0"/>
      <w:marTop w:val="0"/>
      <w:marBottom w:val="0"/>
      <w:divBdr>
        <w:top w:val="none" w:sz="0" w:space="0" w:color="auto"/>
        <w:left w:val="none" w:sz="0" w:space="0" w:color="auto"/>
        <w:bottom w:val="none" w:sz="0" w:space="0" w:color="auto"/>
        <w:right w:val="none" w:sz="0" w:space="0" w:color="auto"/>
      </w:divBdr>
      <w:divsChild>
        <w:div w:id="1436636625">
          <w:marLeft w:val="0"/>
          <w:marRight w:val="0"/>
          <w:marTop w:val="0"/>
          <w:marBottom w:val="0"/>
          <w:divBdr>
            <w:top w:val="none" w:sz="0" w:space="0" w:color="auto"/>
            <w:left w:val="none" w:sz="0" w:space="0" w:color="auto"/>
            <w:bottom w:val="none" w:sz="0" w:space="0" w:color="auto"/>
            <w:right w:val="none" w:sz="0" w:space="0" w:color="auto"/>
          </w:divBdr>
          <w:divsChild>
            <w:div w:id="418333503">
              <w:marLeft w:val="0"/>
              <w:marRight w:val="0"/>
              <w:marTop w:val="0"/>
              <w:marBottom w:val="0"/>
              <w:divBdr>
                <w:top w:val="none" w:sz="0" w:space="0" w:color="auto"/>
                <w:left w:val="none" w:sz="0" w:space="0" w:color="auto"/>
                <w:bottom w:val="none" w:sz="0" w:space="0" w:color="auto"/>
                <w:right w:val="none" w:sz="0" w:space="0" w:color="auto"/>
              </w:divBdr>
              <w:divsChild>
                <w:div w:id="779836960">
                  <w:marLeft w:val="0"/>
                  <w:marRight w:val="0"/>
                  <w:marTop w:val="0"/>
                  <w:marBottom w:val="0"/>
                  <w:divBdr>
                    <w:top w:val="none" w:sz="0" w:space="0" w:color="auto"/>
                    <w:left w:val="none" w:sz="0" w:space="0" w:color="auto"/>
                    <w:bottom w:val="none" w:sz="0" w:space="0" w:color="auto"/>
                    <w:right w:val="none" w:sz="0" w:space="0" w:color="auto"/>
                  </w:divBdr>
                  <w:divsChild>
                    <w:div w:id="1120685753">
                      <w:marLeft w:val="0"/>
                      <w:marRight w:val="0"/>
                      <w:marTop w:val="0"/>
                      <w:marBottom w:val="0"/>
                      <w:divBdr>
                        <w:top w:val="none" w:sz="0" w:space="0" w:color="auto"/>
                        <w:left w:val="none" w:sz="0" w:space="0" w:color="auto"/>
                        <w:bottom w:val="none" w:sz="0" w:space="0" w:color="auto"/>
                        <w:right w:val="none" w:sz="0" w:space="0" w:color="auto"/>
                      </w:divBdr>
                      <w:divsChild>
                        <w:div w:id="494301247">
                          <w:marLeft w:val="0"/>
                          <w:marRight w:val="0"/>
                          <w:marTop w:val="0"/>
                          <w:marBottom w:val="0"/>
                          <w:divBdr>
                            <w:top w:val="none" w:sz="0" w:space="0" w:color="auto"/>
                            <w:left w:val="none" w:sz="0" w:space="0" w:color="auto"/>
                            <w:bottom w:val="none" w:sz="0" w:space="0" w:color="auto"/>
                            <w:right w:val="none" w:sz="0" w:space="0" w:color="auto"/>
                          </w:divBdr>
                          <w:divsChild>
                            <w:div w:id="1390615818">
                              <w:marLeft w:val="0"/>
                              <w:marRight w:val="0"/>
                              <w:marTop w:val="0"/>
                              <w:marBottom w:val="0"/>
                              <w:divBdr>
                                <w:top w:val="none" w:sz="0" w:space="0" w:color="auto"/>
                                <w:left w:val="none" w:sz="0" w:space="0" w:color="auto"/>
                                <w:bottom w:val="none" w:sz="0" w:space="0" w:color="auto"/>
                                <w:right w:val="none" w:sz="0" w:space="0" w:color="auto"/>
                              </w:divBdr>
                              <w:divsChild>
                                <w:div w:id="1693847802">
                                  <w:marLeft w:val="-225"/>
                                  <w:marRight w:val="-225"/>
                                  <w:marTop w:val="0"/>
                                  <w:marBottom w:val="0"/>
                                  <w:divBdr>
                                    <w:top w:val="none" w:sz="0" w:space="0" w:color="auto"/>
                                    <w:left w:val="none" w:sz="0" w:space="0" w:color="auto"/>
                                    <w:bottom w:val="none" w:sz="0" w:space="0" w:color="auto"/>
                                    <w:right w:val="none" w:sz="0" w:space="0" w:color="auto"/>
                                  </w:divBdr>
                                  <w:divsChild>
                                    <w:div w:id="1679115882">
                                      <w:marLeft w:val="0"/>
                                      <w:marRight w:val="0"/>
                                      <w:marTop w:val="0"/>
                                      <w:marBottom w:val="0"/>
                                      <w:divBdr>
                                        <w:top w:val="none" w:sz="0" w:space="0" w:color="auto"/>
                                        <w:left w:val="none" w:sz="0" w:space="0" w:color="auto"/>
                                        <w:bottom w:val="none" w:sz="0" w:space="0" w:color="auto"/>
                                        <w:right w:val="none" w:sz="0" w:space="0" w:color="auto"/>
                                      </w:divBdr>
                                      <w:divsChild>
                                        <w:div w:id="745230508">
                                          <w:marLeft w:val="0"/>
                                          <w:marRight w:val="0"/>
                                          <w:marTop w:val="0"/>
                                          <w:marBottom w:val="0"/>
                                          <w:divBdr>
                                            <w:top w:val="none" w:sz="0" w:space="0" w:color="auto"/>
                                            <w:left w:val="none" w:sz="0" w:space="0" w:color="auto"/>
                                            <w:bottom w:val="none" w:sz="0" w:space="0" w:color="auto"/>
                                            <w:right w:val="none" w:sz="0" w:space="0" w:color="auto"/>
                                          </w:divBdr>
                                          <w:divsChild>
                                            <w:div w:id="17235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so.org" TargetMode="External"/><Relationship Id="rId4" Type="http://schemas.openxmlformats.org/officeDocument/2006/relationships/styles" Target="styles.xml"/><Relationship Id="rId9" Type="http://schemas.openxmlformats.org/officeDocument/2006/relationships/hyperlink" Target="https://www.saigloba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2A85F4-198A-4904-B927-92EB2308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Charlotte Marshall</dc:creator>
  <cp:lastModifiedBy>Moss, William</cp:lastModifiedBy>
  <cp:revision>2</cp:revision>
  <cp:lastPrinted>2020-01-07T23:19:00Z</cp:lastPrinted>
  <dcterms:created xsi:type="dcterms:W3CDTF">2020-08-27T02:22:00Z</dcterms:created>
  <dcterms:modified xsi:type="dcterms:W3CDTF">2020-08-27T02:22:00Z</dcterms:modified>
</cp:coreProperties>
</file>