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DC" w:rsidRDefault="00766A6D">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737308" w:rsidP="00653242">
      <w:pPr>
        <w:jc w:val="center"/>
        <w:rPr>
          <w:rFonts w:ascii="Times New Roman" w:hAnsi="Times New Roman"/>
          <w:b/>
          <w:sz w:val="26"/>
          <w:szCs w:val="26"/>
        </w:rPr>
      </w:pPr>
      <w:r>
        <w:rPr>
          <w:rFonts w:ascii="Times New Roman" w:hAnsi="Times New Roman"/>
          <w:b/>
          <w:sz w:val="26"/>
          <w:szCs w:val="26"/>
        </w:rPr>
        <w:t>PURE RED CELL APLASIA</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572787">
        <w:rPr>
          <w:rFonts w:ascii="Times New Roman" w:hAnsi="Times New Roman"/>
          <w:b/>
          <w:sz w:val="26"/>
          <w:szCs w:val="26"/>
        </w:rPr>
        <w:t>60</w:t>
      </w:r>
      <w:r w:rsidR="00D65A2E" w:rsidRPr="00E01902">
        <w:rPr>
          <w:rFonts w:ascii="Times New Roman" w:hAnsi="Times New Roman"/>
          <w:b/>
          <w:sz w:val="26"/>
          <w:szCs w:val="26"/>
        </w:rPr>
        <w:t xml:space="preserve"> OF </w:t>
      </w:r>
      <w:r w:rsidR="00737308">
        <w:rPr>
          <w:rFonts w:ascii="Times New Roman" w:hAnsi="Times New Roman"/>
          <w:b/>
          <w:sz w:val="26"/>
          <w:szCs w:val="26"/>
        </w:rPr>
        <w:t>2020</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737308">
        <w:rPr>
          <w:b/>
          <w:i/>
        </w:rPr>
        <w:t>pure red cell aplasia</w:t>
      </w:r>
      <w:r w:rsidRPr="00E33939">
        <w:t xml:space="preserve"> </w:t>
      </w:r>
      <w:r w:rsidRPr="00E33939">
        <w:rPr>
          <w:i/>
        </w:rPr>
        <w:t>(Reasonable Hypothesis)</w:t>
      </w:r>
      <w:r w:rsidRPr="00E33939">
        <w:t xml:space="preserve"> (No. </w:t>
      </w:r>
      <w:r w:rsidR="00572787">
        <w:t>60</w:t>
      </w:r>
      <w:r w:rsidRPr="00E33939">
        <w:t xml:space="preserve"> of </w:t>
      </w:r>
      <w:r w:rsidR="00737308">
        <w:t>2020</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7517EA" w:rsidRDefault="007517EA">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repeals Instrument </w:t>
      </w:r>
      <w:r w:rsidRPr="00DA3996">
        <w:t xml:space="preserve">No. </w:t>
      </w:r>
      <w:r>
        <w:t>50</w:t>
      </w:r>
      <w:r w:rsidRPr="00DA3996">
        <w:t xml:space="preserve"> of</w:t>
      </w:r>
      <w:r>
        <w:t xml:space="preserve"> 2012 </w:t>
      </w:r>
      <w:r w:rsidRPr="00786DAE">
        <w:t xml:space="preserve">(Federal Register of Legislation No. </w:t>
      </w:r>
      <w:r w:rsidRPr="00B55746">
        <w:t>F2012L01791</w:t>
      </w:r>
      <w:r w:rsidRPr="00786DAE">
        <w:t>)</w:t>
      </w:r>
      <w:r>
        <w:t xml:space="preserve"> determined under subsections 196B(2) </w:t>
      </w:r>
      <w:r w:rsidRPr="00B55746">
        <w:t>and (8)</w:t>
      </w:r>
      <w:r>
        <w:rPr>
          <w:b/>
        </w:rPr>
        <w:t xml:space="preserve"> </w:t>
      </w:r>
      <w:r>
        <w:t xml:space="preserve">of the VEA concerning </w:t>
      </w:r>
      <w:r>
        <w:rPr>
          <w:b/>
        </w:rPr>
        <w:t>aplastic anaemia</w:t>
      </w:r>
      <w:r w:rsidR="006F695F">
        <w:t xml:space="preserve">, insofar as it contained factors concerning </w:t>
      </w:r>
      <w:r w:rsidR="006F695F">
        <w:rPr>
          <w:b/>
        </w:rPr>
        <w:t>pure red cell aplasia</w:t>
      </w:r>
      <w:r>
        <w:t>.</w:t>
      </w:r>
    </w:p>
    <w:p w:rsidR="00B829DC" w:rsidRDefault="00766A6D">
      <w:pPr>
        <w:pStyle w:val="BodyText"/>
        <w:numPr>
          <w:ilvl w:val="0"/>
          <w:numId w:val="24"/>
        </w:numPr>
        <w:tabs>
          <w:tab w:val="clear" w:pos="360"/>
          <w:tab w:val="num" w:pos="567"/>
        </w:tabs>
        <w:spacing w:after="120"/>
        <w:ind w:left="567" w:hanging="567"/>
      </w:pPr>
      <w:r>
        <w:t xml:space="preserve">The </w:t>
      </w:r>
      <w:r w:rsidR="006F695F">
        <w:t>Authority</w:t>
      </w:r>
      <w:bookmarkStart w:id="0" w:name="_GoBack"/>
      <w:bookmarkEnd w:id="0"/>
      <w:r>
        <w:t xml:space="preserve"> has determined, under subsection 196B(2) of the </w:t>
      </w:r>
      <w:r>
        <w:rPr>
          <w:i/>
        </w:rPr>
        <w:t>Veterans</w:t>
      </w:r>
      <w:r w:rsidR="00F90D08">
        <w:rPr>
          <w:i/>
        </w:rPr>
        <w:t>'</w:t>
      </w:r>
      <w:r>
        <w:rPr>
          <w:i/>
        </w:rPr>
        <w:t xml:space="preserve"> Entitlements Act 1986</w:t>
      </w:r>
      <w:r>
        <w:t xml:space="preserve"> (the VEA), Statement of Principles </w:t>
      </w:r>
      <w:r w:rsidR="005D1363">
        <w:t xml:space="preserve">concerning </w:t>
      </w:r>
      <w:r w:rsidR="00737308">
        <w:rPr>
          <w:b/>
        </w:rPr>
        <w:t>pure red cell aplasia</w:t>
      </w:r>
      <w:r w:rsidR="00074304">
        <w:rPr>
          <w:b/>
        </w:rPr>
        <w:t xml:space="preserve"> </w:t>
      </w:r>
      <w:r w:rsidR="00074304">
        <w:t xml:space="preserve">(Reasonable Hypothesis) </w:t>
      </w:r>
      <w:r w:rsidR="005D1363">
        <w:t>(</w:t>
      </w:r>
      <w:r>
        <w:t xml:space="preserve">No. </w:t>
      </w:r>
      <w:r w:rsidR="00572787">
        <w:t>60</w:t>
      </w:r>
      <w:r>
        <w:t xml:space="preserve"> of </w:t>
      </w:r>
      <w:r w:rsidR="00737308">
        <w:t>2020</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37308">
        <w:rPr>
          <w:b/>
        </w:rPr>
        <w:t>pure red cell aplasia</w:t>
      </w:r>
      <w:r>
        <w:t xml:space="preserve"> and</w:t>
      </w:r>
      <w:r>
        <w:rPr>
          <w:b/>
        </w:rPr>
        <w:t xml:space="preserve"> death from </w:t>
      </w:r>
      <w:r w:rsidR="00737308">
        <w:rPr>
          <w:b/>
        </w:rPr>
        <w:t>pure red cell aplasia</w:t>
      </w:r>
      <w:r>
        <w:t xml:space="preserve"> can be related to particular kinds of service.  The Authority has therefore determined this Statement of Principles concerning </w:t>
      </w:r>
      <w:r w:rsidR="00737308">
        <w:t>pure red cell aplasia</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737308">
        <w:t>pure red cell aplasia</w:t>
      </w:r>
      <w:r>
        <w:t xml:space="preserve"> or death from </w:t>
      </w:r>
      <w:r w:rsidR="00DE74BC">
        <w:t>pure red cell aplasia</w:t>
      </w:r>
      <w:r>
        <w:t>, with the circumstances of that service.</w:t>
      </w:r>
      <w:r w:rsidR="00175D3D">
        <w:t xml:space="preserve">  </w:t>
      </w:r>
      <w:r w:rsidR="00175D3D">
        <w:lastRenderedPageBreak/>
        <w:t>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DE74BC">
        <w:rPr>
          <w:b/>
        </w:rPr>
        <w:t>pure red cell aplasia</w:t>
      </w:r>
      <w:r>
        <w:t xml:space="preserve"> or </w:t>
      </w:r>
      <w:r>
        <w:rPr>
          <w:b/>
        </w:rPr>
        <w:t xml:space="preserve">death from </w:t>
      </w:r>
      <w:r w:rsidR="00DE74BC">
        <w:rPr>
          <w:b/>
        </w:rPr>
        <w:t>pure red cell aplasia</w:t>
      </w:r>
      <w:r>
        <w:t xml:space="preserve"> that was lodged on or after 1 June 1994 in the case of the VEA, or 1 July 2004 in the case of the MRCA respectively, unless this Statement of Principles upholds that claim (subsection 120A(3) of the VEA or subsection 338(3) of the MRCA).</w:t>
      </w:r>
    </w:p>
    <w:p w:rsidR="00B829DC" w:rsidRDefault="00766A6D" w:rsidP="00684872">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C308E3">
        <w:t>29 October 2019</w:t>
      </w:r>
      <w:r>
        <w:t xml:space="preserve"> concerning </w:t>
      </w:r>
      <w:r w:rsidR="00C308E3">
        <w:t>aplastic anaemia</w:t>
      </w:r>
      <w:r>
        <w:t xml:space="preserve"> in accordance with section 196G of the VEA.  The investigation involved an examination of the sound medical-scientific evidence available to the Authority.</w:t>
      </w:r>
      <w:r w:rsidR="00864623">
        <w:t xml:space="preserve"> </w:t>
      </w:r>
      <w:r w:rsidR="00864623" w:rsidRPr="00684872">
        <w:t>On consideration of the sound medical-scientific evidence the Authority decided to determine separate Statements of Principles for aplastic anaemia and pure red cell aplasia. The available evidence for pure red cell aplasia supports a number of risk factors being causally associated with the clinical onset and worsening of this disease.</w:t>
      </w:r>
      <w:r w:rsidR="00684872">
        <w:t xml:space="preserve"> </w:t>
      </w:r>
      <w:r w:rsidR="00684872" w:rsidRPr="00684872">
        <w:t>The evidence also indicates that red cell aplasia is a separate disease from aplastic anaemia, with a different pathogenesis in the bone marrow.</w:t>
      </w:r>
      <w:r w:rsidR="00864623">
        <w:t xml:space="preserve"> </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80B7A">
        <w:t>aplastic anaemia</w:t>
      </w:r>
      <w:r>
        <w:t xml:space="preserve"> in the Government Notices Gazette of </w:t>
      </w:r>
      <w:r w:rsidR="00280B7A">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Pr="00280B7A">
        <w:t>No submissions</w:t>
      </w:r>
      <w:r>
        <w:t xml:space="preserve"> were received for consideration by the Authority </w:t>
      </w:r>
      <w:r w:rsidR="00CC30B1">
        <w:t>in relation to</w:t>
      </w:r>
      <w:r>
        <w:t xml:space="preserve">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280B7A">
        <w:t>aplastic anaemia</w:t>
      </w:r>
      <w:r>
        <w:t xml:space="preserve"> as advertised in the Government Notices Gazette of </w:t>
      </w:r>
      <w:r w:rsidR="00280B7A">
        <w:t>29 October 2019</w:t>
      </w:r>
      <w:r>
        <w:t>.</w:t>
      </w:r>
    </w:p>
    <w:p w:rsidR="008307BB" w:rsidRDefault="008307BB" w:rsidP="008307BB">
      <w:pPr>
        <w:pStyle w:val="BodyText"/>
        <w:spacing w:after="120"/>
        <w:ind w:left="567"/>
      </w:pPr>
      <w:r w:rsidRPr="00F430E8">
        <w:rPr>
          <w:b/>
        </w:rPr>
        <w:t>References</w:t>
      </w:r>
    </w:p>
    <w:p w:rsidR="0087497F" w:rsidRPr="00CD08DB" w:rsidRDefault="0087497F" w:rsidP="0087497F">
      <w:pPr>
        <w:pStyle w:val="BodyText"/>
        <w:numPr>
          <w:ilvl w:val="0"/>
          <w:numId w:val="24"/>
        </w:numPr>
        <w:tabs>
          <w:tab w:val="clear" w:pos="360"/>
          <w:tab w:val="num" w:pos="567"/>
        </w:tabs>
        <w:spacing w:after="120"/>
        <w:ind w:left="567" w:hanging="567"/>
        <w:rPr>
          <w:lang w:val="en-AU"/>
        </w:rPr>
      </w:pPr>
      <w:r>
        <w:t xml:space="preserve">A list of references relating to the above condition is available on the Authority’s website at: </w:t>
      </w:r>
      <w:hyperlink r:id="rId8" w:history="1">
        <w:r>
          <w:rPr>
            <w:rStyle w:val="Hyperlink"/>
          </w:rPr>
          <w:t>www.rma.gov.au</w:t>
        </w:r>
      </w:hyperlink>
      <w:r>
        <w:rPr>
          <w:lang w:val="en-AU"/>
        </w:rPr>
        <w:t xml:space="preserve">. </w:t>
      </w:r>
      <w:r>
        <w:t>Any other document referred to in this Statement of Principles is available on request to the Repatriation Medical Authority at the following address:</w:t>
      </w:r>
    </w:p>
    <w:p w:rsidR="0087497F" w:rsidRDefault="0087497F" w:rsidP="0087497F">
      <w:pPr>
        <w:pStyle w:val="BodyText"/>
        <w:ind w:left="567"/>
      </w:pPr>
      <w:r>
        <w:t>              </w:t>
      </w:r>
    </w:p>
    <w:p w:rsidR="0087497F" w:rsidRDefault="0087497F" w:rsidP="0087497F">
      <w:pPr>
        <w:pStyle w:val="BodyText"/>
        <w:ind w:left="284" w:firstLine="142"/>
      </w:pPr>
      <w:r>
        <w:t xml:space="preserve">  Email:    </w:t>
      </w:r>
      <w:hyperlink r:id="rId9" w:history="1">
        <w:r>
          <w:rPr>
            <w:rStyle w:val="Hyperlink"/>
          </w:rPr>
          <w:t>info@rma.gov.au</w:t>
        </w:r>
      </w:hyperlink>
    </w:p>
    <w:p w:rsidR="0087497F" w:rsidRDefault="0087497F" w:rsidP="0087497F">
      <w:pPr>
        <w:pStyle w:val="BodyText"/>
        <w:ind w:left="425"/>
      </w:pPr>
      <w:r>
        <w:t>  Post:      The Registrar</w:t>
      </w:r>
    </w:p>
    <w:p w:rsidR="0087497F" w:rsidRDefault="0087497F" w:rsidP="0087497F">
      <w:pPr>
        <w:pStyle w:val="BodyText"/>
        <w:ind w:left="1418"/>
      </w:pPr>
      <w:r>
        <w:lastRenderedPageBreak/>
        <w:t xml:space="preserve">Repatriation Medical Authority </w:t>
      </w:r>
    </w:p>
    <w:p w:rsidR="0087497F" w:rsidRDefault="0087497F" w:rsidP="0087497F">
      <w:pPr>
        <w:pStyle w:val="BodyText"/>
        <w:ind w:left="1418"/>
      </w:pPr>
      <w:r>
        <w:t>GPO Box 1014</w:t>
      </w:r>
    </w:p>
    <w:p w:rsidR="00B829DC" w:rsidRDefault="0087497F" w:rsidP="0087497F">
      <w:pPr>
        <w:pStyle w:val="BodyText"/>
        <w:ind w:left="698" w:firstLine="72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72787">
        <w:rPr>
          <w:rFonts w:ascii="Times New Roman" w:hAnsi="Times New Roman"/>
          <w:b/>
          <w:szCs w:val="24"/>
        </w:rPr>
        <w:t>60</w:t>
      </w:r>
      <w:r>
        <w:rPr>
          <w:rFonts w:ascii="Times New Roman" w:hAnsi="Times New Roman"/>
          <w:b/>
          <w:szCs w:val="24"/>
        </w:rPr>
        <w:t xml:space="preserve"> of </w:t>
      </w:r>
      <w:r w:rsidR="00864623">
        <w:rPr>
          <w:rFonts w:ascii="Times New Roman" w:hAnsi="Times New Roman"/>
          <w:b/>
          <w:szCs w:val="24"/>
        </w:rPr>
        <w:t>2020</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64623">
        <w:rPr>
          <w:rFonts w:ascii="Times New Roman" w:hAnsi="Times New Roman"/>
          <w:b/>
          <w:szCs w:val="24"/>
        </w:rPr>
        <w:t>Pure red cell aplasia</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A28A1">
        <w:rPr>
          <w:rFonts w:ascii="Times New Roman" w:hAnsi="Times New Roman"/>
          <w:szCs w:val="24"/>
        </w:rPr>
        <w:t>pure red cell aplasia</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A28A1">
        <w:rPr>
          <w:rFonts w:ascii="Times New Roman" w:hAnsi="Times New Roman"/>
          <w:szCs w:val="24"/>
        </w:rPr>
        <w:t>pure red cell aplasia</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rsidP="00383797">
      <w:pPr>
        <w:keepLines/>
        <w:numPr>
          <w:ilvl w:val="0"/>
          <w:numId w:val="4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F695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F695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6D"/>
    <w:rsid w:val="00043B7E"/>
    <w:rsid w:val="00060AFC"/>
    <w:rsid w:val="00074304"/>
    <w:rsid w:val="00175D3D"/>
    <w:rsid w:val="00280B7A"/>
    <w:rsid w:val="00293135"/>
    <w:rsid w:val="00346AA4"/>
    <w:rsid w:val="00383797"/>
    <w:rsid w:val="00483948"/>
    <w:rsid w:val="005348D7"/>
    <w:rsid w:val="00572787"/>
    <w:rsid w:val="005D1363"/>
    <w:rsid w:val="00653242"/>
    <w:rsid w:val="00684872"/>
    <w:rsid w:val="006F695F"/>
    <w:rsid w:val="007160B0"/>
    <w:rsid w:val="00720143"/>
    <w:rsid w:val="00737308"/>
    <w:rsid w:val="007517EA"/>
    <w:rsid w:val="00766A6D"/>
    <w:rsid w:val="008307BB"/>
    <w:rsid w:val="00864623"/>
    <w:rsid w:val="0087497F"/>
    <w:rsid w:val="008A1571"/>
    <w:rsid w:val="009E1E59"/>
    <w:rsid w:val="00AB4560"/>
    <w:rsid w:val="00B829DC"/>
    <w:rsid w:val="00C308E3"/>
    <w:rsid w:val="00C845B5"/>
    <w:rsid w:val="00CC30B1"/>
    <w:rsid w:val="00D65A2E"/>
    <w:rsid w:val="00DE74BC"/>
    <w:rsid w:val="00E01902"/>
    <w:rsid w:val="00E33939"/>
    <w:rsid w:val="00EB448D"/>
    <w:rsid w:val="00F90D08"/>
    <w:rsid w:val="00FA2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17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customStyle="1" w:styleId="BodyTextChar">
    <w:name w:val="Body Text Char"/>
    <w:basedOn w:val="DefaultParagraphFont"/>
    <w:link w:val="BodyText"/>
    <w:rsid w:val="0087497F"/>
    <w:rPr>
      <w:rFonts w:ascii="Times New Roman" w:hAnsi="Times New Roman"/>
      <w:sz w:val="24"/>
      <w:lang w:val="en-GB"/>
    </w:rPr>
  </w:style>
  <w:style w:type="character" w:styleId="Hyperlink">
    <w:name w:val="Hyperlink"/>
    <w:basedOn w:val="DefaultParagraphFont"/>
    <w:unhideWhenUsed/>
    <w:rsid w:val="008749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2020-08-26T05:32:00Z</dcterms:modified>
</cp:coreProperties>
</file>