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8831E" w14:textId="77777777" w:rsidR="00302262" w:rsidRPr="00CB5A57" w:rsidRDefault="00591342" w:rsidP="00FA0A85">
      <w:pPr>
        <w:keepLines w:val="0"/>
        <w:jc w:val="center"/>
        <w:rPr>
          <w:b/>
          <w:sz w:val="22"/>
          <w:szCs w:val="22"/>
        </w:rPr>
      </w:pPr>
      <w:r w:rsidRPr="00CB5A57">
        <w:rPr>
          <w:b/>
          <w:sz w:val="22"/>
          <w:szCs w:val="22"/>
        </w:rPr>
        <w:t>E</w:t>
      </w:r>
      <w:r w:rsidR="00302262" w:rsidRPr="00CB5A57">
        <w:rPr>
          <w:b/>
          <w:sz w:val="22"/>
          <w:szCs w:val="22"/>
        </w:rPr>
        <w:t>XPLANATORY STATEMENT</w:t>
      </w:r>
    </w:p>
    <w:p w14:paraId="099AEDF1" w14:textId="77777777" w:rsidR="00302262" w:rsidRPr="00CB5A57" w:rsidRDefault="00302262" w:rsidP="00702E76">
      <w:pPr>
        <w:keepLines w:val="0"/>
        <w:spacing w:before="240" w:after="0"/>
        <w:jc w:val="center"/>
        <w:rPr>
          <w:b/>
          <w:i/>
          <w:sz w:val="22"/>
          <w:szCs w:val="22"/>
        </w:rPr>
      </w:pPr>
      <w:r w:rsidRPr="00CB5A57">
        <w:rPr>
          <w:b/>
          <w:i/>
          <w:sz w:val="22"/>
          <w:szCs w:val="22"/>
        </w:rPr>
        <w:t>NATIONAL HEALTH ACT 1953</w:t>
      </w:r>
    </w:p>
    <w:p w14:paraId="17A6FA70" w14:textId="600973AE" w:rsidR="00302262" w:rsidRPr="00CB5A57" w:rsidRDefault="00302262" w:rsidP="00702E76">
      <w:pPr>
        <w:keepLines w:val="0"/>
        <w:spacing w:before="240"/>
        <w:jc w:val="center"/>
        <w:rPr>
          <w:b/>
          <w:i/>
          <w:sz w:val="22"/>
          <w:szCs w:val="22"/>
        </w:rPr>
      </w:pPr>
      <w:r w:rsidRPr="00CB5A57">
        <w:rPr>
          <w:b/>
          <w:i/>
          <w:sz w:val="22"/>
          <w:szCs w:val="22"/>
        </w:rPr>
        <w:t>NATIONAL HEALTH (</w:t>
      </w:r>
      <w:r w:rsidR="002E744A" w:rsidRPr="00CB5A57">
        <w:rPr>
          <w:b/>
          <w:i/>
          <w:sz w:val="22"/>
          <w:szCs w:val="22"/>
        </w:rPr>
        <w:t>HIGHLY SPECIALISED DRUGS P</w:t>
      </w:r>
      <w:r w:rsidR="0052565C" w:rsidRPr="00CB5A57">
        <w:rPr>
          <w:b/>
          <w:i/>
          <w:sz w:val="22"/>
          <w:szCs w:val="22"/>
        </w:rPr>
        <w:t>ROGRAM</w:t>
      </w:r>
      <w:r w:rsidRPr="00CB5A57">
        <w:rPr>
          <w:b/>
          <w:i/>
          <w:sz w:val="22"/>
          <w:szCs w:val="22"/>
        </w:rPr>
        <w:t>) SPECIAL</w:t>
      </w:r>
      <w:r w:rsidR="000167C2" w:rsidRPr="00CB5A57">
        <w:rPr>
          <w:b/>
          <w:i/>
          <w:sz w:val="22"/>
          <w:szCs w:val="22"/>
        </w:rPr>
        <w:t> </w:t>
      </w:r>
      <w:r w:rsidRPr="00CB5A57">
        <w:rPr>
          <w:b/>
          <w:i/>
          <w:sz w:val="22"/>
          <w:szCs w:val="22"/>
        </w:rPr>
        <w:t>ARRA</w:t>
      </w:r>
      <w:r w:rsidR="005E6D84" w:rsidRPr="00CB5A57">
        <w:rPr>
          <w:b/>
          <w:i/>
          <w:sz w:val="22"/>
          <w:szCs w:val="22"/>
        </w:rPr>
        <w:t>NGEMENT AMENDMENT INSTRUMENT 20</w:t>
      </w:r>
      <w:r w:rsidR="008F2270" w:rsidRPr="00CB5A57">
        <w:rPr>
          <w:b/>
          <w:i/>
          <w:sz w:val="22"/>
          <w:szCs w:val="22"/>
        </w:rPr>
        <w:t>20</w:t>
      </w:r>
      <w:r w:rsidRPr="00CB5A57">
        <w:rPr>
          <w:b/>
          <w:i/>
          <w:sz w:val="22"/>
          <w:szCs w:val="22"/>
        </w:rPr>
        <w:t xml:space="preserve"> </w:t>
      </w:r>
      <w:r w:rsidR="00A72540" w:rsidRPr="00CB5A57">
        <w:rPr>
          <w:b/>
          <w:i/>
          <w:sz w:val="22"/>
          <w:szCs w:val="22"/>
        </w:rPr>
        <w:t>(No. 7)</w:t>
      </w:r>
    </w:p>
    <w:p w14:paraId="7BE263E4" w14:textId="70BCC14C" w:rsidR="00302262" w:rsidRPr="00CB5A57" w:rsidRDefault="00A72540" w:rsidP="00702E76">
      <w:pPr>
        <w:keepLines w:val="0"/>
        <w:spacing w:before="120"/>
        <w:jc w:val="center"/>
        <w:rPr>
          <w:b/>
          <w:sz w:val="22"/>
          <w:szCs w:val="22"/>
        </w:rPr>
      </w:pPr>
      <w:r w:rsidRPr="00CB5A57">
        <w:rPr>
          <w:b/>
          <w:sz w:val="22"/>
          <w:szCs w:val="22"/>
        </w:rPr>
        <w:t xml:space="preserve">PB </w:t>
      </w:r>
      <w:r w:rsidR="00195966" w:rsidRPr="00CB5A57">
        <w:rPr>
          <w:b/>
          <w:sz w:val="22"/>
          <w:szCs w:val="22"/>
        </w:rPr>
        <w:t>82</w:t>
      </w:r>
      <w:r w:rsidR="0034264A" w:rsidRPr="00CB5A57">
        <w:rPr>
          <w:b/>
          <w:sz w:val="22"/>
          <w:szCs w:val="22"/>
        </w:rPr>
        <w:t xml:space="preserve"> </w:t>
      </w:r>
      <w:r w:rsidR="008F2270" w:rsidRPr="00CB5A57">
        <w:rPr>
          <w:b/>
          <w:sz w:val="22"/>
          <w:szCs w:val="22"/>
        </w:rPr>
        <w:t>of 2020</w:t>
      </w:r>
    </w:p>
    <w:p w14:paraId="371F0D6D" w14:textId="77777777" w:rsidR="004D4CAB" w:rsidRPr="00CB5A57" w:rsidRDefault="004D4CAB" w:rsidP="00702E76">
      <w:pPr>
        <w:keepLines w:val="0"/>
        <w:spacing w:before="120" w:after="0"/>
        <w:rPr>
          <w:sz w:val="22"/>
          <w:szCs w:val="22"/>
        </w:rPr>
      </w:pPr>
    </w:p>
    <w:p w14:paraId="3D52E225" w14:textId="77777777" w:rsidR="004D4CAB" w:rsidRPr="00CB5A57" w:rsidRDefault="004D4CAB" w:rsidP="00702E76">
      <w:pPr>
        <w:keepLines w:val="0"/>
        <w:spacing w:before="120" w:after="0"/>
        <w:rPr>
          <w:b/>
          <w:sz w:val="22"/>
          <w:szCs w:val="22"/>
        </w:rPr>
      </w:pPr>
      <w:r w:rsidRPr="00CB5A57">
        <w:rPr>
          <w:b/>
          <w:sz w:val="22"/>
          <w:szCs w:val="22"/>
        </w:rPr>
        <w:t>Authority</w:t>
      </w:r>
      <w:bookmarkStart w:id="0" w:name="_GoBack"/>
      <w:bookmarkEnd w:id="0"/>
    </w:p>
    <w:p w14:paraId="2FBA6D39" w14:textId="77777777" w:rsidR="003503AF" w:rsidRPr="00CB5A57" w:rsidRDefault="004D4CAB" w:rsidP="00702E76">
      <w:pPr>
        <w:keepLines w:val="0"/>
        <w:spacing w:before="120" w:after="0"/>
        <w:rPr>
          <w:sz w:val="22"/>
          <w:szCs w:val="22"/>
        </w:rPr>
      </w:pPr>
      <w:r w:rsidRPr="00CB5A57">
        <w:rPr>
          <w:sz w:val="22"/>
          <w:szCs w:val="22"/>
        </w:rPr>
        <w:t xml:space="preserve">Subsection 100(1) of the </w:t>
      </w:r>
      <w:r w:rsidRPr="00CB5A57">
        <w:rPr>
          <w:i/>
          <w:sz w:val="22"/>
          <w:szCs w:val="22"/>
        </w:rPr>
        <w:t>National Health Act 1953</w:t>
      </w:r>
      <w:r w:rsidRPr="00CB5A57">
        <w:rPr>
          <w:sz w:val="22"/>
          <w:szCs w:val="22"/>
        </w:rPr>
        <w:t xml:space="preserve"> (the Act) enables the Minister to make special arrangements for the sup</w:t>
      </w:r>
      <w:r w:rsidR="00EB5617" w:rsidRPr="00CB5A57">
        <w:rPr>
          <w:sz w:val="22"/>
          <w:szCs w:val="22"/>
        </w:rPr>
        <w:t>ply of pharmaceutical benefits.</w:t>
      </w:r>
    </w:p>
    <w:p w14:paraId="1DFCFDFF" w14:textId="77777777" w:rsidR="004D4CAB" w:rsidRPr="00CB5A57" w:rsidRDefault="004D4CAB" w:rsidP="00702E76">
      <w:pPr>
        <w:keepLines w:val="0"/>
        <w:spacing w:before="120" w:after="0"/>
        <w:rPr>
          <w:sz w:val="22"/>
          <w:szCs w:val="22"/>
        </w:rPr>
      </w:pPr>
      <w:r w:rsidRPr="00CB5A57">
        <w:rPr>
          <w:sz w:val="22"/>
          <w:szCs w:val="22"/>
        </w:rPr>
        <w:t>Subsection 100(2) of the Act provides that the Minister may vary or revoke a special arrangement made under subsection 100(1).</w:t>
      </w:r>
    </w:p>
    <w:p w14:paraId="0DA8F4C2" w14:textId="77777777" w:rsidR="0072261F" w:rsidRPr="00CB5A57" w:rsidRDefault="004D4CAB" w:rsidP="00702E76">
      <w:pPr>
        <w:keepLines w:val="0"/>
        <w:spacing w:before="120" w:after="0"/>
        <w:rPr>
          <w:sz w:val="22"/>
          <w:szCs w:val="22"/>
        </w:rPr>
      </w:pPr>
      <w:r w:rsidRPr="00CB5A57">
        <w:rPr>
          <w:sz w:val="22"/>
          <w:szCs w:val="22"/>
        </w:rPr>
        <w:t>Subsection 100(3) of the Act provides that Part VII of the Act, and instruments made for the purposes of Part VII have effect subject to a special arrangement made under subsection 100(1).</w:t>
      </w:r>
    </w:p>
    <w:p w14:paraId="25C27724" w14:textId="77777777" w:rsidR="0072261F" w:rsidRPr="00CB5A57" w:rsidRDefault="0072261F" w:rsidP="00702E76">
      <w:pPr>
        <w:keepLines w:val="0"/>
        <w:spacing w:before="120" w:after="0"/>
        <w:rPr>
          <w:b/>
          <w:sz w:val="22"/>
          <w:szCs w:val="22"/>
        </w:rPr>
      </w:pPr>
      <w:r w:rsidRPr="00CB5A57">
        <w:rPr>
          <w:b/>
          <w:sz w:val="22"/>
          <w:szCs w:val="22"/>
        </w:rPr>
        <w:t>Purpose</w:t>
      </w:r>
    </w:p>
    <w:p w14:paraId="3061708D" w14:textId="6451A0C3" w:rsidR="0072261F" w:rsidRPr="00CB5A57" w:rsidRDefault="0099423F" w:rsidP="00702E76">
      <w:pPr>
        <w:keepLines w:val="0"/>
        <w:spacing w:before="120" w:after="0"/>
        <w:rPr>
          <w:sz w:val="22"/>
          <w:szCs w:val="22"/>
        </w:rPr>
      </w:pPr>
      <w:r w:rsidRPr="00CB5A57">
        <w:rPr>
          <w:sz w:val="22"/>
          <w:szCs w:val="22"/>
        </w:rPr>
        <w:t xml:space="preserve">This is the </w:t>
      </w:r>
      <w:r w:rsidRPr="00CB5A57">
        <w:rPr>
          <w:i/>
          <w:sz w:val="22"/>
          <w:szCs w:val="22"/>
        </w:rPr>
        <w:t>National Health (Highly specialised drugs program) Special Arrangement A</w:t>
      </w:r>
      <w:r w:rsidR="008F2270" w:rsidRPr="00CB5A57">
        <w:rPr>
          <w:i/>
          <w:sz w:val="22"/>
          <w:szCs w:val="22"/>
        </w:rPr>
        <w:t>mendment Instrument 2020</w:t>
      </w:r>
      <w:r w:rsidRPr="00CB5A57">
        <w:rPr>
          <w:i/>
          <w:sz w:val="22"/>
          <w:szCs w:val="22"/>
        </w:rPr>
        <w:t xml:space="preserve"> (</w:t>
      </w:r>
      <w:r w:rsidR="005E6D84" w:rsidRPr="00CB5A57">
        <w:rPr>
          <w:i/>
          <w:sz w:val="22"/>
          <w:szCs w:val="22"/>
        </w:rPr>
        <w:t>No.</w:t>
      </w:r>
      <w:r w:rsidR="006E33FC" w:rsidRPr="00CB5A57">
        <w:rPr>
          <w:i/>
          <w:sz w:val="22"/>
          <w:szCs w:val="22"/>
        </w:rPr>
        <w:t>7</w:t>
      </w:r>
      <w:r w:rsidRPr="00CB5A57">
        <w:rPr>
          <w:i/>
          <w:sz w:val="22"/>
          <w:szCs w:val="22"/>
        </w:rPr>
        <w:t>)</w:t>
      </w:r>
      <w:r w:rsidRPr="00CB5A57">
        <w:rPr>
          <w:sz w:val="22"/>
          <w:szCs w:val="22"/>
        </w:rPr>
        <w:t xml:space="preserve"> </w:t>
      </w:r>
      <w:r w:rsidR="00B958E6" w:rsidRPr="00CB5A57">
        <w:rPr>
          <w:sz w:val="22"/>
          <w:szCs w:val="22"/>
        </w:rPr>
        <w:t>(this</w:t>
      </w:r>
      <w:r w:rsidR="007D5716" w:rsidRPr="00CB5A57">
        <w:rPr>
          <w:sz w:val="22"/>
          <w:szCs w:val="22"/>
        </w:rPr>
        <w:t xml:space="preserve"> </w:t>
      </w:r>
      <w:r w:rsidRPr="00CB5A57">
        <w:rPr>
          <w:sz w:val="22"/>
          <w:szCs w:val="22"/>
        </w:rPr>
        <w:t xml:space="preserve">Instrument). </w:t>
      </w:r>
      <w:r w:rsidR="004A2713" w:rsidRPr="00CB5A57">
        <w:rPr>
          <w:sz w:val="22"/>
          <w:szCs w:val="22"/>
        </w:rPr>
        <w:t xml:space="preserve"> </w:t>
      </w:r>
      <w:r w:rsidRPr="00CB5A57">
        <w:rPr>
          <w:sz w:val="22"/>
          <w:szCs w:val="22"/>
        </w:rPr>
        <w:t>The purpose of th</w:t>
      </w:r>
      <w:r w:rsidR="009138BB" w:rsidRPr="00CB5A57">
        <w:rPr>
          <w:sz w:val="22"/>
          <w:szCs w:val="22"/>
        </w:rPr>
        <w:t>is</w:t>
      </w:r>
      <w:r w:rsidR="0014278F" w:rsidRPr="00CB5A57">
        <w:rPr>
          <w:sz w:val="22"/>
          <w:szCs w:val="22"/>
        </w:rPr>
        <w:t xml:space="preserve"> </w:t>
      </w:r>
      <w:r w:rsidRPr="00CB5A57">
        <w:rPr>
          <w:sz w:val="22"/>
          <w:szCs w:val="22"/>
        </w:rPr>
        <w:t>Instrument</w:t>
      </w:r>
      <w:r w:rsidR="00FA7269" w:rsidRPr="00CB5A57">
        <w:rPr>
          <w:sz w:val="22"/>
          <w:szCs w:val="22"/>
        </w:rPr>
        <w:t xml:space="preserve">, made under subsection 100(2) of the Act, </w:t>
      </w:r>
      <w:r w:rsidRPr="00CB5A57">
        <w:rPr>
          <w:sz w:val="22"/>
          <w:szCs w:val="22"/>
        </w:rPr>
        <w:t xml:space="preserve">is to amend the </w:t>
      </w:r>
      <w:r w:rsidRPr="00CB5A57">
        <w:rPr>
          <w:i/>
          <w:sz w:val="22"/>
          <w:szCs w:val="22"/>
        </w:rPr>
        <w:t>National Health (Highly specialised drugs program) Special Arrangement 2010</w:t>
      </w:r>
      <w:r w:rsidRPr="00CB5A57">
        <w:rPr>
          <w:sz w:val="22"/>
          <w:szCs w:val="22"/>
        </w:rPr>
        <w:t xml:space="preserve"> (PB 116 of 2010) (the Special Arrangement), to make changes to the Special Arrangement relating to th</w:t>
      </w:r>
      <w:r w:rsidR="00702E76" w:rsidRPr="00CB5A57">
        <w:rPr>
          <w:sz w:val="22"/>
          <w:szCs w:val="22"/>
        </w:rPr>
        <w:t>e Highly Specialised Drugs</w:t>
      </w:r>
      <w:r w:rsidRPr="00CB5A57">
        <w:rPr>
          <w:sz w:val="22"/>
          <w:szCs w:val="22"/>
        </w:rPr>
        <w:t xml:space="preserve"> program.</w:t>
      </w:r>
    </w:p>
    <w:p w14:paraId="2527AE36" w14:textId="77777777" w:rsidR="00FE1E54" w:rsidRPr="00CB5A57" w:rsidRDefault="00FE1E54" w:rsidP="00FE1E54">
      <w:pPr>
        <w:keepLines w:val="0"/>
        <w:spacing w:before="120" w:after="0"/>
        <w:rPr>
          <w:sz w:val="22"/>
          <w:szCs w:val="22"/>
        </w:rPr>
      </w:pPr>
      <w:r w:rsidRPr="00CB5A57">
        <w:rPr>
          <w:sz w:val="22"/>
          <w:szCs w:val="22"/>
        </w:rPr>
        <w:t xml:space="preserve">The amendments made by this Instrument reflect amendments to the </w:t>
      </w:r>
      <w:r w:rsidRPr="00CB5A57">
        <w:rPr>
          <w:i/>
          <w:sz w:val="22"/>
          <w:szCs w:val="22"/>
        </w:rPr>
        <w:t>National Health (Listing of Pharmaceutical Benefits) Instrument 2012</w:t>
      </w:r>
      <w:r w:rsidRPr="00CB5A57">
        <w:rPr>
          <w:sz w:val="22"/>
          <w:szCs w:val="22"/>
        </w:rPr>
        <w:t xml:space="preserve"> (PB 71 of 2012), which commence on the same day.  The </w:t>
      </w:r>
      <w:r w:rsidRPr="00CB5A57">
        <w:rPr>
          <w:i/>
          <w:sz w:val="22"/>
          <w:szCs w:val="22"/>
        </w:rPr>
        <w:t>National Health (Listing of Pharmaceutical Benefits) Instrument 2012</w:t>
      </w:r>
      <w:r w:rsidRPr="00CB5A57">
        <w:rPr>
          <w:sz w:val="22"/>
          <w:szCs w:val="22"/>
        </w:rPr>
        <w:t xml:space="preserve"> (PB 71 of 2012) is made under sections 84AF, 84AK, 85, 85A, 88 and 101 of the Act.</w:t>
      </w:r>
    </w:p>
    <w:p w14:paraId="4C194825" w14:textId="7BA97A2B" w:rsidR="00D04A14" w:rsidRPr="00CB5A57" w:rsidRDefault="00D04A14" w:rsidP="00D04A14">
      <w:pPr>
        <w:keepLines w:val="0"/>
        <w:spacing w:before="120" w:after="0"/>
        <w:rPr>
          <w:sz w:val="22"/>
          <w:szCs w:val="22"/>
        </w:rPr>
      </w:pPr>
      <w:r w:rsidRPr="00CB5A57">
        <w:rPr>
          <w:sz w:val="22"/>
          <w:szCs w:val="22"/>
        </w:rPr>
        <w:t xml:space="preserve">Schedule 1 to this Instrument provides </w:t>
      </w:r>
      <w:r w:rsidR="005C6470" w:rsidRPr="00CB5A57">
        <w:rPr>
          <w:sz w:val="22"/>
          <w:szCs w:val="22"/>
        </w:rPr>
        <w:t xml:space="preserve">for </w:t>
      </w:r>
      <w:r w:rsidR="009A1AC7" w:rsidRPr="00CB5A57">
        <w:rPr>
          <w:sz w:val="22"/>
          <w:szCs w:val="22"/>
        </w:rPr>
        <w:t xml:space="preserve">the deletion of a brand of an </w:t>
      </w:r>
      <w:r w:rsidR="009A1AC7" w:rsidRPr="00CB5A57">
        <w:rPr>
          <w:sz w:val="22"/>
        </w:rPr>
        <w:t>existing pharmaceutical item,</w:t>
      </w:r>
      <w:r w:rsidR="009A1AC7" w:rsidRPr="00CB5A57">
        <w:rPr>
          <w:sz w:val="22"/>
          <w:szCs w:val="22"/>
        </w:rPr>
        <w:t xml:space="preserve"> the alteration of r</w:t>
      </w:r>
      <w:r w:rsidR="005E229E" w:rsidRPr="00CB5A57">
        <w:rPr>
          <w:sz w:val="22"/>
          <w:szCs w:val="22"/>
        </w:rPr>
        <w:t>esponsible person codes for three</w:t>
      </w:r>
      <w:r w:rsidR="009A1AC7" w:rsidRPr="00CB5A57">
        <w:rPr>
          <w:sz w:val="22"/>
          <w:szCs w:val="22"/>
        </w:rPr>
        <w:t xml:space="preserve"> existing brands of pharmaceutical benefits</w:t>
      </w:r>
      <w:r w:rsidR="005E229E" w:rsidRPr="00CB5A57">
        <w:rPr>
          <w:sz w:val="22"/>
          <w:szCs w:val="22"/>
        </w:rPr>
        <w:t>, the alteration of the name of two brands of existing pharmaceutical benefits, and the alteration of one responsible person name</w:t>
      </w:r>
      <w:r w:rsidR="009A1AC7" w:rsidRPr="00CB5A57">
        <w:rPr>
          <w:sz w:val="22"/>
          <w:szCs w:val="22"/>
        </w:rPr>
        <w:t>.</w:t>
      </w:r>
      <w:r w:rsidR="005E229E" w:rsidRPr="00CB5A57">
        <w:rPr>
          <w:sz w:val="22"/>
          <w:szCs w:val="22"/>
        </w:rPr>
        <w:t xml:space="preserve">  </w:t>
      </w:r>
      <w:r w:rsidR="00E36D11" w:rsidRPr="00CB5A57">
        <w:rPr>
          <w:sz w:val="22"/>
          <w:szCs w:val="22"/>
        </w:rPr>
        <w:t xml:space="preserve">It also provides </w:t>
      </w:r>
      <w:r w:rsidR="005C6470" w:rsidRPr="00CB5A57">
        <w:rPr>
          <w:sz w:val="22"/>
          <w:szCs w:val="22"/>
        </w:rPr>
        <w:t xml:space="preserve">for </w:t>
      </w:r>
      <w:r w:rsidR="005E229E" w:rsidRPr="00CB5A57">
        <w:rPr>
          <w:sz w:val="22"/>
          <w:szCs w:val="22"/>
        </w:rPr>
        <w:t xml:space="preserve">the alteration of circumstances for prescribing various pharmaceutical benefits available under the Special Arrangement, in order </w:t>
      </w:r>
      <w:r w:rsidR="00484060" w:rsidRPr="00CB5A57">
        <w:rPr>
          <w:sz w:val="22"/>
          <w:szCs w:val="22"/>
        </w:rPr>
        <w:t xml:space="preserve">to </w:t>
      </w:r>
      <w:r w:rsidR="005E229E" w:rsidRPr="00CB5A57">
        <w:rPr>
          <w:sz w:val="22"/>
          <w:szCs w:val="22"/>
        </w:rPr>
        <w:t>correct minor historical typographical/transcription errors identified upon review</w:t>
      </w:r>
      <w:r w:rsidR="009A1AC7" w:rsidRPr="00CB5A57">
        <w:rPr>
          <w:sz w:val="22"/>
          <w:szCs w:val="22"/>
        </w:rPr>
        <w:t>.</w:t>
      </w:r>
      <w:r w:rsidR="00115EED" w:rsidRPr="00CB5A57">
        <w:rPr>
          <w:sz w:val="22"/>
          <w:szCs w:val="22"/>
        </w:rPr>
        <w:t xml:space="preserve">  </w:t>
      </w:r>
      <w:r w:rsidRPr="00CB5A57">
        <w:rPr>
          <w:sz w:val="22"/>
          <w:szCs w:val="22"/>
        </w:rPr>
        <w:t>These changes are summarised, by subject matter, in the Attachment.</w:t>
      </w:r>
    </w:p>
    <w:p w14:paraId="564D3B81" w14:textId="4677383C" w:rsidR="005C58D3" w:rsidRPr="00CB5A57" w:rsidRDefault="005C58D3" w:rsidP="00A271B7">
      <w:pPr>
        <w:keepLines w:val="0"/>
        <w:spacing w:before="240" w:after="0"/>
        <w:rPr>
          <w:b/>
          <w:sz w:val="22"/>
          <w:szCs w:val="22"/>
        </w:rPr>
      </w:pPr>
      <w:r w:rsidRPr="00CB5A57">
        <w:rPr>
          <w:b/>
          <w:sz w:val="22"/>
          <w:szCs w:val="22"/>
        </w:rPr>
        <w:t>Consultation</w:t>
      </w:r>
    </w:p>
    <w:p w14:paraId="6BF09C20" w14:textId="77777777" w:rsidR="005C58D3" w:rsidRPr="00CB5A57" w:rsidRDefault="005C58D3" w:rsidP="00702E76">
      <w:pPr>
        <w:keepLines w:val="0"/>
        <w:spacing w:before="120" w:after="0"/>
        <w:rPr>
          <w:sz w:val="22"/>
          <w:szCs w:val="22"/>
        </w:rPr>
      </w:pPr>
      <w:r w:rsidRPr="00CB5A57">
        <w:rPr>
          <w:sz w:val="22"/>
          <w:szCs w:val="22"/>
        </w:rPr>
        <w:t>The amendments made by this Instrument accord with recommendations made by the Pharmaceutical Benef</w:t>
      </w:r>
      <w:r w:rsidR="00D46558" w:rsidRPr="00CB5A57">
        <w:rPr>
          <w:sz w:val="22"/>
          <w:szCs w:val="22"/>
        </w:rPr>
        <w:t>its Advisory Committee (PBAC).</w:t>
      </w:r>
    </w:p>
    <w:p w14:paraId="08A276C8" w14:textId="77777777" w:rsidR="005C58D3" w:rsidRPr="00CB5A57" w:rsidRDefault="005C58D3" w:rsidP="00702E76">
      <w:pPr>
        <w:keepLines w:val="0"/>
        <w:spacing w:before="120" w:after="0"/>
        <w:rPr>
          <w:sz w:val="22"/>
          <w:szCs w:val="22"/>
        </w:rPr>
      </w:pPr>
      <w:r w:rsidRPr="00CB5A57">
        <w:rPr>
          <w:sz w:val="22"/>
          <w:szCs w:val="22"/>
        </w:rPr>
        <w:t>An ongoing and formal process of consultation in relation to matters relevant to the Special Arrangement includes the involvement of interested parties throu</w:t>
      </w:r>
      <w:r w:rsidR="00D46558" w:rsidRPr="00CB5A57">
        <w:rPr>
          <w:sz w:val="22"/>
          <w:szCs w:val="22"/>
        </w:rPr>
        <w:t>gh the membership of the PBAC.</w:t>
      </w:r>
    </w:p>
    <w:p w14:paraId="5BB39392" w14:textId="0A345C38" w:rsidR="00302262" w:rsidRPr="00CB5A57" w:rsidRDefault="00302262" w:rsidP="00702E76">
      <w:pPr>
        <w:keepLines w:val="0"/>
        <w:spacing w:before="120" w:after="0"/>
        <w:rPr>
          <w:sz w:val="22"/>
          <w:szCs w:val="22"/>
        </w:rPr>
      </w:pPr>
      <w:r w:rsidRPr="00CB5A57">
        <w:rPr>
          <w:sz w:val="22"/>
          <w:szCs w:val="22"/>
        </w:rPr>
        <w:t>PBAC is an independent expert body established by section 100A of the Act which makes recommendations to the Minister about which drugs and medicinal preparations should be available as pharmaceutical benefits.</w:t>
      </w:r>
      <w:r w:rsidR="00BE459E" w:rsidRPr="00CB5A57">
        <w:rPr>
          <w:sz w:val="22"/>
          <w:szCs w:val="22"/>
        </w:rPr>
        <w:t xml:space="preserve">  </w:t>
      </w:r>
      <w:r w:rsidRPr="00CB5A57">
        <w:rPr>
          <w:sz w:val="22"/>
          <w:szCs w:val="22"/>
        </w:rPr>
        <w:t xml:space="preserve">PBAC members are appointed following nomination by prescribed organisations and associations from consumers, health economists, practising community pharmacists, general practitioners, clinical pharmacologists and specialists, with at least one member selected from each of those interests or professions. </w:t>
      </w:r>
      <w:r w:rsidR="000B10B7" w:rsidRPr="00CB5A57">
        <w:rPr>
          <w:sz w:val="22"/>
          <w:szCs w:val="22"/>
        </w:rPr>
        <w:t xml:space="preserve"> </w:t>
      </w:r>
      <w:r w:rsidRPr="00CB5A57">
        <w:rPr>
          <w:sz w:val="22"/>
          <w:szCs w:val="22"/>
        </w:rPr>
        <w:t>Remaining members are persons whom the Minister is satisfied have qualifications and experience in a field relevant to the functions of PBAC, and that would enable them to contribute meaningfully to the deliberations of PBAC.</w:t>
      </w:r>
      <w:r w:rsidR="004A2713" w:rsidRPr="00CB5A57">
        <w:rPr>
          <w:sz w:val="22"/>
          <w:szCs w:val="22"/>
        </w:rPr>
        <w:t xml:space="preserve"> </w:t>
      </w:r>
      <w:r w:rsidR="00C41A1C" w:rsidRPr="00CB5A57">
        <w:rPr>
          <w:sz w:val="22"/>
          <w:szCs w:val="22"/>
        </w:rPr>
        <w:t xml:space="preserve"> </w:t>
      </w:r>
      <w:r w:rsidR="00D872FC" w:rsidRPr="00CB5A57">
        <w:rPr>
          <w:sz w:val="22"/>
          <w:szCs w:val="22"/>
        </w:rPr>
        <w:t>In addition, an industry nominee has been appointed to the PBAC membership.</w:t>
      </w:r>
      <w:r w:rsidR="004A2713" w:rsidRPr="00CB5A57">
        <w:rPr>
          <w:sz w:val="22"/>
          <w:szCs w:val="22"/>
        </w:rPr>
        <w:t xml:space="preserve"> </w:t>
      </w:r>
      <w:r w:rsidR="00D872FC" w:rsidRPr="00CB5A57">
        <w:rPr>
          <w:sz w:val="22"/>
          <w:szCs w:val="22"/>
        </w:rPr>
        <w:t xml:space="preserve"> </w:t>
      </w:r>
      <w:r w:rsidRPr="00CB5A57">
        <w:rPr>
          <w:sz w:val="22"/>
          <w:szCs w:val="22"/>
        </w:rPr>
        <w:t>When recommending the listing of a medicine on the Pharmaceutical</w:t>
      </w:r>
      <w:r w:rsidR="001C3893" w:rsidRPr="00CB5A57">
        <w:rPr>
          <w:sz w:val="22"/>
          <w:szCs w:val="22"/>
        </w:rPr>
        <w:t xml:space="preserve"> </w:t>
      </w:r>
      <w:r w:rsidRPr="00CB5A57">
        <w:rPr>
          <w:sz w:val="22"/>
          <w:szCs w:val="22"/>
        </w:rPr>
        <w:t>Benefits Scheme (PBS), PBAC takes into account the medical conditions for which the medicine has been approved for use in Australia, its clinical effectiveness, safety and cost-effectiveness compared with other treatments.</w:t>
      </w:r>
    </w:p>
    <w:p w14:paraId="13313BBB" w14:textId="77777777" w:rsidR="007A1E23" w:rsidRPr="00CB5A57" w:rsidRDefault="00302262" w:rsidP="00702E76">
      <w:pPr>
        <w:keepLines w:val="0"/>
        <w:spacing w:before="120" w:after="0"/>
        <w:rPr>
          <w:sz w:val="22"/>
          <w:szCs w:val="22"/>
        </w:rPr>
      </w:pPr>
      <w:r w:rsidRPr="00CB5A57">
        <w:rPr>
          <w:sz w:val="22"/>
          <w:szCs w:val="22"/>
        </w:rPr>
        <w:lastRenderedPageBreak/>
        <w:t>Pharmaceutical companies were consulted throughout the process of changes to the listings on the PBS.</w:t>
      </w:r>
      <w:r w:rsidR="004E7F32" w:rsidRPr="00CB5A57">
        <w:rPr>
          <w:sz w:val="22"/>
          <w:szCs w:val="22"/>
        </w:rPr>
        <w:t xml:space="preserve"> </w:t>
      </w:r>
      <w:r w:rsidR="004A2713" w:rsidRPr="00CB5A57">
        <w:rPr>
          <w:sz w:val="22"/>
          <w:szCs w:val="22"/>
        </w:rPr>
        <w:t xml:space="preserve"> </w:t>
      </w:r>
      <w:r w:rsidRPr="00CB5A57">
        <w:rPr>
          <w:sz w:val="22"/>
          <w:szCs w:val="22"/>
        </w:rPr>
        <w:t>This includes consultation through the PBAC process</w:t>
      </w:r>
      <w:r w:rsidR="000F1FB7" w:rsidRPr="00CB5A57">
        <w:rPr>
          <w:sz w:val="22"/>
          <w:szCs w:val="22"/>
        </w:rPr>
        <w:t>.</w:t>
      </w:r>
    </w:p>
    <w:p w14:paraId="62CD39CA" w14:textId="77777777" w:rsidR="00A46F3B" w:rsidRPr="00CB5A57" w:rsidRDefault="009A7236" w:rsidP="00702E76">
      <w:pPr>
        <w:keepLines w:val="0"/>
        <w:spacing w:before="120" w:after="0"/>
        <w:rPr>
          <w:sz w:val="22"/>
          <w:szCs w:val="22"/>
        </w:rPr>
      </w:pPr>
      <w:r w:rsidRPr="00CB5A57">
        <w:rPr>
          <w:sz w:val="22"/>
          <w:szCs w:val="22"/>
        </w:rPr>
        <w:t>Further consultation for this Instrument was considered unnecessary due to the nature of the consultation that had already taken place in the de</w:t>
      </w:r>
      <w:r w:rsidR="00D46558" w:rsidRPr="00CB5A57">
        <w:rPr>
          <w:sz w:val="22"/>
          <w:szCs w:val="22"/>
        </w:rPr>
        <w:t>cision to list the medication.</w:t>
      </w:r>
    </w:p>
    <w:p w14:paraId="762EF7CF" w14:textId="77777777" w:rsidR="00AF05D6" w:rsidRPr="00CB5A57" w:rsidRDefault="003503AF" w:rsidP="00702E76">
      <w:pPr>
        <w:keepLines w:val="0"/>
        <w:spacing w:before="120" w:after="0"/>
        <w:rPr>
          <w:sz w:val="22"/>
          <w:szCs w:val="22"/>
        </w:rPr>
      </w:pPr>
      <w:r w:rsidRPr="00CB5A57">
        <w:rPr>
          <w:sz w:val="22"/>
          <w:szCs w:val="22"/>
        </w:rPr>
        <w:t>Details of th</w:t>
      </w:r>
      <w:r w:rsidR="00B61F3B" w:rsidRPr="00CB5A57">
        <w:rPr>
          <w:sz w:val="22"/>
          <w:szCs w:val="22"/>
        </w:rPr>
        <w:t>is</w:t>
      </w:r>
      <w:r w:rsidRPr="00CB5A57">
        <w:rPr>
          <w:sz w:val="22"/>
          <w:szCs w:val="22"/>
        </w:rPr>
        <w:t xml:space="preserve"> </w:t>
      </w:r>
      <w:r w:rsidR="00B61F3B" w:rsidRPr="00CB5A57">
        <w:rPr>
          <w:sz w:val="22"/>
          <w:szCs w:val="22"/>
        </w:rPr>
        <w:t>I</w:t>
      </w:r>
      <w:r w:rsidRPr="00CB5A57">
        <w:rPr>
          <w:sz w:val="22"/>
          <w:szCs w:val="22"/>
        </w:rPr>
        <w:t>nstrument are set out in the Attachment.</w:t>
      </w:r>
    </w:p>
    <w:p w14:paraId="02E5C2F4" w14:textId="1787FE87" w:rsidR="00302262" w:rsidRPr="00CB5A57" w:rsidRDefault="006C256A" w:rsidP="00702E76">
      <w:pPr>
        <w:keepLines w:val="0"/>
        <w:spacing w:before="120" w:after="0"/>
        <w:rPr>
          <w:sz w:val="22"/>
          <w:szCs w:val="22"/>
        </w:rPr>
      </w:pPr>
      <w:r w:rsidRPr="00CB5A57">
        <w:rPr>
          <w:sz w:val="22"/>
          <w:szCs w:val="22"/>
        </w:rPr>
        <w:t xml:space="preserve">This Instrument commences on 1 </w:t>
      </w:r>
      <w:r w:rsidR="00A72540" w:rsidRPr="00CB5A57">
        <w:rPr>
          <w:sz w:val="22"/>
          <w:szCs w:val="22"/>
        </w:rPr>
        <w:t>September</w:t>
      </w:r>
      <w:r w:rsidR="0091111D" w:rsidRPr="00CB5A57">
        <w:rPr>
          <w:sz w:val="22"/>
          <w:szCs w:val="22"/>
        </w:rPr>
        <w:t xml:space="preserve"> </w:t>
      </w:r>
      <w:r w:rsidR="005E6D84" w:rsidRPr="00CB5A57">
        <w:rPr>
          <w:sz w:val="22"/>
          <w:szCs w:val="22"/>
        </w:rPr>
        <w:t>2020</w:t>
      </w:r>
      <w:r w:rsidR="00302262" w:rsidRPr="00CB5A57">
        <w:rPr>
          <w:sz w:val="22"/>
          <w:szCs w:val="22"/>
        </w:rPr>
        <w:t>.</w:t>
      </w:r>
    </w:p>
    <w:p w14:paraId="4374BCC5" w14:textId="77777777" w:rsidR="00302262" w:rsidRPr="00CB5A57" w:rsidRDefault="00302262" w:rsidP="00702E76">
      <w:pPr>
        <w:keepLines w:val="0"/>
        <w:spacing w:before="120" w:after="0"/>
        <w:rPr>
          <w:sz w:val="22"/>
          <w:szCs w:val="22"/>
        </w:rPr>
      </w:pPr>
      <w:r w:rsidRPr="00CB5A57">
        <w:rPr>
          <w:sz w:val="22"/>
          <w:szCs w:val="22"/>
        </w:rPr>
        <w:t xml:space="preserve">This Instrument is a legislative instrument for the purposes of the </w:t>
      </w:r>
      <w:r w:rsidR="00D205CF" w:rsidRPr="00CB5A57">
        <w:rPr>
          <w:i/>
          <w:sz w:val="22"/>
          <w:szCs w:val="22"/>
        </w:rPr>
        <w:t>Legislation</w:t>
      </w:r>
      <w:r w:rsidRPr="00CB5A57">
        <w:rPr>
          <w:i/>
          <w:sz w:val="22"/>
          <w:szCs w:val="22"/>
        </w:rPr>
        <w:t xml:space="preserve"> Act</w:t>
      </w:r>
      <w:r w:rsidR="001C3893" w:rsidRPr="00CB5A57">
        <w:rPr>
          <w:i/>
          <w:sz w:val="22"/>
          <w:szCs w:val="22"/>
        </w:rPr>
        <w:t xml:space="preserve"> </w:t>
      </w:r>
      <w:r w:rsidRPr="00CB5A57">
        <w:rPr>
          <w:i/>
          <w:sz w:val="22"/>
          <w:szCs w:val="22"/>
        </w:rPr>
        <w:t>2003</w:t>
      </w:r>
      <w:r w:rsidRPr="00CB5A57">
        <w:rPr>
          <w:sz w:val="22"/>
          <w:szCs w:val="22"/>
        </w:rPr>
        <w:t>.</w:t>
      </w:r>
    </w:p>
    <w:p w14:paraId="707A98E6" w14:textId="77777777" w:rsidR="000A4B91" w:rsidRPr="00CB5A57" w:rsidRDefault="000A4B91" w:rsidP="00456324">
      <w:pPr>
        <w:keepLines w:val="0"/>
        <w:jc w:val="right"/>
        <w:rPr>
          <w:b/>
          <w:sz w:val="22"/>
          <w:szCs w:val="22"/>
        </w:rPr>
      </w:pPr>
      <w:r w:rsidRPr="00CB5A57">
        <w:rPr>
          <w:sz w:val="22"/>
          <w:szCs w:val="22"/>
        </w:rPr>
        <w:br w:type="page"/>
      </w:r>
      <w:r w:rsidRPr="00CB5A57">
        <w:rPr>
          <w:b/>
          <w:sz w:val="22"/>
          <w:szCs w:val="22"/>
        </w:rPr>
        <w:lastRenderedPageBreak/>
        <w:t>ATTACHMENT</w:t>
      </w:r>
    </w:p>
    <w:p w14:paraId="2A489D67" w14:textId="70D5244F" w:rsidR="00B54A5B" w:rsidRPr="00CB5A57" w:rsidRDefault="00391600" w:rsidP="004F21CB">
      <w:pPr>
        <w:keepLines w:val="0"/>
        <w:spacing w:before="360"/>
        <w:rPr>
          <w:b/>
          <w:sz w:val="22"/>
          <w:szCs w:val="22"/>
        </w:rPr>
      </w:pPr>
      <w:r w:rsidRPr="00CB5A57">
        <w:rPr>
          <w:b/>
          <w:sz w:val="22"/>
          <w:szCs w:val="22"/>
        </w:rPr>
        <w:t>P</w:t>
      </w:r>
      <w:r w:rsidR="00456324" w:rsidRPr="00CB5A57">
        <w:rPr>
          <w:b/>
          <w:sz w:val="22"/>
          <w:szCs w:val="22"/>
        </w:rPr>
        <w:t xml:space="preserve">ROVISION-BY-PROVISION DESCRIPTION OF </w:t>
      </w:r>
      <w:r w:rsidR="00456324" w:rsidRPr="00CB5A57">
        <w:rPr>
          <w:b/>
          <w:i/>
          <w:sz w:val="22"/>
          <w:szCs w:val="22"/>
        </w:rPr>
        <w:t>NATIONAL HEALTH</w:t>
      </w:r>
      <w:r w:rsidR="0044792C" w:rsidRPr="00CB5A57">
        <w:rPr>
          <w:b/>
          <w:i/>
          <w:sz w:val="22"/>
          <w:szCs w:val="22"/>
        </w:rPr>
        <w:t xml:space="preserve"> (</w:t>
      </w:r>
      <w:r w:rsidR="00456324" w:rsidRPr="00CB5A57">
        <w:rPr>
          <w:b/>
          <w:i/>
          <w:sz w:val="22"/>
          <w:szCs w:val="22"/>
        </w:rPr>
        <w:t>HIGHLY</w:t>
      </w:r>
      <w:r w:rsidR="0044792C" w:rsidRPr="00CB5A57">
        <w:rPr>
          <w:b/>
          <w:i/>
          <w:sz w:val="22"/>
          <w:szCs w:val="22"/>
        </w:rPr>
        <w:t xml:space="preserve"> </w:t>
      </w:r>
      <w:r w:rsidR="00456324" w:rsidRPr="00CB5A57">
        <w:rPr>
          <w:b/>
          <w:i/>
          <w:sz w:val="22"/>
          <w:szCs w:val="22"/>
        </w:rPr>
        <w:t>SPECIALISED</w:t>
      </w:r>
      <w:r w:rsidR="00B54A5B" w:rsidRPr="00CB5A57">
        <w:rPr>
          <w:b/>
          <w:i/>
          <w:sz w:val="22"/>
          <w:szCs w:val="22"/>
        </w:rPr>
        <w:t xml:space="preserve"> </w:t>
      </w:r>
      <w:r w:rsidR="00456324" w:rsidRPr="00CB5A57">
        <w:rPr>
          <w:b/>
          <w:i/>
          <w:sz w:val="22"/>
          <w:szCs w:val="22"/>
        </w:rPr>
        <w:t>DRUGS PROGRAM</w:t>
      </w:r>
      <w:r w:rsidR="00B54A5B" w:rsidRPr="00CB5A57">
        <w:rPr>
          <w:b/>
          <w:i/>
          <w:sz w:val="22"/>
          <w:szCs w:val="22"/>
        </w:rPr>
        <w:t xml:space="preserve">) </w:t>
      </w:r>
      <w:r w:rsidR="00456324" w:rsidRPr="00CB5A57">
        <w:rPr>
          <w:b/>
          <w:i/>
          <w:sz w:val="22"/>
          <w:szCs w:val="22"/>
        </w:rPr>
        <w:t xml:space="preserve">SPECIAL ARRANGEMENT AMENDMENT INSTRUMENT </w:t>
      </w:r>
      <w:r w:rsidR="008F2270" w:rsidRPr="00CB5A57">
        <w:rPr>
          <w:b/>
          <w:i/>
          <w:sz w:val="22"/>
          <w:szCs w:val="22"/>
        </w:rPr>
        <w:t>2020</w:t>
      </w:r>
      <w:r w:rsidR="00EF099E" w:rsidRPr="00CB5A57">
        <w:rPr>
          <w:b/>
          <w:i/>
          <w:sz w:val="22"/>
          <w:szCs w:val="22"/>
        </w:rPr>
        <w:t xml:space="preserve"> </w:t>
      </w:r>
      <w:r w:rsidR="00A72540" w:rsidRPr="00CB5A57">
        <w:rPr>
          <w:b/>
          <w:i/>
          <w:sz w:val="22"/>
          <w:szCs w:val="22"/>
        </w:rPr>
        <w:t>(No. 7)</w:t>
      </w:r>
    </w:p>
    <w:p w14:paraId="3ECB36FC" w14:textId="77777777" w:rsidR="006A613A" w:rsidRPr="00CB5A57" w:rsidRDefault="000A4B91" w:rsidP="00192841">
      <w:pPr>
        <w:keepLines w:val="0"/>
        <w:tabs>
          <w:tab w:val="left" w:pos="1418"/>
        </w:tabs>
        <w:spacing w:before="240" w:after="0"/>
        <w:rPr>
          <w:b/>
          <w:sz w:val="22"/>
          <w:szCs w:val="22"/>
        </w:rPr>
      </w:pPr>
      <w:r w:rsidRPr="00CB5A57">
        <w:rPr>
          <w:b/>
          <w:sz w:val="22"/>
          <w:szCs w:val="22"/>
        </w:rPr>
        <w:t>Section 1</w:t>
      </w:r>
      <w:r w:rsidRPr="00CB5A57">
        <w:rPr>
          <w:b/>
          <w:sz w:val="22"/>
          <w:szCs w:val="22"/>
        </w:rPr>
        <w:tab/>
        <w:t>Name of Instrument</w:t>
      </w:r>
    </w:p>
    <w:p w14:paraId="15092EBA" w14:textId="46EC0638" w:rsidR="000A4B91" w:rsidRPr="00CB5A57" w:rsidRDefault="000A4B91" w:rsidP="001657C6">
      <w:pPr>
        <w:keepLines w:val="0"/>
        <w:spacing w:before="120" w:after="0"/>
        <w:jc w:val="left"/>
        <w:rPr>
          <w:sz w:val="22"/>
          <w:szCs w:val="22"/>
        </w:rPr>
      </w:pPr>
      <w:r w:rsidRPr="00CB5A57">
        <w:rPr>
          <w:sz w:val="22"/>
          <w:szCs w:val="22"/>
        </w:rPr>
        <w:t>This sec</w:t>
      </w:r>
      <w:r w:rsidR="005D7DC1" w:rsidRPr="00CB5A57">
        <w:rPr>
          <w:sz w:val="22"/>
          <w:szCs w:val="22"/>
        </w:rPr>
        <w:t>tion provides the name of this I</w:t>
      </w:r>
      <w:r w:rsidRPr="00CB5A57">
        <w:rPr>
          <w:sz w:val="22"/>
          <w:szCs w:val="22"/>
        </w:rPr>
        <w:t xml:space="preserve">nstrument </w:t>
      </w:r>
      <w:r w:rsidR="00470E6B" w:rsidRPr="00CB5A57">
        <w:rPr>
          <w:sz w:val="22"/>
          <w:szCs w:val="22"/>
        </w:rPr>
        <w:t>a</w:t>
      </w:r>
      <w:r w:rsidRPr="00CB5A57">
        <w:rPr>
          <w:sz w:val="22"/>
          <w:szCs w:val="22"/>
        </w:rPr>
        <w:t xml:space="preserve">s the </w:t>
      </w:r>
      <w:r w:rsidRPr="00CB5A57">
        <w:rPr>
          <w:i/>
          <w:sz w:val="22"/>
          <w:szCs w:val="22"/>
        </w:rPr>
        <w:t>National Health (Highly specialised drugs program) Special A</w:t>
      </w:r>
      <w:r w:rsidR="006036A7" w:rsidRPr="00CB5A57">
        <w:rPr>
          <w:i/>
          <w:sz w:val="22"/>
          <w:szCs w:val="22"/>
        </w:rPr>
        <w:t xml:space="preserve">rrangement Amendment Instrument </w:t>
      </w:r>
      <w:r w:rsidR="008F2270" w:rsidRPr="00CB5A57">
        <w:rPr>
          <w:i/>
          <w:sz w:val="22"/>
          <w:szCs w:val="22"/>
        </w:rPr>
        <w:t>2020</w:t>
      </w:r>
      <w:r w:rsidR="008A5632" w:rsidRPr="00CB5A57">
        <w:rPr>
          <w:i/>
          <w:sz w:val="22"/>
          <w:szCs w:val="22"/>
        </w:rPr>
        <w:t xml:space="preserve"> </w:t>
      </w:r>
      <w:r w:rsidR="00A72540" w:rsidRPr="00CB5A57">
        <w:rPr>
          <w:i/>
          <w:sz w:val="22"/>
          <w:szCs w:val="22"/>
        </w:rPr>
        <w:t>(No. 7)</w:t>
      </w:r>
      <w:r w:rsidR="008E5300" w:rsidRPr="00CB5A57">
        <w:rPr>
          <w:sz w:val="22"/>
          <w:szCs w:val="22"/>
        </w:rPr>
        <w:t xml:space="preserve"> and may </w:t>
      </w:r>
      <w:r w:rsidR="00833424" w:rsidRPr="00CB5A57">
        <w:rPr>
          <w:sz w:val="22"/>
          <w:szCs w:val="22"/>
        </w:rPr>
        <w:t xml:space="preserve">also </w:t>
      </w:r>
      <w:r w:rsidR="00825F76" w:rsidRPr="00CB5A57">
        <w:rPr>
          <w:sz w:val="22"/>
          <w:szCs w:val="22"/>
        </w:rPr>
        <w:t>be cit</w:t>
      </w:r>
      <w:r w:rsidR="004E7F32" w:rsidRPr="00CB5A57">
        <w:rPr>
          <w:sz w:val="22"/>
          <w:szCs w:val="22"/>
        </w:rPr>
        <w:t xml:space="preserve">ed as </w:t>
      </w:r>
      <w:r w:rsidR="00A72540" w:rsidRPr="00CB5A57">
        <w:rPr>
          <w:sz w:val="22"/>
          <w:szCs w:val="22"/>
        </w:rPr>
        <w:t>PB</w:t>
      </w:r>
      <w:r w:rsidR="00F3091D" w:rsidRPr="00CB5A57">
        <w:rPr>
          <w:sz w:val="22"/>
          <w:szCs w:val="22"/>
        </w:rPr>
        <w:t> </w:t>
      </w:r>
      <w:r w:rsidR="006E33FC" w:rsidRPr="00CB5A57">
        <w:rPr>
          <w:sz w:val="22"/>
          <w:szCs w:val="22"/>
        </w:rPr>
        <w:t>82</w:t>
      </w:r>
      <w:r w:rsidR="00F3091D" w:rsidRPr="00CB5A57">
        <w:rPr>
          <w:sz w:val="22"/>
          <w:szCs w:val="22"/>
        </w:rPr>
        <w:t> </w:t>
      </w:r>
      <w:r w:rsidRPr="00CB5A57">
        <w:rPr>
          <w:sz w:val="22"/>
          <w:szCs w:val="22"/>
        </w:rPr>
        <w:t>of</w:t>
      </w:r>
      <w:r w:rsidR="006036A7" w:rsidRPr="00CB5A57">
        <w:rPr>
          <w:sz w:val="22"/>
          <w:szCs w:val="22"/>
        </w:rPr>
        <w:t> </w:t>
      </w:r>
      <w:r w:rsidR="008F2270" w:rsidRPr="00CB5A57">
        <w:rPr>
          <w:sz w:val="22"/>
          <w:szCs w:val="22"/>
        </w:rPr>
        <w:t>2020</w:t>
      </w:r>
      <w:r w:rsidRPr="00CB5A57">
        <w:rPr>
          <w:sz w:val="22"/>
          <w:szCs w:val="22"/>
        </w:rPr>
        <w:t>.</w:t>
      </w:r>
    </w:p>
    <w:p w14:paraId="1C524C7F" w14:textId="77777777" w:rsidR="006A613A" w:rsidRPr="00CB5A57" w:rsidRDefault="000A4B91" w:rsidP="00192841">
      <w:pPr>
        <w:keepLines w:val="0"/>
        <w:tabs>
          <w:tab w:val="left" w:pos="1418"/>
        </w:tabs>
        <w:spacing w:before="240" w:after="0"/>
        <w:rPr>
          <w:b/>
          <w:sz w:val="22"/>
          <w:szCs w:val="22"/>
        </w:rPr>
      </w:pPr>
      <w:r w:rsidRPr="00CB5A57">
        <w:rPr>
          <w:b/>
          <w:sz w:val="22"/>
          <w:szCs w:val="22"/>
        </w:rPr>
        <w:t>Section 2</w:t>
      </w:r>
      <w:r w:rsidRPr="00CB5A57">
        <w:rPr>
          <w:b/>
          <w:sz w:val="22"/>
          <w:szCs w:val="22"/>
        </w:rPr>
        <w:tab/>
        <w:t>Commencement</w:t>
      </w:r>
    </w:p>
    <w:p w14:paraId="1C4D5D16" w14:textId="3F2CFC28" w:rsidR="000A4B91" w:rsidRPr="00CB5A57" w:rsidRDefault="000A4B91" w:rsidP="00931768">
      <w:pPr>
        <w:keepLines w:val="0"/>
        <w:spacing w:before="120" w:after="0"/>
        <w:rPr>
          <w:sz w:val="22"/>
          <w:szCs w:val="22"/>
        </w:rPr>
      </w:pPr>
      <w:r w:rsidRPr="00CB5A57">
        <w:rPr>
          <w:sz w:val="22"/>
          <w:szCs w:val="22"/>
        </w:rPr>
        <w:t xml:space="preserve">This section provides that this </w:t>
      </w:r>
      <w:r w:rsidR="005D7DC1" w:rsidRPr="00CB5A57">
        <w:rPr>
          <w:sz w:val="22"/>
          <w:szCs w:val="22"/>
        </w:rPr>
        <w:t>I</w:t>
      </w:r>
      <w:r w:rsidRPr="00CB5A57">
        <w:rPr>
          <w:sz w:val="22"/>
          <w:szCs w:val="22"/>
        </w:rPr>
        <w:t>nstrument commences on 1</w:t>
      </w:r>
      <w:r w:rsidR="006036A7" w:rsidRPr="00CB5A57">
        <w:rPr>
          <w:sz w:val="22"/>
          <w:szCs w:val="22"/>
        </w:rPr>
        <w:t xml:space="preserve"> </w:t>
      </w:r>
      <w:r w:rsidR="00A72540" w:rsidRPr="00CB5A57">
        <w:rPr>
          <w:sz w:val="22"/>
          <w:szCs w:val="22"/>
        </w:rPr>
        <w:t>September</w:t>
      </w:r>
      <w:r w:rsidR="000718FA" w:rsidRPr="00CB5A57">
        <w:rPr>
          <w:sz w:val="22"/>
          <w:szCs w:val="22"/>
        </w:rPr>
        <w:t xml:space="preserve"> 2020</w:t>
      </w:r>
      <w:r w:rsidRPr="00CB5A57">
        <w:rPr>
          <w:sz w:val="22"/>
          <w:szCs w:val="22"/>
        </w:rPr>
        <w:t>.</w:t>
      </w:r>
    </w:p>
    <w:p w14:paraId="5EF8CA44" w14:textId="77777777" w:rsidR="006A613A" w:rsidRPr="00CB5A57" w:rsidRDefault="000A4B91" w:rsidP="00032A06">
      <w:pPr>
        <w:keepLines w:val="0"/>
        <w:tabs>
          <w:tab w:val="left" w:pos="1418"/>
        </w:tabs>
        <w:spacing w:before="240" w:after="0"/>
        <w:ind w:left="1418" w:hanging="1418"/>
        <w:rPr>
          <w:b/>
          <w:sz w:val="22"/>
          <w:szCs w:val="22"/>
        </w:rPr>
      </w:pPr>
      <w:r w:rsidRPr="00CB5A57">
        <w:rPr>
          <w:b/>
          <w:sz w:val="22"/>
          <w:szCs w:val="22"/>
        </w:rPr>
        <w:t>Section 3</w:t>
      </w:r>
      <w:r w:rsidRPr="00CB5A57">
        <w:rPr>
          <w:b/>
          <w:sz w:val="22"/>
          <w:szCs w:val="22"/>
        </w:rPr>
        <w:tab/>
        <w:t>Amendment</w:t>
      </w:r>
      <w:r w:rsidR="00496BFA" w:rsidRPr="00CB5A57">
        <w:rPr>
          <w:b/>
          <w:sz w:val="22"/>
          <w:szCs w:val="22"/>
        </w:rPr>
        <w:t xml:space="preserve"> of </w:t>
      </w:r>
      <w:r w:rsidR="00496BFA" w:rsidRPr="00CB5A57">
        <w:rPr>
          <w:b/>
          <w:i/>
          <w:sz w:val="22"/>
          <w:szCs w:val="22"/>
        </w:rPr>
        <w:t>National Health (Highly specialised drugs program) Special Arrangement 2010</w:t>
      </w:r>
      <w:r w:rsidR="00496BFA" w:rsidRPr="00CB5A57">
        <w:rPr>
          <w:b/>
          <w:sz w:val="22"/>
          <w:szCs w:val="22"/>
        </w:rPr>
        <w:t xml:space="preserve"> (PB 116 of 2010)</w:t>
      </w:r>
    </w:p>
    <w:p w14:paraId="0974722A" w14:textId="77777777" w:rsidR="003308F2" w:rsidRPr="00CB5A57" w:rsidRDefault="00C67E61" w:rsidP="00931768">
      <w:pPr>
        <w:keepLines w:val="0"/>
        <w:spacing w:before="120" w:after="0"/>
        <w:rPr>
          <w:sz w:val="22"/>
          <w:szCs w:val="22"/>
        </w:rPr>
      </w:pPr>
      <w:r w:rsidRPr="00CB5A57">
        <w:rPr>
          <w:sz w:val="22"/>
          <w:szCs w:val="22"/>
        </w:rPr>
        <w:t xml:space="preserve">This section provides that </w:t>
      </w:r>
      <w:r w:rsidR="0027467B" w:rsidRPr="00CB5A57">
        <w:rPr>
          <w:sz w:val="22"/>
          <w:szCs w:val="22"/>
        </w:rPr>
        <w:t xml:space="preserve">Schedule </w:t>
      </w:r>
      <w:r w:rsidRPr="00CB5A57">
        <w:rPr>
          <w:sz w:val="22"/>
          <w:szCs w:val="22"/>
        </w:rPr>
        <w:t xml:space="preserve">1 </w:t>
      </w:r>
      <w:r w:rsidR="0027467B" w:rsidRPr="00CB5A57">
        <w:rPr>
          <w:sz w:val="22"/>
          <w:szCs w:val="22"/>
        </w:rPr>
        <w:t xml:space="preserve">amends the </w:t>
      </w:r>
      <w:r w:rsidR="0027467B" w:rsidRPr="00CB5A57">
        <w:rPr>
          <w:i/>
          <w:sz w:val="22"/>
          <w:szCs w:val="22"/>
        </w:rPr>
        <w:t>National Health (Highly specialised dru</w:t>
      </w:r>
      <w:r w:rsidR="00DD6DB6" w:rsidRPr="00CB5A57">
        <w:rPr>
          <w:i/>
          <w:sz w:val="22"/>
          <w:szCs w:val="22"/>
        </w:rPr>
        <w:t xml:space="preserve">gs program) Special Arrangement </w:t>
      </w:r>
      <w:r w:rsidR="0027467B" w:rsidRPr="00CB5A57">
        <w:rPr>
          <w:i/>
          <w:sz w:val="22"/>
          <w:szCs w:val="22"/>
        </w:rPr>
        <w:t>2010</w:t>
      </w:r>
      <w:r w:rsidR="00DD6DB6" w:rsidRPr="00CB5A57">
        <w:rPr>
          <w:sz w:val="22"/>
          <w:szCs w:val="22"/>
        </w:rPr>
        <w:t xml:space="preserve"> (PB 116 of </w:t>
      </w:r>
      <w:r w:rsidR="0027467B" w:rsidRPr="00CB5A57">
        <w:rPr>
          <w:sz w:val="22"/>
          <w:szCs w:val="22"/>
        </w:rPr>
        <w:t>2010).</w:t>
      </w:r>
    </w:p>
    <w:p w14:paraId="534C7878" w14:textId="736A6786" w:rsidR="0027467B" w:rsidRPr="00CB5A57" w:rsidRDefault="006036A7" w:rsidP="00192841">
      <w:pPr>
        <w:keepLines w:val="0"/>
        <w:tabs>
          <w:tab w:val="left" w:pos="1418"/>
        </w:tabs>
        <w:spacing w:before="240" w:after="0"/>
        <w:rPr>
          <w:b/>
          <w:sz w:val="22"/>
          <w:szCs w:val="22"/>
        </w:rPr>
      </w:pPr>
      <w:r w:rsidRPr="00CB5A57">
        <w:rPr>
          <w:b/>
          <w:sz w:val="22"/>
          <w:szCs w:val="22"/>
        </w:rPr>
        <w:t>Schedule</w:t>
      </w:r>
      <w:r w:rsidR="00A15E91" w:rsidRPr="00CB5A57">
        <w:rPr>
          <w:b/>
          <w:sz w:val="22"/>
          <w:szCs w:val="22"/>
        </w:rPr>
        <w:t xml:space="preserve"> 1</w:t>
      </w:r>
      <w:r w:rsidRPr="00CB5A57">
        <w:rPr>
          <w:b/>
          <w:sz w:val="22"/>
          <w:szCs w:val="22"/>
        </w:rPr>
        <w:tab/>
      </w:r>
      <w:r w:rsidR="006A613A" w:rsidRPr="00CB5A57">
        <w:rPr>
          <w:b/>
          <w:sz w:val="22"/>
          <w:szCs w:val="22"/>
        </w:rPr>
        <w:t>Amendments</w:t>
      </w:r>
    </w:p>
    <w:p w14:paraId="6C2C7185" w14:textId="3A516588" w:rsidR="00653388" w:rsidRPr="00CB5A57" w:rsidRDefault="006F23F5" w:rsidP="00192841">
      <w:pPr>
        <w:keepLines w:val="0"/>
        <w:spacing w:after="0"/>
        <w:rPr>
          <w:sz w:val="22"/>
          <w:szCs w:val="22"/>
        </w:rPr>
      </w:pPr>
      <w:r w:rsidRPr="00CB5A57">
        <w:rPr>
          <w:sz w:val="22"/>
          <w:szCs w:val="22"/>
        </w:rPr>
        <w:t xml:space="preserve">The amendments in Schedule 1 involve </w:t>
      </w:r>
      <w:r w:rsidR="00B90D1D" w:rsidRPr="00CB5A57">
        <w:rPr>
          <w:sz w:val="22"/>
          <w:szCs w:val="22"/>
        </w:rPr>
        <w:t xml:space="preserve">the </w:t>
      </w:r>
      <w:r w:rsidR="001C1E1C" w:rsidRPr="00CB5A57">
        <w:rPr>
          <w:sz w:val="22"/>
          <w:szCs w:val="22"/>
        </w:rPr>
        <w:t>deletion</w:t>
      </w:r>
      <w:r w:rsidR="00B90D1D" w:rsidRPr="00CB5A57">
        <w:rPr>
          <w:sz w:val="22"/>
          <w:szCs w:val="22"/>
        </w:rPr>
        <w:t xml:space="preserve"> of a brand, the alteration of responsible person codes for brands of pharmaceutical benefits</w:t>
      </w:r>
      <w:r w:rsidR="000C3F6A" w:rsidRPr="00CB5A57">
        <w:rPr>
          <w:sz w:val="22"/>
          <w:szCs w:val="22"/>
        </w:rPr>
        <w:t xml:space="preserve">, </w:t>
      </w:r>
      <w:r w:rsidR="001C1E1C" w:rsidRPr="00CB5A57">
        <w:rPr>
          <w:sz w:val="22"/>
          <w:szCs w:val="22"/>
        </w:rPr>
        <w:t xml:space="preserve">the alteration of </w:t>
      </w:r>
      <w:r w:rsidR="009A1AC7" w:rsidRPr="00CB5A57">
        <w:rPr>
          <w:sz w:val="22"/>
          <w:szCs w:val="22"/>
        </w:rPr>
        <w:t xml:space="preserve">brand </w:t>
      </w:r>
      <w:r w:rsidR="001C1E1C" w:rsidRPr="00CB5A57">
        <w:rPr>
          <w:sz w:val="22"/>
          <w:szCs w:val="22"/>
        </w:rPr>
        <w:t>names of pharmaceutical benefits, and the alteration of a responsible person name.</w:t>
      </w:r>
      <w:r w:rsidR="000C3F6A" w:rsidRPr="00CB5A57">
        <w:rPr>
          <w:sz w:val="22"/>
          <w:szCs w:val="22"/>
        </w:rPr>
        <w:t xml:space="preserve"> </w:t>
      </w:r>
      <w:r w:rsidR="00B90D1D" w:rsidRPr="00CB5A57">
        <w:rPr>
          <w:sz w:val="22"/>
          <w:szCs w:val="22"/>
        </w:rPr>
        <w:t xml:space="preserve"> </w:t>
      </w:r>
      <w:r w:rsidR="001C1E1C" w:rsidRPr="00CB5A57">
        <w:rPr>
          <w:sz w:val="22"/>
          <w:szCs w:val="22"/>
        </w:rPr>
        <w:t>T</w:t>
      </w:r>
      <w:r w:rsidRPr="00CB5A57">
        <w:rPr>
          <w:sz w:val="22"/>
          <w:szCs w:val="22"/>
        </w:rPr>
        <w:t>he</w:t>
      </w:r>
      <w:r w:rsidR="001C1E1C" w:rsidRPr="00CB5A57">
        <w:rPr>
          <w:sz w:val="22"/>
          <w:szCs w:val="22"/>
        </w:rPr>
        <w:t>y</w:t>
      </w:r>
      <w:r w:rsidRPr="00CB5A57">
        <w:rPr>
          <w:sz w:val="22"/>
          <w:szCs w:val="22"/>
        </w:rPr>
        <w:t xml:space="preserve"> </w:t>
      </w:r>
      <w:r w:rsidR="001C1E1C" w:rsidRPr="00CB5A57">
        <w:rPr>
          <w:sz w:val="22"/>
          <w:szCs w:val="22"/>
        </w:rPr>
        <w:t xml:space="preserve">also include the </w:t>
      </w:r>
      <w:r w:rsidRPr="00CB5A57">
        <w:rPr>
          <w:sz w:val="22"/>
          <w:szCs w:val="22"/>
        </w:rPr>
        <w:t xml:space="preserve">alteration </w:t>
      </w:r>
      <w:r w:rsidR="00447D0A" w:rsidRPr="00CB5A57">
        <w:rPr>
          <w:sz w:val="22"/>
          <w:szCs w:val="22"/>
        </w:rPr>
        <w:t>of</w:t>
      </w:r>
      <w:r w:rsidRPr="00CB5A57">
        <w:rPr>
          <w:sz w:val="22"/>
          <w:szCs w:val="22"/>
        </w:rPr>
        <w:t xml:space="preserve"> circumstances for prescribing various pharmaceutical benefits available </w:t>
      </w:r>
      <w:r w:rsidR="00405F4B" w:rsidRPr="00CB5A57">
        <w:rPr>
          <w:sz w:val="22"/>
          <w:szCs w:val="22"/>
        </w:rPr>
        <w:t xml:space="preserve">under </w:t>
      </w:r>
      <w:r w:rsidR="00FC2E4E" w:rsidRPr="00CB5A57">
        <w:rPr>
          <w:sz w:val="22"/>
          <w:szCs w:val="22"/>
        </w:rPr>
        <w:t>the Special Arrangement</w:t>
      </w:r>
      <w:r w:rsidR="001C1E1C" w:rsidRPr="00CB5A57">
        <w:rPr>
          <w:sz w:val="22"/>
          <w:szCs w:val="22"/>
        </w:rPr>
        <w:t xml:space="preserve">, in order correct </w:t>
      </w:r>
      <w:r w:rsidR="00605C50" w:rsidRPr="00CB5A57">
        <w:rPr>
          <w:sz w:val="22"/>
          <w:szCs w:val="22"/>
        </w:rPr>
        <w:t xml:space="preserve">minor </w:t>
      </w:r>
      <w:r w:rsidR="001C1E1C" w:rsidRPr="00CB5A57">
        <w:rPr>
          <w:sz w:val="22"/>
          <w:szCs w:val="22"/>
        </w:rPr>
        <w:t>historical typographical/transcription errors identified under review</w:t>
      </w:r>
      <w:r w:rsidRPr="00CB5A57">
        <w:rPr>
          <w:sz w:val="22"/>
          <w:szCs w:val="22"/>
        </w:rPr>
        <w:t>.  These changes are summarised below.</w:t>
      </w:r>
    </w:p>
    <w:p w14:paraId="636C3C14" w14:textId="77777777" w:rsidR="0098079E" w:rsidRPr="00CB5A57" w:rsidRDefault="0098079E" w:rsidP="00192841">
      <w:pPr>
        <w:keepLines w:val="0"/>
        <w:spacing w:after="0"/>
        <w:rPr>
          <w:sz w:val="22"/>
          <w:szCs w:val="22"/>
        </w:rPr>
      </w:pPr>
    </w:p>
    <w:p w14:paraId="741FFD83" w14:textId="7D2011CA" w:rsidR="006F23F5" w:rsidRPr="00CB5A57" w:rsidRDefault="006F23F5" w:rsidP="006F23F5">
      <w:pPr>
        <w:keepLines w:val="0"/>
        <w:widowControl w:val="0"/>
        <w:spacing w:after="0"/>
        <w:jc w:val="center"/>
        <w:rPr>
          <w:b/>
          <w:sz w:val="24"/>
          <w:szCs w:val="24"/>
        </w:rPr>
      </w:pPr>
      <w:r w:rsidRPr="00CB5A57">
        <w:rPr>
          <w:b/>
          <w:sz w:val="22"/>
          <w:szCs w:val="22"/>
        </w:rPr>
        <w:t xml:space="preserve">SUMMARY OF CHANGES TO THE </w:t>
      </w:r>
      <w:r w:rsidRPr="00CB5A57">
        <w:rPr>
          <w:b/>
          <w:i/>
          <w:sz w:val="22"/>
          <w:szCs w:val="22"/>
        </w:rPr>
        <w:t>NATIONAL HEALTH (HIGHLY SPECIALISED DRUGS PROGRAM) SPECIAL ARRANGEMENT 2010</w:t>
      </w:r>
      <w:r w:rsidRPr="00CB5A57">
        <w:rPr>
          <w:b/>
          <w:sz w:val="22"/>
          <w:szCs w:val="22"/>
        </w:rPr>
        <w:t xml:space="preserve"> MADE BY THIS INSTRUMENT</w:t>
      </w:r>
    </w:p>
    <w:p w14:paraId="05597799" w14:textId="77777777" w:rsidR="00586DE6" w:rsidRPr="00CB5A57" w:rsidRDefault="00586DE6" w:rsidP="00586DE6">
      <w:pPr>
        <w:keepNext/>
        <w:keepLines w:val="0"/>
        <w:spacing w:before="240" w:after="0"/>
        <w:jc w:val="left"/>
        <w:rPr>
          <w:b/>
          <w:sz w:val="24"/>
          <w:szCs w:val="24"/>
        </w:rPr>
      </w:pPr>
      <w:r w:rsidRPr="00CB5A57">
        <w:rPr>
          <w:b/>
          <w:sz w:val="24"/>
          <w:szCs w:val="24"/>
        </w:rPr>
        <w:t>Brands Deleted</w:t>
      </w:r>
    </w:p>
    <w:tbl>
      <w:tblPr>
        <w:tblStyle w:val="TableGrid"/>
        <w:tblW w:w="69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843"/>
        <w:gridCol w:w="5099"/>
      </w:tblGrid>
      <w:tr w:rsidR="00586DE6" w:rsidRPr="00CB5A57" w14:paraId="4DC1E30C" w14:textId="77777777" w:rsidTr="00586DE6">
        <w:tc>
          <w:tcPr>
            <w:tcW w:w="1843" w:type="dxa"/>
          </w:tcPr>
          <w:p w14:paraId="544DCC06" w14:textId="77777777" w:rsidR="00586DE6" w:rsidRPr="00CB5A57" w:rsidRDefault="00586DE6" w:rsidP="008B3877">
            <w:pPr>
              <w:keepNext/>
              <w:keepLines w:val="0"/>
              <w:widowControl w:val="0"/>
              <w:spacing w:before="60" w:after="0"/>
              <w:jc w:val="left"/>
              <w:rPr>
                <w:rFonts w:eastAsia="Arial"/>
                <w:sz w:val="22"/>
                <w:szCs w:val="22"/>
                <w:lang w:eastAsia="zh-CN"/>
              </w:rPr>
            </w:pPr>
            <w:r w:rsidRPr="00CB5A57">
              <w:rPr>
                <w:b/>
                <w:i/>
                <w:sz w:val="22"/>
              </w:rPr>
              <w:t>Listed Drug</w:t>
            </w:r>
          </w:p>
        </w:tc>
        <w:tc>
          <w:tcPr>
            <w:tcW w:w="5099" w:type="dxa"/>
          </w:tcPr>
          <w:p w14:paraId="4798D8CC" w14:textId="77777777" w:rsidR="00586DE6" w:rsidRPr="00CB5A57" w:rsidRDefault="00586DE6" w:rsidP="008B3877">
            <w:pPr>
              <w:keepLines w:val="0"/>
              <w:widowControl w:val="0"/>
              <w:spacing w:before="60" w:after="0"/>
              <w:jc w:val="left"/>
              <w:rPr>
                <w:rFonts w:eastAsia="Arial"/>
                <w:sz w:val="22"/>
                <w:szCs w:val="22"/>
                <w:lang w:eastAsia="zh-CN"/>
              </w:rPr>
            </w:pPr>
            <w:r w:rsidRPr="00CB5A57">
              <w:rPr>
                <w:b/>
                <w:i/>
                <w:sz w:val="22"/>
              </w:rPr>
              <w:t>Form and Brand</w:t>
            </w:r>
          </w:p>
        </w:tc>
      </w:tr>
      <w:tr w:rsidR="00586DE6" w:rsidRPr="00CB5A57" w14:paraId="72C1C4E9" w14:textId="77777777" w:rsidTr="00586DE6">
        <w:tc>
          <w:tcPr>
            <w:tcW w:w="1843" w:type="dxa"/>
          </w:tcPr>
          <w:p w14:paraId="22303481" w14:textId="68C85E93" w:rsidR="00586DE6" w:rsidRPr="00CB5A57" w:rsidRDefault="00586DE6" w:rsidP="00115EED">
            <w:pPr>
              <w:keepLines w:val="0"/>
              <w:widowControl w:val="0"/>
              <w:spacing w:before="60" w:after="0"/>
              <w:jc w:val="left"/>
            </w:pPr>
            <w:r w:rsidRPr="00CB5A57">
              <w:t>Adefovir</w:t>
            </w:r>
          </w:p>
        </w:tc>
        <w:tc>
          <w:tcPr>
            <w:tcW w:w="5099" w:type="dxa"/>
          </w:tcPr>
          <w:p w14:paraId="2E5AF6FB" w14:textId="5664033D" w:rsidR="00586DE6" w:rsidRPr="00CB5A57" w:rsidRDefault="00586DE6" w:rsidP="00115EED">
            <w:pPr>
              <w:keepLines w:val="0"/>
              <w:widowControl w:val="0"/>
              <w:spacing w:before="60" w:after="0"/>
              <w:jc w:val="left"/>
            </w:pPr>
            <w:r w:rsidRPr="00CB5A57">
              <w:t>Tablet containing adefovir dipivoxil 10 mg (</w:t>
            </w:r>
            <w:r w:rsidRPr="00CB5A57">
              <w:rPr>
                <w:i/>
              </w:rPr>
              <w:t>Hepsera</w:t>
            </w:r>
            <w:r w:rsidRPr="00CB5A57">
              <w:t>)</w:t>
            </w:r>
          </w:p>
        </w:tc>
      </w:tr>
    </w:tbl>
    <w:p w14:paraId="1A49ACE0" w14:textId="0447C7E1" w:rsidR="00586DE6" w:rsidRPr="00CB5A57" w:rsidRDefault="00586DE6" w:rsidP="00083037">
      <w:pPr>
        <w:keepNext/>
        <w:keepLines w:val="0"/>
        <w:spacing w:before="240" w:after="0"/>
        <w:rPr>
          <w:b/>
          <w:sz w:val="24"/>
          <w:szCs w:val="22"/>
        </w:rPr>
      </w:pPr>
      <w:r w:rsidRPr="00CB5A57">
        <w:rPr>
          <w:b/>
          <w:sz w:val="24"/>
          <w:szCs w:val="22"/>
        </w:rPr>
        <w:t>Alteration of Responsible Person</w:t>
      </w:r>
    </w:p>
    <w:tbl>
      <w:tblPr>
        <w:tblStyle w:val="TableGrid"/>
        <w:tblW w:w="527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28" w:type="dxa"/>
          <w:bottom w:w="28" w:type="dxa"/>
          <w:right w:w="28" w:type="dxa"/>
        </w:tblCellMar>
        <w:tblLook w:val="01E0" w:firstRow="1" w:lastRow="1" w:firstColumn="1" w:lastColumn="1" w:noHBand="0" w:noVBand="0"/>
      </w:tblPr>
      <w:tblGrid>
        <w:gridCol w:w="1843"/>
        <w:gridCol w:w="3402"/>
        <w:gridCol w:w="1701"/>
        <w:gridCol w:w="2567"/>
      </w:tblGrid>
      <w:tr w:rsidR="00586DE6" w:rsidRPr="00CB5A57" w14:paraId="59C8FDC4" w14:textId="77777777" w:rsidTr="00586DE6">
        <w:trPr>
          <w:trHeight w:val="340"/>
        </w:trPr>
        <w:tc>
          <w:tcPr>
            <w:tcW w:w="969" w:type="pct"/>
            <w:vAlign w:val="center"/>
          </w:tcPr>
          <w:p w14:paraId="1779D3F6" w14:textId="77777777" w:rsidR="00586DE6" w:rsidRPr="00CB5A57" w:rsidRDefault="00586DE6" w:rsidP="008B3877">
            <w:pPr>
              <w:keepNext/>
              <w:keepLines w:val="0"/>
              <w:spacing w:before="60" w:after="0"/>
              <w:jc w:val="left"/>
              <w:rPr>
                <w:b/>
                <w:i/>
                <w:sz w:val="22"/>
                <w:szCs w:val="22"/>
              </w:rPr>
            </w:pPr>
            <w:r w:rsidRPr="00CB5A57">
              <w:rPr>
                <w:b/>
                <w:i/>
                <w:sz w:val="22"/>
                <w:szCs w:val="22"/>
              </w:rPr>
              <w:t>Listed Drug</w:t>
            </w:r>
          </w:p>
        </w:tc>
        <w:tc>
          <w:tcPr>
            <w:tcW w:w="1788" w:type="pct"/>
            <w:vAlign w:val="center"/>
          </w:tcPr>
          <w:p w14:paraId="37C53BE4" w14:textId="77777777" w:rsidR="00586DE6" w:rsidRPr="00CB5A57" w:rsidRDefault="00586DE6" w:rsidP="008B3877">
            <w:pPr>
              <w:keepLines w:val="0"/>
              <w:spacing w:before="60" w:after="0"/>
              <w:jc w:val="left"/>
              <w:rPr>
                <w:b/>
                <w:i/>
                <w:sz w:val="22"/>
                <w:szCs w:val="22"/>
              </w:rPr>
            </w:pPr>
            <w:r w:rsidRPr="00CB5A57">
              <w:rPr>
                <w:b/>
                <w:i/>
                <w:sz w:val="22"/>
                <w:szCs w:val="22"/>
              </w:rPr>
              <w:t>Form</w:t>
            </w:r>
          </w:p>
        </w:tc>
        <w:tc>
          <w:tcPr>
            <w:tcW w:w="894" w:type="pct"/>
            <w:vAlign w:val="center"/>
          </w:tcPr>
          <w:p w14:paraId="24976429" w14:textId="77777777" w:rsidR="00586DE6" w:rsidRPr="00CB5A57" w:rsidRDefault="00586DE6" w:rsidP="008B3877">
            <w:pPr>
              <w:keepLines w:val="0"/>
              <w:spacing w:before="60" w:after="0"/>
              <w:jc w:val="left"/>
              <w:rPr>
                <w:b/>
                <w:i/>
                <w:sz w:val="22"/>
                <w:szCs w:val="22"/>
              </w:rPr>
            </w:pPr>
            <w:r w:rsidRPr="00CB5A57">
              <w:rPr>
                <w:b/>
                <w:i/>
                <w:sz w:val="22"/>
                <w:szCs w:val="22"/>
              </w:rPr>
              <w:t>Brand Name</w:t>
            </w:r>
          </w:p>
        </w:tc>
        <w:tc>
          <w:tcPr>
            <w:tcW w:w="1349" w:type="pct"/>
            <w:vAlign w:val="center"/>
          </w:tcPr>
          <w:p w14:paraId="5EEA3390" w14:textId="77777777" w:rsidR="00586DE6" w:rsidRPr="00CB5A57" w:rsidRDefault="00586DE6" w:rsidP="008B3877">
            <w:pPr>
              <w:keepLines w:val="0"/>
              <w:spacing w:before="60" w:after="0"/>
              <w:jc w:val="left"/>
              <w:rPr>
                <w:b/>
                <w:i/>
                <w:sz w:val="22"/>
                <w:szCs w:val="22"/>
              </w:rPr>
            </w:pPr>
            <w:r w:rsidRPr="00CB5A57">
              <w:rPr>
                <w:b/>
                <w:i/>
                <w:sz w:val="22"/>
                <w:szCs w:val="22"/>
              </w:rPr>
              <w:t>Responsible Person Code</w:t>
            </w:r>
          </w:p>
        </w:tc>
      </w:tr>
      <w:tr w:rsidR="00586DE6" w:rsidRPr="00CB5A57" w14:paraId="733DBA8E" w14:textId="77777777" w:rsidTr="00586DE6">
        <w:trPr>
          <w:trHeight w:val="284"/>
        </w:trPr>
        <w:tc>
          <w:tcPr>
            <w:tcW w:w="969" w:type="pct"/>
            <w:vMerge w:val="restart"/>
          </w:tcPr>
          <w:p w14:paraId="0EBC3BF8" w14:textId="6E90C3DA" w:rsidR="00586DE6" w:rsidRPr="00CB5A57" w:rsidRDefault="00586DE6" w:rsidP="008B3877">
            <w:pPr>
              <w:keepLines w:val="0"/>
              <w:spacing w:before="60" w:after="60"/>
              <w:jc w:val="left"/>
            </w:pPr>
            <w:r w:rsidRPr="00CB5A57">
              <w:t>Deferiprone</w:t>
            </w:r>
          </w:p>
        </w:tc>
        <w:tc>
          <w:tcPr>
            <w:tcW w:w="1788" w:type="pct"/>
          </w:tcPr>
          <w:p w14:paraId="665564EB" w14:textId="26CBF106" w:rsidR="00586DE6" w:rsidRPr="00CB5A57" w:rsidRDefault="00586DE6" w:rsidP="008B3877">
            <w:pPr>
              <w:keepLines w:val="0"/>
              <w:spacing w:before="60" w:after="60"/>
              <w:jc w:val="left"/>
            </w:pPr>
            <w:r w:rsidRPr="00CB5A57">
              <w:t>Tablet 500 mg</w:t>
            </w:r>
          </w:p>
        </w:tc>
        <w:tc>
          <w:tcPr>
            <w:tcW w:w="894" w:type="pct"/>
          </w:tcPr>
          <w:p w14:paraId="750D84AD" w14:textId="6BDD44D5" w:rsidR="00586DE6" w:rsidRPr="00CB5A57" w:rsidRDefault="00586DE6" w:rsidP="008B3877">
            <w:pPr>
              <w:keepLines w:val="0"/>
              <w:spacing w:before="60" w:after="60"/>
              <w:jc w:val="left"/>
              <w:rPr>
                <w:i/>
              </w:rPr>
            </w:pPr>
            <w:r w:rsidRPr="00CB5A57">
              <w:rPr>
                <w:i/>
              </w:rPr>
              <w:t>Ferriprox</w:t>
            </w:r>
          </w:p>
        </w:tc>
        <w:tc>
          <w:tcPr>
            <w:tcW w:w="1349" w:type="pct"/>
          </w:tcPr>
          <w:p w14:paraId="1DE19C81" w14:textId="662EABF2" w:rsidR="00586DE6" w:rsidRPr="00CB5A57" w:rsidRDefault="00586DE6" w:rsidP="00AF2D99">
            <w:pPr>
              <w:keepLines w:val="0"/>
              <w:spacing w:before="60" w:after="0"/>
              <w:jc w:val="left"/>
              <w:rPr>
                <w:b/>
              </w:rPr>
            </w:pPr>
            <w:r w:rsidRPr="00CB5A57">
              <w:rPr>
                <w:b/>
                <w:i/>
              </w:rPr>
              <w:t>From:</w:t>
            </w:r>
            <w:r w:rsidRPr="00CB5A57">
              <w:rPr>
                <w:b/>
              </w:rPr>
              <w:t xml:space="preserve"> </w:t>
            </w:r>
            <w:r w:rsidRPr="00CB5A57">
              <w:t>TX</w:t>
            </w:r>
            <w:r w:rsidR="00AF2D99" w:rsidRPr="00CB5A57">
              <w:br/>
            </w:r>
            <w:r w:rsidRPr="00CB5A57">
              <w:rPr>
                <w:b/>
                <w:i/>
              </w:rPr>
              <w:t xml:space="preserve">To: </w:t>
            </w:r>
            <w:r w:rsidRPr="00CB5A57">
              <w:t>EU</w:t>
            </w:r>
          </w:p>
        </w:tc>
      </w:tr>
      <w:tr w:rsidR="00586DE6" w:rsidRPr="00CB5A57" w14:paraId="59B4AB60" w14:textId="77777777" w:rsidTr="00586DE6">
        <w:trPr>
          <w:trHeight w:val="284"/>
        </w:trPr>
        <w:tc>
          <w:tcPr>
            <w:tcW w:w="969" w:type="pct"/>
            <w:vMerge/>
          </w:tcPr>
          <w:p w14:paraId="3623BE53" w14:textId="77777777" w:rsidR="00586DE6" w:rsidRPr="00CB5A57" w:rsidRDefault="00586DE6" w:rsidP="00586DE6">
            <w:pPr>
              <w:keepLines w:val="0"/>
              <w:spacing w:before="60" w:after="60"/>
              <w:jc w:val="left"/>
            </w:pPr>
          </w:p>
        </w:tc>
        <w:tc>
          <w:tcPr>
            <w:tcW w:w="1788" w:type="pct"/>
          </w:tcPr>
          <w:p w14:paraId="144955D7" w14:textId="45AE9A0B" w:rsidR="00586DE6" w:rsidRPr="00CB5A57" w:rsidRDefault="00586DE6" w:rsidP="00586DE6">
            <w:pPr>
              <w:keepLines w:val="0"/>
              <w:spacing w:before="60" w:after="60"/>
              <w:jc w:val="left"/>
            </w:pPr>
            <w:r w:rsidRPr="00CB5A57">
              <w:t>Tablet 1000 mg</w:t>
            </w:r>
          </w:p>
        </w:tc>
        <w:tc>
          <w:tcPr>
            <w:tcW w:w="894" w:type="pct"/>
          </w:tcPr>
          <w:p w14:paraId="5C6ECADB" w14:textId="7D423E37" w:rsidR="00586DE6" w:rsidRPr="00CB5A57" w:rsidRDefault="00586DE6" w:rsidP="00586DE6">
            <w:pPr>
              <w:keepLines w:val="0"/>
              <w:spacing w:before="60" w:after="60"/>
              <w:jc w:val="left"/>
              <w:rPr>
                <w:i/>
              </w:rPr>
            </w:pPr>
            <w:r w:rsidRPr="00CB5A57">
              <w:rPr>
                <w:i/>
              </w:rPr>
              <w:t>Ferriprox</w:t>
            </w:r>
          </w:p>
        </w:tc>
        <w:tc>
          <w:tcPr>
            <w:tcW w:w="1349" w:type="pct"/>
          </w:tcPr>
          <w:p w14:paraId="216924C7" w14:textId="3D98D675" w:rsidR="00586DE6" w:rsidRPr="00CB5A57" w:rsidRDefault="00586DE6" w:rsidP="00AF2D99">
            <w:pPr>
              <w:keepLines w:val="0"/>
              <w:spacing w:before="60" w:after="0"/>
              <w:jc w:val="left"/>
              <w:rPr>
                <w:b/>
                <w:i/>
              </w:rPr>
            </w:pPr>
            <w:r w:rsidRPr="00CB5A57">
              <w:rPr>
                <w:b/>
                <w:i/>
              </w:rPr>
              <w:t>From:</w:t>
            </w:r>
            <w:r w:rsidRPr="00CB5A57">
              <w:rPr>
                <w:b/>
              </w:rPr>
              <w:t xml:space="preserve"> </w:t>
            </w:r>
            <w:r w:rsidRPr="00CB5A57">
              <w:t>TX</w:t>
            </w:r>
            <w:r w:rsidR="00AF2D99" w:rsidRPr="00CB5A57">
              <w:br/>
            </w:r>
            <w:r w:rsidRPr="00CB5A57">
              <w:rPr>
                <w:b/>
                <w:i/>
              </w:rPr>
              <w:t xml:space="preserve">To: </w:t>
            </w:r>
            <w:r w:rsidRPr="00CB5A57">
              <w:t>EU</w:t>
            </w:r>
          </w:p>
        </w:tc>
      </w:tr>
      <w:tr w:rsidR="00586DE6" w:rsidRPr="00CB5A57" w14:paraId="2087E8EF" w14:textId="77777777" w:rsidTr="00586DE6">
        <w:trPr>
          <w:trHeight w:val="284"/>
        </w:trPr>
        <w:tc>
          <w:tcPr>
            <w:tcW w:w="969" w:type="pct"/>
            <w:vMerge/>
          </w:tcPr>
          <w:p w14:paraId="581DC6DA" w14:textId="77777777" w:rsidR="00586DE6" w:rsidRPr="00CB5A57" w:rsidRDefault="00586DE6" w:rsidP="00586DE6">
            <w:pPr>
              <w:keepLines w:val="0"/>
              <w:spacing w:before="60" w:after="60"/>
              <w:jc w:val="left"/>
            </w:pPr>
          </w:p>
        </w:tc>
        <w:tc>
          <w:tcPr>
            <w:tcW w:w="1788" w:type="pct"/>
          </w:tcPr>
          <w:p w14:paraId="09628CF7" w14:textId="6A376CD8" w:rsidR="00586DE6" w:rsidRPr="00CB5A57" w:rsidRDefault="00586DE6" w:rsidP="00586DE6">
            <w:pPr>
              <w:keepLines w:val="0"/>
              <w:spacing w:before="60" w:after="60"/>
              <w:jc w:val="left"/>
            </w:pPr>
            <w:r w:rsidRPr="00CB5A57">
              <w:t>Oral solution 100 mg per mL, 250 mL</w:t>
            </w:r>
          </w:p>
        </w:tc>
        <w:tc>
          <w:tcPr>
            <w:tcW w:w="894" w:type="pct"/>
          </w:tcPr>
          <w:p w14:paraId="24C68532" w14:textId="4ECFF135" w:rsidR="00586DE6" w:rsidRPr="00CB5A57" w:rsidRDefault="00586DE6" w:rsidP="00586DE6">
            <w:pPr>
              <w:keepLines w:val="0"/>
              <w:spacing w:before="60" w:after="60"/>
              <w:jc w:val="left"/>
              <w:rPr>
                <w:i/>
              </w:rPr>
            </w:pPr>
            <w:r w:rsidRPr="00CB5A57">
              <w:rPr>
                <w:i/>
              </w:rPr>
              <w:t>Ferriprox</w:t>
            </w:r>
          </w:p>
        </w:tc>
        <w:tc>
          <w:tcPr>
            <w:tcW w:w="1349" w:type="pct"/>
          </w:tcPr>
          <w:p w14:paraId="6EF0A21B" w14:textId="17550DFF" w:rsidR="00586DE6" w:rsidRPr="00CB5A57" w:rsidRDefault="00586DE6" w:rsidP="00AF2D99">
            <w:pPr>
              <w:keepLines w:val="0"/>
              <w:spacing w:before="60" w:after="0"/>
              <w:jc w:val="left"/>
              <w:rPr>
                <w:b/>
                <w:i/>
              </w:rPr>
            </w:pPr>
            <w:r w:rsidRPr="00CB5A57">
              <w:rPr>
                <w:b/>
                <w:i/>
              </w:rPr>
              <w:t>From:</w:t>
            </w:r>
            <w:r w:rsidRPr="00CB5A57">
              <w:rPr>
                <w:b/>
              </w:rPr>
              <w:t xml:space="preserve"> </w:t>
            </w:r>
            <w:r w:rsidRPr="00CB5A57">
              <w:t>TX</w:t>
            </w:r>
            <w:r w:rsidR="00AF2D99" w:rsidRPr="00CB5A57">
              <w:br/>
            </w:r>
            <w:r w:rsidRPr="00CB5A57">
              <w:rPr>
                <w:b/>
                <w:i/>
              </w:rPr>
              <w:t xml:space="preserve">To: </w:t>
            </w:r>
            <w:r w:rsidRPr="00CB5A57">
              <w:t>EU</w:t>
            </w:r>
          </w:p>
        </w:tc>
      </w:tr>
    </w:tbl>
    <w:p w14:paraId="19C7E8BF" w14:textId="72D0F79E" w:rsidR="00586DE6" w:rsidRPr="00CB5A57" w:rsidRDefault="00586DE6" w:rsidP="00083037">
      <w:pPr>
        <w:keepNext/>
        <w:keepLines w:val="0"/>
        <w:spacing w:before="240" w:after="0"/>
        <w:rPr>
          <w:b/>
          <w:sz w:val="24"/>
          <w:szCs w:val="22"/>
        </w:rPr>
      </w:pPr>
      <w:r w:rsidRPr="00CB5A57">
        <w:rPr>
          <w:b/>
          <w:sz w:val="24"/>
          <w:szCs w:val="22"/>
        </w:rPr>
        <w:t>Alteration of Brand Name</w:t>
      </w:r>
    </w:p>
    <w:tbl>
      <w:tblPr>
        <w:tblStyle w:val="TableGrid"/>
        <w:tblW w:w="526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28" w:type="dxa"/>
          <w:bottom w:w="28" w:type="dxa"/>
          <w:right w:w="28" w:type="dxa"/>
        </w:tblCellMar>
        <w:tblLook w:val="01E0" w:firstRow="1" w:lastRow="1" w:firstColumn="1" w:lastColumn="1" w:noHBand="0" w:noVBand="0"/>
      </w:tblPr>
      <w:tblGrid>
        <w:gridCol w:w="1845"/>
        <w:gridCol w:w="4393"/>
        <w:gridCol w:w="3259"/>
      </w:tblGrid>
      <w:tr w:rsidR="00586DE6" w:rsidRPr="00CB5A57" w14:paraId="05206B0F" w14:textId="77777777" w:rsidTr="003330B8">
        <w:trPr>
          <w:trHeight w:val="340"/>
        </w:trPr>
        <w:tc>
          <w:tcPr>
            <w:tcW w:w="971" w:type="pct"/>
            <w:vAlign w:val="center"/>
          </w:tcPr>
          <w:p w14:paraId="2538989E" w14:textId="77777777" w:rsidR="00586DE6" w:rsidRPr="00CB5A57" w:rsidRDefault="00586DE6" w:rsidP="008B3877">
            <w:pPr>
              <w:keepNext/>
              <w:keepLines w:val="0"/>
              <w:spacing w:before="60" w:after="0"/>
              <w:jc w:val="left"/>
              <w:rPr>
                <w:b/>
                <w:i/>
                <w:sz w:val="22"/>
                <w:szCs w:val="22"/>
              </w:rPr>
            </w:pPr>
            <w:r w:rsidRPr="00CB5A57">
              <w:rPr>
                <w:b/>
                <w:i/>
                <w:sz w:val="22"/>
                <w:szCs w:val="22"/>
              </w:rPr>
              <w:t>Listed Drug</w:t>
            </w:r>
          </w:p>
        </w:tc>
        <w:tc>
          <w:tcPr>
            <w:tcW w:w="2313" w:type="pct"/>
            <w:vAlign w:val="center"/>
          </w:tcPr>
          <w:p w14:paraId="0743A5D7" w14:textId="77777777" w:rsidR="00586DE6" w:rsidRPr="00CB5A57" w:rsidRDefault="00586DE6" w:rsidP="008B3877">
            <w:pPr>
              <w:keepLines w:val="0"/>
              <w:spacing w:before="60" w:after="0"/>
              <w:jc w:val="left"/>
              <w:rPr>
                <w:b/>
                <w:i/>
                <w:sz w:val="22"/>
                <w:szCs w:val="22"/>
              </w:rPr>
            </w:pPr>
            <w:r w:rsidRPr="00CB5A57">
              <w:rPr>
                <w:b/>
                <w:i/>
                <w:sz w:val="22"/>
                <w:szCs w:val="22"/>
              </w:rPr>
              <w:t>Form</w:t>
            </w:r>
          </w:p>
        </w:tc>
        <w:tc>
          <w:tcPr>
            <w:tcW w:w="1716" w:type="pct"/>
            <w:vAlign w:val="center"/>
          </w:tcPr>
          <w:p w14:paraId="493DE4AC" w14:textId="77777777" w:rsidR="00586DE6" w:rsidRPr="00CB5A57" w:rsidRDefault="00586DE6" w:rsidP="008B3877">
            <w:pPr>
              <w:keepLines w:val="0"/>
              <w:spacing w:before="60" w:after="0"/>
              <w:jc w:val="left"/>
              <w:rPr>
                <w:b/>
                <w:i/>
                <w:sz w:val="22"/>
                <w:szCs w:val="22"/>
              </w:rPr>
            </w:pPr>
            <w:r w:rsidRPr="00CB5A57">
              <w:rPr>
                <w:b/>
                <w:i/>
                <w:sz w:val="22"/>
                <w:szCs w:val="22"/>
              </w:rPr>
              <w:t>Brand Name</w:t>
            </w:r>
          </w:p>
        </w:tc>
      </w:tr>
      <w:tr w:rsidR="00586DE6" w:rsidRPr="00CB5A57" w14:paraId="0E9AFC15" w14:textId="77777777" w:rsidTr="003330B8">
        <w:trPr>
          <w:trHeight w:val="284"/>
        </w:trPr>
        <w:tc>
          <w:tcPr>
            <w:tcW w:w="971" w:type="pct"/>
            <w:vMerge w:val="restart"/>
          </w:tcPr>
          <w:p w14:paraId="47B7C869" w14:textId="0FDD4004" w:rsidR="00586DE6" w:rsidRPr="00CB5A57" w:rsidRDefault="003330B8" w:rsidP="008B3877">
            <w:pPr>
              <w:keepLines w:val="0"/>
              <w:spacing w:before="60" w:after="60"/>
              <w:jc w:val="left"/>
            </w:pPr>
            <w:r w:rsidRPr="00CB5A57">
              <w:t>Desferrioxamine</w:t>
            </w:r>
          </w:p>
        </w:tc>
        <w:tc>
          <w:tcPr>
            <w:tcW w:w="2313" w:type="pct"/>
          </w:tcPr>
          <w:p w14:paraId="70903331" w14:textId="2FDCAC6E" w:rsidR="00586DE6" w:rsidRPr="00CB5A57" w:rsidRDefault="003330B8" w:rsidP="008B3877">
            <w:pPr>
              <w:keepLines w:val="0"/>
              <w:spacing w:before="60" w:after="60"/>
              <w:jc w:val="left"/>
            </w:pPr>
            <w:r w:rsidRPr="00CB5A57">
              <w:t>Powder for injection containing desferrioxamine mesilate 500 mg</w:t>
            </w:r>
          </w:p>
        </w:tc>
        <w:tc>
          <w:tcPr>
            <w:tcW w:w="1716" w:type="pct"/>
          </w:tcPr>
          <w:p w14:paraId="6708D0D7" w14:textId="19AF0768" w:rsidR="00586DE6" w:rsidRPr="00CB5A57" w:rsidRDefault="00586DE6" w:rsidP="00AF2D99">
            <w:pPr>
              <w:keepLines w:val="0"/>
              <w:spacing w:before="60" w:after="0"/>
              <w:jc w:val="left"/>
              <w:rPr>
                <w:i/>
              </w:rPr>
            </w:pPr>
            <w:r w:rsidRPr="00CB5A57">
              <w:rPr>
                <w:b/>
                <w:i/>
              </w:rPr>
              <w:t>From:</w:t>
            </w:r>
            <w:r w:rsidRPr="00CB5A57">
              <w:rPr>
                <w:b/>
              </w:rPr>
              <w:t xml:space="preserve"> </w:t>
            </w:r>
            <w:r w:rsidR="003330B8" w:rsidRPr="00CB5A57">
              <w:t>Hospira Pty Limited</w:t>
            </w:r>
            <w:r w:rsidR="00AF2D99" w:rsidRPr="00CB5A57">
              <w:br/>
            </w:r>
            <w:r w:rsidRPr="00CB5A57">
              <w:rPr>
                <w:b/>
                <w:i/>
              </w:rPr>
              <w:t xml:space="preserve">To: </w:t>
            </w:r>
            <w:r w:rsidR="003330B8" w:rsidRPr="00CB5A57">
              <w:t>DBL Desferrioxamine Mesilate</w:t>
            </w:r>
          </w:p>
        </w:tc>
      </w:tr>
      <w:tr w:rsidR="00586DE6" w:rsidRPr="00CB5A57" w14:paraId="0B66F61D" w14:textId="77777777" w:rsidTr="003330B8">
        <w:trPr>
          <w:trHeight w:val="284"/>
        </w:trPr>
        <w:tc>
          <w:tcPr>
            <w:tcW w:w="971" w:type="pct"/>
            <w:vMerge/>
          </w:tcPr>
          <w:p w14:paraId="6AC5652D" w14:textId="77777777" w:rsidR="00586DE6" w:rsidRPr="00CB5A57" w:rsidRDefault="00586DE6" w:rsidP="008B3877">
            <w:pPr>
              <w:keepLines w:val="0"/>
              <w:spacing w:before="60" w:after="60"/>
              <w:jc w:val="left"/>
            </w:pPr>
          </w:p>
        </w:tc>
        <w:tc>
          <w:tcPr>
            <w:tcW w:w="2313" w:type="pct"/>
          </w:tcPr>
          <w:p w14:paraId="31C76E5A" w14:textId="4DB1A952" w:rsidR="00586DE6" w:rsidRPr="00CB5A57" w:rsidRDefault="003330B8" w:rsidP="003330B8">
            <w:pPr>
              <w:keepLines w:val="0"/>
              <w:spacing w:before="60" w:after="60"/>
              <w:jc w:val="left"/>
            </w:pPr>
            <w:r w:rsidRPr="00CB5A57">
              <w:t>Powder for injection containing desferrioxamine mesilate 2 g</w:t>
            </w:r>
          </w:p>
        </w:tc>
        <w:tc>
          <w:tcPr>
            <w:tcW w:w="1716" w:type="pct"/>
          </w:tcPr>
          <w:p w14:paraId="4AE1480A" w14:textId="4545E824" w:rsidR="00586DE6" w:rsidRPr="00CB5A57" w:rsidRDefault="003330B8" w:rsidP="00AF2D99">
            <w:pPr>
              <w:keepLines w:val="0"/>
              <w:spacing w:before="60" w:after="0"/>
              <w:jc w:val="left"/>
              <w:rPr>
                <w:i/>
              </w:rPr>
            </w:pPr>
            <w:r w:rsidRPr="00CB5A57">
              <w:rPr>
                <w:b/>
                <w:i/>
              </w:rPr>
              <w:t>From:</w:t>
            </w:r>
            <w:r w:rsidRPr="00CB5A57">
              <w:rPr>
                <w:b/>
              </w:rPr>
              <w:t xml:space="preserve"> </w:t>
            </w:r>
            <w:r w:rsidRPr="00CB5A57">
              <w:t>Hospira Pty Limited</w:t>
            </w:r>
            <w:r w:rsidR="00AF2D99" w:rsidRPr="00CB5A57">
              <w:br/>
            </w:r>
            <w:r w:rsidRPr="00CB5A57">
              <w:rPr>
                <w:b/>
                <w:i/>
              </w:rPr>
              <w:t xml:space="preserve">To: </w:t>
            </w:r>
            <w:r w:rsidRPr="00CB5A57">
              <w:t>DBL Desferrioxamine Mesilate</w:t>
            </w:r>
          </w:p>
        </w:tc>
      </w:tr>
    </w:tbl>
    <w:p w14:paraId="440AF2C2" w14:textId="2F65A772" w:rsidR="00905D29" w:rsidRPr="00CB5A57" w:rsidRDefault="002633F0" w:rsidP="00083037">
      <w:pPr>
        <w:keepNext/>
        <w:keepLines w:val="0"/>
        <w:widowControl w:val="0"/>
        <w:spacing w:before="240" w:after="0"/>
        <w:jc w:val="left"/>
        <w:rPr>
          <w:b/>
          <w:sz w:val="24"/>
          <w:szCs w:val="22"/>
        </w:rPr>
      </w:pPr>
      <w:r w:rsidRPr="00CB5A57">
        <w:rPr>
          <w:b/>
          <w:sz w:val="24"/>
          <w:szCs w:val="22"/>
        </w:rPr>
        <w:lastRenderedPageBreak/>
        <w:t>Alteration of Responsible Person</w:t>
      </w:r>
    </w:p>
    <w:tbl>
      <w:tblPr>
        <w:tblStyle w:val="TableGrid"/>
        <w:tblW w:w="6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2835"/>
        <w:gridCol w:w="3261"/>
      </w:tblGrid>
      <w:tr w:rsidR="002633F0" w:rsidRPr="00CB5A57" w14:paraId="3EBDD435" w14:textId="5EC81E47" w:rsidTr="002633F0">
        <w:tc>
          <w:tcPr>
            <w:tcW w:w="2835" w:type="dxa"/>
          </w:tcPr>
          <w:p w14:paraId="730FC322" w14:textId="6B3AAD45" w:rsidR="002633F0" w:rsidRPr="00CB5A57" w:rsidRDefault="002633F0" w:rsidP="008B3877">
            <w:pPr>
              <w:keepNext/>
              <w:keepLines w:val="0"/>
              <w:spacing w:before="60" w:after="0"/>
              <w:jc w:val="left"/>
              <w:rPr>
                <w:rFonts w:eastAsia="Arial"/>
                <w:sz w:val="22"/>
                <w:szCs w:val="22"/>
                <w:lang w:eastAsia="zh-CN"/>
              </w:rPr>
            </w:pPr>
            <w:r w:rsidRPr="00CB5A57">
              <w:rPr>
                <w:b/>
                <w:i/>
                <w:sz w:val="22"/>
                <w:szCs w:val="22"/>
              </w:rPr>
              <w:t>Responsible Person Code</w:t>
            </w:r>
          </w:p>
        </w:tc>
        <w:tc>
          <w:tcPr>
            <w:tcW w:w="3261" w:type="dxa"/>
          </w:tcPr>
          <w:p w14:paraId="3E3E6954" w14:textId="69C8801A" w:rsidR="002633F0" w:rsidRPr="00CB5A57" w:rsidRDefault="002633F0" w:rsidP="008B3877">
            <w:pPr>
              <w:keepNext/>
              <w:keepLines w:val="0"/>
              <w:spacing w:before="60" w:after="0"/>
              <w:jc w:val="left"/>
              <w:rPr>
                <w:b/>
                <w:i/>
                <w:sz w:val="22"/>
                <w:szCs w:val="22"/>
              </w:rPr>
            </w:pPr>
            <w:r w:rsidRPr="00CB5A57">
              <w:rPr>
                <w:b/>
                <w:i/>
                <w:sz w:val="22"/>
                <w:szCs w:val="22"/>
              </w:rPr>
              <w:t>Responsible Person (Name)</w:t>
            </w:r>
          </w:p>
        </w:tc>
      </w:tr>
      <w:tr w:rsidR="002633F0" w:rsidRPr="00CB5A57" w14:paraId="19643F05" w14:textId="7B5B85B1" w:rsidTr="002633F0">
        <w:tc>
          <w:tcPr>
            <w:tcW w:w="2835" w:type="dxa"/>
          </w:tcPr>
          <w:p w14:paraId="1382BB9D" w14:textId="0554BEA6" w:rsidR="002633F0" w:rsidRPr="00CB5A57" w:rsidRDefault="002633F0" w:rsidP="008B3877">
            <w:pPr>
              <w:keepNext/>
              <w:keepLines w:val="0"/>
              <w:spacing w:before="60" w:after="60"/>
              <w:jc w:val="left"/>
            </w:pPr>
            <w:r w:rsidRPr="00CB5A57">
              <w:t>EU</w:t>
            </w:r>
          </w:p>
        </w:tc>
        <w:tc>
          <w:tcPr>
            <w:tcW w:w="3261" w:type="dxa"/>
          </w:tcPr>
          <w:p w14:paraId="0124D0C4" w14:textId="251835C0" w:rsidR="002633F0" w:rsidRPr="00CB5A57" w:rsidRDefault="002633F0" w:rsidP="00AF2D99">
            <w:pPr>
              <w:keepLines w:val="0"/>
              <w:spacing w:before="60" w:after="0"/>
              <w:jc w:val="left"/>
            </w:pPr>
            <w:r w:rsidRPr="00CB5A57">
              <w:rPr>
                <w:b/>
                <w:i/>
              </w:rPr>
              <w:t>From:</w:t>
            </w:r>
            <w:r w:rsidRPr="00CB5A57">
              <w:rPr>
                <w:b/>
              </w:rPr>
              <w:t xml:space="preserve"> </w:t>
            </w:r>
            <w:r w:rsidRPr="00CB5A57">
              <w:t>Emerge Health Pty Ltd</w:t>
            </w:r>
            <w:r w:rsidR="00AF2D99" w:rsidRPr="00CB5A57">
              <w:br/>
            </w:r>
            <w:r w:rsidRPr="00CB5A57">
              <w:rPr>
                <w:b/>
                <w:i/>
              </w:rPr>
              <w:t xml:space="preserve">To: </w:t>
            </w:r>
            <w:r w:rsidRPr="00CB5A57">
              <w:t>Chiesi Australia Pty Ltd</w:t>
            </w:r>
          </w:p>
        </w:tc>
      </w:tr>
    </w:tbl>
    <w:p w14:paraId="4BEDB4E7" w14:textId="5A1E3454" w:rsidR="002A3138" w:rsidRPr="00CB5A57" w:rsidRDefault="006F23F5" w:rsidP="00083037">
      <w:pPr>
        <w:keepNext/>
        <w:keepLines w:val="0"/>
        <w:widowControl w:val="0"/>
        <w:spacing w:before="240" w:after="0"/>
        <w:jc w:val="left"/>
        <w:rPr>
          <w:b/>
          <w:sz w:val="24"/>
          <w:szCs w:val="24"/>
        </w:rPr>
      </w:pPr>
      <w:r w:rsidRPr="00CB5A57">
        <w:rPr>
          <w:b/>
          <w:sz w:val="24"/>
          <w:szCs w:val="24"/>
        </w:rPr>
        <w:t>Alteration of Circumstances in Which a Prescription May be Written</w:t>
      </w:r>
      <w:r w:rsidR="00D40A60" w:rsidRPr="00CB5A57">
        <w:rPr>
          <w:b/>
          <w:sz w:val="24"/>
          <w:szCs w:val="24"/>
        </w:rPr>
        <w:t>*</w:t>
      </w:r>
    </w:p>
    <w:p w14:paraId="53CA5C85" w14:textId="3670D95A" w:rsidR="001138C7" w:rsidRPr="00CB5A57" w:rsidRDefault="001138C7" w:rsidP="001138C7">
      <w:pPr>
        <w:keepNext/>
        <w:keepLines w:val="0"/>
        <w:widowControl w:val="0"/>
        <w:spacing w:after="0"/>
        <w:jc w:val="left"/>
        <w:rPr>
          <w:b/>
          <w:sz w:val="24"/>
          <w:szCs w:val="24"/>
        </w:rPr>
      </w:pPr>
      <w:r w:rsidRPr="00CB5A57">
        <w:rPr>
          <w:i/>
        </w:rPr>
        <w:t xml:space="preserve">*The amendments made by this instrument correct </w:t>
      </w:r>
      <w:r w:rsidR="00605C50" w:rsidRPr="00CB5A57">
        <w:rPr>
          <w:i/>
        </w:rPr>
        <w:t xml:space="preserve">minor </w:t>
      </w:r>
      <w:r w:rsidRPr="00CB5A57">
        <w:rPr>
          <w:i/>
        </w:rPr>
        <w:t>historical typographical/transcription errors only.</w:t>
      </w: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689"/>
        <w:gridCol w:w="4337"/>
      </w:tblGrid>
      <w:tr w:rsidR="00134002" w:rsidRPr="00CB5A57" w14:paraId="7A23F344" w14:textId="5FD26F39" w:rsidTr="00134002">
        <w:tc>
          <w:tcPr>
            <w:tcW w:w="4689" w:type="dxa"/>
          </w:tcPr>
          <w:p w14:paraId="6F125A79" w14:textId="0718551A" w:rsidR="00134002" w:rsidRPr="00CB5A57" w:rsidRDefault="00134002" w:rsidP="000C65BD">
            <w:pPr>
              <w:keepNext/>
              <w:keepLines w:val="0"/>
              <w:widowControl w:val="0"/>
              <w:spacing w:before="60" w:after="0"/>
              <w:jc w:val="left"/>
            </w:pPr>
            <w:r w:rsidRPr="00CB5A57">
              <w:rPr>
                <w:b/>
                <w:i/>
                <w:sz w:val="22"/>
              </w:rPr>
              <w:t>Listed Drug</w:t>
            </w:r>
          </w:p>
        </w:tc>
        <w:tc>
          <w:tcPr>
            <w:tcW w:w="4337" w:type="dxa"/>
          </w:tcPr>
          <w:p w14:paraId="2701CAE1" w14:textId="434F6B5C" w:rsidR="00134002" w:rsidRPr="00CB5A57" w:rsidRDefault="00134002" w:rsidP="000C65BD">
            <w:pPr>
              <w:keepNext/>
              <w:keepLines w:val="0"/>
              <w:widowControl w:val="0"/>
              <w:spacing w:before="60" w:after="0"/>
              <w:jc w:val="left"/>
              <w:rPr>
                <w:b/>
                <w:i/>
                <w:sz w:val="22"/>
              </w:rPr>
            </w:pPr>
            <w:r w:rsidRPr="00CB5A57">
              <w:rPr>
                <w:b/>
                <w:i/>
                <w:sz w:val="22"/>
              </w:rPr>
              <w:t>Listed Drug</w:t>
            </w:r>
          </w:p>
        </w:tc>
      </w:tr>
      <w:tr w:rsidR="00134002" w:rsidRPr="00CB5A57" w14:paraId="72718315" w14:textId="0AD0E62B" w:rsidTr="00134002">
        <w:tc>
          <w:tcPr>
            <w:tcW w:w="4689" w:type="dxa"/>
          </w:tcPr>
          <w:p w14:paraId="47FDE61B" w14:textId="0D400341" w:rsidR="00134002" w:rsidRPr="00CB5A57" w:rsidRDefault="00134002" w:rsidP="00783D29">
            <w:pPr>
              <w:keepLines w:val="0"/>
              <w:widowControl w:val="0"/>
              <w:spacing w:before="60" w:after="60"/>
              <w:jc w:val="left"/>
            </w:pPr>
            <w:r w:rsidRPr="00CB5A57">
              <w:t>Abacavir</w:t>
            </w:r>
          </w:p>
        </w:tc>
        <w:tc>
          <w:tcPr>
            <w:tcW w:w="4337" w:type="dxa"/>
          </w:tcPr>
          <w:p w14:paraId="0B1ABD97" w14:textId="0C9EC53B" w:rsidR="00134002" w:rsidRPr="00CB5A57" w:rsidRDefault="00134002" w:rsidP="00783D29">
            <w:pPr>
              <w:keepLines w:val="0"/>
              <w:widowControl w:val="0"/>
              <w:spacing w:before="60" w:after="60"/>
              <w:jc w:val="left"/>
            </w:pPr>
            <w:r w:rsidRPr="00CB5A57">
              <w:t>Abacavir with Lamivudine</w:t>
            </w:r>
          </w:p>
        </w:tc>
      </w:tr>
      <w:tr w:rsidR="00134002" w:rsidRPr="00CB5A57" w14:paraId="2BA8F4FE" w14:textId="00F51F7B" w:rsidTr="00134002">
        <w:tc>
          <w:tcPr>
            <w:tcW w:w="4689" w:type="dxa"/>
          </w:tcPr>
          <w:p w14:paraId="2CBEB816" w14:textId="1B5BB84E" w:rsidR="00134002" w:rsidRPr="00CB5A57" w:rsidRDefault="00134002" w:rsidP="00783D29">
            <w:pPr>
              <w:keepLines w:val="0"/>
              <w:widowControl w:val="0"/>
              <w:spacing w:before="60" w:after="60"/>
              <w:jc w:val="left"/>
            </w:pPr>
            <w:r w:rsidRPr="00CB5A57">
              <w:t>Abacavir with Lamivudine and Zidovudine</w:t>
            </w:r>
          </w:p>
        </w:tc>
        <w:tc>
          <w:tcPr>
            <w:tcW w:w="4337" w:type="dxa"/>
          </w:tcPr>
          <w:p w14:paraId="56C55CC4" w14:textId="0B8780DF" w:rsidR="00134002" w:rsidRPr="00CB5A57" w:rsidRDefault="00134002" w:rsidP="00783D29">
            <w:pPr>
              <w:keepLines w:val="0"/>
              <w:widowControl w:val="0"/>
              <w:spacing w:before="60" w:after="60"/>
              <w:jc w:val="left"/>
            </w:pPr>
            <w:r w:rsidRPr="00CB5A57">
              <w:t>Adefovir</w:t>
            </w:r>
          </w:p>
        </w:tc>
      </w:tr>
      <w:tr w:rsidR="00134002" w:rsidRPr="00CB5A57" w14:paraId="78571E7C" w14:textId="1C2FF30E" w:rsidTr="00134002">
        <w:tc>
          <w:tcPr>
            <w:tcW w:w="4689" w:type="dxa"/>
          </w:tcPr>
          <w:p w14:paraId="4DF62E32" w14:textId="6E6817A6" w:rsidR="00134002" w:rsidRPr="00CB5A57" w:rsidRDefault="00134002" w:rsidP="00783D29">
            <w:pPr>
              <w:keepLines w:val="0"/>
              <w:widowControl w:val="0"/>
              <w:spacing w:before="60" w:after="60"/>
              <w:jc w:val="left"/>
              <w:rPr>
                <w:szCs w:val="22"/>
              </w:rPr>
            </w:pPr>
            <w:r w:rsidRPr="00CB5A57">
              <w:t>Atazanavir</w:t>
            </w:r>
          </w:p>
        </w:tc>
        <w:tc>
          <w:tcPr>
            <w:tcW w:w="4337" w:type="dxa"/>
          </w:tcPr>
          <w:p w14:paraId="768C33DA" w14:textId="6E351D4F" w:rsidR="00134002" w:rsidRPr="00CB5A57" w:rsidRDefault="00134002" w:rsidP="00783D29">
            <w:pPr>
              <w:keepLines w:val="0"/>
              <w:widowControl w:val="0"/>
              <w:spacing w:before="60" w:after="60"/>
              <w:jc w:val="left"/>
            </w:pPr>
            <w:r w:rsidRPr="00CB5A57">
              <w:t>Clozapine</w:t>
            </w:r>
          </w:p>
        </w:tc>
      </w:tr>
      <w:tr w:rsidR="00134002" w:rsidRPr="00CB5A57" w14:paraId="0A831C2C" w14:textId="036004C1" w:rsidTr="00134002">
        <w:tc>
          <w:tcPr>
            <w:tcW w:w="4689" w:type="dxa"/>
          </w:tcPr>
          <w:p w14:paraId="508146BA" w14:textId="79991139" w:rsidR="00134002" w:rsidRPr="00CB5A57" w:rsidRDefault="00134002" w:rsidP="00783D29">
            <w:pPr>
              <w:keepLines w:val="0"/>
              <w:widowControl w:val="0"/>
              <w:spacing w:before="60" w:after="60"/>
              <w:jc w:val="left"/>
            </w:pPr>
            <w:r w:rsidRPr="00CB5A57">
              <w:t>Dolutegravir</w:t>
            </w:r>
          </w:p>
        </w:tc>
        <w:tc>
          <w:tcPr>
            <w:tcW w:w="4337" w:type="dxa"/>
          </w:tcPr>
          <w:p w14:paraId="15A31910" w14:textId="7F04E1BF" w:rsidR="00134002" w:rsidRPr="00CB5A57" w:rsidRDefault="00134002" w:rsidP="00783D29">
            <w:pPr>
              <w:keepLines w:val="0"/>
              <w:widowControl w:val="0"/>
              <w:spacing w:before="60" w:after="60"/>
              <w:jc w:val="left"/>
            </w:pPr>
            <w:r w:rsidRPr="00CB5A57">
              <w:t>Dornase alfa</w:t>
            </w:r>
          </w:p>
        </w:tc>
      </w:tr>
      <w:tr w:rsidR="00134002" w:rsidRPr="00CB5A57" w14:paraId="4B8477CC" w14:textId="53E2745A" w:rsidTr="00134002">
        <w:tc>
          <w:tcPr>
            <w:tcW w:w="4689" w:type="dxa"/>
          </w:tcPr>
          <w:p w14:paraId="584433CF" w14:textId="4A162A55" w:rsidR="00134002" w:rsidRPr="00CB5A57" w:rsidRDefault="00134002" w:rsidP="00783D29">
            <w:pPr>
              <w:keepLines w:val="0"/>
              <w:widowControl w:val="0"/>
              <w:spacing w:before="60" w:after="60"/>
              <w:jc w:val="left"/>
            </w:pPr>
            <w:r w:rsidRPr="00CB5A57">
              <w:t>Eculizumab</w:t>
            </w:r>
          </w:p>
        </w:tc>
        <w:tc>
          <w:tcPr>
            <w:tcW w:w="4337" w:type="dxa"/>
          </w:tcPr>
          <w:p w14:paraId="319677EA" w14:textId="455BEA54" w:rsidR="00134002" w:rsidRPr="00CB5A57" w:rsidRDefault="00134002" w:rsidP="00783D29">
            <w:pPr>
              <w:keepLines w:val="0"/>
              <w:widowControl w:val="0"/>
              <w:spacing w:before="60" w:after="60"/>
              <w:jc w:val="left"/>
            </w:pPr>
            <w:r w:rsidRPr="00CB5A57">
              <w:t>Efavirenz</w:t>
            </w:r>
          </w:p>
        </w:tc>
      </w:tr>
      <w:tr w:rsidR="00134002" w:rsidRPr="00CB5A57" w14:paraId="4486B1D8" w14:textId="5554B154" w:rsidTr="00134002">
        <w:tc>
          <w:tcPr>
            <w:tcW w:w="4689" w:type="dxa"/>
          </w:tcPr>
          <w:p w14:paraId="1DAE5885" w14:textId="72725DF0" w:rsidR="00134002" w:rsidRPr="00CB5A57" w:rsidRDefault="00134002" w:rsidP="00783D29">
            <w:pPr>
              <w:keepLines w:val="0"/>
              <w:widowControl w:val="0"/>
              <w:spacing w:before="60" w:after="60"/>
              <w:jc w:val="left"/>
            </w:pPr>
            <w:r w:rsidRPr="00CB5A57">
              <w:t>Everolimus</w:t>
            </w:r>
          </w:p>
        </w:tc>
        <w:tc>
          <w:tcPr>
            <w:tcW w:w="4337" w:type="dxa"/>
          </w:tcPr>
          <w:p w14:paraId="2D23C560" w14:textId="50C47F5E" w:rsidR="00134002" w:rsidRPr="00CB5A57" w:rsidRDefault="00134002" w:rsidP="00783D29">
            <w:pPr>
              <w:keepLines w:val="0"/>
              <w:widowControl w:val="0"/>
              <w:spacing w:before="60" w:after="60"/>
              <w:jc w:val="left"/>
            </w:pPr>
            <w:r w:rsidRPr="00CB5A57">
              <w:t>Fosamprenavir</w:t>
            </w:r>
          </w:p>
        </w:tc>
      </w:tr>
      <w:tr w:rsidR="00134002" w:rsidRPr="00CB5A57" w14:paraId="2F9B6CE0" w14:textId="5AB58C12" w:rsidTr="00134002">
        <w:tc>
          <w:tcPr>
            <w:tcW w:w="4689" w:type="dxa"/>
          </w:tcPr>
          <w:p w14:paraId="0E856C61" w14:textId="5D5F80E1" w:rsidR="00134002" w:rsidRPr="00CB5A57" w:rsidRDefault="00134002" w:rsidP="00783D29">
            <w:pPr>
              <w:keepLines w:val="0"/>
              <w:widowControl w:val="0"/>
              <w:spacing w:before="60" w:after="60"/>
              <w:jc w:val="left"/>
            </w:pPr>
            <w:r w:rsidRPr="00CB5A57">
              <w:t>Interferon alfa-2a</w:t>
            </w:r>
          </w:p>
        </w:tc>
        <w:tc>
          <w:tcPr>
            <w:tcW w:w="4337" w:type="dxa"/>
          </w:tcPr>
          <w:p w14:paraId="01CB877A" w14:textId="7C481EEF" w:rsidR="00134002" w:rsidRPr="00CB5A57" w:rsidRDefault="00134002" w:rsidP="00783D29">
            <w:pPr>
              <w:keepLines w:val="0"/>
              <w:widowControl w:val="0"/>
              <w:spacing w:before="60" w:after="60"/>
              <w:jc w:val="left"/>
            </w:pPr>
            <w:r w:rsidRPr="00CB5A57">
              <w:t>Lamivudine</w:t>
            </w:r>
          </w:p>
        </w:tc>
      </w:tr>
      <w:tr w:rsidR="00134002" w:rsidRPr="00CB5A57" w14:paraId="4F473D56" w14:textId="355B28B9" w:rsidTr="00134002">
        <w:tc>
          <w:tcPr>
            <w:tcW w:w="4689" w:type="dxa"/>
          </w:tcPr>
          <w:p w14:paraId="69E69DF9" w14:textId="0E555D61" w:rsidR="00134002" w:rsidRPr="00CB5A57" w:rsidRDefault="00134002" w:rsidP="00783D29">
            <w:pPr>
              <w:keepLines w:val="0"/>
              <w:widowControl w:val="0"/>
              <w:spacing w:before="60" w:after="60"/>
              <w:jc w:val="left"/>
            </w:pPr>
            <w:r w:rsidRPr="00CB5A57">
              <w:t>Lamivudine with zidovudine</w:t>
            </w:r>
          </w:p>
        </w:tc>
        <w:tc>
          <w:tcPr>
            <w:tcW w:w="4337" w:type="dxa"/>
          </w:tcPr>
          <w:p w14:paraId="05360745" w14:textId="6625637A" w:rsidR="00134002" w:rsidRPr="00CB5A57" w:rsidRDefault="00134002" w:rsidP="00783D29">
            <w:pPr>
              <w:keepLines w:val="0"/>
              <w:widowControl w:val="0"/>
              <w:spacing w:before="60" w:after="60"/>
              <w:jc w:val="left"/>
            </w:pPr>
            <w:r w:rsidRPr="00CB5A57">
              <w:t>Lanthanum</w:t>
            </w:r>
          </w:p>
        </w:tc>
      </w:tr>
      <w:tr w:rsidR="00134002" w:rsidRPr="00CB5A57" w14:paraId="6119040D" w14:textId="04C18F2D" w:rsidTr="00134002">
        <w:tc>
          <w:tcPr>
            <w:tcW w:w="4689" w:type="dxa"/>
          </w:tcPr>
          <w:p w14:paraId="4C973D57" w14:textId="3EBEA73E" w:rsidR="00134002" w:rsidRPr="00CB5A57" w:rsidRDefault="00134002" w:rsidP="00783D29">
            <w:pPr>
              <w:keepLines w:val="0"/>
              <w:widowControl w:val="0"/>
              <w:spacing w:before="60" w:after="60"/>
              <w:jc w:val="left"/>
            </w:pPr>
            <w:r w:rsidRPr="00CB5A57">
              <w:t>Lenalidomide</w:t>
            </w:r>
          </w:p>
        </w:tc>
        <w:tc>
          <w:tcPr>
            <w:tcW w:w="4337" w:type="dxa"/>
          </w:tcPr>
          <w:p w14:paraId="109E722A" w14:textId="183E00D3" w:rsidR="00134002" w:rsidRPr="00CB5A57" w:rsidRDefault="00134002" w:rsidP="00783D29">
            <w:pPr>
              <w:keepLines w:val="0"/>
              <w:widowControl w:val="0"/>
              <w:spacing w:before="60" w:after="60"/>
              <w:jc w:val="left"/>
            </w:pPr>
            <w:r w:rsidRPr="00CB5A57">
              <w:t>Lopinavir with ritonavir</w:t>
            </w:r>
          </w:p>
        </w:tc>
      </w:tr>
      <w:tr w:rsidR="00134002" w:rsidRPr="00CB5A57" w14:paraId="5802C552" w14:textId="77777777" w:rsidTr="00134002">
        <w:tc>
          <w:tcPr>
            <w:tcW w:w="4689" w:type="dxa"/>
          </w:tcPr>
          <w:p w14:paraId="7A3BCF13" w14:textId="2D373F74" w:rsidR="00134002" w:rsidRPr="00CB5A57" w:rsidRDefault="00134002" w:rsidP="00783D29">
            <w:pPr>
              <w:keepLines w:val="0"/>
              <w:widowControl w:val="0"/>
              <w:spacing w:before="60" w:after="60"/>
              <w:jc w:val="left"/>
            </w:pPr>
            <w:r w:rsidRPr="00CB5A57">
              <w:t>Mycophenolic Acid</w:t>
            </w:r>
          </w:p>
        </w:tc>
        <w:tc>
          <w:tcPr>
            <w:tcW w:w="4337" w:type="dxa"/>
          </w:tcPr>
          <w:p w14:paraId="6383F2B4" w14:textId="78C2D2E7" w:rsidR="00134002" w:rsidRPr="00CB5A57" w:rsidRDefault="00134002" w:rsidP="00783D29">
            <w:pPr>
              <w:keepLines w:val="0"/>
              <w:widowControl w:val="0"/>
              <w:spacing w:before="60" w:after="60"/>
              <w:jc w:val="left"/>
            </w:pPr>
            <w:r w:rsidRPr="00CB5A57">
              <w:t>Nevirapine</w:t>
            </w:r>
          </w:p>
        </w:tc>
      </w:tr>
      <w:tr w:rsidR="00134002" w:rsidRPr="00CB5A57" w14:paraId="3B6A7899" w14:textId="77777777" w:rsidTr="00134002">
        <w:tc>
          <w:tcPr>
            <w:tcW w:w="4689" w:type="dxa"/>
          </w:tcPr>
          <w:p w14:paraId="53201A01" w14:textId="66932EDD" w:rsidR="00134002" w:rsidRPr="00CB5A57" w:rsidRDefault="00134002" w:rsidP="00783D29">
            <w:pPr>
              <w:keepLines w:val="0"/>
              <w:widowControl w:val="0"/>
              <w:spacing w:before="60" w:after="60"/>
              <w:jc w:val="left"/>
            </w:pPr>
            <w:r w:rsidRPr="00CB5A57">
              <w:t>Octreotide</w:t>
            </w:r>
          </w:p>
        </w:tc>
        <w:tc>
          <w:tcPr>
            <w:tcW w:w="4337" w:type="dxa"/>
          </w:tcPr>
          <w:p w14:paraId="11927A4C" w14:textId="5EEB419F" w:rsidR="00134002" w:rsidRPr="00CB5A57" w:rsidRDefault="00134002" w:rsidP="00783D29">
            <w:pPr>
              <w:keepLines w:val="0"/>
              <w:widowControl w:val="0"/>
              <w:spacing w:before="60" w:after="60"/>
              <w:jc w:val="left"/>
            </w:pPr>
            <w:r w:rsidRPr="00CB5A57">
              <w:t>Peginterferon alfa-2a</w:t>
            </w:r>
          </w:p>
        </w:tc>
      </w:tr>
      <w:tr w:rsidR="00134002" w:rsidRPr="00CB5A57" w14:paraId="5666B4E8" w14:textId="77777777" w:rsidTr="00134002">
        <w:tc>
          <w:tcPr>
            <w:tcW w:w="4689" w:type="dxa"/>
          </w:tcPr>
          <w:p w14:paraId="4C21215F" w14:textId="08828C41" w:rsidR="00134002" w:rsidRPr="00CB5A57" w:rsidRDefault="00134002" w:rsidP="00783D29">
            <w:pPr>
              <w:keepLines w:val="0"/>
              <w:widowControl w:val="0"/>
              <w:spacing w:before="60" w:after="60"/>
              <w:jc w:val="left"/>
            </w:pPr>
            <w:r w:rsidRPr="00CB5A57">
              <w:t>Raltegravir</w:t>
            </w:r>
          </w:p>
        </w:tc>
        <w:tc>
          <w:tcPr>
            <w:tcW w:w="4337" w:type="dxa"/>
          </w:tcPr>
          <w:p w14:paraId="2E0A2629" w14:textId="2C7B4600" w:rsidR="00134002" w:rsidRPr="00CB5A57" w:rsidRDefault="00134002" w:rsidP="00783D29">
            <w:pPr>
              <w:keepLines w:val="0"/>
              <w:widowControl w:val="0"/>
              <w:spacing w:before="60" w:after="60"/>
              <w:jc w:val="left"/>
            </w:pPr>
            <w:r w:rsidRPr="00CB5A57">
              <w:t>Rilpivirine</w:t>
            </w:r>
          </w:p>
        </w:tc>
      </w:tr>
      <w:tr w:rsidR="00134002" w:rsidRPr="00CB5A57" w14:paraId="43D441AF" w14:textId="77777777" w:rsidTr="00134002">
        <w:tc>
          <w:tcPr>
            <w:tcW w:w="4689" w:type="dxa"/>
          </w:tcPr>
          <w:p w14:paraId="7A2E5874" w14:textId="47DA9E8F" w:rsidR="00134002" w:rsidRPr="00CB5A57" w:rsidRDefault="00134002" w:rsidP="00783D29">
            <w:pPr>
              <w:keepLines w:val="0"/>
              <w:widowControl w:val="0"/>
              <w:spacing w:before="60" w:after="60"/>
              <w:jc w:val="left"/>
            </w:pPr>
            <w:r w:rsidRPr="00CB5A57">
              <w:t>Riociguat</w:t>
            </w:r>
          </w:p>
        </w:tc>
        <w:tc>
          <w:tcPr>
            <w:tcW w:w="4337" w:type="dxa"/>
          </w:tcPr>
          <w:p w14:paraId="5F045240" w14:textId="14830F32" w:rsidR="00134002" w:rsidRPr="00CB5A57" w:rsidRDefault="00134002" w:rsidP="00783D29">
            <w:pPr>
              <w:keepLines w:val="0"/>
              <w:widowControl w:val="0"/>
              <w:spacing w:before="60" w:after="60"/>
              <w:jc w:val="left"/>
            </w:pPr>
            <w:r w:rsidRPr="00CB5A57">
              <w:t>Ritonavir</w:t>
            </w:r>
          </w:p>
        </w:tc>
      </w:tr>
      <w:tr w:rsidR="00134002" w:rsidRPr="00CB5A57" w14:paraId="6B657791" w14:textId="77777777" w:rsidTr="00134002">
        <w:tc>
          <w:tcPr>
            <w:tcW w:w="4689" w:type="dxa"/>
          </w:tcPr>
          <w:p w14:paraId="5E7D9BC9" w14:textId="521ECB63" w:rsidR="00134002" w:rsidRPr="00CB5A57" w:rsidRDefault="00134002" w:rsidP="00783D29">
            <w:pPr>
              <w:keepLines w:val="0"/>
              <w:widowControl w:val="0"/>
              <w:spacing w:before="60" w:after="60"/>
              <w:jc w:val="left"/>
            </w:pPr>
            <w:r w:rsidRPr="00CB5A57">
              <w:t>Saquinavir</w:t>
            </w:r>
          </w:p>
        </w:tc>
        <w:tc>
          <w:tcPr>
            <w:tcW w:w="4337" w:type="dxa"/>
          </w:tcPr>
          <w:p w14:paraId="13CE4623" w14:textId="2FAE32A0" w:rsidR="00134002" w:rsidRPr="00CB5A57" w:rsidRDefault="00134002" w:rsidP="00783D29">
            <w:pPr>
              <w:keepLines w:val="0"/>
              <w:widowControl w:val="0"/>
              <w:spacing w:before="60" w:after="60"/>
              <w:jc w:val="left"/>
            </w:pPr>
            <w:r w:rsidRPr="00CB5A57">
              <w:t>Sevelamer</w:t>
            </w:r>
          </w:p>
        </w:tc>
      </w:tr>
      <w:tr w:rsidR="00134002" w:rsidRPr="00CB5A57" w14:paraId="3EA95235" w14:textId="77777777" w:rsidTr="00134002">
        <w:tc>
          <w:tcPr>
            <w:tcW w:w="4689" w:type="dxa"/>
          </w:tcPr>
          <w:p w14:paraId="73E54254" w14:textId="4D4A25DD" w:rsidR="00134002" w:rsidRPr="00CB5A57" w:rsidRDefault="00134002" w:rsidP="00783D29">
            <w:pPr>
              <w:keepLines w:val="0"/>
              <w:widowControl w:val="0"/>
              <w:spacing w:before="60" w:after="60"/>
              <w:jc w:val="left"/>
            </w:pPr>
            <w:r w:rsidRPr="00CB5A57">
              <w:t>Sirolimus</w:t>
            </w:r>
          </w:p>
        </w:tc>
        <w:tc>
          <w:tcPr>
            <w:tcW w:w="4337" w:type="dxa"/>
          </w:tcPr>
          <w:p w14:paraId="3D2E9224" w14:textId="45293676" w:rsidR="00134002" w:rsidRPr="00CB5A57" w:rsidRDefault="00134002" w:rsidP="00783D29">
            <w:pPr>
              <w:keepLines w:val="0"/>
              <w:widowControl w:val="0"/>
              <w:spacing w:before="60" w:after="60"/>
              <w:jc w:val="left"/>
            </w:pPr>
            <w:r w:rsidRPr="00CB5A57">
              <w:t>Sucroferric oxyhydroxide</w:t>
            </w:r>
          </w:p>
        </w:tc>
      </w:tr>
      <w:tr w:rsidR="00134002" w:rsidRPr="00CB5A57" w14:paraId="69CF412C" w14:textId="77777777" w:rsidTr="00134002">
        <w:tc>
          <w:tcPr>
            <w:tcW w:w="4689" w:type="dxa"/>
          </w:tcPr>
          <w:p w14:paraId="0133CC4C" w14:textId="1C6F535D" w:rsidR="00134002" w:rsidRPr="00CB5A57" w:rsidRDefault="00134002" w:rsidP="00783D29">
            <w:pPr>
              <w:keepLines w:val="0"/>
              <w:widowControl w:val="0"/>
              <w:spacing w:before="60" w:after="60"/>
              <w:jc w:val="left"/>
            </w:pPr>
            <w:r w:rsidRPr="00CB5A57">
              <w:t>Tenofovir with emtricitabine and efavirenz</w:t>
            </w:r>
          </w:p>
        </w:tc>
        <w:tc>
          <w:tcPr>
            <w:tcW w:w="4337" w:type="dxa"/>
          </w:tcPr>
          <w:p w14:paraId="3B31351C" w14:textId="2AC0D963" w:rsidR="00134002" w:rsidRPr="00CB5A57" w:rsidRDefault="00134002" w:rsidP="00115EED">
            <w:pPr>
              <w:keepLines w:val="0"/>
              <w:widowControl w:val="0"/>
              <w:spacing w:before="60" w:after="0"/>
              <w:jc w:val="left"/>
            </w:pPr>
            <w:r w:rsidRPr="00CB5A57">
              <w:t>Zidovudine</w:t>
            </w:r>
          </w:p>
        </w:tc>
      </w:tr>
    </w:tbl>
    <w:p w14:paraId="74F2538A" w14:textId="77777777" w:rsidR="00954EE9" w:rsidRPr="00CB5A57" w:rsidRDefault="00954EE9" w:rsidP="00083037">
      <w:pPr>
        <w:keepNext/>
        <w:keepLines w:val="0"/>
        <w:widowControl w:val="0"/>
        <w:spacing w:before="240" w:after="0"/>
        <w:jc w:val="left"/>
        <w:rPr>
          <w:b/>
          <w:sz w:val="24"/>
          <w:szCs w:val="24"/>
        </w:rPr>
      </w:pPr>
      <w:r w:rsidRPr="00CB5A57">
        <w:rPr>
          <w:b/>
          <w:sz w:val="24"/>
          <w:szCs w:val="24"/>
        </w:rPr>
        <w:t>Document/s incorporated by reference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866"/>
        <w:gridCol w:w="3947"/>
        <w:gridCol w:w="3213"/>
      </w:tblGrid>
      <w:tr w:rsidR="00954EE9" w:rsidRPr="00CB5A57" w14:paraId="4D15E5F3" w14:textId="77777777" w:rsidTr="00083037">
        <w:trPr>
          <w:trHeight w:val="340"/>
        </w:trPr>
        <w:tc>
          <w:tcPr>
            <w:tcW w:w="1033" w:type="pct"/>
          </w:tcPr>
          <w:p w14:paraId="0F7BC215" w14:textId="77777777" w:rsidR="00954EE9" w:rsidRPr="00CB5A57" w:rsidRDefault="00954EE9" w:rsidP="000C65BD">
            <w:pPr>
              <w:keepLines w:val="0"/>
              <w:spacing w:before="60" w:after="0"/>
              <w:ind w:left="-110"/>
              <w:rPr>
                <w:b/>
                <w:i/>
                <w:sz w:val="22"/>
              </w:rPr>
            </w:pPr>
            <w:r w:rsidRPr="00CB5A57">
              <w:rPr>
                <w:b/>
                <w:i/>
                <w:sz w:val="22"/>
              </w:rPr>
              <w:t>Listed Drug</w:t>
            </w:r>
          </w:p>
        </w:tc>
        <w:tc>
          <w:tcPr>
            <w:tcW w:w="2186" w:type="pct"/>
          </w:tcPr>
          <w:p w14:paraId="19D1574E" w14:textId="77777777" w:rsidR="00954EE9" w:rsidRPr="00CB5A57" w:rsidRDefault="00954EE9" w:rsidP="000C65BD">
            <w:pPr>
              <w:keepLines w:val="0"/>
              <w:spacing w:before="60" w:after="0"/>
              <w:ind w:left="-107"/>
              <w:rPr>
                <w:b/>
                <w:i/>
                <w:sz w:val="22"/>
              </w:rPr>
            </w:pPr>
            <w:r w:rsidRPr="00CB5A57">
              <w:rPr>
                <w:b/>
                <w:bCs/>
                <w:i/>
                <w:iCs/>
                <w:sz w:val="22"/>
                <w:szCs w:val="22"/>
              </w:rPr>
              <w:t>Document incorporated</w:t>
            </w:r>
          </w:p>
        </w:tc>
        <w:tc>
          <w:tcPr>
            <w:tcW w:w="1780" w:type="pct"/>
          </w:tcPr>
          <w:p w14:paraId="0F0EFD3E" w14:textId="77777777" w:rsidR="00954EE9" w:rsidRPr="00CB5A57" w:rsidRDefault="00954EE9" w:rsidP="000C65BD">
            <w:pPr>
              <w:keepLines w:val="0"/>
              <w:spacing w:before="60" w:after="0"/>
              <w:ind w:left="-39"/>
              <w:rPr>
                <w:b/>
                <w:i/>
                <w:sz w:val="22"/>
              </w:rPr>
            </w:pPr>
            <w:r w:rsidRPr="00CB5A57">
              <w:rPr>
                <w:b/>
                <w:bCs/>
                <w:i/>
                <w:iCs/>
                <w:sz w:val="22"/>
                <w:szCs w:val="22"/>
              </w:rPr>
              <w:t>Document access</w:t>
            </w:r>
          </w:p>
        </w:tc>
      </w:tr>
      <w:tr w:rsidR="00954EE9" w:rsidRPr="00CB5A57" w14:paraId="5CAF2750" w14:textId="77777777" w:rsidTr="00083037">
        <w:trPr>
          <w:trHeight w:val="284"/>
        </w:trPr>
        <w:tc>
          <w:tcPr>
            <w:tcW w:w="1033" w:type="pct"/>
          </w:tcPr>
          <w:p w14:paraId="5C237E7B" w14:textId="4AC006AE" w:rsidR="00954EE9" w:rsidRPr="00CB5A57" w:rsidRDefault="00C62ABC" w:rsidP="000C65BD">
            <w:pPr>
              <w:keepLines w:val="0"/>
              <w:spacing w:before="60" w:after="60"/>
              <w:ind w:left="-110"/>
              <w:jc w:val="left"/>
            </w:pPr>
            <w:r w:rsidRPr="00CB5A57">
              <w:t>Lenalidomide</w:t>
            </w:r>
          </w:p>
        </w:tc>
        <w:tc>
          <w:tcPr>
            <w:tcW w:w="2186" w:type="pct"/>
          </w:tcPr>
          <w:p w14:paraId="58B82167" w14:textId="156CA00B" w:rsidR="00954EE9" w:rsidRPr="00CB5A57" w:rsidRDefault="00954EE9" w:rsidP="000C65BD">
            <w:pPr>
              <w:keepLines w:val="0"/>
              <w:spacing w:before="60" w:after="60"/>
              <w:ind w:left="-110" w:firstLine="3"/>
              <w:jc w:val="left"/>
            </w:pPr>
            <w:r w:rsidRPr="00CB5A57">
              <w:t xml:space="preserve">International Prognostic Scoring System (IPSS).  The document is incorporated as in force on the day this Instrument takes effect, pursuant to paragraph 14(1)(b) of the </w:t>
            </w:r>
            <w:r w:rsidRPr="00CB5A57">
              <w:rPr>
                <w:i/>
              </w:rPr>
              <w:t>Legislation Act 2003</w:t>
            </w:r>
            <w:r w:rsidRPr="00CB5A57">
              <w:t>.</w:t>
            </w:r>
          </w:p>
          <w:p w14:paraId="2AE65BC3" w14:textId="5E558AD6" w:rsidR="00954EE9" w:rsidRPr="00CB5A57" w:rsidRDefault="00954EE9" w:rsidP="000C65BD">
            <w:pPr>
              <w:keepLines w:val="0"/>
              <w:spacing w:before="60" w:after="60"/>
              <w:ind w:left="-110" w:firstLine="3"/>
              <w:jc w:val="left"/>
            </w:pPr>
            <w:r w:rsidRPr="00CB5A57">
              <w:t xml:space="preserve">The IPSS is </w:t>
            </w:r>
            <w:r w:rsidR="00C62ABC" w:rsidRPr="00CB5A57">
              <w:t xml:space="preserve">a </w:t>
            </w:r>
            <w:r w:rsidRPr="00CB5A57">
              <w:t>medical diagnostic tool used to help assess the severity of myelodysplastic syndrome, through the evaluation of the proportion of blast cells in a patient's bonemarrow, the type of chromosomal changes (if any) in the marrow cells, and the presence of one or more low blood cell counts (cytopenias).</w:t>
            </w:r>
          </w:p>
        </w:tc>
        <w:tc>
          <w:tcPr>
            <w:tcW w:w="1780" w:type="pct"/>
          </w:tcPr>
          <w:p w14:paraId="685172DF" w14:textId="645B4F95" w:rsidR="00954EE9" w:rsidRPr="00CB5A57" w:rsidRDefault="00954EE9" w:rsidP="000C65BD">
            <w:pPr>
              <w:keepLines w:val="0"/>
              <w:spacing w:before="60" w:after="60"/>
              <w:ind w:left="-39"/>
              <w:jc w:val="left"/>
            </w:pPr>
            <w:r w:rsidRPr="00CB5A57">
              <w:t xml:space="preserve">The </w:t>
            </w:r>
            <w:r w:rsidR="00C62ABC" w:rsidRPr="00CB5A57">
              <w:t xml:space="preserve">International Prognostic Scoring System (IPSS) </w:t>
            </w:r>
            <w:r w:rsidRPr="00CB5A57">
              <w:t xml:space="preserve">is available for </w:t>
            </w:r>
            <w:r w:rsidR="009250A6" w:rsidRPr="00CB5A57">
              <w:t xml:space="preserve">download for </w:t>
            </w:r>
            <w:r w:rsidRPr="00CB5A57">
              <w:t xml:space="preserve">free from the </w:t>
            </w:r>
            <w:r w:rsidR="00C62ABC" w:rsidRPr="00CB5A57">
              <w:t>Blood Journal</w:t>
            </w:r>
            <w:r w:rsidRPr="00CB5A57">
              <w:t xml:space="preserve"> website</w:t>
            </w:r>
            <w:r w:rsidR="009250A6" w:rsidRPr="00CB5A57">
              <w:t>:</w:t>
            </w:r>
            <w:r w:rsidRPr="00CB5A57">
              <w:t xml:space="preserve"> </w:t>
            </w:r>
            <w:hyperlink r:id="rId8" w:history="1">
              <w:r w:rsidR="00C62ABC" w:rsidRPr="00CB5A57">
                <w:rPr>
                  <w:rStyle w:val="Hyperlink"/>
                </w:rPr>
                <w:t>https://ashpublications.org/blood</w:t>
              </w:r>
            </w:hyperlink>
          </w:p>
          <w:p w14:paraId="625B1E88" w14:textId="435A47A6" w:rsidR="00F60DB0" w:rsidRPr="00CB5A57" w:rsidRDefault="00F60DB0" w:rsidP="000C65BD">
            <w:pPr>
              <w:keepLines w:val="0"/>
              <w:spacing w:before="60" w:after="60"/>
              <w:ind w:left="-39"/>
              <w:jc w:val="left"/>
            </w:pPr>
            <w:r w:rsidRPr="00CB5A57">
              <w:rPr>
                <w:rStyle w:val="Emphasis"/>
                <w:color w:val="1A1A1A"/>
                <w:bdr w:val="none" w:sz="0" w:space="0" w:color="auto" w:frame="1"/>
                <w:shd w:val="clear" w:color="auto" w:fill="FFFFFF"/>
              </w:rPr>
              <w:t>Blood</w:t>
            </w:r>
            <w:r w:rsidRPr="00CB5A57">
              <w:rPr>
                <w:color w:val="1A1A1A"/>
                <w:shd w:val="clear" w:color="auto" w:fill="FFFFFF"/>
              </w:rPr>
              <w:t xml:space="preserve"> (1997) 89 (6): 2079–2088.</w:t>
            </w:r>
          </w:p>
        </w:tc>
      </w:tr>
      <w:tr w:rsidR="00A87C32" w:rsidRPr="00CB5A57" w14:paraId="4D3374C9" w14:textId="77777777" w:rsidTr="00083037">
        <w:trPr>
          <w:trHeight w:val="284"/>
        </w:trPr>
        <w:tc>
          <w:tcPr>
            <w:tcW w:w="1033" w:type="pct"/>
          </w:tcPr>
          <w:p w14:paraId="0567F460" w14:textId="283B0686" w:rsidR="00A87C32" w:rsidRPr="00CB5A57" w:rsidRDefault="00A87C32" w:rsidP="001C1E1C">
            <w:pPr>
              <w:keepLines w:val="0"/>
              <w:spacing w:before="60" w:after="60"/>
              <w:ind w:left="-108"/>
              <w:jc w:val="left"/>
            </w:pPr>
            <w:r w:rsidRPr="00CB5A57">
              <w:t>Riociguat</w:t>
            </w:r>
          </w:p>
        </w:tc>
        <w:tc>
          <w:tcPr>
            <w:tcW w:w="2186" w:type="pct"/>
          </w:tcPr>
          <w:p w14:paraId="069C4E53" w14:textId="77777777" w:rsidR="00A87C32" w:rsidRPr="00CB5A57" w:rsidRDefault="00A87C32" w:rsidP="000C65BD">
            <w:pPr>
              <w:keepNext/>
              <w:keepLines w:val="0"/>
              <w:spacing w:before="60" w:after="60"/>
              <w:ind w:left="-110" w:firstLine="3"/>
              <w:jc w:val="left"/>
              <w:rPr>
                <w:szCs w:val="16"/>
              </w:rPr>
            </w:pPr>
            <w:r w:rsidRPr="00CB5A57">
              <w:rPr>
                <w:szCs w:val="16"/>
              </w:rPr>
              <w:t xml:space="preserve">Therapeutic Goods Administration (TGA)-approved Product Information. The document is incorporated as in force on the day this Instrument takes effect, pursuant to paragraph 14(1)(b) of the </w:t>
            </w:r>
            <w:r w:rsidRPr="00CB5A57">
              <w:rPr>
                <w:i/>
                <w:szCs w:val="16"/>
              </w:rPr>
              <w:t>Legislation Act</w:t>
            </w:r>
            <w:r w:rsidRPr="00CB5A57">
              <w:rPr>
                <w:szCs w:val="16"/>
              </w:rPr>
              <w:t xml:space="preserve"> 2003.</w:t>
            </w:r>
          </w:p>
          <w:p w14:paraId="0016B6C2" w14:textId="357574D5" w:rsidR="00A87C32" w:rsidRPr="00CB5A57" w:rsidRDefault="00A87C32" w:rsidP="000C65BD">
            <w:pPr>
              <w:keepNext/>
              <w:keepLines w:val="0"/>
              <w:spacing w:before="60" w:after="60"/>
              <w:ind w:left="-110" w:firstLine="3"/>
              <w:jc w:val="left"/>
            </w:pPr>
            <w:r w:rsidRPr="00CB5A57">
              <w:rPr>
                <w:szCs w:val="16"/>
              </w:rPr>
              <w:t>This document provides health professionals with a summary of the scientific information relevant to the safe and effective use of a prescription medicine.</w:t>
            </w:r>
          </w:p>
        </w:tc>
        <w:tc>
          <w:tcPr>
            <w:tcW w:w="1780" w:type="pct"/>
          </w:tcPr>
          <w:p w14:paraId="026DE694" w14:textId="760FEF6F" w:rsidR="00A87C32" w:rsidRPr="00CB5A57" w:rsidRDefault="00A87C32" w:rsidP="000C65BD">
            <w:pPr>
              <w:keepNext/>
              <w:keepLines w:val="0"/>
              <w:spacing w:before="60" w:after="60"/>
              <w:ind w:left="-39"/>
              <w:jc w:val="left"/>
            </w:pPr>
            <w:r w:rsidRPr="00CB5A57">
              <w:rPr>
                <w:szCs w:val="16"/>
              </w:rPr>
              <w:t>TGA-approved Product Information</w:t>
            </w:r>
            <w:r w:rsidRPr="00CB5A57">
              <w:t xml:space="preserve"> is available for download for free from the TGA website: </w:t>
            </w:r>
            <w:hyperlink r:id="rId9" w:history="1">
              <w:r w:rsidRPr="00CB5A57">
                <w:rPr>
                  <w:rStyle w:val="Hyperlink"/>
                </w:rPr>
                <w:t>https://www.tga.gov.au/product-information-0</w:t>
              </w:r>
            </w:hyperlink>
          </w:p>
        </w:tc>
      </w:tr>
      <w:tr w:rsidR="009250A6" w:rsidRPr="00CB5A57" w14:paraId="390351E6" w14:textId="77777777" w:rsidTr="00083037">
        <w:trPr>
          <w:trHeight w:val="284"/>
        </w:trPr>
        <w:tc>
          <w:tcPr>
            <w:tcW w:w="1033" w:type="pct"/>
          </w:tcPr>
          <w:p w14:paraId="37D6C7CB" w14:textId="58B48869" w:rsidR="009250A6" w:rsidRPr="00CB5A57" w:rsidRDefault="009250A6" w:rsidP="00115EED">
            <w:pPr>
              <w:keepLines w:val="0"/>
              <w:spacing w:before="60" w:after="0"/>
              <w:ind w:left="-110"/>
              <w:jc w:val="left"/>
            </w:pPr>
            <w:r w:rsidRPr="00CB5A57">
              <w:lastRenderedPageBreak/>
              <w:t>Riociguat</w:t>
            </w:r>
          </w:p>
        </w:tc>
        <w:tc>
          <w:tcPr>
            <w:tcW w:w="2186" w:type="pct"/>
          </w:tcPr>
          <w:p w14:paraId="20E21297" w14:textId="75013FFF" w:rsidR="009250A6" w:rsidRPr="00CB5A57" w:rsidRDefault="009250A6" w:rsidP="00115EED">
            <w:pPr>
              <w:keepLines w:val="0"/>
              <w:spacing w:before="60" w:after="0"/>
              <w:ind w:left="-110" w:firstLine="3"/>
              <w:jc w:val="left"/>
            </w:pPr>
            <w:r w:rsidRPr="00CB5A57">
              <w:rPr>
                <w:szCs w:val="16"/>
              </w:rPr>
              <w:t>WHO Functional Classes for chronic thromboembolic pulmonary hypertension (CTEPH)</w:t>
            </w:r>
            <w:r w:rsidR="007049EA" w:rsidRPr="00CB5A57">
              <w:rPr>
                <w:szCs w:val="16"/>
              </w:rPr>
              <w:t>.</w:t>
            </w:r>
            <w:r w:rsidRPr="00CB5A57">
              <w:rPr>
                <w:szCs w:val="16"/>
              </w:rPr>
              <w:t xml:space="preserve">  </w:t>
            </w:r>
            <w:r w:rsidRPr="00CB5A57">
              <w:t xml:space="preserve">The document is incorporated as in force on the day this Instrument takes effect, pursuant to paragraph 14(1)(b) of the </w:t>
            </w:r>
            <w:r w:rsidRPr="00CB5A57">
              <w:rPr>
                <w:i/>
              </w:rPr>
              <w:t>Legislation Act 2003</w:t>
            </w:r>
            <w:r w:rsidRPr="00CB5A57">
              <w:t>.</w:t>
            </w:r>
          </w:p>
          <w:p w14:paraId="45BB75B0" w14:textId="1BEFFAA8" w:rsidR="009250A6" w:rsidRPr="00CB5A57" w:rsidRDefault="009250A6" w:rsidP="00115EED">
            <w:pPr>
              <w:keepLines w:val="0"/>
              <w:spacing w:before="60" w:after="0"/>
              <w:ind w:left="-110" w:firstLine="3"/>
              <w:jc w:val="left"/>
              <w:rPr>
                <w:szCs w:val="16"/>
              </w:rPr>
            </w:pPr>
            <w:r w:rsidRPr="00CB5A57">
              <w:t>The WHO Functional Class system for CTEPH is used to define the severity of CTEPH symptoms and the impact they have on a patient’s day-to-day activities.</w:t>
            </w:r>
          </w:p>
        </w:tc>
        <w:tc>
          <w:tcPr>
            <w:tcW w:w="1780" w:type="pct"/>
          </w:tcPr>
          <w:p w14:paraId="439EAA98" w14:textId="46451DF2" w:rsidR="009250A6" w:rsidRPr="00CB5A57" w:rsidRDefault="009250A6" w:rsidP="00115EED">
            <w:pPr>
              <w:keepLines w:val="0"/>
              <w:spacing w:before="60" w:after="0"/>
              <w:ind w:left="-39"/>
              <w:jc w:val="left"/>
              <w:rPr>
                <w:szCs w:val="16"/>
              </w:rPr>
            </w:pPr>
            <w:r w:rsidRPr="00CB5A57">
              <w:rPr>
                <w:szCs w:val="16"/>
              </w:rPr>
              <w:t>The WHO Functional Class system for</w:t>
            </w:r>
            <w:r w:rsidRPr="00CB5A57">
              <w:t xml:space="preserve"> CTEPH is available for download for free from the Pulmonary Hypertension Association Australia website: </w:t>
            </w:r>
            <w:hyperlink r:id="rId10" w:history="1">
              <w:r w:rsidRPr="00CB5A57">
                <w:rPr>
                  <w:rStyle w:val="Hyperlink"/>
                </w:rPr>
                <w:t>https://www.phaaustralia.com/page/11/classification-of-pulmonary-hypertension</w:t>
              </w:r>
            </w:hyperlink>
          </w:p>
        </w:tc>
      </w:tr>
    </w:tbl>
    <w:p w14:paraId="53A5A6A4" w14:textId="7174BA8F" w:rsidR="00C53975" w:rsidRPr="00CB5A57" w:rsidRDefault="00C53975" w:rsidP="00083037">
      <w:pPr>
        <w:keepLines w:val="0"/>
        <w:spacing w:before="240" w:after="0"/>
        <w:rPr>
          <w:b/>
          <w:sz w:val="26"/>
          <w:szCs w:val="26"/>
        </w:rPr>
      </w:pPr>
      <w:r w:rsidRPr="00CB5A57">
        <w:rPr>
          <w:b/>
          <w:sz w:val="26"/>
          <w:szCs w:val="26"/>
        </w:rPr>
        <w:t>Diagnostic tools referenced in the Instrument</w:t>
      </w:r>
    </w:p>
    <w:p w14:paraId="14F6C17D" w14:textId="77777777" w:rsidR="00C53975" w:rsidRPr="00CB5A57" w:rsidRDefault="00C53975" w:rsidP="000C65BD">
      <w:pPr>
        <w:keepLines w:val="0"/>
        <w:spacing w:after="0"/>
        <w:rPr>
          <w:i/>
          <w:sz w:val="22"/>
          <w:szCs w:val="22"/>
        </w:rPr>
      </w:pPr>
      <w:r w:rsidRPr="00CB5A57">
        <w:rPr>
          <w:i/>
        </w:rPr>
        <w:t>The following standard medical diagnostic tools are referenced in the Instrument but are not intended to incorporate a document by reference.</w:t>
      </w:r>
    </w:p>
    <w:tbl>
      <w:tblPr>
        <w:tblStyle w:val="TableGrid"/>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271"/>
        <w:gridCol w:w="1701"/>
        <w:gridCol w:w="3345"/>
        <w:gridCol w:w="3288"/>
      </w:tblGrid>
      <w:tr w:rsidR="00C53975" w:rsidRPr="00CB5A57" w14:paraId="6D7F367C" w14:textId="77777777" w:rsidTr="00115EED">
        <w:tc>
          <w:tcPr>
            <w:tcW w:w="1271" w:type="dxa"/>
          </w:tcPr>
          <w:p w14:paraId="59699F11" w14:textId="77777777" w:rsidR="00C53975" w:rsidRPr="00CB5A57" w:rsidRDefault="00C53975" w:rsidP="00083037">
            <w:pPr>
              <w:keepNext/>
              <w:spacing w:before="60" w:after="0"/>
              <w:jc w:val="left"/>
              <w:rPr>
                <w:b/>
                <w:i/>
              </w:rPr>
            </w:pPr>
            <w:r w:rsidRPr="00CB5A57">
              <w:rPr>
                <w:b/>
                <w:i/>
              </w:rPr>
              <w:t>Listed Drug</w:t>
            </w:r>
          </w:p>
        </w:tc>
        <w:tc>
          <w:tcPr>
            <w:tcW w:w="1701" w:type="dxa"/>
            <w:hideMark/>
          </w:tcPr>
          <w:p w14:paraId="44083408" w14:textId="77777777" w:rsidR="00C53975" w:rsidRPr="00CB5A57" w:rsidRDefault="00C53975" w:rsidP="00083037">
            <w:pPr>
              <w:spacing w:before="60" w:after="0"/>
              <w:jc w:val="left"/>
              <w:rPr>
                <w:b/>
                <w:i/>
              </w:rPr>
            </w:pPr>
            <w:r w:rsidRPr="00CB5A57">
              <w:rPr>
                <w:b/>
                <w:i/>
              </w:rPr>
              <w:t>Diagnostic tool</w:t>
            </w:r>
          </w:p>
        </w:tc>
        <w:tc>
          <w:tcPr>
            <w:tcW w:w="3345" w:type="dxa"/>
            <w:hideMark/>
          </w:tcPr>
          <w:p w14:paraId="09C0DD1E" w14:textId="77777777" w:rsidR="00C53975" w:rsidRPr="00CB5A57" w:rsidRDefault="00C53975" w:rsidP="00083037">
            <w:pPr>
              <w:spacing w:before="60" w:after="0"/>
              <w:jc w:val="left"/>
              <w:rPr>
                <w:b/>
                <w:i/>
              </w:rPr>
            </w:pPr>
            <w:r w:rsidRPr="00CB5A57">
              <w:rPr>
                <w:b/>
                <w:i/>
              </w:rPr>
              <w:t>Purpose and use in the Instrument</w:t>
            </w:r>
          </w:p>
        </w:tc>
        <w:tc>
          <w:tcPr>
            <w:tcW w:w="3288" w:type="dxa"/>
          </w:tcPr>
          <w:p w14:paraId="46EF82F1" w14:textId="684A928D" w:rsidR="00C53975" w:rsidRPr="00CB5A57" w:rsidRDefault="00C53975" w:rsidP="00083037">
            <w:pPr>
              <w:spacing w:before="60" w:after="0"/>
              <w:jc w:val="left"/>
              <w:rPr>
                <w:b/>
                <w:i/>
              </w:rPr>
            </w:pPr>
            <w:r w:rsidRPr="00CB5A57">
              <w:rPr>
                <w:b/>
                <w:i/>
              </w:rPr>
              <w:t>Reason this reference does not serve to incorporate a document</w:t>
            </w:r>
          </w:p>
        </w:tc>
      </w:tr>
      <w:tr w:rsidR="00C53975" w:rsidRPr="00CB5A57" w14:paraId="394AD943" w14:textId="77777777" w:rsidTr="000C65BD">
        <w:tc>
          <w:tcPr>
            <w:tcW w:w="1271" w:type="dxa"/>
          </w:tcPr>
          <w:p w14:paraId="534FBEE0" w14:textId="4206122E" w:rsidR="00C53975" w:rsidRPr="00CB5A57" w:rsidRDefault="00C53975" w:rsidP="000C65BD">
            <w:pPr>
              <w:keepLines w:val="0"/>
              <w:spacing w:before="60" w:after="60"/>
            </w:pPr>
            <w:r w:rsidRPr="00CB5A57">
              <w:t>Riociguat</w:t>
            </w:r>
          </w:p>
        </w:tc>
        <w:tc>
          <w:tcPr>
            <w:tcW w:w="1701" w:type="dxa"/>
          </w:tcPr>
          <w:p w14:paraId="355A7CAE" w14:textId="77777777" w:rsidR="00C53975" w:rsidRPr="00CB5A57" w:rsidRDefault="00C53975" w:rsidP="000C65BD">
            <w:pPr>
              <w:spacing w:before="60" w:after="60"/>
              <w:jc w:val="left"/>
            </w:pPr>
            <w:r w:rsidRPr="00CB5A57">
              <w:t>Right heart catherization (RHC) composite assessment</w:t>
            </w:r>
          </w:p>
        </w:tc>
        <w:tc>
          <w:tcPr>
            <w:tcW w:w="3345" w:type="dxa"/>
          </w:tcPr>
          <w:p w14:paraId="6B6DE8DD" w14:textId="77777777" w:rsidR="00C53975" w:rsidRPr="00CB5A57" w:rsidRDefault="00C53975" w:rsidP="000C65BD">
            <w:pPr>
              <w:spacing w:before="60" w:after="60"/>
              <w:jc w:val="left"/>
            </w:pPr>
            <w:r w:rsidRPr="00CB5A57">
              <w:t>RHC is a diagnostic procedure used to measure pulmonary artery pressures and thus evaluate whether a patient has pulmonary hypertension or not, and sometimes what is causing the pulmonary hypertension.</w:t>
            </w:r>
          </w:p>
          <w:p w14:paraId="728B5553" w14:textId="77777777" w:rsidR="00C53975" w:rsidRPr="00CB5A57" w:rsidRDefault="00C53975" w:rsidP="000C65BD">
            <w:pPr>
              <w:spacing w:before="60" w:after="60"/>
              <w:jc w:val="left"/>
            </w:pPr>
            <w:r w:rsidRPr="00CB5A57">
              <w:t>RHC composite assessment is a range of haemodynamic assessment comprising the measurement of cardiac output, mixed venous oxygen saturation, mean pulmonary arterial pressure, pulmonary artery wedge pressure, right atrial pressure and right ventricular pressure.</w:t>
            </w:r>
          </w:p>
          <w:p w14:paraId="665558D8" w14:textId="77777777" w:rsidR="00C53975" w:rsidRPr="00CB5A57" w:rsidRDefault="00C53975" w:rsidP="000C65BD">
            <w:pPr>
              <w:spacing w:before="60" w:after="60"/>
              <w:jc w:val="left"/>
            </w:pPr>
            <w:r w:rsidRPr="00CB5A57">
              <w:t>Measurement must be reported on as part of the authority application for a number of PBS listed drugs.</w:t>
            </w:r>
          </w:p>
        </w:tc>
        <w:tc>
          <w:tcPr>
            <w:tcW w:w="3288" w:type="dxa"/>
          </w:tcPr>
          <w:p w14:paraId="733E54DF" w14:textId="77777777" w:rsidR="00C53975" w:rsidRPr="00CB5A57" w:rsidRDefault="00C53975" w:rsidP="000C65BD">
            <w:pPr>
              <w:spacing w:before="60" w:after="60"/>
              <w:ind w:right="-26"/>
              <w:jc w:val="left"/>
              <w:rPr>
                <w:b/>
              </w:rPr>
            </w:pPr>
            <w:r w:rsidRPr="00CB5A57">
              <w:t>The RHC composite assessment is part of the standard diagnostic work-up for Pulmonary Arterial Hypertension and does not constitute a written record of information that must be referred to in order to determine whether statutory conditions have been met.</w:t>
            </w:r>
          </w:p>
        </w:tc>
      </w:tr>
      <w:tr w:rsidR="00C53975" w:rsidRPr="00CB5A57" w14:paraId="71B76F57" w14:textId="77777777" w:rsidTr="000C65BD">
        <w:tc>
          <w:tcPr>
            <w:tcW w:w="1271" w:type="dxa"/>
          </w:tcPr>
          <w:p w14:paraId="3D8DCC77" w14:textId="5E3B4454" w:rsidR="00C53975" w:rsidRPr="00CB5A57" w:rsidRDefault="00C53975" w:rsidP="000C65BD">
            <w:pPr>
              <w:keepLines w:val="0"/>
              <w:spacing w:before="60" w:after="60"/>
            </w:pPr>
            <w:r w:rsidRPr="00CB5A57">
              <w:t>Riociguat</w:t>
            </w:r>
          </w:p>
        </w:tc>
        <w:tc>
          <w:tcPr>
            <w:tcW w:w="1701" w:type="dxa"/>
          </w:tcPr>
          <w:p w14:paraId="03E9D1BE" w14:textId="77777777" w:rsidR="00C53975" w:rsidRPr="00CB5A57" w:rsidRDefault="00C53975" w:rsidP="000C65BD">
            <w:pPr>
              <w:keepLines w:val="0"/>
              <w:spacing w:before="60" w:after="60"/>
              <w:jc w:val="left"/>
            </w:pPr>
            <w:r w:rsidRPr="00CB5A57">
              <w:t>Echocardiography (ECHO) composite assessment</w:t>
            </w:r>
          </w:p>
        </w:tc>
        <w:tc>
          <w:tcPr>
            <w:tcW w:w="3345" w:type="dxa"/>
          </w:tcPr>
          <w:p w14:paraId="3C2017B4" w14:textId="77777777" w:rsidR="00C53975" w:rsidRPr="00CB5A57" w:rsidRDefault="00C53975" w:rsidP="000C65BD">
            <w:pPr>
              <w:keepLines w:val="0"/>
              <w:spacing w:before="60" w:after="60"/>
              <w:jc w:val="left"/>
            </w:pPr>
            <w:r w:rsidRPr="00CB5A57">
              <w:t>ECHO is an ultrasound of the heart used to estimate the pulmonary artery pressures using mathematical equations and thus evaluate whether a patient has pulmonary hypertension.</w:t>
            </w:r>
          </w:p>
          <w:p w14:paraId="363A1847" w14:textId="77777777" w:rsidR="00C53975" w:rsidRPr="00CB5A57" w:rsidRDefault="00C53975" w:rsidP="000C65BD">
            <w:pPr>
              <w:keepLines w:val="0"/>
              <w:spacing w:before="60" w:after="60"/>
              <w:jc w:val="left"/>
            </w:pPr>
            <w:r w:rsidRPr="00CB5A57">
              <w:t>ECHO composite assessment is a range of haemodynamic assessment comprising the measurement of pulmonary artery systolic pressure, right ventricular systolic pressure, right atrial pressure.</w:t>
            </w:r>
          </w:p>
          <w:p w14:paraId="6DC224FF" w14:textId="77777777" w:rsidR="00C53975" w:rsidRPr="00CB5A57" w:rsidRDefault="00C53975" w:rsidP="000C65BD">
            <w:pPr>
              <w:keepLines w:val="0"/>
              <w:spacing w:before="60" w:after="60"/>
              <w:jc w:val="left"/>
            </w:pPr>
            <w:r w:rsidRPr="00CB5A57">
              <w:t>Measurement must be reported on as part of the authority application for a number of PBS listed drugs.</w:t>
            </w:r>
          </w:p>
        </w:tc>
        <w:tc>
          <w:tcPr>
            <w:tcW w:w="3288" w:type="dxa"/>
          </w:tcPr>
          <w:p w14:paraId="4C12363C" w14:textId="77777777" w:rsidR="00C53975" w:rsidRPr="00CB5A57" w:rsidRDefault="00C53975" w:rsidP="000C65BD">
            <w:pPr>
              <w:keepLines w:val="0"/>
              <w:spacing w:before="60" w:after="60"/>
              <w:jc w:val="left"/>
            </w:pPr>
            <w:r w:rsidRPr="00CB5A57">
              <w:t>The ECHO composite assessment is part of the standard diagnostic work-up for Pulmonary Arterial Hypertension and does not constitute a written record of information that must be referred to in order to determine whether statutory conditions have been met.</w:t>
            </w:r>
          </w:p>
        </w:tc>
      </w:tr>
      <w:tr w:rsidR="00C53975" w:rsidRPr="00CB5A57" w14:paraId="0BC14E0B" w14:textId="77777777" w:rsidTr="000C65BD">
        <w:tc>
          <w:tcPr>
            <w:tcW w:w="1271" w:type="dxa"/>
          </w:tcPr>
          <w:p w14:paraId="58094119" w14:textId="0BD64AC4" w:rsidR="00C53975" w:rsidRPr="00CB5A57" w:rsidRDefault="00C53975" w:rsidP="000C65BD">
            <w:pPr>
              <w:keepLines w:val="0"/>
              <w:spacing w:before="60" w:after="60"/>
            </w:pPr>
            <w:r w:rsidRPr="00CB5A57">
              <w:t>Riociguat</w:t>
            </w:r>
          </w:p>
        </w:tc>
        <w:tc>
          <w:tcPr>
            <w:tcW w:w="1701" w:type="dxa"/>
          </w:tcPr>
          <w:p w14:paraId="76135011" w14:textId="77777777" w:rsidR="00C53975" w:rsidRPr="00CB5A57" w:rsidRDefault="00C53975" w:rsidP="000C65BD">
            <w:pPr>
              <w:keepLines w:val="0"/>
              <w:spacing w:before="60" w:after="60"/>
              <w:jc w:val="left"/>
            </w:pPr>
            <w:r w:rsidRPr="00CB5A57">
              <w:t>Six Minute Walk Test (6MWT)</w:t>
            </w:r>
          </w:p>
        </w:tc>
        <w:tc>
          <w:tcPr>
            <w:tcW w:w="3345" w:type="dxa"/>
          </w:tcPr>
          <w:p w14:paraId="5DF3A345" w14:textId="77777777" w:rsidR="00C53975" w:rsidRPr="00CB5A57" w:rsidRDefault="00C53975" w:rsidP="000C65BD">
            <w:pPr>
              <w:keepLines w:val="0"/>
              <w:spacing w:before="60" w:after="60"/>
              <w:jc w:val="left"/>
            </w:pPr>
            <w:r w:rsidRPr="00CB5A57">
              <w:t>The 6MWT is an assessment of performance ability in a variety of cardiopulmonary disease. It provides important functional information that is not captured in standardized pulmonary function testing.</w:t>
            </w:r>
          </w:p>
          <w:p w14:paraId="66CB7B16" w14:textId="77777777" w:rsidR="00C53975" w:rsidRPr="00CB5A57" w:rsidRDefault="00C53975" w:rsidP="000C65BD">
            <w:pPr>
              <w:keepLines w:val="0"/>
              <w:spacing w:before="60" w:after="60"/>
              <w:jc w:val="left"/>
            </w:pPr>
            <w:r w:rsidRPr="00CB5A57">
              <w:t>Measurement must be reported on as part of the authority application for a number of PBS listed drugs.</w:t>
            </w:r>
          </w:p>
        </w:tc>
        <w:tc>
          <w:tcPr>
            <w:tcW w:w="3288" w:type="dxa"/>
          </w:tcPr>
          <w:p w14:paraId="273DDFD9" w14:textId="77777777" w:rsidR="00C53975" w:rsidRPr="00CB5A57" w:rsidRDefault="00C53975" w:rsidP="000C65BD">
            <w:pPr>
              <w:keepLines w:val="0"/>
              <w:spacing w:before="60" w:after="60"/>
              <w:jc w:val="left"/>
            </w:pPr>
            <w:r w:rsidRPr="00CB5A57">
              <w:t xml:space="preserve">The 6MWT is a </w:t>
            </w:r>
            <w:r w:rsidRPr="00CB5A57">
              <w:rPr>
                <w:rFonts w:eastAsia="Calibri"/>
              </w:rPr>
              <w:t xml:space="preserve">process for obtaining physiological measurements and does not constitute a written record of information that must be referred to in order to determine whether statutory conditions have been met. The 6MWT </w:t>
            </w:r>
            <w:r w:rsidRPr="00CB5A57">
              <w:t>is part of the standard diagnostic work-up for Pulmonary Arterial Hypertension.</w:t>
            </w:r>
          </w:p>
        </w:tc>
      </w:tr>
    </w:tbl>
    <w:p w14:paraId="6DF444BD" w14:textId="77777777" w:rsidR="00954EE9" w:rsidRPr="00CB5A57" w:rsidRDefault="00954EE9">
      <w:pPr>
        <w:keepLines w:val="0"/>
        <w:spacing w:after="0"/>
        <w:jc w:val="left"/>
        <w:rPr>
          <w:b/>
          <w:i/>
        </w:rPr>
      </w:pPr>
    </w:p>
    <w:p w14:paraId="2C3D8078" w14:textId="20A6FCFD" w:rsidR="00B32AB1" w:rsidRPr="00CB5A57" w:rsidRDefault="00B32AB1">
      <w:pPr>
        <w:keepLines w:val="0"/>
        <w:spacing w:after="0"/>
        <w:jc w:val="left"/>
        <w:rPr>
          <w:b/>
          <w:sz w:val="24"/>
          <w:szCs w:val="24"/>
        </w:rPr>
      </w:pPr>
      <w:r w:rsidRPr="00CB5A57">
        <w:rPr>
          <w:b/>
          <w:sz w:val="24"/>
          <w:szCs w:val="24"/>
        </w:rPr>
        <w:br w:type="page"/>
      </w:r>
    </w:p>
    <w:p w14:paraId="152525F2" w14:textId="34E606E6" w:rsidR="000C6A04" w:rsidRPr="00CB5A57" w:rsidRDefault="000C6A04" w:rsidP="005E6D84">
      <w:pPr>
        <w:keepLines w:val="0"/>
        <w:spacing w:after="0"/>
        <w:ind w:left="1134" w:firstLine="567"/>
        <w:jc w:val="left"/>
        <w:rPr>
          <w:b/>
          <w:sz w:val="24"/>
          <w:szCs w:val="24"/>
        </w:rPr>
      </w:pPr>
      <w:r w:rsidRPr="00CB5A57">
        <w:rPr>
          <w:b/>
          <w:sz w:val="26"/>
          <w:szCs w:val="26"/>
        </w:rPr>
        <w:lastRenderedPageBreak/>
        <w:t>Statement of Compatibility with Human Rights</w:t>
      </w:r>
    </w:p>
    <w:p w14:paraId="4D2D6099" w14:textId="77777777" w:rsidR="000C6A04" w:rsidRPr="00CB5A57" w:rsidRDefault="000C6A04" w:rsidP="000B45B3">
      <w:pPr>
        <w:keepLines w:val="0"/>
        <w:spacing w:before="120" w:after="0"/>
        <w:jc w:val="center"/>
        <w:rPr>
          <w:i/>
          <w:sz w:val="22"/>
          <w:szCs w:val="22"/>
        </w:rPr>
      </w:pPr>
      <w:r w:rsidRPr="00CB5A57">
        <w:rPr>
          <w:i/>
          <w:sz w:val="22"/>
          <w:szCs w:val="22"/>
        </w:rPr>
        <w:t>Prepared in accordance with Part 3 of the Human Rights (Parliamentary Scrutiny) Act 2011</w:t>
      </w:r>
    </w:p>
    <w:p w14:paraId="60DFA373" w14:textId="37201C16" w:rsidR="000C6A04" w:rsidRPr="00CB5A57" w:rsidRDefault="000C6A04" w:rsidP="000B45B3">
      <w:pPr>
        <w:keepLines w:val="0"/>
        <w:spacing w:before="360" w:after="0"/>
        <w:jc w:val="center"/>
        <w:rPr>
          <w:b/>
          <w:i/>
          <w:sz w:val="22"/>
          <w:szCs w:val="22"/>
        </w:rPr>
      </w:pPr>
      <w:r w:rsidRPr="00CB5A57">
        <w:rPr>
          <w:b/>
          <w:i/>
          <w:sz w:val="22"/>
          <w:szCs w:val="22"/>
        </w:rPr>
        <w:t>National Health (Hi</w:t>
      </w:r>
      <w:r w:rsidR="00F405CF" w:rsidRPr="00CB5A57">
        <w:rPr>
          <w:b/>
          <w:i/>
          <w:sz w:val="22"/>
          <w:szCs w:val="22"/>
        </w:rPr>
        <w:t>ghly specialised drugs program)</w:t>
      </w:r>
      <w:r w:rsidR="00F405CF" w:rsidRPr="00CB5A57">
        <w:rPr>
          <w:b/>
          <w:i/>
          <w:sz w:val="22"/>
          <w:szCs w:val="22"/>
        </w:rPr>
        <w:br/>
      </w:r>
      <w:r w:rsidRPr="00CB5A57">
        <w:rPr>
          <w:b/>
          <w:i/>
          <w:sz w:val="22"/>
          <w:szCs w:val="22"/>
        </w:rPr>
        <w:t>Special</w:t>
      </w:r>
      <w:r w:rsidR="00F405CF" w:rsidRPr="00CB5A57">
        <w:rPr>
          <w:b/>
          <w:i/>
          <w:sz w:val="22"/>
          <w:szCs w:val="22"/>
        </w:rPr>
        <w:t xml:space="preserve"> </w:t>
      </w:r>
      <w:r w:rsidRPr="00CB5A57">
        <w:rPr>
          <w:b/>
          <w:i/>
          <w:sz w:val="22"/>
          <w:szCs w:val="22"/>
        </w:rPr>
        <w:t>Arrangement</w:t>
      </w:r>
      <w:r w:rsidR="00F405CF" w:rsidRPr="00CB5A57">
        <w:rPr>
          <w:b/>
          <w:i/>
          <w:sz w:val="22"/>
          <w:szCs w:val="22"/>
        </w:rPr>
        <w:t xml:space="preserve"> </w:t>
      </w:r>
      <w:r w:rsidRPr="00CB5A57">
        <w:rPr>
          <w:b/>
          <w:i/>
          <w:sz w:val="22"/>
          <w:szCs w:val="22"/>
        </w:rPr>
        <w:t>Amendment</w:t>
      </w:r>
      <w:r w:rsidR="00F405CF" w:rsidRPr="00CB5A57">
        <w:rPr>
          <w:b/>
          <w:i/>
          <w:sz w:val="22"/>
          <w:szCs w:val="22"/>
        </w:rPr>
        <w:t xml:space="preserve"> </w:t>
      </w:r>
      <w:r w:rsidRPr="00CB5A57">
        <w:rPr>
          <w:b/>
          <w:i/>
          <w:sz w:val="22"/>
          <w:szCs w:val="22"/>
        </w:rPr>
        <w:t>Instrument</w:t>
      </w:r>
      <w:r w:rsidR="00F405CF" w:rsidRPr="00CB5A57">
        <w:rPr>
          <w:b/>
          <w:i/>
          <w:sz w:val="22"/>
          <w:szCs w:val="22"/>
        </w:rPr>
        <w:t xml:space="preserve"> </w:t>
      </w:r>
      <w:r w:rsidR="008F2270" w:rsidRPr="00CB5A57">
        <w:rPr>
          <w:b/>
          <w:i/>
          <w:sz w:val="22"/>
          <w:szCs w:val="22"/>
        </w:rPr>
        <w:t>2020</w:t>
      </w:r>
      <w:r w:rsidRPr="00CB5A57">
        <w:rPr>
          <w:b/>
          <w:i/>
          <w:sz w:val="22"/>
          <w:szCs w:val="22"/>
        </w:rPr>
        <w:t xml:space="preserve"> </w:t>
      </w:r>
      <w:r w:rsidR="00A72540" w:rsidRPr="00CB5A57">
        <w:rPr>
          <w:b/>
          <w:i/>
          <w:sz w:val="22"/>
          <w:szCs w:val="22"/>
        </w:rPr>
        <w:t>(No. 7)</w:t>
      </w:r>
    </w:p>
    <w:p w14:paraId="7E8E52C2" w14:textId="4B74FFE0" w:rsidR="000C6A04" w:rsidRPr="00CB5A57" w:rsidRDefault="000C6A04" w:rsidP="00441D04">
      <w:pPr>
        <w:keepLines w:val="0"/>
        <w:spacing w:before="120" w:after="0"/>
        <w:jc w:val="center"/>
        <w:rPr>
          <w:b/>
          <w:sz w:val="22"/>
          <w:szCs w:val="22"/>
        </w:rPr>
      </w:pPr>
      <w:r w:rsidRPr="00CB5A57">
        <w:rPr>
          <w:b/>
          <w:sz w:val="22"/>
          <w:szCs w:val="22"/>
        </w:rPr>
        <w:t>(</w:t>
      </w:r>
      <w:r w:rsidR="00A72540" w:rsidRPr="00CB5A57">
        <w:rPr>
          <w:b/>
          <w:sz w:val="22"/>
          <w:szCs w:val="22"/>
        </w:rPr>
        <w:t xml:space="preserve">PB </w:t>
      </w:r>
      <w:r w:rsidR="00605C50" w:rsidRPr="00CB5A57">
        <w:rPr>
          <w:b/>
          <w:sz w:val="22"/>
          <w:szCs w:val="22"/>
        </w:rPr>
        <w:t>82</w:t>
      </w:r>
      <w:r w:rsidR="00637609" w:rsidRPr="00CB5A57">
        <w:rPr>
          <w:b/>
          <w:sz w:val="22"/>
          <w:szCs w:val="22"/>
        </w:rPr>
        <w:t xml:space="preserve"> </w:t>
      </w:r>
      <w:r w:rsidR="005E6D84" w:rsidRPr="00CB5A57">
        <w:rPr>
          <w:b/>
          <w:sz w:val="22"/>
          <w:szCs w:val="22"/>
        </w:rPr>
        <w:t xml:space="preserve">of </w:t>
      </w:r>
      <w:r w:rsidR="008F2270" w:rsidRPr="00CB5A57">
        <w:rPr>
          <w:b/>
          <w:sz w:val="22"/>
          <w:szCs w:val="22"/>
        </w:rPr>
        <w:t>2020</w:t>
      </w:r>
      <w:r w:rsidRPr="00CB5A57">
        <w:rPr>
          <w:b/>
          <w:sz w:val="22"/>
          <w:szCs w:val="22"/>
        </w:rPr>
        <w:t>)</w:t>
      </w:r>
    </w:p>
    <w:p w14:paraId="3509D077" w14:textId="77777777" w:rsidR="000C6A04" w:rsidRPr="00CB5A57" w:rsidRDefault="000C6A04" w:rsidP="000B45B3">
      <w:pPr>
        <w:keepLines w:val="0"/>
        <w:spacing w:before="360" w:after="0"/>
        <w:rPr>
          <w:sz w:val="22"/>
          <w:szCs w:val="22"/>
        </w:rPr>
      </w:pPr>
      <w:r w:rsidRPr="00CB5A57">
        <w:rPr>
          <w:sz w:val="22"/>
          <w:szCs w:val="22"/>
        </w:rPr>
        <w:t xml:space="preserve">This Instrument is compatible with the human rights and freedoms recognised or declared in the international instruments listed in section 3 of the </w:t>
      </w:r>
      <w:r w:rsidRPr="00CB5A57">
        <w:rPr>
          <w:i/>
          <w:sz w:val="22"/>
          <w:szCs w:val="22"/>
        </w:rPr>
        <w:t>Human Rights (Parliamentary Scrutiny) Act 2011</w:t>
      </w:r>
      <w:r w:rsidRPr="00CB5A57">
        <w:rPr>
          <w:sz w:val="22"/>
          <w:szCs w:val="22"/>
        </w:rPr>
        <w:t>.</w:t>
      </w:r>
    </w:p>
    <w:p w14:paraId="548F45F6" w14:textId="77777777" w:rsidR="000C6A04" w:rsidRPr="00CB5A57" w:rsidRDefault="000C6A04" w:rsidP="00B2617C">
      <w:pPr>
        <w:keepLines w:val="0"/>
        <w:spacing w:before="240" w:after="0"/>
        <w:rPr>
          <w:b/>
          <w:sz w:val="22"/>
          <w:szCs w:val="22"/>
        </w:rPr>
      </w:pPr>
      <w:r w:rsidRPr="00CB5A57">
        <w:rPr>
          <w:b/>
          <w:sz w:val="22"/>
          <w:szCs w:val="22"/>
        </w:rPr>
        <w:t>Overview of the Instrument</w:t>
      </w:r>
    </w:p>
    <w:p w14:paraId="177BDB51" w14:textId="76B2EE7C" w:rsidR="000C6A04" w:rsidRPr="00CB5A57" w:rsidRDefault="006F2CEF" w:rsidP="00B2617C">
      <w:pPr>
        <w:keepLines w:val="0"/>
        <w:spacing w:before="120" w:after="0"/>
        <w:rPr>
          <w:sz w:val="22"/>
          <w:szCs w:val="22"/>
        </w:rPr>
      </w:pPr>
      <w:r w:rsidRPr="00CB5A57">
        <w:rPr>
          <w:sz w:val="22"/>
          <w:szCs w:val="22"/>
        </w:rPr>
        <w:t>The purpose of this I</w:t>
      </w:r>
      <w:r w:rsidR="000C6A04" w:rsidRPr="00CB5A57">
        <w:rPr>
          <w:sz w:val="22"/>
          <w:szCs w:val="22"/>
        </w:rPr>
        <w:t xml:space="preserve">nstrument, made under subsection 100(2) of the </w:t>
      </w:r>
      <w:r w:rsidR="000C6A04" w:rsidRPr="00CB5A57">
        <w:rPr>
          <w:i/>
          <w:sz w:val="22"/>
          <w:szCs w:val="22"/>
        </w:rPr>
        <w:t>National Health Act</w:t>
      </w:r>
      <w:r w:rsidR="00F405CF" w:rsidRPr="00CB5A57">
        <w:rPr>
          <w:i/>
          <w:sz w:val="22"/>
          <w:szCs w:val="22"/>
        </w:rPr>
        <w:t xml:space="preserve"> </w:t>
      </w:r>
      <w:r w:rsidR="000C6A04" w:rsidRPr="00CB5A57">
        <w:rPr>
          <w:i/>
          <w:sz w:val="22"/>
          <w:szCs w:val="22"/>
        </w:rPr>
        <w:t>19</w:t>
      </w:r>
      <w:r w:rsidR="00D76B16" w:rsidRPr="00CB5A57">
        <w:rPr>
          <w:i/>
          <w:sz w:val="22"/>
          <w:szCs w:val="22"/>
        </w:rPr>
        <w:t>5</w:t>
      </w:r>
      <w:r w:rsidR="000C6A04" w:rsidRPr="00CB5A57">
        <w:rPr>
          <w:i/>
          <w:sz w:val="22"/>
          <w:szCs w:val="22"/>
        </w:rPr>
        <w:t>3</w:t>
      </w:r>
      <w:r w:rsidR="000C6A04" w:rsidRPr="00CB5A57">
        <w:rPr>
          <w:sz w:val="22"/>
          <w:szCs w:val="22"/>
        </w:rPr>
        <w:t xml:space="preserve"> (the Act), is to amend the </w:t>
      </w:r>
      <w:r w:rsidR="000C6A04" w:rsidRPr="00CB5A57">
        <w:rPr>
          <w:i/>
          <w:sz w:val="22"/>
          <w:szCs w:val="22"/>
        </w:rPr>
        <w:t>National Health (Highly specialised drugs program) Special Arrangement 2010</w:t>
      </w:r>
      <w:r w:rsidR="000C6A04" w:rsidRPr="00CB5A57">
        <w:rPr>
          <w:sz w:val="22"/>
          <w:szCs w:val="22"/>
        </w:rPr>
        <w:t xml:space="preserve"> (PB 116 of 2010) (the Special Arrangement), to make changes to the Special Arrangement relating to the </w:t>
      </w:r>
      <w:r w:rsidR="00DB0632" w:rsidRPr="00CB5A57">
        <w:rPr>
          <w:sz w:val="22"/>
          <w:szCs w:val="22"/>
        </w:rPr>
        <w:t>Highly Specialised D</w:t>
      </w:r>
      <w:r w:rsidR="000C6A04" w:rsidRPr="00CB5A57">
        <w:rPr>
          <w:sz w:val="22"/>
          <w:szCs w:val="22"/>
        </w:rPr>
        <w:t>rugs program.</w:t>
      </w:r>
    </w:p>
    <w:p w14:paraId="059969F4" w14:textId="673B8EF8" w:rsidR="000C6A04" w:rsidRPr="00CB5A57" w:rsidRDefault="000C6A04" w:rsidP="00B2617C">
      <w:pPr>
        <w:keepLines w:val="0"/>
        <w:spacing w:before="120" w:after="0"/>
        <w:rPr>
          <w:sz w:val="22"/>
          <w:szCs w:val="22"/>
        </w:rPr>
      </w:pPr>
      <w:r w:rsidRPr="00CB5A57">
        <w:rPr>
          <w:sz w:val="22"/>
          <w:szCs w:val="22"/>
        </w:rPr>
        <w:t>The pharmaceutical benefits supplied under the Special Arrangement are for the treatment of chronic conditions which, because of their clinical use or other special features, may only be supplied to patients receiving specialised treatment.</w:t>
      </w:r>
    </w:p>
    <w:p w14:paraId="1E0BB7F0" w14:textId="675BA5EB" w:rsidR="00CB2A6A" w:rsidRPr="00CB5A57" w:rsidRDefault="00BD5988" w:rsidP="00CB2A6A">
      <w:pPr>
        <w:keepLines w:val="0"/>
        <w:spacing w:before="120" w:after="0"/>
        <w:rPr>
          <w:sz w:val="22"/>
          <w:szCs w:val="22"/>
        </w:rPr>
      </w:pPr>
      <w:r w:rsidRPr="00CB5A57">
        <w:rPr>
          <w:sz w:val="22"/>
          <w:szCs w:val="22"/>
        </w:rPr>
        <w:t>The amendments in Schedule 1 involve the deletion of a brand, the alteration of responsible person codes for brands of pharmaceutical benefits, the alteration of brand names of pharmaceutical benefits, and the alteration of a responsible person name.  They also include the alteration of circumstances for prescribing various pharmaceutical benefits available under the Special Arrangement, in order correct minor historical typographical/transcription errors.</w:t>
      </w:r>
      <w:r w:rsidR="00CB2A6A" w:rsidRPr="00CB5A57">
        <w:rPr>
          <w:sz w:val="22"/>
          <w:szCs w:val="22"/>
        </w:rPr>
        <w:t xml:space="preserve"> </w:t>
      </w:r>
    </w:p>
    <w:p w14:paraId="6982599B" w14:textId="5743CAC0" w:rsidR="000C6A04" w:rsidRPr="00CB5A57" w:rsidRDefault="000C6A04" w:rsidP="00B2617C">
      <w:pPr>
        <w:keepLines w:val="0"/>
        <w:spacing w:before="240" w:after="0"/>
        <w:rPr>
          <w:b/>
          <w:sz w:val="22"/>
          <w:szCs w:val="22"/>
        </w:rPr>
      </w:pPr>
      <w:r w:rsidRPr="00CB5A57">
        <w:rPr>
          <w:b/>
          <w:sz w:val="22"/>
          <w:szCs w:val="22"/>
        </w:rPr>
        <w:t xml:space="preserve">Human </w:t>
      </w:r>
      <w:r w:rsidR="00F63405" w:rsidRPr="00CB5A57">
        <w:rPr>
          <w:b/>
          <w:sz w:val="22"/>
          <w:szCs w:val="22"/>
        </w:rPr>
        <w:t>R</w:t>
      </w:r>
      <w:r w:rsidRPr="00CB5A57">
        <w:rPr>
          <w:b/>
          <w:sz w:val="22"/>
          <w:szCs w:val="22"/>
        </w:rPr>
        <w:t xml:space="preserve">ights </w:t>
      </w:r>
      <w:r w:rsidR="00F63405" w:rsidRPr="00CB5A57">
        <w:rPr>
          <w:b/>
          <w:sz w:val="22"/>
          <w:szCs w:val="22"/>
        </w:rPr>
        <w:t>I</w:t>
      </w:r>
      <w:r w:rsidRPr="00CB5A57">
        <w:rPr>
          <w:b/>
          <w:sz w:val="22"/>
          <w:szCs w:val="22"/>
        </w:rPr>
        <w:t>mplications</w:t>
      </w:r>
    </w:p>
    <w:p w14:paraId="48B47057" w14:textId="77777777" w:rsidR="000C6A04" w:rsidRPr="00CB5A57" w:rsidRDefault="006F2CEF" w:rsidP="00B2617C">
      <w:pPr>
        <w:keepLines w:val="0"/>
        <w:spacing w:before="120" w:after="0"/>
        <w:rPr>
          <w:sz w:val="22"/>
          <w:szCs w:val="22"/>
        </w:rPr>
      </w:pPr>
      <w:r w:rsidRPr="00CB5A57">
        <w:rPr>
          <w:sz w:val="22"/>
          <w:szCs w:val="22"/>
        </w:rPr>
        <w:t>This I</w:t>
      </w:r>
      <w:r w:rsidR="000C6A04" w:rsidRPr="00CB5A57">
        <w:rPr>
          <w:sz w:val="22"/>
          <w:szCs w:val="22"/>
        </w:rPr>
        <w:t>nstrument engages Article 2 and 12 of the International Covenant on Economic, Social and Cultural Rights (ICESCR) by assisting with the progressive realisation by all appropriate means of the right of everyone to the enjoyment of the highest attainable standard of physical and mental health.</w:t>
      </w:r>
    </w:p>
    <w:p w14:paraId="4D469C10" w14:textId="77777777" w:rsidR="000C6A04" w:rsidRPr="00CB5A57" w:rsidRDefault="000C6A04" w:rsidP="00B2617C">
      <w:pPr>
        <w:keepLines w:val="0"/>
        <w:spacing w:before="120" w:after="0"/>
        <w:rPr>
          <w:sz w:val="22"/>
          <w:szCs w:val="22"/>
        </w:rPr>
      </w:pPr>
      <w:r w:rsidRPr="00CB5A57">
        <w:rPr>
          <w:sz w:val="22"/>
          <w:szCs w:val="22"/>
        </w:rPr>
        <w:t xml:space="preserve">The Pharmaceutical Benefits Scheme (PBS) is a benefit scheme which assists with advancement of this human right by providing for subsidised access by patients to medicines. </w:t>
      </w:r>
      <w:r w:rsidR="00DB0632" w:rsidRPr="00CB5A57">
        <w:rPr>
          <w:sz w:val="22"/>
          <w:szCs w:val="22"/>
        </w:rPr>
        <w:t xml:space="preserve"> </w:t>
      </w:r>
      <w:r w:rsidRPr="00CB5A57">
        <w:rPr>
          <w:sz w:val="22"/>
          <w:szCs w:val="22"/>
        </w:rPr>
        <w:t>The recommendatory role of the Pharmaceutical Benefits Advisory Committee (PBAC) ensures that decisions about subsidised access to medicines on the PBS are evidence-based.</w:t>
      </w:r>
    </w:p>
    <w:p w14:paraId="28DDDF37" w14:textId="77777777" w:rsidR="000C6A04" w:rsidRPr="00CB5A57" w:rsidRDefault="000C6A04" w:rsidP="00B2617C">
      <w:pPr>
        <w:keepLines w:val="0"/>
        <w:spacing w:before="240" w:after="0"/>
        <w:rPr>
          <w:b/>
          <w:sz w:val="22"/>
          <w:szCs w:val="22"/>
        </w:rPr>
      </w:pPr>
      <w:r w:rsidRPr="00CB5A57">
        <w:rPr>
          <w:b/>
          <w:sz w:val="22"/>
          <w:szCs w:val="22"/>
        </w:rPr>
        <w:t>Conclusion</w:t>
      </w:r>
    </w:p>
    <w:p w14:paraId="62C90CCE" w14:textId="77777777" w:rsidR="000C6A04" w:rsidRPr="00CB5A57" w:rsidRDefault="006F2CEF" w:rsidP="0005214B">
      <w:pPr>
        <w:keepLines w:val="0"/>
        <w:spacing w:before="120" w:after="0"/>
        <w:rPr>
          <w:sz w:val="22"/>
          <w:szCs w:val="22"/>
        </w:rPr>
      </w:pPr>
      <w:r w:rsidRPr="00CB5A57">
        <w:rPr>
          <w:sz w:val="22"/>
          <w:szCs w:val="22"/>
        </w:rPr>
        <w:t>This I</w:t>
      </w:r>
      <w:r w:rsidR="000C6A04" w:rsidRPr="00CB5A57">
        <w:rPr>
          <w:sz w:val="22"/>
          <w:szCs w:val="22"/>
        </w:rPr>
        <w:t>nstrument is compatible with human rights because it advances the protection of human rights.</w:t>
      </w:r>
    </w:p>
    <w:p w14:paraId="55FD3425" w14:textId="77777777" w:rsidR="00B2617C" w:rsidRPr="00CB5A57" w:rsidRDefault="00B2617C" w:rsidP="00B2617C">
      <w:pPr>
        <w:keepLines w:val="0"/>
        <w:spacing w:before="240" w:after="0"/>
        <w:jc w:val="center"/>
        <w:rPr>
          <w:sz w:val="22"/>
          <w:szCs w:val="22"/>
        </w:rPr>
      </w:pPr>
    </w:p>
    <w:p w14:paraId="6DC64C33" w14:textId="77777777" w:rsidR="00B2617C" w:rsidRPr="00CB5A57" w:rsidRDefault="00B2617C" w:rsidP="00B2617C">
      <w:pPr>
        <w:keepLines w:val="0"/>
        <w:spacing w:before="240" w:after="0"/>
        <w:jc w:val="center"/>
        <w:rPr>
          <w:sz w:val="22"/>
          <w:szCs w:val="22"/>
        </w:rPr>
      </w:pPr>
    </w:p>
    <w:p w14:paraId="6B663BC8" w14:textId="77777777" w:rsidR="00B2617C" w:rsidRPr="00CB5A57" w:rsidRDefault="00B2617C" w:rsidP="00B2617C">
      <w:pPr>
        <w:keepLines w:val="0"/>
        <w:spacing w:before="240" w:after="0"/>
        <w:jc w:val="center"/>
        <w:rPr>
          <w:sz w:val="22"/>
          <w:szCs w:val="22"/>
        </w:rPr>
      </w:pPr>
    </w:p>
    <w:p w14:paraId="5EB8559B" w14:textId="77777777" w:rsidR="00F405CF" w:rsidRPr="00CB5A57" w:rsidRDefault="00F405CF" w:rsidP="00F405CF">
      <w:pPr>
        <w:keepLines w:val="0"/>
        <w:spacing w:before="240" w:after="0"/>
        <w:jc w:val="center"/>
        <w:rPr>
          <w:b/>
          <w:sz w:val="22"/>
          <w:szCs w:val="22"/>
        </w:rPr>
      </w:pPr>
      <w:r w:rsidRPr="00CB5A57">
        <w:rPr>
          <w:b/>
          <w:sz w:val="22"/>
          <w:szCs w:val="22"/>
        </w:rPr>
        <w:t>Ben Sladic</w:t>
      </w:r>
    </w:p>
    <w:p w14:paraId="2B4801DD" w14:textId="60B8F78B" w:rsidR="000C6A04" w:rsidRPr="00CB5A57" w:rsidRDefault="00F405CF" w:rsidP="00F405CF">
      <w:pPr>
        <w:keepLines w:val="0"/>
        <w:spacing w:after="0"/>
        <w:jc w:val="center"/>
        <w:rPr>
          <w:sz w:val="22"/>
          <w:szCs w:val="22"/>
        </w:rPr>
      </w:pPr>
      <w:r w:rsidRPr="00CB5A57">
        <w:rPr>
          <w:b/>
          <w:sz w:val="22"/>
          <w:szCs w:val="22"/>
        </w:rPr>
        <w:t>Assistant Secretary</w:t>
      </w:r>
    </w:p>
    <w:p w14:paraId="047C33A3" w14:textId="77777777" w:rsidR="000C6A04" w:rsidRPr="00CB5A57" w:rsidRDefault="000C6A04" w:rsidP="00B2617C">
      <w:pPr>
        <w:keepLines w:val="0"/>
        <w:spacing w:after="0"/>
        <w:jc w:val="center"/>
        <w:rPr>
          <w:b/>
          <w:sz w:val="22"/>
          <w:szCs w:val="22"/>
        </w:rPr>
      </w:pPr>
      <w:r w:rsidRPr="00CB5A57">
        <w:rPr>
          <w:b/>
          <w:sz w:val="22"/>
          <w:szCs w:val="22"/>
        </w:rPr>
        <w:t>Pharmacy Branch</w:t>
      </w:r>
    </w:p>
    <w:p w14:paraId="2BD5981B" w14:textId="77777777" w:rsidR="000C6A04" w:rsidRPr="00CB5A57" w:rsidRDefault="000C6A04" w:rsidP="00B2617C">
      <w:pPr>
        <w:keepLines w:val="0"/>
        <w:spacing w:after="0"/>
        <w:jc w:val="center"/>
        <w:rPr>
          <w:b/>
          <w:sz w:val="22"/>
          <w:szCs w:val="22"/>
        </w:rPr>
      </w:pPr>
      <w:r w:rsidRPr="00CB5A57">
        <w:rPr>
          <w:b/>
          <w:sz w:val="22"/>
          <w:szCs w:val="22"/>
        </w:rPr>
        <w:t>Technology Assessment and Access Division</w:t>
      </w:r>
    </w:p>
    <w:p w14:paraId="3C391DDF" w14:textId="77777777" w:rsidR="00F778AD" w:rsidRPr="00B2617C" w:rsidRDefault="000C6A04" w:rsidP="00B2617C">
      <w:pPr>
        <w:keepLines w:val="0"/>
        <w:spacing w:after="0"/>
        <w:jc w:val="center"/>
        <w:rPr>
          <w:b/>
          <w:sz w:val="22"/>
          <w:szCs w:val="22"/>
        </w:rPr>
      </w:pPr>
      <w:r w:rsidRPr="00CB5A57">
        <w:rPr>
          <w:b/>
          <w:sz w:val="22"/>
          <w:szCs w:val="22"/>
        </w:rPr>
        <w:t>Department of Health</w:t>
      </w:r>
    </w:p>
    <w:p w14:paraId="763BDA96" w14:textId="77777777" w:rsidR="000E2F0C" w:rsidRPr="00FF3743" w:rsidRDefault="000E2F0C" w:rsidP="000B45B3">
      <w:pPr>
        <w:keepLines w:val="0"/>
        <w:spacing w:after="0"/>
        <w:rPr>
          <w:sz w:val="22"/>
          <w:szCs w:val="22"/>
        </w:rPr>
      </w:pPr>
    </w:p>
    <w:sectPr w:rsidR="000E2F0C" w:rsidRPr="00FF3743" w:rsidSect="006B6CBA">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40" w:right="1440" w:bottom="993"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57FD6" w14:textId="77777777" w:rsidR="00BF65AA" w:rsidRDefault="00BF65AA">
      <w:r>
        <w:separator/>
      </w:r>
    </w:p>
  </w:endnote>
  <w:endnote w:type="continuationSeparator" w:id="0">
    <w:p w14:paraId="00C607E8" w14:textId="77777777" w:rsidR="00BF65AA" w:rsidRDefault="00BF6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OUZZP+HelveticaNeue">
    <w:altName w:val="Helvetica Ne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FF3E4" w14:textId="77777777" w:rsidR="00940735" w:rsidRDefault="00940735" w:rsidP="00617C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2C4DB1" w14:textId="77777777" w:rsidR="00940735" w:rsidRDefault="00940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5052024"/>
      <w:docPartObj>
        <w:docPartGallery w:val="Page Numbers (Bottom of Page)"/>
        <w:docPartUnique/>
      </w:docPartObj>
    </w:sdtPr>
    <w:sdtEndPr>
      <w:rPr>
        <w:noProof/>
      </w:rPr>
    </w:sdtEndPr>
    <w:sdtContent>
      <w:p w14:paraId="237B602F" w14:textId="46095079" w:rsidR="00D85AAA" w:rsidRDefault="00D85AAA" w:rsidP="00D85AAA">
        <w:pPr>
          <w:pStyle w:val="Footer"/>
          <w:keepLines w:val="0"/>
          <w:spacing w:after="0"/>
          <w:jc w:val="center"/>
        </w:pPr>
        <w:r>
          <w:fldChar w:fldCharType="begin"/>
        </w:r>
        <w:r>
          <w:instrText xml:space="preserve"> PAGE   \* MERGEFORMAT </w:instrText>
        </w:r>
        <w:r>
          <w:fldChar w:fldCharType="separate"/>
        </w:r>
        <w:r w:rsidR="00CB5A57">
          <w:rPr>
            <w:noProof/>
          </w:rPr>
          <w:t>6</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620915"/>
      <w:docPartObj>
        <w:docPartGallery w:val="Page Numbers (Bottom of Page)"/>
        <w:docPartUnique/>
      </w:docPartObj>
    </w:sdtPr>
    <w:sdtEndPr>
      <w:rPr>
        <w:noProof/>
      </w:rPr>
    </w:sdtEndPr>
    <w:sdtContent>
      <w:p w14:paraId="6E16443A" w14:textId="7163F6EF" w:rsidR="00940735" w:rsidRDefault="002E334F" w:rsidP="002E334F">
        <w:pPr>
          <w:pStyle w:val="Footer"/>
          <w:keepLines w:val="0"/>
          <w:spacing w:after="0"/>
          <w:jc w:val="center"/>
        </w:pPr>
        <w:r>
          <w:fldChar w:fldCharType="begin"/>
        </w:r>
        <w:r>
          <w:instrText xml:space="preserve"> PAGE   \* MERGEFORMAT </w:instrText>
        </w:r>
        <w:r>
          <w:fldChar w:fldCharType="separate"/>
        </w:r>
        <w:r w:rsidR="00CB5A5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077F7" w14:textId="77777777" w:rsidR="00BF65AA" w:rsidRDefault="00BF65AA">
      <w:r>
        <w:separator/>
      </w:r>
    </w:p>
  </w:footnote>
  <w:footnote w:type="continuationSeparator" w:id="0">
    <w:p w14:paraId="13F4D65F" w14:textId="77777777" w:rsidR="00BF65AA" w:rsidRDefault="00BF6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8175F" w14:textId="77777777" w:rsidR="00940735" w:rsidRDefault="00940735" w:rsidP="008573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F553FA" w14:textId="77777777" w:rsidR="00940735" w:rsidRDefault="00940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DD966" w14:textId="77777777" w:rsidR="00940735" w:rsidRDefault="00940735" w:rsidP="00D85AAA">
    <w:pPr>
      <w:pStyle w:val="Header"/>
      <w:keepLines w:val="0"/>
      <w:spacing w:before="120" w:after="0"/>
    </w:pPr>
  </w:p>
  <w:p w14:paraId="7AD9F2F2" w14:textId="77777777" w:rsidR="00D85AAA" w:rsidRDefault="00D85AAA" w:rsidP="00D85AAA">
    <w:pPr>
      <w:pStyle w:val="Header"/>
      <w:keepLines w:val="0"/>
      <w:spacing w:before="120" w:after="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69943" w14:textId="77777777" w:rsidR="00E469A4" w:rsidRDefault="00E469A4" w:rsidP="002E334F">
    <w:pPr>
      <w:pStyle w:val="Header"/>
      <w:keepLines w:val="0"/>
      <w:spacing w:before="120" w:after="0"/>
    </w:pPr>
  </w:p>
  <w:p w14:paraId="3BF2A4CA" w14:textId="77777777" w:rsidR="002E334F" w:rsidRDefault="002E334F" w:rsidP="002E334F">
    <w:pPr>
      <w:pStyle w:val="Header"/>
      <w:keepLines w:val="0"/>
      <w:spacing w:before="120"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7614"/>
    <w:multiLevelType w:val="hybridMultilevel"/>
    <w:tmpl w:val="5A9690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EB25B7"/>
    <w:multiLevelType w:val="hybridMultilevel"/>
    <w:tmpl w:val="09F8CC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B87853"/>
    <w:multiLevelType w:val="hybridMultilevel"/>
    <w:tmpl w:val="E0CECA18"/>
    <w:lvl w:ilvl="0" w:tplc="7780F7EE">
      <w:start w:val="1"/>
      <w:numFmt w:val="decimal"/>
      <w:lvlText w:val="[%1]"/>
      <w:lvlJc w:val="left"/>
      <w:pPr>
        <w:ind w:left="720" w:hanging="360"/>
      </w:pPr>
      <w:rPr>
        <w:rFonts w:ascii="Arial" w:hAnsi="Arial" w:cs="Arial" w:hint="default"/>
        <w:b/>
        <w:i w:val="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AF6BE3"/>
    <w:multiLevelType w:val="hybridMultilevel"/>
    <w:tmpl w:val="FFBEBC6E"/>
    <w:lvl w:ilvl="0" w:tplc="6036607A">
      <w:start w:val="1"/>
      <w:numFmt w:val="decimal"/>
      <w:lvlText w:val="[%1]"/>
      <w:lvlJc w:val="left"/>
      <w:pPr>
        <w:tabs>
          <w:tab w:val="num" w:pos="-3"/>
        </w:tabs>
        <w:ind w:left="-59" w:firstLine="59"/>
      </w:pPr>
      <w:rPr>
        <w:rFonts w:ascii="Arial Bold" w:hAnsi="Arial Bold" w:cs="Times New Roman" w:hint="default"/>
        <w:i w:val="0"/>
        <w:color w:val="auto"/>
        <w:sz w:val="20"/>
      </w:rPr>
    </w:lvl>
    <w:lvl w:ilvl="1" w:tplc="4C5E2182">
      <w:start w:val="1"/>
      <w:numFmt w:val="lowerLetter"/>
      <w:lvlText w:val="(%2)"/>
      <w:lvlJc w:val="left"/>
      <w:pPr>
        <w:tabs>
          <w:tab w:val="num" w:pos="1440"/>
        </w:tabs>
        <w:ind w:left="1440" w:hanging="360"/>
      </w:pPr>
      <w:rPr>
        <w:rFonts w:ascii="Arial" w:hAnsi="Arial" w:cs="Arial" w:hint="default"/>
        <w:b/>
        <w:i w:val="0"/>
        <w:sz w:val="20"/>
        <w:szCs w:val="20"/>
      </w:rPr>
    </w:lvl>
    <w:lvl w:ilvl="2" w:tplc="4C5E2182">
      <w:start w:val="1"/>
      <w:numFmt w:val="lowerLetter"/>
      <w:lvlText w:val="(%3)"/>
      <w:lvlJc w:val="left"/>
      <w:pPr>
        <w:tabs>
          <w:tab w:val="num" w:pos="1189"/>
        </w:tabs>
        <w:ind w:left="1189" w:hanging="480"/>
      </w:pPr>
      <w:rPr>
        <w:rFonts w:ascii="Arial" w:hAnsi="Arial" w:cs="Arial" w:hint="default"/>
        <w:b/>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CA5D43"/>
    <w:multiLevelType w:val="hybridMultilevel"/>
    <w:tmpl w:val="F0B857F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11B1768C"/>
    <w:multiLevelType w:val="multilevel"/>
    <w:tmpl w:val="AB7683A6"/>
    <w:styleLink w:val="AmendmentInstruction"/>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 w:ilvl="1">
      <w:start w:val="1"/>
      <w:numFmt w:val="none"/>
      <w:pStyle w:val="Amendment2"/>
      <w:lvlText w:val="%2"/>
      <w:lvlJc w:val="left"/>
      <w:pPr>
        <w:ind w:left="794" w:hanging="794"/>
      </w:pPr>
      <w:rPr>
        <w:rFonts w:hint="default"/>
      </w:rPr>
    </w:lvl>
    <w:lvl w:ilvl="2">
      <w:start w:val="1"/>
      <w:numFmt w:val="lowerLetter"/>
      <w:lvlRestart w:val="1"/>
      <w:pStyle w:val="Amendment3"/>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5A079B"/>
    <w:multiLevelType w:val="hybridMultilevel"/>
    <w:tmpl w:val="DEF01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DA1827"/>
    <w:multiLevelType w:val="hybridMultilevel"/>
    <w:tmpl w:val="ABA2FD6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3E8118C4"/>
    <w:multiLevelType w:val="hybridMultilevel"/>
    <w:tmpl w:val="B7B2D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BA7E84"/>
    <w:multiLevelType w:val="hybridMultilevel"/>
    <w:tmpl w:val="9F4A534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5A0F4ABD"/>
    <w:multiLevelType w:val="hybridMultilevel"/>
    <w:tmpl w:val="12128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A11D15"/>
    <w:multiLevelType w:val="hybridMultilevel"/>
    <w:tmpl w:val="77B6E4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6E921A50"/>
    <w:multiLevelType w:val="hybridMultilevel"/>
    <w:tmpl w:val="4BD8100A"/>
    <w:lvl w:ilvl="0" w:tplc="BD2CB082">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6EC078D"/>
    <w:multiLevelType w:val="hybridMultilevel"/>
    <w:tmpl w:val="D6A03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2D2E95"/>
    <w:multiLevelType w:val="hybridMultilevel"/>
    <w:tmpl w:val="A470D1DA"/>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num w:numId="1">
    <w:abstractNumId w:val="0"/>
  </w:num>
  <w:num w:numId="2">
    <w:abstractNumId w:val="7"/>
  </w:num>
  <w:num w:numId="3">
    <w:abstractNumId w:val="10"/>
  </w:num>
  <w:num w:numId="4">
    <w:abstractNumId w:val="9"/>
  </w:num>
  <w:num w:numId="5">
    <w:abstractNumId w:val="12"/>
  </w:num>
  <w:num w:numId="6">
    <w:abstractNumId w:val="4"/>
  </w:num>
  <w:num w:numId="7">
    <w:abstractNumId w:val="8"/>
  </w:num>
  <w:num w:numId="8">
    <w:abstractNumId w:val="14"/>
  </w:num>
  <w:num w:numId="9">
    <w:abstractNumId w:val="1"/>
  </w:num>
  <w:num w:numId="10">
    <w:abstractNumId w:val="3"/>
  </w:num>
  <w:num w:numId="11">
    <w:abstractNumId w:val="13"/>
  </w:num>
  <w:num w:numId="12">
    <w:abstractNumId w:val="11"/>
  </w:num>
  <w:num w:numId="13">
    <w:abstractNumId w:val="6"/>
  </w:num>
  <w:num w:numId="14">
    <w:abstractNumId w:val="2"/>
  </w:num>
  <w:num w:numId="15">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num>
  <w:num w:numId="16">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050"/>
          </w:tabs>
          <w:ind w:left="1050" w:hanging="340"/>
        </w:pPr>
        <w:rPr>
          <w:rFonts w:ascii="Arial Bold" w:hAnsi="Arial Bold"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7">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num>
  <w:num w:numId="18">
    <w:abstractNumId w:val="5"/>
  </w:num>
  <w:num w:numId="19">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sz w:val="2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characterSpacingControl w:val="doNotCompress"/>
  <w:hdrShapeDefaults>
    <o:shapedefaults v:ext="edit" spidmax="382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262"/>
    <w:rsid w:val="000029AA"/>
    <w:rsid w:val="000047BA"/>
    <w:rsid w:val="0000497C"/>
    <w:rsid w:val="00005EFA"/>
    <w:rsid w:val="00006902"/>
    <w:rsid w:val="00006A8D"/>
    <w:rsid w:val="000079FC"/>
    <w:rsid w:val="000117B8"/>
    <w:rsid w:val="000156DC"/>
    <w:rsid w:val="00015A54"/>
    <w:rsid w:val="00015E1C"/>
    <w:rsid w:val="000167C2"/>
    <w:rsid w:val="00016B81"/>
    <w:rsid w:val="00016D11"/>
    <w:rsid w:val="000202FF"/>
    <w:rsid w:val="00020A27"/>
    <w:rsid w:val="000225AC"/>
    <w:rsid w:val="000228C8"/>
    <w:rsid w:val="00022B06"/>
    <w:rsid w:val="00022BCE"/>
    <w:rsid w:val="00023501"/>
    <w:rsid w:val="00023CE1"/>
    <w:rsid w:val="0002404C"/>
    <w:rsid w:val="00025690"/>
    <w:rsid w:val="0002632B"/>
    <w:rsid w:val="00026352"/>
    <w:rsid w:val="00027C8E"/>
    <w:rsid w:val="00030979"/>
    <w:rsid w:val="00031683"/>
    <w:rsid w:val="00031841"/>
    <w:rsid w:val="00031DA4"/>
    <w:rsid w:val="00032785"/>
    <w:rsid w:val="00032A06"/>
    <w:rsid w:val="00033202"/>
    <w:rsid w:val="00033BBE"/>
    <w:rsid w:val="00034A75"/>
    <w:rsid w:val="00035D1B"/>
    <w:rsid w:val="00036143"/>
    <w:rsid w:val="0003684F"/>
    <w:rsid w:val="00037E3C"/>
    <w:rsid w:val="0004060F"/>
    <w:rsid w:val="0004135F"/>
    <w:rsid w:val="000413B3"/>
    <w:rsid w:val="000419D2"/>
    <w:rsid w:val="00041D3B"/>
    <w:rsid w:val="00041E74"/>
    <w:rsid w:val="00043241"/>
    <w:rsid w:val="0004453E"/>
    <w:rsid w:val="00044788"/>
    <w:rsid w:val="000455F1"/>
    <w:rsid w:val="00045826"/>
    <w:rsid w:val="00045DB6"/>
    <w:rsid w:val="00046E33"/>
    <w:rsid w:val="0004700F"/>
    <w:rsid w:val="00047660"/>
    <w:rsid w:val="0004767F"/>
    <w:rsid w:val="000505DC"/>
    <w:rsid w:val="00050CE4"/>
    <w:rsid w:val="00051C02"/>
    <w:rsid w:val="00051DFF"/>
    <w:rsid w:val="0005214B"/>
    <w:rsid w:val="00052198"/>
    <w:rsid w:val="000525A8"/>
    <w:rsid w:val="00052A56"/>
    <w:rsid w:val="00052F16"/>
    <w:rsid w:val="000534DD"/>
    <w:rsid w:val="00053624"/>
    <w:rsid w:val="00053739"/>
    <w:rsid w:val="00054DA4"/>
    <w:rsid w:val="00055F04"/>
    <w:rsid w:val="000573B7"/>
    <w:rsid w:val="0005784C"/>
    <w:rsid w:val="0006234C"/>
    <w:rsid w:val="00063A64"/>
    <w:rsid w:val="00063C9F"/>
    <w:rsid w:val="00064AD6"/>
    <w:rsid w:val="00065348"/>
    <w:rsid w:val="00065C4D"/>
    <w:rsid w:val="00066C99"/>
    <w:rsid w:val="000704B1"/>
    <w:rsid w:val="000705DA"/>
    <w:rsid w:val="000718FA"/>
    <w:rsid w:val="00071C00"/>
    <w:rsid w:val="00071E58"/>
    <w:rsid w:val="000743F8"/>
    <w:rsid w:val="000756F4"/>
    <w:rsid w:val="0007745B"/>
    <w:rsid w:val="00077F65"/>
    <w:rsid w:val="00080503"/>
    <w:rsid w:val="000811D7"/>
    <w:rsid w:val="00081665"/>
    <w:rsid w:val="00082170"/>
    <w:rsid w:val="00082402"/>
    <w:rsid w:val="00083037"/>
    <w:rsid w:val="0008340B"/>
    <w:rsid w:val="00083677"/>
    <w:rsid w:val="000842A6"/>
    <w:rsid w:val="00084BE5"/>
    <w:rsid w:val="00084FC6"/>
    <w:rsid w:val="00087624"/>
    <w:rsid w:val="00090B86"/>
    <w:rsid w:val="00090F63"/>
    <w:rsid w:val="00092D40"/>
    <w:rsid w:val="00093BA7"/>
    <w:rsid w:val="00095E2C"/>
    <w:rsid w:val="000966C5"/>
    <w:rsid w:val="000A094F"/>
    <w:rsid w:val="000A2C03"/>
    <w:rsid w:val="000A3FCA"/>
    <w:rsid w:val="000A4B91"/>
    <w:rsid w:val="000A5B07"/>
    <w:rsid w:val="000A6881"/>
    <w:rsid w:val="000A6C4C"/>
    <w:rsid w:val="000A725B"/>
    <w:rsid w:val="000B10B7"/>
    <w:rsid w:val="000B23F1"/>
    <w:rsid w:val="000B3602"/>
    <w:rsid w:val="000B3611"/>
    <w:rsid w:val="000B4116"/>
    <w:rsid w:val="000B45B3"/>
    <w:rsid w:val="000B45FC"/>
    <w:rsid w:val="000B6F1A"/>
    <w:rsid w:val="000B7175"/>
    <w:rsid w:val="000B7722"/>
    <w:rsid w:val="000C277C"/>
    <w:rsid w:val="000C2A2B"/>
    <w:rsid w:val="000C3F6A"/>
    <w:rsid w:val="000C4D34"/>
    <w:rsid w:val="000C5D52"/>
    <w:rsid w:val="000C65BD"/>
    <w:rsid w:val="000C6A04"/>
    <w:rsid w:val="000C7205"/>
    <w:rsid w:val="000C7851"/>
    <w:rsid w:val="000D0C85"/>
    <w:rsid w:val="000D1286"/>
    <w:rsid w:val="000D1BCC"/>
    <w:rsid w:val="000D2B6E"/>
    <w:rsid w:val="000D2C6C"/>
    <w:rsid w:val="000D32FE"/>
    <w:rsid w:val="000D63A4"/>
    <w:rsid w:val="000D6861"/>
    <w:rsid w:val="000D787C"/>
    <w:rsid w:val="000D78FB"/>
    <w:rsid w:val="000D79C8"/>
    <w:rsid w:val="000D7C43"/>
    <w:rsid w:val="000E032F"/>
    <w:rsid w:val="000E10A0"/>
    <w:rsid w:val="000E2645"/>
    <w:rsid w:val="000E2F0C"/>
    <w:rsid w:val="000E340C"/>
    <w:rsid w:val="000E3E0A"/>
    <w:rsid w:val="000E4137"/>
    <w:rsid w:val="000E4656"/>
    <w:rsid w:val="000E489F"/>
    <w:rsid w:val="000E70DA"/>
    <w:rsid w:val="000E7761"/>
    <w:rsid w:val="000F068B"/>
    <w:rsid w:val="000F1811"/>
    <w:rsid w:val="000F1FB7"/>
    <w:rsid w:val="000F274D"/>
    <w:rsid w:val="000F2E95"/>
    <w:rsid w:val="000F2F00"/>
    <w:rsid w:val="000F5885"/>
    <w:rsid w:val="000F5F85"/>
    <w:rsid w:val="000F6372"/>
    <w:rsid w:val="000F653B"/>
    <w:rsid w:val="00100E92"/>
    <w:rsid w:val="00102CFC"/>
    <w:rsid w:val="00105706"/>
    <w:rsid w:val="00106030"/>
    <w:rsid w:val="00106758"/>
    <w:rsid w:val="00106B2D"/>
    <w:rsid w:val="0010721F"/>
    <w:rsid w:val="001077D9"/>
    <w:rsid w:val="001078A1"/>
    <w:rsid w:val="00107E5E"/>
    <w:rsid w:val="00110374"/>
    <w:rsid w:val="00110F0F"/>
    <w:rsid w:val="0011178E"/>
    <w:rsid w:val="0011193D"/>
    <w:rsid w:val="00112B0F"/>
    <w:rsid w:val="0011340E"/>
    <w:rsid w:val="001138C7"/>
    <w:rsid w:val="00113E5C"/>
    <w:rsid w:val="00114270"/>
    <w:rsid w:val="00114355"/>
    <w:rsid w:val="00115DAF"/>
    <w:rsid w:val="00115EED"/>
    <w:rsid w:val="00116066"/>
    <w:rsid w:val="00117A4C"/>
    <w:rsid w:val="0012081F"/>
    <w:rsid w:val="00121DEE"/>
    <w:rsid w:val="001227CD"/>
    <w:rsid w:val="001228DB"/>
    <w:rsid w:val="001230A1"/>
    <w:rsid w:val="00123FD9"/>
    <w:rsid w:val="00124100"/>
    <w:rsid w:val="00124354"/>
    <w:rsid w:val="00124C40"/>
    <w:rsid w:val="00125139"/>
    <w:rsid w:val="00126088"/>
    <w:rsid w:val="001276D3"/>
    <w:rsid w:val="00130259"/>
    <w:rsid w:val="0013095E"/>
    <w:rsid w:val="00131119"/>
    <w:rsid w:val="00131728"/>
    <w:rsid w:val="00131CC6"/>
    <w:rsid w:val="00131EB4"/>
    <w:rsid w:val="00131F6D"/>
    <w:rsid w:val="00133403"/>
    <w:rsid w:val="00134002"/>
    <w:rsid w:val="00134EE9"/>
    <w:rsid w:val="00136467"/>
    <w:rsid w:val="00136BAF"/>
    <w:rsid w:val="00137EA0"/>
    <w:rsid w:val="00140C63"/>
    <w:rsid w:val="0014157D"/>
    <w:rsid w:val="00141708"/>
    <w:rsid w:val="00141C52"/>
    <w:rsid w:val="001425B9"/>
    <w:rsid w:val="001426D8"/>
    <w:rsid w:val="00142730"/>
    <w:rsid w:val="0014278F"/>
    <w:rsid w:val="0014288A"/>
    <w:rsid w:val="001428B2"/>
    <w:rsid w:val="00143781"/>
    <w:rsid w:val="001440F4"/>
    <w:rsid w:val="001442AF"/>
    <w:rsid w:val="00144CA8"/>
    <w:rsid w:val="00145D86"/>
    <w:rsid w:val="00147B16"/>
    <w:rsid w:val="00147B83"/>
    <w:rsid w:val="00150EC9"/>
    <w:rsid w:val="001517B5"/>
    <w:rsid w:val="0015185F"/>
    <w:rsid w:val="001533A0"/>
    <w:rsid w:val="001534B0"/>
    <w:rsid w:val="00153C2A"/>
    <w:rsid w:val="00153EBF"/>
    <w:rsid w:val="00154C9A"/>
    <w:rsid w:val="00155092"/>
    <w:rsid w:val="00156F65"/>
    <w:rsid w:val="00160EBF"/>
    <w:rsid w:val="00161079"/>
    <w:rsid w:val="001627D9"/>
    <w:rsid w:val="00162BFA"/>
    <w:rsid w:val="00164F42"/>
    <w:rsid w:val="001657C6"/>
    <w:rsid w:val="00165D94"/>
    <w:rsid w:val="001661EF"/>
    <w:rsid w:val="00167458"/>
    <w:rsid w:val="001674E1"/>
    <w:rsid w:val="00167CDA"/>
    <w:rsid w:val="001701A6"/>
    <w:rsid w:val="00170907"/>
    <w:rsid w:val="00171212"/>
    <w:rsid w:val="00171A39"/>
    <w:rsid w:val="00172937"/>
    <w:rsid w:val="0017323A"/>
    <w:rsid w:val="00173E32"/>
    <w:rsid w:val="001810AB"/>
    <w:rsid w:val="00182B4E"/>
    <w:rsid w:val="00183CDB"/>
    <w:rsid w:val="00184CDD"/>
    <w:rsid w:val="001869B0"/>
    <w:rsid w:val="00187390"/>
    <w:rsid w:val="0019021B"/>
    <w:rsid w:val="00190A04"/>
    <w:rsid w:val="001918BF"/>
    <w:rsid w:val="0019211D"/>
    <w:rsid w:val="001922C2"/>
    <w:rsid w:val="001927A1"/>
    <w:rsid w:val="00192841"/>
    <w:rsid w:val="00192C91"/>
    <w:rsid w:val="001941C6"/>
    <w:rsid w:val="0019570E"/>
    <w:rsid w:val="00195966"/>
    <w:rsid w:val="00195E78"/>
    <w:rsid w:val="001963EF"/>
    <w:rsid w:val="001A0413"/>
    <w:rsid w:val="001A12E7"/>
    <w:rsid w:val="001A2156"/>
    <w:rsid w:val="001A2FAF"/>
    <w:rsid w:val="001A3CC3"/>
    <w:rsid w:val="001A410C"/>
    <w:rsid w:val="001A49AD"/>
    <w:rsid w:val="001A6B00"/>
    <w:rsid w:val="001A7304"/>
    <w:rsid w:val="001B16BE"/>
    <w:rsid w:val="001B1922"/>
    <w:rsid w:val="001B1E09"/>
    <w:rsid w:val="001B2B26"/>
    <w:rsid w:val="001B3491"/>
    <w:rsid w:val="001B4EB0"/>
    <w:rsid w:val="001B5079"/>
    <w:rsid w:val="001B5453"/>
    <w:rsid w:val="001C0011"/>
    <w:rsid w:val="001C016F"/>
    <w:rsid w:val="001C10C2"/>
    <w:rsid w:val="001C1A79"/>
    <w:rsid w:val="001C1E1C"/>
    <w:rsid w:val="001C2C69"/>
    <w:rsid w:val="001C3893"/>
    <w:rsid w:val="001C418C"/>
    <w:rsid w:val="001C43DE"/>
    <w:rsid w:val="001C5241"/>
    <w:rsid w:val="001C6666"/>
    <w:rsid w:val="001D00EA"/>
    <w:rsid w:val="001D0B1B"/>
    <w:rsid w:val="001D1964"/>
    <w:rsid w:val="001D3638"/>
    <w:rsid w:val="001D40EB"/>
    <w:rsid w:val="001D55CD"/>
    <w:rsid w:val="001D5C31"/>
    <w:rsid w:val="001D775C"/>
    <w:rsid w:val="001D7990"/>
    <w:rsid w:val="001E0818"/>
    <w:rsid w:val="001E0E85"/>
    <w:rsid w:val="001E0FE1"/>
    <w:rsid w:val="001E11CF"/>
    <w:rsid w:val="001E1A78"/>
    <w:rsid w:val="001E61A5"/>
    <w:rsid w:val="001E64FB"/>
    <w:rsid w:val="001E6D8B"/>
    <w:rsid w:val="001F04D7"/>
    <w:rsid w:val="001F1BAE"/>
    <w:rsid w:val="001F220A"/>
    <w:rsid w:val="001F249A"/>
    <w:rsid w:val="001F299F"/>
    <w:rsid w:val="001F3090"/>
    <w:rsid w:val="001F43A5"/>
    <w:rsid w:val="002001D9"/>
    <w:rsid w:val="00202535"/>
    <w:rsid w:val="00205AEF"/>
    <w:rsid w:val="00206D28"/>
    <w:rsid w:val="002070FE"/>
    <w:rsid w:val="002075B9"/>
    <w:rsid w:val="002105F3"/>
    <w:rsid w:val="00210EF8"/>
    <w:rsid w:val="002117E9"/>
    <w:rsid w:val="00211A95"/>
    <w:rsid w:val="002130C8"/>
    <w:rsid w:val="00214239"/>
    <w:rsid w:val="00217B84"/>
    <w:rsid w:val="00220C92"/>
    <w:rsid w:val="00220EF4"/>
    <w:rsid w:val="00221B1A"/>
    <w:rsid w:val="002222E8"/>
    <w:rsid w:val="00222683"/>
    <w:rsid w:val="00223299"/>
    <w:rsid w:val="0022336C"/>
    <w:rsid w:val="002243A8"/>
    <w:rsid w:val="00225F71"/>
    <w:rsid w:val="00226250"/>
    <w:rsid w:val="00226EF0"/>
    <w:rsid w:val="002272B1"/>
    <w:rsid w:val="00231583"/>
    <w:rsid w:val="00231D7B"/>
    <w:rsid w:val="00231E0E"/>
    <w:rsid w:val="00232C26"/>
    <w:rsid w:val="0023637E"/>
    <w:rsid w:val="00236694"/>
    <w:rsid w:val="00240104"/>
    <w:rsid w:val="0024018F"/>
    <w:rsid w:val="002410B9"/>
    <w:rsid w:val="002417A2"/>
    <w:rsid w:val="00241B82"/>
    <w:rsid w:val="00242D1C"/>
    <w:rsid w:val="00243137"/>
    <w:rsid w:val="002431D9"/>
    <w:rsid w:val="002465B8"/>
    <w:rsid w:val="00246782"/>
    <w:rsid w:val="00247663"/>
    <w:rsid w:val="00247F99"/>
    <w:rsid w:val="00250068"/>
    <w:rsid w:val="00250097"/>
    <w:rsid w:val="00250F75"/>
    <w:rsid w:val="002518FB"/>
    <w:rsid w:val="00252503"/>
    <w:rsid w:val="00254075"/>
    <w:rsid w:val="002577D5"/>
    <w:rsid w:val="00257ABD"/>
    <w:rsid w:val="00257F40"/>
    <w:rsid w:val="002633F0"/>
    <w:rsid w:val="00264E30"/>
    <w:rsid w:val="00265705"/>
    <w:rsid w:val="0026748B"/>
    <w:rsid w:val="00267B1A"/>
    <w:rsid w:val="002706D1"/>
    <w:rsid w:val="00270FA9"/>
    <w:rsid w:val="00271316"/>
    <w:rsid w:val="00271534"/>
    <w:rsid w:val="002727F0"/>
    <w:rsid w:val="0027324E"/>
    <w:rsid w:val="00273640"/>
    <w:rsid w:val="0027467B"/>
    <w:rsid w:val="0027522F"/>
    <w:rsid w:val="00276D8B"/>
    <w:rsid w:val="00277456"/>
    <w:rsid w:val="00277AE5"/>
    <w:rsid w:val="0028016A"/>
    <w:rsid w:val="00283A17"/>
    <w:rsid w:val="00284F06"/>
    <w:rsid w:val="002855CC"/>
    <w:rsid w:val="00286BF6"/>
    <w:rsid w:val="00286CF8"/>
    <w:rsid w:val="00287A83"/>
    <w:rsid w:val="00287EC4"/>
    <w:rsid w:val="0029029F"/>
    <w:rsid w:val="00291B6D"/>
    <w:rsid w:val="00291FC5"/>
    <w:rsid w:val="00292E46"/>
    <w:rsid w:val="002956CD"/>
    <w:rsid w:val="00295872"/>
    <w:rsid w:val="00296ABC"/>
    <w:rsid w:val="002A0F23"/>
    <w:rsid w:val="002A1B2D"/>
    <w:rsid w:val="002A1F0F"/>
    <w:rsid w:val="002A2768"/>
    <w:rsid w:val="002A3138"/>
    <w:rsid w:val="002A49FC"/>
    <w:rsid w:val="002A6B10"/>
    <w:rsid w:val="002A7B82"/>
    <w:rsid w:val="002B0004"/>
    <w:rsid w:val="002B0FC3"/>
    <w:rsid w:val="002B1123"/>
    <w:rsid w:val="002B1B93"/>
    <w:rsid w:val="002B2151"/>
    <w:rsid w:val="002B573E"/>
    <w:rsid w:val="002B5ACB"/>
    <w:rsid w:val="002B5B34"/>
    <w:rsid w:val="002B686B"/>
    <w:rsid w:val="002B6B82"/>
    <w:rsid w:val="002B7096"/>
    <w:rsid w:val="002B7B4E"/>
    <w:rsid w:val="002C0A52"/>
    <w:rsid w:val="002C1480"/>
    <w:rsid w:val="002C1ECB"/>
    <w:rsid w:val="002C24B2"/>
    <w:rsid w:val="002C2A53"/>
    <w:rsid w:val="002C3CF4"/>
    <w:rsid w:val="002C4911"/>
    <w:rsid w:val="002C4A2E"/>
    <w:rsid w:val="002C5315"/>
    <w:rsid w:val="002C5F39"/>
    <w:rsid w:val="002C6795"/>
    <w:rsid w:val="002C6E10"/>
    <w:rsid w:val="002D14FC"/>
    <w:rsid w:val="002D1613"/>
    <w:rsid w:val="002D29D9"/>
    <w:rsid w:val="002D4CC9"/>
    <w:rsid w:val="002D51D6"/>
    <w:rsid w:val="002D58EF"/>
    <w:rsid w:val="002D5C35"/>
    <w:rsid w:val="002D6620"/>
    <w:rsid w:val="002D7AED"/>
    <w:rsid w:val="002E0832"/>
    <w:rsid w:val="002E0D3C"/>
    <w:rsid w:val="002E2B5A"/>
    <w:rsid w:val="002E334F"/>
    <w:rsid w:val="002E744A"/>
    <w:rsid w:val="002F13BA"/>
    <w:rsid w:val="002F303F"/>
    <w:rsid w:val="002F30B0"/>
    <w:rsid w:val="002F4A74"/>
    <w:rsid w:val="002F4F29"/>
    <w:rsid w:val="002F5BA4"/>
    <w:rsid w:val="002F67CA"/>
    <w:rsid w:val="002F78E7"/>
    <w:rsid w:val="002F7909"/>
    <w:rsid w:val="002F7F3D"/>
    <w:rsid w:val="00302262"/>
    <w:rsid w:val="003032E4"/>
    <w:rsid w:val="0030455A"/>
    <w:rsid w:val="00304CEC"/>
    <w:rsid w:val="0030558A"/>
    <w:rsid w:val="003056DB"/>
    <w:rsid w:val="003060EF"/>
    <w:rsid w:val="00306C89"/>
    <w:rsid w:val="00306E0F"/>
    <w:rsid w:val="00307A4B"/>
    <w:rsid w:val="00307B03"/>
    <w:rsid w:val="0031170A"/>
    <w:rsid w:val="0031239D"/>
    <w:rsid w:val="00313037"/>
    <w:rsid w:val="003131B7"/>
    <w:rsid w:val="00313293"/>
    <w:rsid w:val="003135AB"/>
    <w:rsid w:val="00313FC3"/>
    <w:rsid w:val="003150B5"/>
    <w:rsid w:val="00316183"/>
    <w:rsid w:val="003161A3"/>
    <w:rsid w:val="003167A9"/>
    <w:rsid w:val="00316D05"/>
    <w:rsid w:val="00320C0E"/>
    <w:rsid w:val="00321291"/>
    <w:rsid w:val="00321388"/>
    <w:rsid w:val="00323172"/>
    <w:rsid w:val="003237F1"/>
    <w:rsid w:val="00323CC5"/>
    <w:rsid w:val="00324450"/>
    <w:rsid w:val="00324A45"/>
    <w:rsid w:val="00325CEC"/>
    <w:rsid w:val="003264AC"/>
    <w:rsid w:val="00330838"/>
    <w:rsid w:val="003308F2"/>
    <w:rsid w:val="00330E53"/>
    <w:rsid w:val="003330B8"/>
    <w:rsid w:val="003334F6"/>
    <w:rsid w:val="00334ADE"/>
    <w:rsid w:val="003350A8"/>
    <w:rsid w:val="003405BA"/>
    <w:rsid w:val="00341B93"/>
    <w:rsid w:val="00341E5E"/>
    <w:rsid w:val="0034264A"/>
    <w:rsid w:val="00342752"/>
    <w:rsid w:val="00342D16"/>
    <w:rsid w:val="003438AE"/>
    <w:rsid w:val="00345811"/>
    <w:rsid w:val="00346E46"/>
    <w:rsid w:val="00347184"/>
    <w:rsid w:val="003473C5"/>
    <w:rsid w:val="0035037E"/>
    <w:rsid w:val="003503AF"/>
    <w:rsid w:val="00350E6E"/>
    <w:rsid w:val="00351069"/>
    <w:rsid w:val="00351500"/>
    <w:rsid w:val="00352579"/>
    <w:rsid w:val="0035298D"/>
    <w:rsid w:val="003533AF"/>
    <w:rsid w:val="00353B95"/>
    <w:rsid w:val="003540B7"/>
    <w:rsid w:val="003546FE"/>
    <w:rsid w:val="0035554E"/>
    <w:rsid w:val="0036086F"/>
    <w:rsid w:val="00360954"/>
    <w:rsid w:val="00360A43"/>
    <w:rsid w:val="003610CD"/>
    <w:rsid w:val="00362D99"/>
    <w:rsid w:val="00362EE6"/>
    <w:rsid w:val="00362FAF"/>
    <w:rsid w:val="00363553"/>
    <w:rsid w:val="003644DD"/>
    <w:rsid w:val="00364B70"/>
    <w:rsid w:val="003672D6"/>
    <w:rsid w:val="0036777B"/>
    <w:rsid w:val="00367DC4"/>
    <w:rsid w:val="00367DCE"/>
    <w:rsid w:val="00370B88"/>
    <w:rsid w:val="00372F32"/>
    <w:rsid w:val="003732A8"/>
    <w:rsid w:val="00373CD4"/>
    <w:rsid w:val="00374216"/>
    <w:rsid w:val="00376803"/>
    <w:rsid w:val="003768C8"/>
    <w:rsid w:val="00376B17"/>
    <w:rsid w:val="0037739C"/>
    <w:rsid w:val="0037769E"/>
    <w:rsid w:val="0037779D"/>
    <w:rsid w:val="0038007A"/>
    <w:rsid w:val="003819FD"/>
    <w:rsid w:val="00381AA2"/>
    <w:rsid w:val="00381F1F"/>
    <w:rsid w:val="00382C38"/>
    <w:rsid w:val="0038303D"/>
    <w:rsid w:val="003833AC"/>
    <w:rsid w:val="003834BE"/>
    <w:rsid w:val="00383729"/>
    <w:rsid w:val="003845B2"/>
    <w:rsid w:val="003848B5"/>
    <w:rsid w:val="00384E95"/>
    <w:rsid w:val="0038516A"/>
    <w:rsid w:val="003853D9"/>
    <w:rsid w:val="00385513"/>
    <w:rsid w:val="00385524"/>
    <w:rsid w:val="003859D1"/>
    <w:rsid w:val="00385E4E"/>
    <w:rsid w:val="00390ED8"/>
    <w:rsid w:val="00391600"/>
    <w:rsid w:val="00391D84"/>
    <w:rsid w:val="00392492"/>
    <w:rsid w:val="003930C0"/>
    <w:rsid w:val="00393DD5"/>
    <w:rsid w:val="00394E08"/>
    <w:rsid w:val="003A2009"/>
    <w:rsid w:val="003A2E72"/>
    <w:rsid w:val="003A47DE"/>
    <w:rsid w:val="003A4D88"/>
    <w:rsid w:val="003A6B17"/>
    <w:rsid w:val="003A7674"/>
    <w:rsid w:val="003B01EE"/>
    <w:rsid w:val="003B08FA"/>
    <w:rsid w:val="003B233E"/>
    <w:rsid w:val="003B23B6"/>
    <w:rsid w:val="003B5E7E"/>
    <w:rsid w:val="003B7C13"/>
    <w:rsid w:val="003C0C09"/>
    <w:rsid w:val="003C12FF"/>
    <w:rsid w:val="003C1CBC"/>
    <w:rsid w:val="003C40D2"/>
    <w:rsid w:val="003C4D76"/>
    <w:rsid w:val="003C59DB"/>
    <w:rsid w:val="003C66F3"/>
    <w:rsid w:val="003C671D"/>
    <w:rsid w:val="003D0046"/>
    <w:rsid w:val="003D089D"/>
    <w:rsid w:val="003D1229"/>
    <w:rsid w:val="003D1478"/>
    <w:rsid w:val="003D156A"/>
    <w:rsid w:val="003D15C1"/>
    <w:rsid w:val="003D19B9"/>
    <w:rsid w:val="003D220E"/>
    <w:rsid w:val="003D223E"/>
    <w:rsid w:val="003D2B0B"/>
    <w:rsid w:val="003D38B4"/>
    <w:rsid w:val="003D3AC1"/>
    <w:rsid w:val="003D47F5"/>
    <w:rsid w:val="003D4E94"/>
    <w:rsid w:val="003D6780"/>
    <w:rsid w:val="003D799C"/>
    <w:rsid w:val="003E04AA"/>
    <w:rsid w:val="003E1027"/>
    <w:rsid w:val="003E22A5"/>
    <w:rsid w:val="003E2D4C"/>
    <w:rsid w:val="003E35C6"/>
    <w:rsid w:val="003E3D0C"/>
    <w:rsid w:val="003E3EA8"/>
    <w:rsid w:val="003E50D9"/>
    <w:rsid w:val="003E5AAD"/>
    <w:rsid w:val="003E5C30"/>
    <w:rsid w:val="003E5EEC"/>
    <w:rsid w:val="003E6F5E"/>
    <w:rsid w:val="003E70FC"/>
    <w:rsid w:val="003E72C2"/>
    <w:rsid w:val="003F0A89"/>
    <w:rsid w:val="003F1EEB"/>
    <w:rsid w:val="003F209F"/>
    <w:rsid w:val="003F22F2"/>
    <w:rsid w:val="003F782B"/>
    <w:rsid w:val="004001DD"/>
    <w:rsid w:val="0040192B"/>
    <w:rsid w:val="004020B2"/>
    <w:rsid w:val="0040308D"/>
    <w:rsid w:val="00404278"/>
    <w:rsid w:val="004046DC"/>
    <w:rsid w:val="00404966"/>
    <w:rsid w:val="00405940"/>
    <w:rsid w:val="00405F4B"/>
    <w:rsid w:val="00411E96"/>
    <w:rsid w:val="00414394"/>
    <w:rsid w:val="00414776"/>
    <w:rsid w:val="004151AA"/>
    <w:rsid w:val="004153F1"/>
    <w:rsid w:val="00416678"/>
    <w:rsid w:val="00417C4A"/>
    <w:rsid w:val="00417E97"/>
    <w:rsid w:val="00420597"/>
    <w:rsid w:val="00420A37"/>
    <w:rsid w:val="00420BE9"/>
    <w:rsid w:val="00422032"/>
    <w:rsid w:val="004224CA"/>
    <w:rsid w:val="0042255D"/>
    <w:rsid w:val="0042309B"/>
    <w:rsid w:val="00424269"/>
    <w:rsid w:val="004247E0"/>
    <w:rsid w:val="00424AA2"/>
    <w:rsid w:val="004255D7"/>
    <w:rsid w:val="00425CDE"/>
    <w:rsid w:val="00425DED"/>
    <w:rsid w:val="00426B4E"/>
    <w:rsid w:val="004272C8"/>
    <w:rsid w:val="00427E51"/>
    <w:rsid w:val="0043001E"/>
    <w:rsid w:val="0043151F"/>
    <w:rsid w:val="00431F00"/>
    <w:rsid w:val="00432F86"/>
    <w:rsid w:val="0043398C"/>
    <w:rsid w:val="00433F89"/>
    <w:rsid w:val="00434612"/>
    <w:rsid w:val="004352FC"/>
    <w:rsid w:val="00436FFF"/>
    <w:rsid w:val="0044042D"/>
    <w:rsid w:val="0044129C"/>
    <w:rsid w:val="00441B1B"/>
    <w:rsid w:val="00441C39"/>
    <w:rsid w:val="00441D04"/>
    <w:rsid w:val="00444981"/>
    <w:rsid w:val="00445238"/>
    <w:rsid w:val="00445F3D"/>
    <w:rsid w:val="0044695E"/>
    <w:rsid w:val="004475D8"/>
    <w:rsid w:val="00447915"/>
    <w:rsid w:val="0044792C"/>
    <w:rsid w:val="00447A9C"/>
    <w:rsid w:val="00447D0A"/>
    <w:rsid w:val="00447FC2"/>
    <w:rsid w:val="004501DA"/>
    <w:rsid w:val="0045065E"/>
    <w:rsid w:val="00450A27"/>
    <w:rsid w:val="00451EA7"/>
    <w:rsid w:val="00452149"/>
    <w:rsid w:val="004523DB"/>
    <w:rsid w:val="00453883"/>
    <w:rsid w:val="004547C7"/>
    <w:rsid w:val="004554B6"/>
    <w:rsid w:val="00456324"/>
    <w:rsid w:val="00460B48"/>
    <w:rsid w:val="00463FA9"/>
    <w:rsid w:val="004642E2"/>
    <w:rsid w:val="00464318"/>
    <w:rsid w:val="0046622B"/>
    <w:rsid w:val="004663F6"/>
    <w:rsid w:val="00466F6A"/>
    <w:rsid w:val="0047029E"/>
    <w:rsid w:val="00470E6B"/>
    <w:rsid w:val="00471C53"/>
    <w:rsid w:val="00472651"/>
    <w:rsid w:val="00473150"/>
    <w:rsid w:val="00473C0C"/>
    <w:rsid w:val="0047429D"/>
    <w:rsid w:val="00475C3D"/>
    <w:rsid w:val="00476D22"/>
    <w:rsid w:val="00476D2A"/>
    <w:rsid w:val="004777EC"/>
    <w:rsid w:val="00477908"/>
    <w:rsid w:val="00477F59"/>
    <w:rsid w:val="004801F1"/>
    <w:rsid w:val="00480A01"/>
    <w:rsid w:val="004812DB"/>
    <w:rsid w:val="00481310"/>
    <w:rsid w:val="00481C1F"/>
    <w:rsid w:val="00481D0E"/>
    <w:rsid w:val="00481F05"/>
    <w:rsid w:val="00483D30"/>
    <w:rsid w:val="00483D86"/>
    <w:rsid w:val="00484060"/>
    <w:rsid w:val="00484D13"/>
    <w:rsid w:val="00485722"/>
    <w:rsid w:val="00485DD4"/>
    <w:rsid w:val="00486927"/>
    <w:rsid w:val="00491940"/>
    <w:rsid w:val="00491C0E"/>
    <w:rsid w:val="0049310C"/>
    <w:rsid w:val="00494050"/>
    <w:rsid w:val="0049623E"/>
    <w:rsid w:val="004969BA"/>
    <w:rsid w:val="00496BFA"/>
    <w:rsid w:val="0049782C"/>
    <w:rsid w:val="004A0647"/>
    <w:rsid w:val="004A0947"/>
    <w:rsid w:val="004A0964"/>
    <w:rsid w:val="004A0DAB"/>
    <w:rsid w:val="004A2713"/>
    <w:rsid w:val="004A326A"/>
    <w:rsid w:val="004A4C3A"/>
    <w:rsid w:val="004A549F"/>
    <w:rsid w:val="004A54DE"/>
    <w:rsid w:val="004A55E3"/>
    <w:rsid w:val="004A578D"/>
    <w:rsid w:val="004A74A3"/>
    <w:rsid w:val="004B1671"/>
    <w:rsid w:val="004B3058"/>
    <w:rsid w:val="004B30DA"/>
    <w:rsid w:val="004B3F0E"/>
    <w:rsid w:val="004B656A"/>
    <w:rsid w:val="004B77FC"/>
    <w:rsid w:val="004C0D2A"/>
    <w:rsid w:val="004C1891"/>
    <w:rsid w:val="004C325D"/>
    <w:rsid w:val="004C4025"/>
    <w:rsid w:val="004C486D"/>
    <w:rsid w:val="004C4A7B"/>
    <w:rsid w:val="004C4D10"/>
    <w:rsid w:val="004C4D20"/>
    <w:rsid w:val="004C6E04"/>
    <w:rsid w:val="004D17B3"/>
    <w:rsid w:val="004D1A6F"/>
    <w:rsid w:val="004D1F98"/>
    <w:rsid w:val="004D2995"/>
    <w:rsid w:val="004D2D15"/>
    <w:rsid w:val="004D34F2"/>
    <w:rsid w:val="004D4169"/>
    <w:rsid w:val="004D4CAB"/>
    <w:rsid w:val="004D4DC8"/>
    <w:rsid w:val="004D6A47"/>
    <w:rsid w:val="004D6A57"/>
    <w:rsid w:val="004E0006"/>
    <w:rsid w:val="004E0643"/>
    <w:rsid w:val="004E0F35"/>
    <w:rsid w:val="004E1DB4"/>
    <w:rsid w:val="004E2AF6"/>
    <w:rsid w:val="004E3263"/>
    <w:rsid w:val="004E4291"/>
    <w:rsid w:val="004E589E"/>
    <w:rsid w:val="004E591C"/>
    <w:rsid w:val="004E713E"/>
    <w:rsid w:val="004E77BC"/>
    <w:rsid w:val="004E7F32"/>
    <w:rsid w:val="004F0791"/>
    <w:rsid w:val="004F21CB"/>
    <w:rsid w:val="004F2810"/>
    <w:rsid w:val="004F2AC2"/>
    <w:rsid w:val="004F2BB3"/>
    <w:rsid w:val="004F36DC"/>
    <w:rsid w:val="004F3BB5"/>
    <w:rsid w:val="004F3DCA"/>
    <w:rsid w:val="004F3F62"/>
    <w:rsid w:val="004F41D6"/>
    <w:rsid w:val="004F492C"/>
    <w:rsid w:val="004F5147"/>
    <w:rsid w:val="004F5C87"/>
    <w:rsid w:val="004F623B"/>
    <w:rsid w:val="004F6300"/>
    <w:rsid w:val="004F674F"/>
    <w:rsid w:val="004F6D8E"/>
    <w:rsid w:val="00501895"/>
    <w:rsid w:val="00501F69"/>
    <w:rsid w:val="005033FD"/>
    <w:rsid w:val="00503D54"/>
    <w:rsid w:val="00503D57"/>
    <w:rsid w:val="00504A74"/>
    <w:rsid w:val="00505F61"/>
    <w:rsid w:val="005065FB"/>
    <w:rsid w:val="0051052F"/>
    <w:rsid w:val="00511149"/>
    <w:rsid w:val="0051230A"/>
    <w:rsid w:val="00512BDE"/>
    <w:rsid w:val="00513E2A"/>
    <w:rsid w:val="00514FF9"/>
    <w:rsid w:val="00515FDA"/>
    <w:rsid w:val="0051607A"/>
    <w:rsid w:val="00520F75"/>
    <w:rsid w:val="00521029"/>
    <w:rsid w:val="00522C0B"/>
    <w:rsid w:val="00522F6C"/>
    <w:rsid w:val="005234B0"/>
    <w:rsid w:val="005238D5"/>
    <w:rsid w:val="005241F5"/>
    <w:rsid w:val="00524BD9"/>
    <w:rsid w:val="00525072"/>
    <w:rsid w:val="0052565C"/>
    <w:rsid w:val="00526069"/>
    <w:rsid w:val="0052697A"/>
    <w:rsid w:val="0052739D"/>
    <w:rsid w:val="005277F8"/>
    <w:rsid w:val="0053030C"/>
    <w:rsid w:val="00531DE9"/>
    <w:rsid w:val="00531E23"/>
    <w:rsid w:val="00532F08"/>
    <w:rsid w:val="00533EBA"/>
    <w:rsid w:val="0053562E"/>
    <w:rsid w:val="0053625E"/>
    <w:rsid w:val="00537377"/>
    <w:rsid w:val="00537795"/>
    <w:rsid w:val="00537CFC"/>
    <w:rsid w:val="00540DB6"/>
    <w:rsid w:val="00542083"/>
    <w:rsid w:val="0054458C"/>
    <w:rsid w:val="005448EA"/>
    <w:rsid w:val="00544AFA"/>
    <w:rsid w:val="0054585B"/>
    <w:rsid w:val="00547EC6"/>
    <w:rsid w:val="0055132F"/>
    <w:rsid w:val="00551D01"/>
    <w:rsid w:val="00551F42"/>
    <w:rsid w:val="00552B0D"/>
    <w:rsid w:val="005544E5"/>
    <w:rsid w:val="00554F44"/>
    <w:rsid w:val="005551E2"/>
    <w:rsid w:val="00555488"/>
    <w:rsid w:val="00555832"/>
    <w:rsid w:val="005559E4"/>
    <w:rsid w:val="00557400"/>
    <w:rsid w:val="00557CB4"/>
    <w:rsid w:val="00560680"/>
    <w:rsid w:val="005616BE"/>
    <w:rsid w:val="005643A5"/>
    <w:rsid w:val="00564970"/>
    <w:rsid w:val="0056541F"/>
    <w:rsid w:val="00565857"/>
    <w:rsid w:val="005667B4"/>
    <w:rsid w:val="00567370"/>
    <w:rsid w:val="00567492"/>
    <w:rsid w:val="00571306"/>
    <w:rsid w:val="00571D5D"/>
    <w:rsid w:val="00574173"/>
    <w:rsid w:val="00574CA8"/>
    <w:rsid w:val="005819FE"/>
    <w:rsid w:val="00581B95"/>
    <w:rsid w:val="00581DA3"/>
    <w:rsid w:val="00581F7D"/>
    <w:rsid w:val="00582DEA"/>
    <w:rsid w:val="00582EE8"/>
    <w:rsid w:val="005838B1"/>
    <w:rsid w:val="0058394C"/>
    <w:rsid w:val="005845A5"/>
    <w:rsid w:val="005846FD"/>
    <w:rsid w:val="00584BC6"/>
    <w:rsid w:val="00584F0F"/>
    <w:rsid w:val="0058694B"/>
    <w:rsid w:val="00586DE6"/>
    <w:rsid w:val="00587723"/>
    <w:rsid w:val="00587765"/>
    <w:rsid w:val="00587869"/>
    <w:rsid w:val="0058787C"/>
    <w:rsid w:val="00587D72"/>
    <w:rsid w:val="00590F01"/>
    <w:rsid w:val="00591342"/>
    <w:rsid w:val="00591415"/>
    <w:rsid w:val="00591AC9"/>
    <w:rsid w:val="005956D7"/>
    <w:rsid w:val="005958C6"/>
    <w:rsid w:val="00595A09"/>
    <w:rsid w:val="005A08F6"/>
    <w:rsid w:val="005A0AB9"/>
    <w:rsid w:val="005A0DCD"/>
    <w:rsid w:val="005A21C9"/>
    <w:rsid w:val="005A2DED"/>
    <w:rsid w:val="005A2E86"/>
    <w:rsid w:val="005A3573"/>
    <w:rsid w:val="005A3E36"/>
    <w:rsid w:val="005A47F0"/>
    <w:rsid w:val="005A505F"/>
    <w:rsid w:val="005A63A6"/>
    <w:rsid w:val="005A65A1"/>
    <w:rsid w:val="005B0177"/>
    <w:rsid w:val="005B0815"/>
    <w:rsid w:val="005B1BFD"/>
    <w:rsid w:val="005B49D6"/>
    <w:rsid w:val="005B50AB"/>
    <w:rsid w:val="005B758F"/>
    <w:rsid w:val="005B7644"/>
    <w:rsid w:val="005B7D69"/>
    <w:rsid w:val="005C0C36"/>
    <w:rsid w:val="005C1205"/>
    <w:rsid w:val="005C2FAB"/>
    <w:rsid w:val="005C3D16"/>
    <w:rsid w:val="005C5154"/>
    <w:rsid w:val="005C524B"/>
    <w:rsid w:val="005C58D3"/>
    <w:rsid w:val="005C5F7B"/>
    <w:rsid w:val="005C6470"/>
    <w:rsid w:val="005C64BD"/>
    <w:rsid w:val="005C70CE"/>
    <w:rsid w:val="005C7547"/>
    <w:rsid w:val="005C79EC"/>
    <w:rsid w:val="005D0A87"/>
    <w:rsid w:val="005D19DF"/>
    <w:rsid w:val="005D1F8F"/>
    <w:rsid w:val="005D28D9"/>
    <w:rsid w:val="005D3A52"/>
    <w:rsid w:val="005D48F9"/>
    <w:rsid w:val="005D4A1F"/>
    <w:rsid w:val="005D55A3"/>
    <w:rsid w:val="005D77B6"/>
    <w:rsid w:val="005D7DC1"/>
    <w:rsid w:val="005E028A"/>
    <w:rsid w:val="005E0615"/>
    <w:rsid w:val="005E0E18"/>
    <w:rsid w:val="005E163A"/>
    <w:rsid w:val="005E229E"/>
    <w:rsid w:val="005E29AA"/>
    <w:rsid w:val="005E3503"/>
    <w:rsid w:val="005E3F10"/>
    <w:rsid w:val="005E483C"/>
    <w:rsid w:val="005E59E8"/>
    <w:rsid w:val="005E63BB"/>
    <w:rsid w:val="005E6D84"/>
    <w:rsid w:val="005E7026"/>
    <w:rsid w:val="005E7B71"/>
    <w:rsid w:val="005F1F3F"/>
    <w:rsid w:val="005F21A4"/>
    <w:rsid w:val="005F2BC8"/>
    <w:rsid w:val="005F3118"/>
    <w:rsid w:val="005F31F0"/>
    <w:rsid w:val="005F342F"/>
    <w:rsid w:val="005F376F"/>
    <w:rsid w:val="005F3ACD"/>
    <w:rsid w:val="005F4610"/>
    <w:rsid w:val="005F5895"/>
    <w:rsid w:val="005F6E97"/>
    <w:rsid w:val="005F70A5"/>
    <w:rsid w:val="006000B9"/>
    <w:rsid w:val="00600EF4"/>
    <w:rsid w:val="00601498"/>
    <w:rsid w:val="00601A13"/>
    <w:rsid w:val="00601AA2"/>
    <w:rsid w:val="00603359"/>
    <w:rsid w:val="006036A7"/>
    <w:rsid w:val="00605C50"/>
    <w:rsid w:val="006068E3"/>
    <w:rsid w:val="00607403"/>
    <w:rsid w:val="00607E56"/>
    <w:rsid w:val="00610E23"/>
    <w:rsid w:val="00611124"/>
    <w:rsid w:val="006127BF"/>
    <w:rsid w:val="0061316E"/>
    <w:rsid w:val="006132A7"/>
    <w:rsid w:val="00615191"/>
    <w:rsid w:val="00615489"/>
    <w:rsid w:val="006155CB"/>
    <w:rsid w:val="00615653"/>
    <w:rsid w:val="0061572C"/>
    <w:rsid w:val="00615F1F"/>
    <w:rsid w:val="0061688E"/>
    <w:rsid w:val="006170AF"/>
    <w:rsid w:val="00617C97"/>
    <w:rsid w:val="0062046F"/>
    <w:rsid w:val="006212DB"/>
    <w:rsid w:val="0062151F"/>
    <w:rsid w:val="00621B53"/>
    <w:rsid w:val="00622C88"/>
    <w:rsid w:val="00623C79"/>
    <w:rsid w:val="00624636"/>
    <w:rsid w:val="00625087"/>
    <w:rsid w:val="006253BD"/>
    <w:rsid w:val="006275F8"/>
    <w:rsid w:val="006313BE"/>
    <w:rsid w:val="006317A6"/>
    <w:rsid w:val="00631BCF"/>
    <w:rsid w:val="00631F6C"/>
    <w:rsid w:val="00632781"/>
    <w:rsid w:val="00632900"/>
    <w:rsid w:val="006336F5"/>
    <w:rsid w:val="00633826"/>
    <w:rsid w:val="00633996"/>
    <w:rsid w:val="006349FA"/>
    <w:rsid w:val="00634E31"/>
    <w:rsid w:val="00634FD5"/>
    <w:rsid w:val="0063554F"/>
    <w:rsid w:val="006367DF"/>
    <w:rsid w:val="00636F76"/>
    <w:rsid w:val="00637609"/>
    <w:rsid w:val="0063760A"/>
    <w:rsid w:val="00637709"/>
    <w:rsid w:val="006378C6"/>
    <w:rsid w:val="00637FCA"/>
    <w:rsid w:val="0064030F"/>
    <w:rsid w:val="00640750"/>
    <w:rsid w:val="00640B56"/>
    <w:rsid w:val="0064118C"/>
    <w:rsid w:val="006413EE"/>
    <w:rsid w:val="00641CE9"/>
    <w:rsid w:val="00641CEB"/>
    <w:rsid w:val="006432D0"/>
    <w:rsid w:val="00645F41"/>
    <w:rsid w:val="0064747C"/>
    <w:rsid w:val="00647CE9"/>
    <w:rsid w:val="00650A31"/>
    <w:rsid w:val="00651266"/>
    <w:rsid w:val="00651372"/>
    <w:rsid w:val="00651DD8"/>
    <w:rsid w:val="00652701"/>
    <w:rsid w:val="00653388"/>
    <w:rsid w:val="00653824"/>
    <w:rsid w:val="00653C64"/>
    <w:rsid w:val="00655C57"/>
    <w:rsid w:val="006564F3"/>
    <w:rsid w:val="00656E91"/>
    <w:rsid w:val="00657D6C"/>
    <w:rsid w:val="00661157"/>
    <w:rsid w:val="006617E8"/>
    <w:rsid w:val="00663BB3"/>
    <w:rsid w:val="00663E0F"/>
    <w:rsid w:val="006640D6"/>
    <w:rsid w:val="006657A7"/>
    <w:rsid w:val="00666306"/>
    <w:rsid w:val="006673E4"/>
    <w:rsid w:val="00671A22"/>
    <w:rsid w:val="00672138"/>
    <w:rsid w:val="0067223A"/>
    <w:rsid w:val="00672A9F"/>
    <w:rsid w:val="00672D62"/>
    <w:rsid w:val="00673BE0"/>
    <w:rsid w:val="00673FB2"/>
    <w:rsid w:val="00674233"/>
    <w:rsid w:val="0067457E"/>
    <w:rsid w:val="00675E5E"/>
    <w:rsid w:val="0067655E"/>
    <w:rsid w:val="00676DBA"/>
    <w:rsid w:val="00677593"/>
    <w:rsid w:val="00677BBD"/>
    <w:rsid w:val="0068009A"/>
    <w:rsid w:val="006819CA"/>
    <w:rsid w:val="00681D0B"/>
    <w:rsid w:val="00682FE1"/>
    <w:rsid w:val="006838B7"/>
    <w:rsid w:val="0068393C"/>
    <w:rsid w:val="00684733"/>
    <w:rsid w:val="00685BD6"/>
    <w:rsid w:val="006862F0"/>
    <w:rsid w:val="0068633F"/>
    <w:rsid w:val="006867ED"/>
    <w:rsid w:val="00687EB5"/>
    <w:rsid w:val="006910CD"/>
    <w:rsid w:val="00691712"/>
    <w:rsid w:val="00691D4E"/>
    <w:rsid w:val="0069346F"/>
    <w:rsid w:val="00693DFC"/>
    <w:rsid w:val="00694E0F"/>
    <w:rsid w:val="00694E3C"/>
    <w:rsid w:val="006951D1"/>
    <w:rsid w:val="0069559C"/>
    <w:rsid w:val="00695683"/>
    <w:rsid w:val="006956C9"/>
    <w:rsid w:val="00695A94"/>
    <w:rsid w:val="00696EA9"/>
    <w:rsid w:val="006978F2"/>
    <w:rsid w:val="006A0456"/>
    <w:rsid w:val="006A0B32"/>
    <w:rsid w:val="006A1CB2"/>
    <w:rsid w:val="006A1E40"/>
    <w:rsid w:val="006A2591"/>
    <w:rsid w:val="006A2C3F"/>
    <w:rsid w:val="006A382C"/>
    <w:rsid w:val="006A3A75"/>
    <w:rsid w:val="006A449F"/>
    <w:rsid w:val="006A4DD7"/>
    <w:rsid w:val="006A55B6"/>
    <w:rsid w:val="006A56DE"/>
    <w:rsid w:val="006A613A"/>
    <w:rsid w:val="006A6682"/>
    <w:rsid w:val="006B00C7"/>
    <w:rsid w:val="006B1866"/>
    <w:rsid w:val="006B1C58"/>
    <w:rsid w:val="006B2290"/>
    <w:rsid w:val="006B2AC1"/>
    <w:rsid w:val="006B33B8"/>
    <w:rsid w:val="006B4534"/>
    <w:rsid w:val="006B634C"/>
    <w:rsid w:val="006B6981"/>
    <w:rsid w:val="006B6CBA"/>
    <w:rsid w:val="006C04CE"/>
    <w:rsid w:val="006C1E6B"/>
    <w:rsid w:val="006C20FF"/>
    <w:rsid w:val="006C256A"/>
    <w:rsid w:val="006C339A"/>
    <w:rsid w:val="006C4645"/>
    <w:rsid w:val="006C4E1A"/>
    <w:rsid w:val="006C608C"/>
    <w:rsid w:val="006D13B9"/>
    <w:rsid w:val="006D1807"/>
    <w:rsid w:val="006D28C3"/>
    <w:rsid w:val="006D36DA"/>
    <w:rsid w:val="006D4566"/>
    <w:rsid w:val="006D6954"/>
    <w:rsid w:val="006D69EB"/>
    <w:rsid w:val="006D6C96"/>
    <w:rsid w:val="006D765E"/>
    <w:rsid w:val="006E0B09"/>
    <w:rsid w:val="006E0EC8"/>
    <w:rsid w:val="006E1A9D"/>
    <w:rsid w:val="006E2164"/>
    <w:rsid w:val="006E2BDD"/>
    <w:rsid w:val="006E33FC"/>
    <w:rsid w:val="006E3DBC"/>
    <w:rsid w:val="006E3FAA"/>
    <w:rsid w:val="006E7EED"/>
    <w:rsid w:val="006F049B"/>
    <w:rsid w:val="006F1193"/>
    <w:rsid w:val="006F13E7"/>
    <w:rsid w:val="006F179D"/>
    <w:rsid w:val="006F23F5"/>
    <w:rsid w:val="006F2CEF"/>
    <w:rsid w:val="006F3AB1"/>
    <w:rsid w:val="006F5905"/>
    <w:rsid w:val="0070001E"/>
    <w:rsid w:val="007007D8"/>
    <w:rsid w:val="00701436"/>
    <w:rsid w:val="0070207D"/>
    <w:rsid w:val="00702E76"/>
    <w:rsid w:val="0070314C"/>
    <w:rsid w:val="007031EF"/>
    <w:rsid w:val="007049EA"/>
    <w:rsid w:val="00704D53"/>
    <w:rsid w:val="007053C4"/>
    <w:rsid w:val="00705CE6"/>
    <w:rsid w:val="007065AD"/>
    <w:rsid w:val="00706608"/>
    <w:rsid w:val="00706660"/>
    <w:rsid w:val="00707D68"/>
    <w:rsid w:val="007104FC"/>
    <w:rsid w:val="00710FA2"/>
    <w:rsid w:val="00711A1D"/>
    <w:rsid w:val="00713C7A"/>
    <w:rsid w:val="00714961"/>
    <w:rsid w:val="00715C68"/>
    <w:rsid w:val="00715ECD"/>
    <w:rsid w:val="00720EB4"/>
    <w:rsid w:val="0072261F"/>
    <w:rsid w:val="00722900"/>
    <w:rsid w:val="007233D3"/>
    <w:rsid w:val="007239E0"/>
    <w:rsid w:val="007240C1"/>
    <w:rsid w:val="0072423C"/>
    <w:rsid w:val="007242B9"/>
    <w:rsid w:val="00725922"/>
    <w:rsid w:val="00725EDD"/>
    <w:rsid w:val="00726F2E"/>
    <w:rsid w:val="007273B1"/>
    <w:rsid w:val="007309DC"/>
    <w:rsid w:val="00730FC1"/>
    <w:rsid w:val="00731C4D"/>
    <w:rsid w:val="00732812"/>
    <w:rsid w:val="00732A50"/>
    <w:rsid w:val="00732D1D"/>
    <w:rsid w:val="007366E9"/>
    <w:rsid w:val="00736980"/>
    <w:rsid w:val="00736C12"/>
    <w:rsid w:val="0073744A"/>
    <w:rsid w:val="00737AF7"/>
    <w:rsid w:val="00737BCF"/>
    <w:rsid w:val="00741AE5"/>
    <w:rsid w:val="00741E8B"/>
    <w:rsid w:val="00743246"/>
    <w:rsid w:val="007437E8"/>
    <w:rsid w:val="00744B06"/>
    <w:rsid w:val="00745A42"/>
    <w:rsid w:val="007462A8"/>
    <w:rsid w:val="0074657E"/>
    <w:rsid w:val="00747FFE"/>
    <w:rsid w:val="007538D3"/>
    <w:rsid w:val="00754A23"/>
    <w:rsid w:val="007553A9"/>
    <w:rsid w:val="00757DCF"/>
    <w:rsid w:val="007613A3"/>
    <w:rsid w:val="0076184C"/>
    <w:rsid w:val="00761973"/>
    <w:rsid w:val="00762738"/>
    <w:rsid w:val="00762FCF"/>
    <w:rsid w:val="00765EA3"/>
    <w:rsid w:val="007665D2"/>
    <w:rsid w:val="007670DA"/>
    <w:rsid w:val="00771557"/>
    <w:rsid w:val="00772934"/>
    <w:rsid w:val="00773E26"/>
    <w:rsid w:val="00775790"/>
    <w:rsid w:val="007803D2"/>
    <w:rsid w:val="00781711"/>
    <w:rsid w:val="00782B46"/>
    <w:rsid w:val="00783D29"/>
    <w:rsid w:val="007843E3"/>
    <w:rsid w:val="00785543"/>
    <w:rsid w:val="007856B2"/>
    <w:rsid w:val="007872F2"/>
    <w:rsid w:val="007873F0"/>
    <w:rsid w:val="0078749A"/>
    <w:rsid w:val="00791BD7"/>
    <w:rsid w:val="00793972"/>
    <w:rsid w:val="007940EC"/>
    <w:rsid w:val="0079464D"/>
    <w:rsid w:val="00794FB2"/>
    <w:rsid w:val="00795054"/>
    <w:rsid w:val="00795703"/>
    <w:rsid w:val="00795CF1"/>
    <w:rsid w:val="00797658"/>
    <w:rsid w:val="00797759"/>
    <w:rsid w:val="007A02AE"/>
    <w:rsid w:val="007A1E23"/>
    <w:rsid w:val="007A2064"/>
    <w:rsid w:val="007A63D2"/>
    <w:rsid w:val="007A72A7"/>
    <w:rsid w:val="007A76B2"/>
    <w:rsid w:val="007B31BA"/>
    <w:rsid w:val="007B4D16"/>
    <w:rsid w:val="007B5A81"/>
    <w:rsid w:val="007B6D54"/>
    <w:rsid w:val="007B7B96"/>
    <w:rsid w:val="007C0306"/>
    <w:rsid w:val="007C0646"/>
    <w:rsid w:val="007C1248"/>
    <w:rsid w:val="007C1D87"/>
    <w:rsid w:val="007C1FBF"/>
    <w:rsid w:val="007C263F"/>
    <w:rsid w:val="007C28E0"/>
    <w:rsid w:val="007C2CA7"/>
    <w:rsid w:val="007C3828"/>
    <w:rsid w:val="007C4151"/>
    <w:rsid w:val="007C4A32"/>
    <w:rsid w:val="007C614E"/>
    <w:rsid w:val="007C618F"/>
    <w:rsid w:val="007C6A68"/>
    <w:rsid w:val="007C6BB2"/>
    <w:rsid w:val="007C6ECB"/>
    <w:rsid w:val="007C6F12"/>
    <w:rsid w:val="007D0631"/>
    <w:rsid w:val="007D1488"/>
    <w:rsid w:val="007D3C6F"/>
    <w:rsid w:val="007D5716"/>
    <w:rsid w:val="007D5EA5"/>
    <w:rsid w:val="007D769E"/>
    <w:rsid w:val="007D7F35"/>
    <w:rsid w:val="007E0D57"/>
    <w:rsid w:val="007E1660"/>
    <w:rsid w:val="007E25C8"/>
    <w:rsid w:val="007E40E5"/>
    <w:rsid w:val="007E5537"/>
    <w:rsid w:val="007E7E2D"/>
    <w:rsid w:val="007F0755"/>
    <w:rsid w:val="007F12D6"/>
    <w:rsid w:val="007F2B8C"/>
    <w:rsid w:val="007F2ECE"/>
    <w:rsid w:val="007F3290"/>
    <w:rsid w:val="007F3CC1"/>
    <w:rsid w:val="007F4AC3"/>
    <w:rsid w:val="007F54EB"/>
    <w:rsid w:val="007F7349"/>
    <w:rsid w:val="008003EB"/>
    <w:rsid w:val="00800BC5"/>
    <w:rsid w:val="00801C5E"/>
    <w:rsid w:val="00802B2B"/>
    <w:rsid w:val="008035B8"/>
    <w:rsid w:val="0080506B"/>
    <w:rsid w:val="00805957"/>
    <w:rsid w:val="008066A4"/>
    <w:rsid w:val="00806C67"/>
    <w:rsid w:val="00806F72"/>
    <w:rsid w:val="00806F9F"/>
    <w:rsid w:val="008075EA"/>
    <w:rsid w:val="008077E3"/>
    <w:rsid w:val="00807D95"/>
    <w:rsid w:val="008109AC"/>
    <w:rsid w:val="00812310"/>
    <w:rsid w:val="008123C5"/>
    <w:rsid w:val="008124ED"/>
    <w:rsid w:val="00812602"/>
    <w:rsid w:val="008133BF"/>
    <w:rsid w:val="00813D1C"/>
    <w:rsid w:val="008143EE"/>
    <w:rsid w:val="00816238"/>
    <w:rsid w:val="0081643C"/>
    <w:rsid w:val="0081672C"/>
    <w:rsid w:val="00816AB1"/>
    <w:rsid w:val="00816D32"/>
    <w:rsid w:val="00821962"/>
    <w:rsid w:val="008219F4"/>
    <w:rsid w:val="00821E24"/>
    <w:rsid w:val="008235C4"/>
    <w:rsid w:val="00825A8C"/>
    <w:rsid w:val="00825F76"/>
    <w:rsid w:val="00826828"/>
    <w:rsid w:val="00826EBB"/>
    <w:rsid w:val="008305EF"/>
    <w:rsid w:val="008319C8"/>
    <w:rsid w:val="00832358"/>
    <w:rsid w:val="00833424"/>
    <w:rsid w:val="00833699"/>
    <w:rsid w:val="00833876"/>
    <w:rsid w:val="00836D97"/>
    <w:rsid w:val="00837D71"/>
    <w:rsid w:val="00840E0A"/>
    <w:rsid w:val="0084129C"/>
    <w:rsid w:val="00842336"/>
    <w:rsid w:val="0084296B"/>
    <w:rsid w:val="0084403D"/>
    <w:rsid w:val="00845853"/>
    <w:rsid w:val="008458D6"/>
    <w:rsid w:val="00845EA4"/>
    <w:rsid w:val="00846466"/>
    <w:rsid w:val="00846619"/>
    <w:rsid w:val="0084684A"/>
    <w:rsid w:val="00846D48"/>
    <w:rsid w:val="0085038C"/>
    <w:rsid w:val="0085223D"/>
    <w:rsid w:val="00852A72"/>
    <w:rsid w:val="008533C0"/>
    <w:rsid w:val="00853788"/>
    <w:rsid w:val="00854F4E"/>
    <w:rsid w:val="00855527"/>
    <w:rsid w:val="00855A06"/>
    <w:rsid w:val="008566B3"/>
    <w:rsid w:val="0085737C"/>
    <w:rsid w:val="0085767C"/>
    <w:rsid w:val="00861B38"/>
    <w:rsid w:val="008624FE"/>
    <w:rsid w:val="0086366E"/>
    <w:rsid w:val="0086474A"/>
    <w:rsid w:val="00864C23"/>
    <w:rsid w:val="00864FD7"/>
    <w:rsid w:val="00865008"/>
    <w:rsid w:val="008653E3"/>
    <w:rsid w:val="0086569B"/>
    <w:rsid w:val="00866330"/>
    <w:rsid w:val="00866881"/>
    <w:rsid w:val="008671C0"/>
    <w:rsid w:val="00867635"/>
    <w:rsid w:val="00870EE8"/>
    <w:rsid w:val="00871264"/>
    <w:rsid w:val="008713E0"/>
    <w:rsid w:val="008726F3"/>
    <w:rsid w:val="00872814"/>
    <w:rsid w:val="00872E5E"/>
    <w:rsid w:val="008738B5"/>
    <w:rsid w:val="008739B6"/>
    <w:rsid w:val="0087674C"/>
    <w:rsid w:val="008772D4"/>
    <w:rsid w:val="008776BB"/>
    <w:rsid w:val="00877822"/>
    <w:rsid w:val="00881502"/>
    <w:rsid w:val="008815D6"/>
    <w:rsid w:val="00881F64"/>
    <w:rsid w:val="00886CCC"/>
    <w:rsid w:val="0088729C"/>
    <w:rsid w:val="008879C8"/>
    <w:rsid w:val="00887F6A"/>
    <w:rsid w:val="008900B2"/>
    <w:rsid w:val="00891AB5"/>
    <w:rsid w:val="00892233"/>
    <w:rsid w:val="00892443"/>
    <w:rsid w:val="00892762"/>
    <w:rsid w:val="00892DE3"/>
    <w:rsid w:val="00892FB1"/>
    <w:rsid w:val="0089386F"/>
    <w:rsid w:val="008941E2"/>
    <w:rsid w:val="008955DE"/>
    <w:rsid w:val="00895C10"/>
    <w:rsid w:val="00897991"/>
    <w:rsid w:val="008A25FE"/>
    <w:rsid w:val="008A3D19"/>
    <w:rsid w:val="008A5632"/>
    <w:rsid w:val="008A58EF"/>
    <w:rsid w:val="008A69D6"/>
    <w:rsid w:val="008B04D6"/>
    <w:rsid w:val="008B193A"/>
    <w:rsid w:val="008B2554"/>
    <w:rsid w:val="008B4CE1"/>
    <w:rsid w:val="008B55A0"/>
    <w:rsid w:val="008B5D67"/>
    <w:rsid w:val="008B6686"/>
    <w:rsid w:val="008B6E28"/>
    <w:rsid w:val="008B70CB"/>
    <w:rsid w:val="008C061C"/>
    <w:rsid w:val="008C0E40"/>
    <w:rsid w:val="008C15C7"/>
    <w:rsid w:val="008C1CB9"/>
    <w:rsid w:val="008C3137"/>
    <w:rsid w:val="008C456D"/>
    <w:rsid w:val="008C5181"/>
    <w:rsid w:val="008C53C4"/>
    <w:rsid w:val="008C54B5"/>
    <w:rsid w:val="008C62F2"/>
    <w:rsid w:val="008C715D"/>
    <w:rsid w:val="008C76A9"/>
    <w:rsid w:val="008D0077"/>
    <w:rsid w:val="008D133B"/>
    <w:rsid w:val="008D1476"/>
    <w:rsid w:val="008D1D7E"/>
    <w:rsid w:val="008D293B"/>
    <w:rsid w:val="008D30C8"/>
    <w:rsid w:val="008D31AA"/>
    <w:rsid w:val="008D38DA"/>
    <w:rsid w:val="008D3C2A"/>
    <w:rsid w:val="008D42A1"/>
    <w:rsid w:val="008D4711"/>
    <w:rsid w:val="008D5334"/>
    <w:rsid w:val="008D6D1D"/>
    <w:rsid w:val="008D75E0"/>
    <w:rsid w:val="008D77E6"/>
    <w:rsid w:val="008D7BF3"/>
    <w:rsid w:val="008E20B7"/>
    <w:rsid w:val="008E2785"/>
    <w:rsid w:val="008E49FF"/>
    <w:rsid w:val="008E5300"/>
    <w:rsid w:val="008E64B4"/>
    <w:rsid w:val="008E66AD"/>
    <w:rsid w:val="008E6C77"/>
    <w:rsid w:val="008F03AB"/>
    <w:rsid w:val="008F0500"/>
    <w:rsid w:val="008F0993"/>
    <w:rsid w:val="008F2270"/>
    <w:rsid w:val="008F2F59"/>
    <w:rsid w:val="008F302B"/>
    <w:rsid w:val="008F3169"/>
    <w:rsid w:val="008F35AF"/>
    <w:rsid w:val="008F4516"/>
    <w:rsid w:val="008F51DF"/>
    <w:rsid w:val="008F565A"/>
    <w:rsid w:val="008F5A67"/>
    <w:rsid w:val="008F5ADB"/>
    <w:rsid w:val="008F6B57"/>
    <w:rsid w:val="008F7B51"/>
    <w:rsid w:val="009002A5"/>
    <w:rsid w:val="0090156B"/>
    <w:rsid w:val="009015A9"/>
    <w:rsid w:val="00902554"/>
    <w:rsid w:val="009025D0"/>
    <w:rsid w:val="00902BBC"/>
    <w:rsid w:val="00902DF2"/>
    <w:rsid w:val="0090437E"/>
    <w:rsid w:val="00904C56"/>
    <w:rsid w:val="00905D29"/>
    <w:rsid w:val="00906976"/>
    <w:rsid w:val="00906BCE"/>
    <w:rsid w:val="00907A29"/>
    <w:rsid w:val="00907FCF"/>
    <w:rsid w:val="009109BC"/>
    <w:rsid w:val="00910E03"/>
    <w:rsid w:val="0091111D"/>
    <w:rsid w:val="00911425"/>
    <w:rsid w:val="00913617"/>
    <w:rsid w:val="009138BB"/>
    <w:rsid w:val="00913C46"/>
    <w:rsid w:val="00917A4D"/>
    <w:rsid w:val="00921C2F"/>
    <w:rsid w:val="00921CBA"/>
    <w:rsid w:val="009230E6"/>
    <w:rsid w:val="00924282"/>
    <w:rsid w:val="009250A6"/>
    <w:rsid w:val="00925AAA"/>
    <w:rsid w:val="009261EC"/>
    <w:rsid w:val="00927093"/>
    <w:rsid w:val="00931768"/>
    <w:rsid w:val="009328A2"/>
    <w:rsid w:val="009334EE"/>
    <w:rsid w:val="00933743"/>
    <w:rsid w:val="00933EF4"/>
    <w:rsid w:val="00934C1F"/>
    <w:rsid w:val="00935482"/>
    <w:rsid w:val="009359FC"/>
    <w:rsid w:val="009377DB"/>
    <w:rsid w:val="00937F94"/>
    <w:rsid w:val="009404D5"/>
    <w:rsid w:val="00940735"/>
    <w:rsid w:val="00943B47"/>
    <w:rsid w:val="00943EDC"/>
    <w:rsid w:val="00946CB5"/>
    <w:rsid w:val="009478FB"/>
    <w:rsid w:val="009508CC"/>
    <w:rsid w:val="00952810"/>
    <w:rsid w:val="00953664"/>
    <w:rsid w:val="009544E2"/>
    <w:rsid w:val="00954EE9"/>
    <w:rsid w:val="00955892"/>
    <w:rsid w:val="00956DC5"/>
    <w:rsid w:val="00960ACF"/>
    <w:rsid w:val="00960BB5"/>
    <w:rsid w:val="00963567"/>
    <w:rsid w:val="00964A5E"/>
    <w:rsid w:val="0096609A"/>
    <w:rsid w:val="00966496"/>
    <w:rsid w:val="009664B1"/>
    <w:rsid w:val="0096671A"/>
    <w:rsid w:val="009670B7"/>
    <w:rsid w:val="0097162F"/>
    <w:rsid w:val="0097205F"/>
    <w:rsid w:val="00972211"/>
    <w:rsid w:val="0097223F"/>
    <w:rsid w:val="009724CA"/>
    <w:rsid w:val="00972556"/>
    <w:rsid w:val="00972636"/>
    <w:rsid w:val="009726EB"/>
    <w:rsid w:val="00972BB1"/>
    <w:rsid w:val="00973946"/>
    <w:rsid w:val="00973F8C"/>
    <w:rsid w:val="00974545"/>
    <w:rsid w:val="00975A63"/>
    <w:rsid w:val="00976C2F"/>
    <w:rsid w:val="00980138"/>
    <w:rsid w:val="00980678"/>
    <w:rsid w:val="0098079E"/>
    <w:rsid w:val="00980A0D"/>
    <w:rsid w:val="009818A9"/>
    <w:rsid w:val="00981D92"/>
    <w:rsid w:val="00981E49"/>
    <w:rsid w:val="00982239"/>
    <w:rsid w:val="00982810"/>
    <w:rsid w:val="0098341C"/>
    <w:rsid w:val="009839E2"/>
    <w:rsid w:val="00983CFD"/>
    <w:rsid w:val="0098420D"/>
    <w:rsid w:val="00984892"/>
    <w:rsid w:val="009853D4"/>
    <w:rsid w:val="00985F22"/>
    <w:rsid w:val="00986C1E"/>
    <w:rsid w:val="00986E4A"/>
    <w:rsid w:val="00987599"/>
    <w:rsid w:val="00992C77"/>
    <w:rsid w:val="00992ECB"/>
    <w:rsid w:val="0099354D"/>
    <w:rsid w:val="009941E5"/>
    <w:rsid w:val="0099423F"/>
    <w:rsid w:val="009954FF"/>
    <w:rsid w:val="0099592E"/>
    <w:rsid w:val="00995F67"/>
    <w:rsid w:val="00996124"/>
    <w:rsid w:val="00996973"/>
    <w:rsid w:val="009A06E0"/>
    <w:rsid w:val="009A09DC"/>
    <w:rsid w:val="009A0DE6"/>
    <w:rsid w:val="009A10CB"/>
    <w:rsid w:val="009A1AC7"/>
    <w:rsid w:val="009A1F4E"/>
    <w:rsid w:val="009A2446"/>
    <w:rsid w:val="009A24CE"/>
    <w:rsid w:val="009A2997"/>
    <w:rsid w:val="009A2CCC"/>
    <w:rsid w:val="009A6AFC"/>
    <w:rsid w:val="009A6C62"/>
    <w:rsid w:val="009A7236"/>
    <w:rsid w:val="009B14E3"/>
    <w:rsid w:val="009B1686"/>
    <w:rsid w:val="009B1BC4"/>
    <w:rsid w:val="009B3E20"/>
    <w:rsid w:val="009B5CE3"/>
    <w:rsid w:val="009B5FAE"/>
    <w:rsid w:val="009B6455"/>
    <w:rsid w:val="009C0168"/>
    <w:rsid w:val="009C075B"/>
    <w:rsid w:val="009C19B6"/>
    <w:rsid w:val="009C221F"/>
    <w:rsid w:val="009C523C"/>
    <w:rsid w:val="009C56CA"/>
    <w:rsid w:val="009C765E"/>
    <w:rsid w:val="009C7978"/>
    <w:rsid w:val="009D0B88"/>
    <w:rsid w:val="009D1F7C"/>
    <w:rsid w:val="009D25C8"/>
    <w:rsid w:val="009D2FCF"/>
    <w:rsid w:val="009D358B"/>
    <w:rsid w:val="009D4514"/>
    <w:rsid w:val="009D5514"/>
    <w:rsid w:val="009D6D51"/>
    <w:rsid w:val="009D7F10"/>
    <w:rsid w:val="009E05CF"/>
    <w:rsid w:val="009E1544"/>
    <w:rsid w:val="009E26E9"/>
    <w:rsid w:val="009E30EC"/>
    <w:rsid w:val="009E3757"/>
    <w:rsid w:val="009E4829"/>
    <w:rsid w:val="009E4BD1"/>
    <w:rsid w:val="009E7162"/>
    <w:rsid w:val="009E7A13"/>
    <w:rsid w:val="009E7AAD"/>
    <w:rsid w:val="009F0330"/>
    <w:rsid w:val="009F0B75"/>
    <w:rsid w:val="009F2EFC"/>
    <w:rsid w:val="009F3473"/>
    <w:rsid w:val="009F376A"/>
    <w:rsid w:val="009F3907"/>
    <w:rsid w:val="009F3992"/>
    <w:rsid w:val="009F4A5E"/>
    <w:rsid w:val="009F5D28"/>
    <w:rsid w:val="009F6651"/>
    <w:rsid w:val="009F6E9F"/>
    <w:rsid w:val="009F7652"/>
    <w:rsid w:val="00A00DD1"/>
    <w:rsid w:val="00A012B5"/>
    <w:rsid w:val="00A018C0"/>
    <w:rsid w:val="00A0194B"/>
    <w:rsid w:val="00A04D3A"/>
    <w:rsid w:val="00A05C7D"/>
    <w:rsid w:val="00A1354C"/>
    <w:rsid w:val="00A14E6C"/>
    <w:rsid w:val="00A1596B"/>
    <w:rsid w:val="00A15E91"/>
    <w:rsid w:val="00A1641D"/>
    <w:rsid w:val="00A17001"/>
    <w:rsid w:val="00A1720E"/>
    <w:rsid w:val="00A22077"/>
    <w:rsid w:val="00A22B6C"/>
    <w:rsid w:val="00A23C43"/>
    <w:rsid w:val="00A24D46"/>
    <w:rsid w:val="00A25141"/>
    <w:rsid w:val="00A25650"/>
    <w:rsid w:val="00A2576E"/>
    <w:rsid w:val="00A25959"/>
    <w:rsid w:val="00A25B66"/>
    <w:rsid w:val="00A25E1B"/>
    <w:rsid w:val="00A26488"/>
    <w:rsid w:val="00A271B7"/>
    <w:rsid w:val="00A27AC7"/>
    <w:rsid w:val="00A27FC4"/>
    <w:rsid w:val="00A305D9"/>
    <w:rsid w:val="00A3153C"/>
    <w:rsid w:val="00A32302"/>
    <w:rsid w:val="00A3317C"/>
    <w:rsid w:val="00A35E48"/>
    <w:rsid w:val="00A36436"/>
    <w:rsid w:val="00A36625"/>
    <w:rsid w:val="00A369F4"/>
    <w:rsid w:val="00A37641"/>
    <w:rsid w:val="00A37BA1"/>
    <w:rsid w:val="00A4299F"/>
    <w:rsid w:val="00A4303C"/>
    <w:rsid w:val="00A43E50"/>
    <w:rsid w:val="00A43EA2"/>
    <w:rsid w:val="00A4456A"/>
    <w:rsid w:val="00A4575F"/>
    <w:rsid w:val="00A45F1C"/>
    <w:rsid w:val="00A46F3B"/>
    <w:rsid w:val="00A4753B"/>
    <w:rsid w:val="00A47B53"/>
    <w:rsid w:val="00A50CC7"/>
    <w:rsid w:val="00A5126F"/>
    <w:rsid w:val="00A51294"/>
    <w:rsid w:val="00A51BCC"/>
    <w:rsid w:val="00A51F73"/>
    <w:rsid w:val="00A5253D"/>
    <w:rsid w:val="00A52A81"/>
    <w:rsid w:val="00A5311B"/>
    <w:rsid w:val="00A53429"/>
    <w:rsid w:val="00A54CFC"/>
    <w:rsid w:val="00A556C2"/>
    <w:rsid w:val="00A561BA"/>
    <w:rsid w:val="00A56D80"/>
    <w:rsid w:val="00A60E82"/>
    <w:rsid w:val="00A62904"/>
    <w:rsid w:val="00A63788"/>
    <w:rsid w:val="00A64D5F"/>
    <w:rsid w:val="00A65D03"/>
    <w:rsid w:val="00A7079B"/>
    <w:rsid w:val="00A70D8D"/>
    <w:rsid w:val="00A70E9D"/>
    <w:rsid w:val="00A7195C"/>
    <w:rsid w:val="00A72540"/>
    <w:rsid w:val="00A732F2"/>
    <w:rsid w:val="00A7363A"/>
    <w:rsid w:val="00A73967"/>
    <w:rsid w:val="00A73ED8"/>
    <w:rsid w:val="00A74067"/>
    <w:rsid w:val="00A740DF"/>
    <w:rsid w:val="00A75EAE"/>
    <w:rsid w:val="00A76973"/>
    <w:rsid w:val="00A80859"/>
    <w:rsid w:val="00A819EC"/>
    <w:rsid w:val="00A81F5E"/>
    <w:rsid w:val="00A821C5"/>
    <w:rsid w:val="00A82862"/>
    <w:rsid w:val="00A82C0E"/>
    <w:rsid w:val="00A83DBB"/>
    <w:rsid w:val="00A85323"/>
    <w:rsid w:val="00A85BDF"/>
    <w:rsid w:val="00A8649F"/>
    <w:rsid w:val="00A86656"/>
    <w:rsid w:val="00A87C32"/>
    <w:rsid w:val="00A87D23"/>
    <w:rsid w:val="00A90687"/>
    <w:rsid w:val="00A90917"/>
    <w:rsid w:val="00A91BE6"/>
    <w:rsid w:val="00A92E9F"/>
    <w:rsid w:val="00A934CB"/>
    <w:rsid w:val="00A93C80"/>
    <w:rsid w:val="00A93CFA"/>
    <w:rsid w:val="00A97578"/>
    <w:rsid w:val="00AA0A60"/>
    <w:rsid w:val="00AA1456"/>
    <w:rsid w:val="00AA17F2"/>
    <w:rsid w:val="00AA213A"/>
    <w:rsid w:val="00AA26DE"/>
    <w:rsid w:val="00AA2C4D"/>
    <w:rsid w:val="00AA2D1A"/>
    <w:rsid w:val="00AA3244"/>
    <w:rsid w:val="00AA339B"/>
    <w:rsid w:val="00AA4178"/>
    <w:rsid w:val="00AA5A62"/>
    <w:rsid w:val="00AA6A18"/>
    <w:rsid w:val="00AA6A51"/>
    <w:rsid w:val="00AA7468"/>
    <w:rsid w:val="00AA7E95"/>
    <w:rsid w:val="00AB0B6A"/>
    <w:rsid w:val="00AB12CA"/>
    <w:rsid w:val="00AB18E5"/>
    <w:rsid w:val="00AB2B18"/>
    <w:rsid w:val="00AB2FA2"/>
    <w:rsid w:val="00AB526F"/>
    <w:rsid w:val="00AB608F"/>
    <w:rsid w:val="00AC1396"/>
    <w:rsid w:val="00AC1AC9"/>
    <w:rsid w:val="00AC2BC7"/>
    <w:rsid w:val="00AC3CF7"/>
    <w:rsid w:val="00AC49F5"/>
    <w:rsid w:val="00AC4DC3"/>
    <w:rsid w:val="00AC5875"/>
    <w:rsid w:val="00AC723F"/>
    <w:rsid w:val="00AC7349"/>
    <w:rsid w:val="00AC7D5D"/>
    <w:rsid w:val="00AC7FC5"/>
    <w:rsid w:val="00AD00CF"/>
    <w:rsid w:val="00AD068D"/>
    <w:rsid w:val="00AD0EDF"/>
    <w:rsid w:val="00AD1803"/>
    <w:rsid w:val="00AD2082"/>
    <w:rsid w:val="00AD3373"/>
    <w:rsid w:val="00AD3491"/>
    <w:rsid w:val="00AD4B39"/>
    <w:rsid w:val="00AD4F2C"/>
    <w:rsid w:val="00AD4F4C"/>
    <w:rsid w:val="00AD52C0"/>
    <w:rsid w:val="00AD59D9"/>
    <w:rsid w:val="00AD5C7D"/>
    <w:rsid w:val="00AD6C65"/>
    <w:rsid w:val="00AE0100"/>
    <w:rsid w:val="00AE0873"/>
    <w:rsid w:val="00AE1B9C"/>
    <w:rsid w:val="00AE239E"/>
    <w:rsid w:val="00AE3335"/>
    <w:rsid w:val="00AE3BD4"/>
    <w:rsid w:val="00AE48CB"/>
    <w:rsid w:val="00AE4901"/>
    <w:rsid w:val="00AE5528"/>
    <w:rsid w:val="00AE579D"/>
    <w:rsid w:val="00AF05D6"/>
    <w:rsid w:val="00AF1133"/>
    <w:rsid w:val="00AF12B3"/>
    <w:rsid w:val="00AF197D"/>
    <w:rsid w:val="00AF1E16"/>
    <w:rsid w:val="00AF27C3"/>
    <w:rsid w:val="00AF29ED"/>
    <w:rsid w:val="00AF2D99"/>
    <w:rsid w:val="00AF390D"/>
    <w:rsid w:val="00AF3F85"/>
    <w:rsid w:val="00AF405C"/>
    <w:rsid w:val="00AF567C"/>
    <w:rsid w:val="00AF61EB"/>
    <w:rsid w:val="00AF6585"/>
    <w:rsid w:val="00AF7120"/>
    <w:rsid w:val="00AF739C"/>
    <w:rsid w:val="00AF763D"/>
    <w:rsid w:val="00B00746"/>
    <w:rsid w:val="00B02116"/>
    <w:rsid w:val="00B03583"/>
    <w:rsid w:val="00B05D51"/>
    <w:rsid w:val="00B061D7"/>
    <w:rsid w:val="00B07247"/>
    <w:rsid w:val="00B0725E"/>
    <w:rsid w:val="00B11C49"/>
    <w:rsid w:val="00B12ED1"/>
    <w:rsid w:val="00B1372E"/>
    <w:rsid w:val="00B13B00"/>
    <w:rsid w:val="00B13DAE"/>
    <w:rsid w:val="00B17038"/>
    <w:rsid w:val="00B17ACC"/>
    <w:rsid w:val="00B17BDC"/>
    <w:rsid w:val="00B20979"/>
    <w:rsid w:val="00B20B23"/>
    <w:rsid w:val="00B22000"/>
    <w:rsid w:val="00B23A1B"/>
    <w:rsid w:val="00B2414A"/>
    <w:rsid w:val="00B2524A"/>
    <w:rsid w:val="00B25D40"/>
    <w:rsid w:val="00B26016"/>
    <w:rsid w:val="00B2617C"/>
    <w:rsid w:val="00B2686C"/>
    <w:rsid w:val="00B26AD9"/>
    <w:rsid w:val="00B2788E"/>
    <w:rsid w:val="00B308AA"/>
    <w:rsid w:val="00B315E3"/>
    <w:rsid w:val="00B31E95"/>
    <w:rsid w:val="00B32AB1"/>
    <w:rsid w:val="00B34DC9"/>
    <w:rsid w:val="00B35D07"/>
    <w:rsid w:val="00B35F9C"/>
    <w:rsid w:val="00B3721A"/>
    <w:rsid w:val="00B4084E"/>
    <w:rsid w:val="00B40AF2"/>
    <w:rsid w:val="00B4108E"/>
    <w:rsid w:val="00B4219A"/>
    <w:rsid w:val="00B43E5B"/>
    <w:rsid w:val="00B459E4"/>
    <w:rsid w:val="00B45D67"/>
    <w:rsid w:val="00B46D78"/>
    <w:rsid w:val="00B47DE9"/>
    <w:rsid w:val="00B504EC"/>
    <w:rsid w:val="00B515E2"/>
    <w:rsid w:val="00B51C81"/>
    <w:rsid w:val="00B5208C"/>
    <w:rsid w:val="00B53318"/>
    <w:rsid w:val="00B53490"/>
    <w:rsid w:val="00B53777"/>
    <w:rsid w:val="00B53DD8"/>
    <w:rsid w:val="00B5433B"/>
    <w:rsid w:val="00B54A5B"/>
    <w:rsid w:val="00B55443"/>
    <w:rsid w:val="00B56518"/>
    <w:rsid w:val="00B56DBB"/>
    <w:rsid w:val="00B57151"/>
    <w:rsid w:val="00B60825"/>
    <w:rsid w:val="00B6165B"/>
    <w:rsid w:val="00B61894"/>
    <w:rsid w:val="00B61F3B"/>
    <w:rsid w:val="00B61F6C"/>
    <w:rsid w:val="00B62187"/>
    <w:rsid w:val="00B6326F"/>
    <w:rsid w:val="00B63CB1"/>
    <w:rsid w:val="00B63F99"/>
    <w:rsid w:val="00B645D1"/>
    <w:rsid w:val="00B6466B"/>
    <w:rsid w:val="00B72B54"/>
    <w:rsid w:val="00B72E59"/>
    <w:rsid w:val="00B731C6"/>
    <w:rsid w:val="00B737EF"/>
    <w:rsid w:val="00B73E9F"/>
    <w:rsid w:val="00B741D9"/>
    <w:rsid w:val="00B74922"/>
    <w:rsid w:val="00B74BAB"/>
    <w:rsid w:val="00B76239"/>
    <w:rsid w:val="00B77723"/>
    <w:rsid w:val="00B77B3B"/>
    <w:rsid w:val="00B837E2"/>
    <w:rsid w:val="00B8528A"/>
    <w:rsid w:val="00B85984"/>
    <w:rsid w:val="00B8790F"/>
    <w:rsid w:val="00B879F3"/>
    <w:rsid w:val="00B87BA0"/>
    <w:rsid w:val="00B904AE"/>
    <w:rsid w:val="00B90D1D"/>
    <w:rsid w:val="00B91E1A"/>
    <w:rsid w:val="00B9228A"/>
    <w:rsid w:val="00B93ACD"/>
    <w:rsid w:val="00B958E6"/>
    <w:rsid w:val="00B962F1"/>
    <w:rsid w:val="00B96A91"/>
    <w:rsid w:val="00B9780D"/>
    <w:rsid w:val="00BA1A01"/>
    <w:rsid w:val="00BA1A65"/>
    <w:rsid w:val="00BA2477"/>
    <w:rsid w:val="00BA3E74"/>
    <w:rsid w:val="00BA4A33"/>
    <w:rsid w:val="00BA4B26"/>
    <w:rsid w:val="00BA554A"/>
    <w:rsid w:val="00BA767B"/>
    <w:rsid w:val="00BA7835"/>
    <w:rsid w:val="00BB024C"/>
    <w:rsid w:val="00BB0576"/>
    <w:rsid w:val="00BB0875"/>
    <w:rsid w:val="00BB0B9E"/>
    <w:rsid w:val="00BB3084"/>
    <w:rsid w:val="00BB360D"/>
    <w:rsid w:val="00BB4C93"/>
    <w:rsid w:val="00BB5A5C"/>
    <w:rsid w:val="00BC0DC1"/>
    <w:rsid w:val="00BC1889"/>
    <w:rsid w:val="00BC1B88"/>
    <w:rsid w:val="00BC2691"/>
    <w:rsid w:val="00BC308E"/>
    <w:rsid w:val="00BC439F"/>
    <w:rsid w:val="00BC4A16"/>
    <w:rsid w:val="00BC668D"/>
    <w:rsid w:val="00BD0F4A"/>
    <w:rsid w:val="00BD10B8"/>
    <w:rsid w:val="00BD28CE"/>
    <w:rsid w:val="00BD33DA"/>
    <w:rsid w:val="00BD3629"/>
    <w:rsid w:val="00BD3814"/>
    <w:rsid w:val="00BD417E"/>
    <w:rsid w:val="00BD5988"/>
    <w:rsid w:val="00BE0857"/>
    <w:rsid w:val="00BE0B3F"/>
    <w:rsid w:val="00BE1489"/>
    <w:rsid w:val="00BE15CE"/>
    <w:rsid w:val="00BE2E12"/>
    <w:rsid w:val="00BE3255"/>
    <w:rsid w:val="00BE3F0F"/>
    <w:rsid w:val="00BE459E"/>
    <w:rsid w:val="00BE4AF0"/>
    <w:rsid w:val="00BE6E77"/>
    <w:rsid w:val="00BE7002"/>
    <w:rsid w:val="00BE7AD3"/>
    <w:rsid w:val="00BF0D84"/>
    <w:rsid w:val="00BF13E3"/>
    <w:rsid w:val="00BF1926"/>
    <w:rsid w:val="00BF23F0"/>
    <w:rsid w:val="00BF3428"/>
    <w:rsid w:val="00BF37F8"/>
    <w:rsid w:val="00BF3FEB"/>
    <w:rsid w:val="00BF5F9C"/>
    <w:rsid w:val="00BF6102"/>
    <w:rsid w:val="00BF6145"/>
    <w:rsid w:val="00BF65AA"/>
    <w:rsid w:val="00BF744D"/>
    <w:rsid w:val="00C02BED"/>
    <w:rsid w:val="00C03001"/>
    <w:rsid w:val="00C0319A"/>
    <w:rsid w:val="00C037FE"/>
    <w:rsid w:val="00C03E0A"/>
    <w:rsid w:val="00C03FA3"/>
    <w:rsid w:val="00C04F78"/>
    <w:rsid w:val="00C0504C"/>
    <w:rsid w:val="00C05F52"/>
    <w:rsid w:val="00C06D72"/>
    <w:rsid w:val="00C06E05"/>
    <w:rsid w:val="00C07F83"/>
    <w:rsid w:val="00C101F7"/>
    <w:rsid w:val="00C12FD6"/>
    <w:rsid w:val="00C14C47"/>
    <w:rsid w:val="00C1562B"/>
    <w:rsid w:val="00C15967"/>
    <w:rsid w:val="00C16736"/>
    <w:rsid w:val="00C17CD7"/>
    <w:rsid w:val="00C20904"/>
    <w:rsid w:val="00C20A6F"/>
    <w:rsid w:val="00C223B4"/>
    <w:rsid w:val="00C22CC5"/>
    <w:rsid w:val="00C22FE4"/>
    <w:rsid w:val="00C236CC"/>
    <w:rsid w:val="00C23900"/>
    <w:rsid w:val="00C2423E"/>
    <w:rsid w:val="00C2470C"/>
    <w:rsid w:val="00C262FD"/>
    <w:rsid w:val="00C27124"/>
    <w:rsid w:val="00C2722A"/>
    <w:rsid w:val="00C27CE7"/>
    <w:rsid w:val="00C31840"/>
    <w:rsid w:val="00C3345B"/>
    <w:rsid w:val="00C340D5"/>
    <w:rsid w:val="00C344CF"/>
    <w:rsid w:val="00C34632"/>
    <w:rsid w:val="00C346CB"/>
    <w:rsid w:val="00C3615E"/>
    <w:rsid w:val="00C36269"/>
    <w:rsid w:val="00C3796D"/>
    <w:rsid w:val="00C402F9"/>
    <w:rsid w:val="00C40A1A"/>
    <w:rsid w:val="00C4110E"/>
    <w:rsid w:val="00C4167D"/>
    <w:rsid w:val="00C41A1C"/>
    <w:rsid w:val="00C4267B"/>
    <w:rsid w:val="00C43225"/>
    <w:rsid w:val="00C43370"/>
    <w:rsid w:val="00C446D6"/>
    <w:rsid w:val="00C44BE4"/>
    <w:rsid w:val="00C44C37"/>
    <w:rsid w:val="00C45D6A"/>
    <w:rsid w:val="00C46FF0"/>
    <w:rsid w:val="00C50283"/>
    <w:rsid w:val="00C5086F"/>
    <w:rsid w:val="00C50BD7"/>
    <w:rsid w:val="00C51129"/>
    <w:rsid w:val="00C51983"/>
    <w:rsid w:val="00C51F0C"/>
    <w:rsid w:val="00C52B21"/>
    <w:rsid w:val="00C5348F"/>
    <w:rsid w:val="00C53975"/>
    <w:rsid w:val="00C53BEE"/>
    <w:rsid w:val="00C54F38"/>
    <w:rsid w:val="00C556F0"/>
    <w:rsid w:val="00C563A1"/>
    <w:rsid w:val="00C56B46"/>
    <w:rsid w:val="00C62A08"/>
    <w:rsid w:val="00C62ABC"/>
    <w:rsid w:val="00C65E67"/>
    <w:rsid w:val="00C65F2D"/>
    <w:rsid w:val="00C66E17"/>
    <w:rsid w:val="00C67D02"/>
    <w:rsid w:val="00C67E61"/>
    <w:rsid w:val="00C7077F"/>
    <w:rsid w:val="00C70B4A"/>
    <w:rsid w:val="00C70BED"/>
    <w:rsid w:val="00C70F34"/>
    <w:rsid w:val="00C73955"/>
    <w:rsid w:val="00C74149"/>
    <w:rsid w:val="00C74476"/>
    <w:rsid w:val="00C74AE4"/>
    <w:rsid w:val="00C76EC4"/>
    <w:rsid w:val="00C7754A"/>
    <w:rsid w:val="00C77F91"/>
    <w:rsid w:val="00C813C9"/>
    <w:rsid w:val="00C8158A"/>
    <w:rsid w:val="00C8228D"/>
    <w:rsid w:val="00C82F94"/>
    <w:rsid w:val="00C837CF"/>
    <w:rsid w:val="00C84480"/>
    <w:rsid w:val="00C8493C"/>
    <w:rsid w:val="00C84D21"/>
    <w:rsid w:val="00C8566A"/>
    <w:rsid w:val="00C9093A"/>
    <w:rsid w:val="00C9250A"/>
    <w:rsid w:val="00C933AE"/>
    <w:rsid w:val="00C93A52"/>
    <w:rsid w:val="00C93B96"/>
    <w:rsid w:val="00C968BA"/>
    <w:rsid w:val="00C9699B"/>
    <w:rsid w:val="00C97192"/>
    <w:rsid w:val="00C97420"/>
    <w:rsid w:val="00C97642"/>
    <w:rsid w:val="00C978F4"/>
    <w:rsid w:val="00C97C77"/>
    <w:rsid w:val="00CA0D67"/>
    <w:rsid w:val="00CA139B"/>
    <w:rsid w:val="00CA1DCD"/>
    <w:rsid w:val="00CA29AF"/>
    <w:rsid w:val="00CA2A35"/>
    <w:rsid w:val="00CA2B89"/>
    <w:rsid w:val="00CA346A"/>
    <w:rsid w:val="00CA3E01"/>
    <w:rsid w:val="00CB10F0"/>
    <w:rsid w:val="00CB2358"/>
    <w:rsid w:val="00CB2A6A"/>
    <w:rsid w:val="00CB3239"/>
    <w:rsid w:val="00CB38A3"/>
    <w:rsid w:val="00CB38B1"/>
    <w:rsid w:val="00CB4C80"/>
    <w:rsid w:val="00CB5573"/>
    <w:rsid w:val="00CB5A57"/>
    <w:rsid w:val="00CB5D3D"/>
    <w:rsid w:val="00CB796F"/>
    <w:rsid w:val="00CC228D"/>
    <w:rsid w:val="00CC22A2"/>
    <w:rsid w:val="00CC2C4F"/>
    <w:rsid w:val="00CC30BE"/>
    <w:rsid w:val="00CC3352"/>
    <w:rsid w:val="00CC3B73"/>
    <w:rsid w:val="00CC3C86"/>
    <w:rsid w:val="00CC4B83"/>
    <w:rsid w:val="00CD004B"/>
    <w:rsid w:val="00CD0461"/>
    <w:rsid w:val="00CD2F7A"/>
    <w:rsid w:val="00CD3625"/>
    <w:rsid w:val="00CD41AF"/>
    <w:rsid w:val="00CD7CFC"/>
    <w:rsid w:val="00CD7EC8"/>
    <w:rsid w:val="00CE1035"/>
    <w:rsid w:val="00CE2EBF"/>
    <w:rsid w:val="00CE3B6B"/>
    <w:rsid w:val="00CE4428"/>
    <w:rsid w:val="00CE45DE"/>
    <w:rsid w:val="00CE4672"/>
    <w:rsid w:val="00CE493A"/>
    <w:rsid w:val="00CE4BD6"/>
    <w:rsid w:val="00CE4DAD"/>
    <w:rsid w:val="00CE5396"/>
    <w:rsid w:val="00CE61F4"/>
    <w:rsid w:val="00CE6E6C"/>
    <w:rsid w:val="00CF0C8F"/>
    <w:rsid w:val="00CF1375"/>
    <w:rsid w:val="00CF1C75"/>
    <w:rsid w:val="00CF1D59"/>
    <w:rsid w:val="00CF28CB"/>
    <w:rsid w:val="00CF2ADE"/>
    <w:rsid w:val="00CF2B39"/>
    <w:rsid w:val="00CF35C1"/>
    <w:rsid w:val="00CF555D"/>
    <w:rsid w:val="00CF659C"/>
    <w:rsid w:val="00CF7AD0"/>
    <w:rsid w:val="00D0476C"/>
    <w:rsid w:val="00D04A14"/>
    <w:rsid w:val="00D054E9"/>
    <w:rsid w:val="00D05507"/>
    <w:rsid w:val="00D05671"/>
    <w:rsid w:val="00D0594D"/>
    <w:rsid w:val="00D05C53"/>
    <w:rsid w:val="00D05FFE"/>
    <w:rsid w:val="00D0632B"/>
    <w:rsid w:val="00D06DF1"/>
    <w:rsid w:val="00D107C4"/>
    <w:rsid w:val="00D10DDB"/>
    <w:rsid w:val="00D11244"/>
    <w:rsid w:val="00D121E2"/>
    <w:rsid w:val="00D12C5E"/>
    <w:rsid w:val="00D13325"/>
    <w:rsid w:val="00D145C6"/>
    <w:rsid w:val="00D14E1D"/>
    <w:rsid w:val="00D15810"/>
    <w:rsid w:val="00D15963"/>
    <w:rsid w:val="00D162BA"/>
    <w:rsid w:val="00D16735"/>
    <w:rsid w:val="00D17E2E"/>
    <w:rsid w:val="00D17EBE"/>
    <w:rsid w:val="00D20011"/>
    <w:rsid w:val="00D205CF"/>
    <w:rsid w:val="00D2180D"/>
    <w:rsid w:val="00D22412"/>
    <w:rsid w:val="00D22B7A"/>
    <w:rsid w:val="00D235ED"/>
    <w:rsid w:val="00D23627"/>
    <w:rsid w:val="00D2386F"/>
    <w:rsid w:val="00D24019"/>
    <w:rsid w:val="00D265BE"/>
    <w:rsid w:val="00D27593"/>
    <w:rsid w:val="00D3160B"/>
    <w:rsid w:val="00D31807"/>
    <w:rsid w:val="00D3220D"/>
    <w:rsid w:val="00D3344F"/>
    <w:rsid w:val="00D34B7D"/>
    <w:rsid w:val="00D35D4B"/>
    <w:rsid w:val="00D360B6"/>
    <w:rsid w:val="00D362CB"/>
    <w:rsid w:val="00D3725B"/>
    <w:rsid w:val="00D37C94"/>
    <w:rsid w:val="00D40A60"/>
    <w:rsid w:val="00D40C0A"/>
    <w:rsid w:val="00D43098"/>
    <w:rsid w:val="00D43460"/>
    <w:rsid w:val="00D44046"/>
    <w:rsid w:val="00D449A1"/>
    <w:rsid w:val="00D458D1"/>
    <w:rsid w:val="00D46352"/>
    <w:rsid w:val="00D46544"/>
    <w:rsid w:val="00D4654C"/>
    <w:rsid w:val="00D46558"/>
    <w:rsid w:val="00D46D05"/>
    <w:rsid w:val="00D50051"/>
    <w:rsid w:val="00D51D1F"/>
    <w:rsid w:val="00D532C7"/>
    <w:rsid w:val="00D55322"/>
    <w:rsid w:val="00D55AE3"/>
    <w:rsid w:val="00D56789"/>
    <w:rsid w:val="00D574BD"/>
    <w:rsid w:val="00D610A1"/>
    <w:rsid w:val="00D61356"/>
    <w:rsid w:val="00D6200A"/>
    <w:rsid w:val="00D639F1"/>
    <w:rsid w:val="00D640D5"/>
    <w:rsid w:val="00D666A2"/>
    <w:rsid w:val="00D674DE"/>
    <w:rsid w:val="00D67720"/>
    <w:rsid w:val="00D70A24"/>
    <w:rsid w:val="00D71DF2"/>
    <w:rsid w:val="00D72F48"/>
    <w:rsid w:val="00D7316F"/>
    <w:rsid w:val="00D735B2"/>
    <w:rsid w:val="00D73735"/>
    <w:rsid w:val="00D75B2F"/>
    <w:rsid w:val="00D75C0C"/>
    <w:rsid w:val="00D76B16"/>
    <w:rsid w:val="00D76FD3"/>
    <w:rsid w:val="00D77657"/>
    <w:rsid w:val="00D8020E"/>
    <w:rsid w:val="00D814BE"/>
    <w:rsid w:val="00D82F98"/>
    <w:rsid w:val="00D83166"/>
    <w:rsid w:val="00D83282"/>
    <w:rsid w:val="00D8478D"/>
    <w:rsid w:val="00D85AAA"/>
    <w:rsid w:val="00D86119"/>
    <w:rsid w:val="00D8638E"/>
    <w:rsid w:val="00D872FC"/>
    <w:rsid w:val="00D90554"/>
    <w:rsid w:val="00D9055D"/>
    <w:rsid w:val="00D91298"/>
    <w:rsid w:val="00D91930"/>
    <w:rsid w:val="00D9219B"/>
    <w:rsid w:val="00D927A6"/>
    <w:rsid w:val="00D946D5"/>
    <w:rsid w:val="00D95FE4"/>
    <w:rsid w:val="00D96758"/>
    <w:rsid w:val="00DA0828"/>
    <w:rsid w:val="00DA13A0"/>
    <w:rsid w:val="00DA14A6"/>
    <w:rsid w:val="00DA1C48"/>
    <w:rsid w:val="00DA1FD9"/>
    <w:rsid w:val="00DA3690"/>
    <w:rsid w:val="00DA3732"/>
    <w:rsid w:val="00DA41D4"/>
    <w:rsid w:val="00DA4F02"/>
    <w:rsid w:val="00DA50F7"/>
    <w:rsid w:val="00DA72D7"/>
    <w:rsid w:val="00DB0632"/>
    <w:rsid w:val="00DB2BCF"/>
    <w:rsid w:val="00DB324F"/>
    <w:rsid w:val="00DB5D28"/>
    <w:rsid w:val="00DB5DCB"/>
    <w:rsid w:val="00DB5EB9"/>
    <w:rsid w:val="00DB5FDF"/>
    <w:rsid w:val="00DB6F91"/>
    <w:rsid w:val="00DB79CB"/>
    <w:rsid w:val="00DC037E"/>
    <w:rsid w:val="00DC0C7D"/>
    <w:rsid w:val="00DC1260"/>
    <w:rsid w:val="00DC1B06"/>
    <w:rsid w:val="00DC1B28"/>
    <w:rsid w:val="00DC2627"/>
    <w:rsid w:val="00DC298E"/>
    <w:rsid w:val="00DC3032"/>
    <w:rsid w:val="00DC42CC"/>
    <w:rsid w:val="00DC503E"/>
    <w:rsid w:val="00DC5A33"/>
    <w:rsid w:val="00DC6AC6"/>
    <w:rsid w:val="00DC7216"/>
    <w:rsid w:val="00DD1856"/>
    <w:rsid w:val="00DD254E"/>
    <w:rsid w:val="00DD2AF9"/>
    <w:rsid w:val="00DD4277"/>
    <w:rsid w:val="00DD4640"/>
    <w:rsid w:val="00DD5AAB"/>
    <w:rsid w:val="00DD64CE"/>
    <w:rsid w:val="00DD6D04"/>
    <w:rsid w:val="00DD6DB6"/>
    <w:rsid w:val="00DD6F65"/>
    <w:rsid w:val="00DE1FE5"/>
    <w:rsid w:val="00DE277F"/>
    <w:rsid w:val="00DE302B"/>
    <w:rsid w:val="00DE34DC"/>
    <w:rsid w:val="00DE3D14"/>
    <w:rsid w:val="00DE4BC3"/>
    <w:rsid w:val="00DE55BF"/>
    <w:rsid w:val="00DE5F49"/>
    <w:rsid w:val="00DE6559"/>
    <w:rsid w:val="00DF13DA"/>
    <w:rsid w:val="00DF29B5"/>
    <w:rsid w:val="00DF2DCB"/>
    <w:rsid w:val="00DF38B0"/>
    <w:rsid w:val="00DF5150"/>
    <w:rsid w:val="00DF5A21"/>
    <w:rsid w:val="00DF5DC7"/>
    <w:rsid w:val="00DF6261"/>
    <w:rsid w:val="00DF649C"/>
    <w:rsid w:val="00DF650A"/>
    <w:rsid w:val="00DF6B96"/>
    <w:rsid w:val="00DF7115"/>
    <w:rsid w:val="00E0232E"/>
    <w:rsid w:val="00E02836"/>
    <w:rsid w:val="00E02A20"/>
    <w:rsid w:val="00E02ED2"/>
    <w:rsid w:val="00E03AD1"/>
    <w:rsid w:val="00E03FF5"/>
    <w:rsid w:val="00E06843"/>
    <w:rsid w:val="00E07315"/>
    <w:rsid w:val="00E07AF8"/>
    <w:rsid w:val="00E1050E"/>
    <w:rsid w:val="00E11072"/>
    <w:rsid w:val="00E12623"/>
    <w:rsid w:val="00E12F3B"/>
    <w:rsid w:val="00E1342B"/>
    <w:rsid w:val="00E140A9"/>
    <w:rsid w:val="00E17D95"/>
    <w:rsid w:val="00E2037C"/>
    <w:rsid w:val="00E212DF"/>
    <w:rsid w:val="00E21DAB"/>
    <w:rsid w:val="00E22707"/>
    <w:rsid w:val="00E234C0"/>
    <w:rsid w:val="00E24081"/>
    <w:rsid w:val="00E241D9"/>
    <w:rsid w:val="00E2437E"/>
    <w:rsid w:val="00E244C2"/>
    <w:rsid w:val="00E24B40"/>
    <w:rsid w:val="00E24F47"/>
    <w:rsid w:val="00E25545"/>
    <w:rsid w:val="00E255F6"/>
    <w:rsid w:val="00E25B58"/>
    <w:rsid w:val="00E26F25"/>
    <w:rsid w:val="00E2719C"/>
    <w:rsid w:val="00E27A29"/>
    <w:rsid w:val="00E27C2F"/>
    <w:rsid w:val="00E3008B"/>
    <w:rsid w:val="00E30999"/>
    <w:rsid w:val="00E31B20"/>
    <w:rsid w:val="00E34686"/>
    <w:rsid w:val="00E35337"/>
    <w:rsid w:val="00E35D60"/>
    <w:rsid w:val="00E36D11"/>
    <w:rsid w:val="00E37C45"/>
    <w:rsid w:val="00E40170"/>
    <w:rsid w:val="00E408F1"/>
    <w:rsid w:val="00E42FD1"/>
    <w:rsid w:val="00E4424A"/>
    <w:rsid w:val="00E45338"/>
    <w:rsid w:val="00E4563B"/>
    <w:rsid w:val="00E45A0E"/>
    <w:rsid w:val="00E46042"/>
    <w:rsid w:val="00E469A4"/>
    <w:rsid w:val="00E46B27"/>
    <w:rsid w:val="00E47589"/>
    <w:rsid w:val="00E50326"/>
    <w:rsid w:val="00E50620"/>
    <w:rsid w:val="00E50C51"/>
    <w:rsid w:val="00E50DD4"/>
    <w:rsid w:val="00E51716"/>
    <w:rsid w:val="00E52103"/>
    <w:rsid w:val="00E52935"/>
    <w:rsid w:val="00E5324A"/>
    <w:rsid w:val="00E53724"/>
    <w:rsid w:val="00E5373E"/>
    <w:rsid w:val="00E55C2E"/>
    <w:rsid w:val="00E56A4A"/>
    <w:rsid w:val="00E579C9"/>
    <w:rsid w:val="00E61057"/>
    <w:rsid w:val="00E619A0"/>
    <w:rsid w:val="00E61CCB"/>
    <w:rsid w:val="00E6238C"/>
    <w:rsid w:val="00E651DD"/>
    <w:rsid w:val="00E65A31"/>
    <w:rsid w:val="00E65D20"/>
    <w:rsid w:val="00E703E8"/>
    <w:rsid w:val="00E709AB"/>
    <w:rsid w:val="00E71E14"/>
    <w:rsid w:val="00E73AA1"/>
    <w:rsid w:val="00E741F0"/>
    <w:rsid w:val="00E74D08"/>
    <w:rsid w:val="00E75593"/>
    <w:rsid w:val="00E75D5C"/>
    <w:rsid w:val="00E765E6"/>
    <w:rsid w:val="00E7761D"/>
    <w:rsid w:val="00E80144"/>
    <w:rsid w:val="00E804D7"/>
    <w:rsid w:val="00E81762"/>
    <w:rsid w:val="00E82163"/>
    <w:rsid w:val="00E8245A"/>
    <w:rsid w:val="00E843E8"/>
    <w:rsid w:val="00E84763"/>
    <w:rsid w:val="00E84A97"/>
    <w:rsid w:val="00E859F5"/>
    <w:rsid w:val="00E8799C"/>
    <w:rsid w:val="00E916C3"/>
    <w:rsid w:val="00E92808"/>
    <w:rsid w:val="00E93CEB"/>
    <w:rsid w:val="00E9458D"/>
    <w:rsid w:val="00E9536B"/>
    <w:rsid w:val="00E970D8"/>
    <w:rsid w:val="00EA0254"/>
    <w:rsid w:val="00EA099C"/>
    <w:rsid w:val="00EA1004"/>
    <w:rsid w:val="00EA1877"/>
    <w:rsid w:val="00EA1C78"/>
    <w:rsid w:val="00EA32F7"/>
    <w:rsid w:val="00EA3FE2"/>
    <w:rsid w:val="00EA4799"/>
    <w:rsid w:val="00EA545A"/>
    <w:rsid w:val="00EA633E"/>
    <w:rsid w:val="00EA73DE"/>
    <w:rsid w:val="00EA75C4"/>
    <w:rsid w:val="00EA7986"/>
    <w:rsid w:val="00EB0B33"/>
    <w:rsid w:val="00EB170F"/>
    <w:rsid w:val="00EB18F8"/>
    <w:rsid w:val="00EB208B"/>
    <w:rsid w:val="00EB250C"/>
    <w:rsid w:val="00EB374C"/>
    <w:rsid w:val="00EB426C"/>
    <w:rsid w:val="00EB4B13"/>
    <w:rsid w:val="00EB5456"/>
    <w:rsid w:val="00EB5617"/>
    <w:rsid w:val="00EB6333"/>
    <w:rsid w:val="00EB66B6"/>
    <w:rsid w:val="00EB680B"/>
    <w:rsid w:val="00EB6D4C"/>
    <w:rsid w:val="00EB7CDC"/>
    <w:rsid w:val="00EC0437"/>
    <w:rsid w:val="00EC1382"/>
    <w:rsid w:val="00EC1913"/>
    <w:rsid w:val="00EC1F76"/>
    <w:rsid w:val="00EC2AE3"/>
    <w:rsid w:val="00EC3EF3"/>
    <w:rsid w:val="00EC3FBA"/>
    <w:rsid w:val="00EC435F"/>
    <w:rsid w:val="00EC44F8"/>
    <w:rsid w:val="00EC58D0"/>
    <w:rsid w:val="00EC5908"/>
    <w:rsid w:val="00EC6033"/>
    <w:rsid w:val="00EC6F39"/>
    <w:rsid w:val="00ED0DE1"/>
    <w:rsid w:val="00ED0ED8"/>
    <w:rsid w:val="00ED38B4"/>
    <w:rsid w:val="00ED3A75"/>
    <w:rsid w:val="00ED41FD"/>
    <w:rsid w:val="00ED66F6"/>
    <w:rsid w:val="00ED7EF7"/>
    <w:rsid w:val="00EE00F4"/>
    <w:rsid w:val="00EE0D00"/>
    <w:rsid w:val="00EE211F"/>
    <w:rsid w:val="00EE2DD6"/>
    <w:rsid w:val="00EE4D8B"/>
    <w:rsid w:val="00EE694B"/>
    <w:rsid w:val="00EE69AF"/>
    <w:rsid w:val="00EF0345"/>
    <w:rsid w:val="00EF099E"/>
    <w:rsid w:val="00EF14C1"/>
    <w:rsid w:val="00EF2941"/>
    <w:rsid w:val="00EF4040"/>
    <w:rsid w:val="00EF5C4A"/>
    <w:rsid w:val="00EF60C5"/>
    <w:rsid w:val="00EF66B3"/>
    <w:rsid w:val="00EF6DA3"/>
    <w:rsid w:val="00EF6ECF"/>
    <w:rsid w:val="00EF7621"/>
    <w:rsid w:val="00EF7DC4"/>
    <w:rsid w:val="00EF7E0E"/>
    <w:rsid w:val="00EF7F92"/>
    <w:rsid w:val="00F01D53"/>
    <w:rsid w:val="00F01E57"/>
    <w:rsid w:val="00F02767"/>
    <w:rsid w:val="00F027BA"/>
    <w:rsid w:val="00F0317E"/>
    <w:rsid w:val="00F03483"/>
    <w:rsid w:val="00F038BC"/>
    <w:rsid w:val="00F03921"/>
    <w:rsid w:val="00F058C6"/>
    <w:rsid w:val="00F062E0"/>
    <w:rsid w:val="00F06478"/>
    <w:rsid w:val="00F06EC2"/>
    <w:rsid w:val="00F10A45"/>
    <w:rsid w:val="00F11A29"/>
    <w:rsid w:val="00F1216A"/>
    <w:rsid w:val="00F12307"/>
    <w:rsid w:val="00F1283A"/>
    <w:rsid w:val="00F12BDE"/>
    <w:rsid w:val="00F14527"/>
    <w:rsid w:val="00F173EE"/>
    <w:rsid w:val="00F17698"/>
    <w:rsid w:val="00F17FAB"/>
    <w:rsid w:val="00F20B43"/>
    <w:rsid w:val="00F217AA"/>
    <w:rsid w:val="00F225E1"/>
    <w:rsid w:val="00F22B9D"/>
    <w:rsid w:val="00F23966"/>
    <w:rsid w:val="00F239EF"/>
    <w:rsid w:val="00F24247"/>
    <w:rsid w:val="00F250DD"/>
    <w:rsid w:val="00F25A96"/>
    <w:rsid w:val="00F26629"/>
    <w:rsid w:val="00F27598"/>
    <w:rsid w:val="00F3091D"/>
    <w:rsid w:val="00F31E11"/>
    <w:rsid w:val="00F3209F"/>
    <w:rsid w:val="00F32C2B"/>
    <w:rsid w:val="00F32DAF"/>
    <w:rsid w:val="00F33EA0"/>
    <w:rsid w:val="00F344D5"/>
    <w:rsid w:val="00F34C5D"/>
    <w:rsid w:val="00F35F89"/>
    <w:rsid w:val="00F35FA2"/>
    <w:rsid w:val="00F37AA1"/>
    <w:rsid w:val="00F405CF"/>
    <w:rsid w:val="00F40E4E"/>
    <w:rsid w:val="00F42114"/>
    <w:rsid w:val="00F42640"/>
    <w:rsid w:val="00F435F9"/>
    <w:rsid w:val="00F43D0E"/>
    <w:rsid w:val="00F45A7F"/>
    <w:rsid w:val="00F467DD"/>
    <w:rsid w:val="00F46C98"/>
    <w:rsid w:val="00F47585"/>
    <w:rsid w:val="00F50EF6"/>
    <w:rsid w:val="00F51539"/>
    <w:rsid w:val="00F52010"/>
    <w:rsid w:val="00F52F11"/>
    <w:rsid w:val="00F5347F"/>
    <w:rsid w:val="00F53B81"/>
    <w:rsid w:val="00F53C17"/>
    <w:rsid w:val="00F53C7D"/>
    <w:rsid w:val="00F54622"/>
    <w:rsid w:val="00F54F2F"/>
    <w:rsid w:val="00F55316"/>
    <w:rsid w:val="00F569A2"/>
    <w:rsid w:val="00F57B8E"/>
    <w:rsid w:val="00F60438"/>
    <w:rsid w:val="00F60DB0"/>
    <w:rsid w:val="00F61041"/>
    <w:rsid w:val="00F6244D"/>
    <w:rsid w:val="00F6337A"/>
    <w:rsid w:val="00F63405"/>
    <w:rsid w:val="00F64698"/>
    <w:rsid w:val="00F646EE"/>
    <w:rsid w:val="00F6697C"/>
    <w:rsid w:val="00F67661"/>
    <w:rsid w:val="00F67870"/>
    <w:rsid w:val="00F7308E"/>
    <w:rsid w:val="00F73542"/>
    <w:rsid w:val="00F73787"/>
    <w:rsid w:val="00F73EDB"/>
    <w:rsid w:val="00F743E9"/>
    <w:rsid w:val="00F74AE7"/>
    <w:rsid w:val="00F74D46"/>
    <w:rsid w:val="00F7517D"/>
    <w:rsid w:val="00F75305"/>
    <w:rsid w:val="00F76363"/>
    <w:rsid w:val="00F76D40"/>
    <w:rsid w:val="00F77355"/>
    <w:rsid w:val="00F778AD"/>
    <w:rsid w:val="00F804CC"/>
    <w:rsid w:val="00F823D5"/>
    <w:rsid w:val="00F8281A"/>
    <w:rsid w:val="00F8358F"/>
    <w:rsid w:val="00F83C68"/>
    <w:rsid w:val="00F8429E"/>
    <w:rsid w:val="00F8534E"/>
    <w:rsid w:val="00F857B7"/>
    <w:rsid w:val="00F86388"/>
    <w:rsid w:val="00F86E0F"/>
    <w:rsid w:val="00F8702F"/>
    <w:rsid w:val="00F8737E"/>
    <w:rsid w:val="00F87A1C"/>
    <w:rsid w:val="00F87BEF"/>
    <w:rsid w:val="00F922B0"/>
    <w:rsid w:val="00F92A9A"/>
    <w:rsid w:val="00F94CA1"/>
    <w:rsid w:val="00F9553C"/>
    <w:rsid w:val="00F96B13"/>
    <w:rsid w:val="00F97135"/>
    <w:rsid w:val="00F97509"/>
    <w:rsid w:val="00F97BDF"/>
    <w:rsid w:val="00FA0A85"/>
    <w:rsid w:val="00FA0AB2"/>
    <w:rsid w:val="00FA21F5"/>
    <w:rsid w:val="00FA2803"/>
    <w:rsid w:val="00FA2DDE"/>
    <w:rsid w:val="00FA37D0"/>
    <w:rsid w:val="00FA4FCE"/>
    <w:rsid w:val="00FA6F58"/>
    <w:rsid w:val="00FA7269"/>
    <w:rsid w:val="00FA7347"/>
    <w:rsid w:val="00FB07B7"/>
    <w:rsid w:val="00FB0F42"/>
    <w:rsid w:val="00FB1425"/>
    <w:rsid w:val="00FB167E"/>
    <w:rsid w:val="00FB1CF9"/>
    <w:rsid w:val="00FB33BC"/>
    <w:rsid w:val="00FB3B5E"/>
    <w:rsid w:val="00FB4E6B"/>
    <w:rsid w:val="00FB5F72"/>
    <w:rsid w:val="00FB6A6F"/>
    <w:rsid w:val="00FB7B32"/>
    <w:rsid w:val="00FC0C8D"/>
    <w:rsid w:val="00FC13C8"/>
    <w:rsid w:val="00FC22CE"/>
    <w:rsid w:val="00FC2E4E"/>
    <w:rsid w:val="00FC3332"/>
    <w:rsid w:val="00FC3B53"/>
    <w:rsid w:val="00FC45F3"/>
    <w:rsid w:val="00FC5360"/>
    <w:rsid w:val="00FC5EE3"/>
    <w:rsid w:val="00FC74B0"/>
    <w:rsid w:val="00FD13E0"/>
    <w:rsid w:val="00FD1A20"/>
    <w:rsid w:val="00FD2C54"/>
    <w:rsid w:val="00FD3D62"/>
    <w:rsid w:val="00FD4802"/>
    <w:rsid w:val="00FD4876"/>
    <w:rsid w:val="00FD619E"/>
    <w:rsid w:val="00FD71FF"/>
    <w:rsid w:val="00FE1756"/>
    <w:rsid w:val="00FE19C5"/>
    <w:rsid w:val="00FE19E8"/>
    <w:rsid w:val="00FE1E54"/>
    <w:rsid w:val="00FE2067"/>
    <w:rsid w:val="00FE3B10"/>
    <w:rsid w:val="00FE4617"/>
    <w:rsid w:val="00FE47F0"/>
    <w:rsid w:val="00FE48BF"/>
    <w:rsid w:val="00FE5612"/>
    <w:rsid w:val="00FE637D"/>
    <w:rsid w:val="00FE678C"/>
    <w:rsid w:val="00FE6B6E"/>
    <w:rsid w:val="00FE75B7"/>
    <w:rsid w:val="00FE7C72"/>
    <w:rsid w:val="00FF04D3"/>
    <w:rsid w:val="00FF0CDB"/>
    <w:rsid w:val="00FF1870"/>
    <w:rsid w:val="00FF33CE"/>
    <w:rsid w:val="00FF3743"/>
    <w:rsid w:val="00FF619B"/>
    <w:rsid w:val="00FF74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2977"/>
    <o:shapelayout v:ext="edit">
      <o:idmap v:ext="edit" data="1"/>
    </o:shapelayout>
  </w:shapeDefaults>
  <w:decimalSymbol w:val="."/>
  <w:listSeparator w:val=","/>
  <w14:docId w14:val="2DB5C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262"/>
    <w:pPr>
      <w:keepLines/>
      <w:spacing w:after="12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6">
    <w:name w:val="Heading6"/>
    <w:basedOn w:val="Normal"/>
    <w:link w:val="Heading6Char"/>
    <w:rsid w:val="00302262"/>
    <w:pPr>
      <w:keepNext/>
      <w:suppressAutoHyphens/>
    </w:pPr>
    <w:rPr>
      <w:b/>
    </w:rPr>
  </w:style>
  <w:style w:type="paragraph" w:customStyle="1" w:styleId="Heading4">
    <w:name w:val="Heading4"/>
    <w:basedOn w:val="Normal"/>
    <w:rsid w:val="00302262"/>
    <w:pPr>
      <w:keepNext/>
      <w:suppressAutoHyphens/>
      <w:jc w:val="center"/>
    </w:pPr>
    <w:rPr>
      <w:b/>
    </w:rPr>
  </w:style>
  <w:style w:type="paragraph" w:styleId="Header">
    <w:name w:val="header"/>
    <w:basedOn w:val="Normal"/>
    <w:rsid w:val="00302262"/>
    <w:pPr>
      <w:tabs>
        <w:tab w:val="center" w:pos="4153"/>
        <w:tab w:val="right" w:pos="8306"/>
      </w:tabs>
    </w:pPr>
  </w:style>
  <w:style w:type="paragraph" w:styleId="Footer">
    <w:name w:val="footer"/>
    <w:basedOn w:val="Normal"/>
    <w:link w:val="FooterChar"/>
    <w:uiPriority w:val="99"/>
    <w:rsid w:val="00302262"/>
    <w:pPr>
      <w:tabs>
        <w:tab w:val="center" w:pos="4153"/>
        <w:tab w:val="right" w:pos="8306"/>
      </w:tabs>
    </w:pPr>
  </w:style>
  <w:style w:type="character" w:styleId="PageNumber">
    <w:name w:val="page number"/>
    <w:basedOn w:val="DefaultParagraphFont"/>
    <w:rsid w:val="00302262"/>
  </w:style>
  <w:style w:type="character" w:customStyle="1" w:styleId="FooterChar">
    <w:name w:val="Footer Char"/>
    <w:link w:val="Footer"/>
    <w:uiPriority w:val="99"/>
    <w:rsid w:val="00302262"/>
    <w:rPr>
      <w:lang w:val="en-AU" w:eastAsia="en-AU" w:bidi="ar-SA"/>
    </w:rPr>
  </w:style>
  <w:style w:type="character" w:customStyle="1" w:styleId="Heading6Char">
    <w:name w:val="Heading6 Char"/>
    <w:link w:val="Heading6"/>
    <w:rsid w:val="00302262"/>
    <w:rPr>
      <w:b/>
      <w:lang w:val="en-AU" w:eastAsia="en-AU" w:bidi="ar-SA"/>
    </w:rPr>
  </w:style>
  <w:style w:type="paragraph" w:styleId="BalloonText">
    <w:name w:val="Balloon Text"/>
    <w:basedOn w:val="Normal"/>
    <w:semiHidden/>
    <w:rsid w:val="00684733"/>
    <w:rPr>
      <w:rFonts w:ascii="Tahoma" w:hAnsi="Tahoma" w:cs="Tahoma"/>
      <w:sz w:val="16"/>
      <w:szCs w:val="16"/>
    </w:rPr>
  </w:style>
  <w:style w:type="character" w:styleId="CommentReference">
    <w:name w:val="annotation reference"/>
    <w:semiHidden/>
    <w:rsid w:val="009F3473"/>
    <w:rPr>
      <w:sz w:val="16"/>
      <w:szCs w:val="16"/>
    </w:rPr>
  </w:style>
  <w:style w:type="paragraph" w:styleId="CommentText">
    <w:name w:val="annotation text"/>
    <w:basedOn w:val="Normal"/>
    <w:semiHidden/>
    <w:rsid w:val="009F3473"/>
  </w:style>
  <w:style w:type="paragraph" w:styleId="CommentSubject">
    <w:name w:val="annotation subject"/>
    <w:basedOn w:val="CommentText"/>
    <w:next w:val="CommentText"/>
    <w:semiHidden/>
    <w:rsid w:val="009F3473"/>
    <w:rPr>
      <w:b/>
      <w:bCs/>
    </w:rPr>
  </w:style>
  <w:style w:type="paragraph" w:customStyle="1" w:styleId="P1">
    <w:name w:val="P1"/>
    <w:aliases w:val="(a)"/>
    <w:basedOn w:val="Normal"/>
    <w:link w:val="P1Char"/>
    <w:rsid w:val="00C7077F"/>
    <w:pPr>
      <w:tabs>
        <w:tab w:val="right" w:pos="1191"/>
      </w:tabs>
      <w:spacing w:before="60" w:after="60" w:line="260" w:lineRule="exact"/>
      <w:ind w:left="1418" w:hanging="1418"/>
    </w:pPr>
    <w:rPr>
      <w:rFonts w:ascii="Calibri" w:eastAsia="SimSun" w:hAnsi="Calibri"/>
      <w:sz w:val="16"/>
      <w:szCs w:val="22"/>
      <w:lang w:eastAsia="zh-CN"/>
    </w:rPr>
  </w:style>
  <w:style w:type="character" w:customStyle="1" w:styleId="P1Char">
    <w:name w:val="P1 Char"/>
    <w:aliases w:val="(a) Char"/>
    <w:link w:val="P1"/>
    <w:rsid w:val="00C7077F"/>
    <w:rPr>
      <w:rFonts w:ascii="Calibri" w:eastAsia="SimSun" w:hAnsi="Calibri"/>
      <w:sz w:val="16"/>
      <w:szCs w:val="22"/>
      <w:lang w:val="en-AU" w:eastAsia="zh-CN" w:bidi="ar-SA"/>
    </w:rPr>
  </w:style>
  <w:style w:type="table" w:styleId="TableGrid">
    <w:name w:val="Table Grid"/>
    <w:basedOn w:val="TableNormal"/>
    <w:rsid w:val="00872E5E"/>
    <w:pPr>
      <w:keepLine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S">
    <w:name w:val="A1S"/>
    <w:aliases w:val="1.Schedule Amendment"/>
    <w:basedOn w:val="Normal"/>
    <w:next w:val="Normal"/>
    <w:rsid w:val="00A43EA2"/>
    <w:pPr>
      <w:keepNext/>
      <w:keepLines w:val="0"/>
      <w:spacing w:before="480" w:after="0" w:line="260" w:lineRule="exact"/>
      <w:ind w:left="964" w:hanging="964"/>
      <w:jc w:val="left"/>
    </w:pPr>
    <w:rPr>
      <w:rFonts w:ascii="Arial" w:hAnsi="Arial"/>
      <w:b/>
      <w:sz w:val="24"/>
      <w:szCs w:val="24"/>
    </w:rPr>
  </w:style>
  <w:style w:type="paragraph" w:customStyle="1" w:styleId="A2S">
    <w:name w:val="A2S"/>
    <w:aliases w:val="Schedule Inst Amendment"/>
    <w:basedOn w:val="Normal"/>
    <w:next w:val="Normal"/>
    <w:link w:val="A2SChar"/>
    <w:rsid w:val="00A50CC7"/>
    <w:pPr>
      <w:keepNext/>
      <w:keepLines w:val="0"/>
      <w:spacing w:before="120" w:after="0" w:line="260" w:lineRule="exact"/>
      <w:ind w:left="964"/>
      <w:jc w:val="left"/>
    </w:pPr>
    <w:rPr>
      <w:i/>
      <w:sz w:val="24"/>
      <w:szCs w:val="24"/>
    </w:rPr>
  </w:style>
  <w:style w:type="character" w:customStyle="1" w:styleId="A2SChar">
    <w:name w:val="A2S Char"/>
    <w:aliases w:val="Schedule Inst Amendment Char"/>
    <w:link w:val="A2S"/>
    <w:rsid w:val="00A50CC7"/>
    <w:rPr>
      <w:i/>
      <w:sz w:val="24"/>
      <w:szCs w:val="24"/>
    </w:rPr>
  </w:style>
  <w:style w:type="paragraph" w:customStyle="1" w:styleId="HeaderBoldEven">
    <w:name w:val="HeaderBoldEven"/>
    <w:basedOn w:val="Normal"/>
    <w:rsid w:val="00935482"/>
    <w:pPr>
      <w:keepLines w:val="0"/>
      <w:spacing w:before="120" w:after="60"/>
      <w:jc w:val="left"/>
    </w:pPr>
    <w:rPr>
      <w:rFonts w:ascii="Arial" w:hAnsi="Arial"/>
      <w:b/>
      <w:szCs w:val="24"/>
    </w:rPr>
  </w:style>
  <w:style w:type="paragraph" w:customStyle="1" w:styleId="HeaderLiteEven">
    <w:name w:val="HeaderLiteEven"/>
    <w:basedOn w:val="Normal"/>
    <w:rsid w:val="00935482"/>
    <w:pPr>
      <w:keepLines w:val="0"/>
      <w:tabs>
        <w:tab w:val="center" w:pos="3969"/>
        <w:tab w:val="right" w:pos="8505"/>
      </w:tabs>
      <w:spacing w:before="60" w:after="0"/>
      <w:jc w:val="left"/>
    </w:pPr>
    <w:rPr>
      <w:rFonts w:ascii="Arial" w:hAnsi="Arial"/>
      <w:sz w:val="18"/>
      <w:szCs w:val="24"/>
    </w:rPr>
  </w:style>
  <w:style w:type="paragraph" w:customStyle="1" w:styleId="FooterDraft">
    <w:name w:val="FooterDraft"/>
    <w:basedOn w:val="Normal"/>
    <w:rsid w:val="00935482"/>
    <w:pPr>
      <w:keepLines w:val="0"/>
      <w:spacing w:after="0"/>
      <w:jc w:val="center"/>
    </w:pPr>
    <w:rPr>
      <w:rFonts w:ascii="Arial" w:hAnsi="Arial"/>
      <w:b/>
      <w:sz w:val="40"/>
      <w:szCs w:val="24"/>
    </w:rPr>
  </w:style>
  <w:style w:type="paragraph" w:customStyle="1" w:styleId="FooterInfo">
    <w:name w:val="FooterInfo"/>
    <w:basedOn w:val="Normal"/>
    <w:rsid w:val="00935482"/>
    <w:pPr>
      <w:keepLines w:val="0"/>
      <w:spacing w:after="0"/>
      <w:jc w:val="left"/>
    </w:pPr>
    <w:rPr>
      <w:rFonts w:ascii="Arial" w:hAnsi="Arial"/>
      <w:sz w:val="12"/>
      <w:szCs w:val="24"/>
    </w:rPr>
  </w:style>
  <w:style w:type="paragraph" w:styleId="ListParagraph">
    <w:name w:val="List Paragraph"/>
    <w:basedOn w:val="Normal"/>
    <w:uiPriority w:val="34"/>
    <w:qFormat/>
    <w:rsid w:val="00935482"/>
    <w:pPr>
      <w:keepLines w:val="0"/>
      <w:spacing w:after="0"/>
      <w:ind w:left="720"/>
      <w:jc w:val="left"/>
    </w:pPr>
    <w:rPr>
      <w:sz w:val="24"/>
      <w:szCs w:val="24"/>
    </w:rPr>
  </w:style>
  <w:style w:type="paragraph" w:customStyle="1" w:styleId="FooterCitation">
    <w:name w:val="FooterCitation"/>
    <w:basedOn w:val="Footer"/>
    <w:rsid w:val="00935482"/>
    <w:pPr>
      <w:keepLines w:val="0"/>
      <w:spacing w:before="20" w:after="0" w:line="240" w:lineRule="exact"/>
      <w:jc w:val="center"/>
    </w:pPr>
    <w:rPr>
      <w:rFonts w:ascii="Arial" w:hAnsi="Arial"/>
      <w:i/>
      <w:sz w:val="18"/>
      <w:szCs w:val="24"/>
    </w:rPr>
  </w:style>
  <w:style w:type="character" w:customStyle="1" w:styleId="A0">
    <w:name w:val="A0"/>
    <w:uiPriority w:val="99"/>
    <w:rsid w:val="00C40A1A"/>
    <w:rPr>
      <w:rFonts w:cs="YOUZZP+HelveticaNeue"/>
      <w:color w:val="221E1F"/>
      <w:sz w:val="20"/>
      <w:szCs w:val="20"/>
    </w:rPr>
  </w:style>
  <w:style w:type="character" w:styleId="Hyperlink">
    <w:name w:val="Hyperlink"/>
    <w:uiPriority w:val="99"/>
    <w:rsid w:val="00D22412"/>
    <w:rPr>
      <w:color w:val="0000FF"/>
      <w:u w:val="single"/>
    </w:rPr>
  </w:style>
  <w:style w:type="table" w:customStyle="1" w:styleId="TableGrid1">
    <w:name w:val="Table Grid1"/>
    <w:basedOn w:val="TableNormal"/>
    <w:next w:val="TableGrid"/>
    <w:rsid w:val="00511149"/>
    <w:tblPr/>
  </w:style>
  <w:style w:type="table" w:customStyle="1" w:styleId="TableGrid2">
    <w:name w:val="Table Grid2"/>
    <w:basedOn w:val="TableNormal"/>
    <w:next w:val="TableGrid"/>
    <w:rsid w:val="009E3757"/>
    <w:tblPr/>
  </w:style>
  <w:style w:type="table" w:customStyle="1" w:styleId="TableGrid3">
    <w:name w:val="Table Grid3"/>
    <w:basedOn w:val="TableNormal"/>
    <w:next w:val="TableGrid"/>
    <w:rsid w:val="009E3757"/>
    <w:tblPr/>
  </w:style>
  <w:style w:type="paragraph" w:customStyle="1" w:styleId="ItemHead">
    <w:name w:val="ItemHead"/>
    <w:aliases w:val="ih"/>
    <w:basedOn w:val="Normal"/>
    <w:next w:val="Normal"/>
    <w:rsid w:val="000E4656"/>
    <w:pPr>
      <w:keepNext/>
      <w:spacing w:before="220" w:after="0"/>
      <w:ind w:left="709" w:hanging="709"/>
      <w:jc w:val="left"/>
    </w:pPr>
    <w:rPr>
      <w:rFonts w:ascii="Arial" w:eastAsiaTheme="minorEastAsia" w:hAnsi="Arial"/>
      <w:b/>
      <w:kern w:val="28"/>
      <w:sz w:val="24"/>
    </w:rPr>
  </w:style>
  <w:style w:type="table" w:customStyle="1" w:styleId="TableGrid4">
    <w:name w:val="Table Grid4"/>
    <w:basedOn w:val="TableNormal"/>
    <w:next w:val="TableGrid"/>
    <w:rsid w:val="005B758F"/>
    <w:tblPr/>
  </w:style>
  <w:style w:type="table" w:customStyle="1" w:styleId="TableGrid5">
    <w:name w:val="Table Grid5"/>
    <w:basedOn w:val="TableNormal"/>
    <w:next w:val="TableGrid"/>
    <w:rsid w:val="00145D86"/>
    <w:tblPr/>
  </w:style>
  <w:style w:type="paragraph" w:customStyle="1" w:styleId="Amendment1">
    <w:name w:val="Amendment 1"/>
    <w:basedOn w:val="Normal"/>
    <w:link w:val="Amendment1Char"/>
    <w:qFormat/>
    <w:rsid w:val="00CF35C1"/>
    <w:pPr>
      <w:keepLines w:val="0"/>
      <w:widowControl w:val="0"/>
      <w:numPr>
        <w:numId w:val="15"/>
      </w:numPr>
      <w:spacing w:before="120" w:after="0"/>
      <w:jc w:val="left"/>
      <w:outlineLvl w:val="1"/>
    </w:pPr>
    <w:rPr>
      <w:rFonts w:ascii="Arial" w:hAnsi="Arial" w:cs="Arial"/>
      <w:b/>
      <w:bCs/>
    </w:rPr>
  </w:style>
  <w:style w:type="paragraph" w:customStyle="1" w:styleId="Amendment2">
    <w:name w:val="Amendment 2"/>
    <w:basedOn w:val="Normal"/>
    <w:qFormat/>
    <w:rsid w:val="00CF35C1"/>
    <w:pPr>
      <w:keepLines w:val="0"/>
      <w:widowControl w:val="0"/>
      <w:numPr>
        <w:ilvl w:val="1"/>
        <w:numId w:val="15"/>
      </w:numPr>
      <w:spacing w:before="120" w:after="0"/>
      <w:jc w:val="left"/>
      <w:outlineLvl w:val="2"/>
    </w:pPr>
    <w:rPr>
      <w:iCs/>
    </w:rPr>
  </w:style>
  <w:style w:type="paragraph" w:customStyle="1" w:styleId="Amendment3">
    <w:name w:val="Amendment 3"/>
    <w:qFormat/>
    <w:rsid w:val="00CF35C1"/>
    <w:pPr>
      <w:widowControl w:val="0"/>
      <w:numPr>
        <w:ilvl w:val="2"/>
        <w:numId w:val="15"/>
      </w:numPr>
      <w:tabs>
        <w:tab w:val="clear" w:pos="1474"/>
        <w:tab w:val="num" w:pos="1050"/>
      </w:tabs>
      <w:spacing w:before="60" w:after="60" w:line="260" w:lineRule="exact"/>
      <w:ind w:left="1050"/>
      <w:outlineLvl w:val="2"/>
    </w:pPr>
    <w:rPr>
      <w:iCs/>
    </w:rPr>
  </w:style>
  <w:style w:type="character" w:customStyle="1" w:styleId="Amendment1Char">
    <w:name w:val="Amendment 1 Char"/>
    <w:basedOn w:val="DefaultParagraphFont"/>
    <w:link w:val="Amendment1"/>
    <w:rsid w:val="00CF35C1"/>
    <w:rPr>
      <w:rFonts w:ascii="Arial" w:hAnsi="Arial" w:cs="Arial"/>
      <w:b/>
      <w:bCs/>
    </w:rPr>
  </w:style>
  <w:style w:type="numbering" w:customStyle="1" w:styleId="AmendmentInstruction">
    <w:name w:val="Amendment Instruction"/>
    <w:basedOn w:val="NoList"/>
    <w:uiPriority w:val="99"/>
    <w:rsid w:val="00CF35C1"/>
    <w:pPr>
      <w:numPr>
        <w:numId w:val="18"/>
      </w:numPr>
    </w:pPr>
  </w:style>
  <w:style w:type="character" w:styleId="Emphasis">
    <w:name w:val="Emphasis"/>
    <w:basedOn w:val="DefaultParagraphFont"/>
    <w:uiPriority w:val="20"/>
    <w:qFormat/>
    <w:rsid w:val="00F60D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2047">
      <w:bodyDiv w:val="1"/>
      <w:marLeft w:val="0"/>
      <w:marRight w:val="0"/>
      <w:marTop w:val="0"/>
      <w:marBottom w:val="0"/>
      <w:divBdr>
        <w:top w:val="none" w:sz="0" w:space="0" w:color="auto"/>
        <w:left w:val="none" w:sz="0" w:space="0" w:color="auto"/>
        <w:bottom w:val="none" w:sz="0" w:space="0" w:color="auto"/>
        <w:right w:val="none" w:sz="0" w:space="0" w:color="auto"/>
      </w:divBdr>
    </w:div>
    <w:div w:id="480970354">
      <w:bodyDiv w:val="1"/>
      <w:marLeft w:val="0"/>
      <w:marRight w:val="0"/>
      <w:marTop w:val="0"/>
      <w:marBottom w:val="0"/>
      <w:divBdr>
        <w:top w:val="none" w:sz="0" w:space="0" w:color="auto"/>
        <w:left w:val="none" w:sz="0" w:space="0" w:color="auto"/>
        <w:bottom w:val="none" w:sz="0" w:space="0" w:color="auto"/>
        <w:right w:val="none" w:sz="0" w:space="0" w:color="auto"/>
      </w:divBdr>
    </w:div>
    <w:div w:id="665397960">
      <w:bodyDiv w:val="1"/>
      <w:marLeft w:val="0"/>
      <w:marRight w:val="0"/>
      <w:marTop w:val="0"/>
      <w:marBottom w:val="0"/>
      <w:divBdr>
        <w:top w:val="none" w:sz="0" w:space="0" w:color="auto"/>
        <w:left w:val="none" w:sz="0" w:space="0" w:color="auto"/>
        <w:bottom w:val="none" w:sz="0" w:space="0" w:color="auto"/>
        <w:right w:val="none" w:sz="0" w:space="0" w:color="auto"/>
      </w:divBdr>
    </w:div>
    <w:div w:id="763307548">
      <w:bodyDiv w:val="1"/>
      <w:marLeft w:val="0"/>
      <w:marRight w:val="0"/>
      <w:marTop w:val="0"/>
      <w:marBottom w:val="0"/>
      <w:divBdr>
        <w:top w:val="none" w:sz="0" w:space="0" w:color="auto"/>
        <w:left w:val="none" w:sz="0" w:space="0" w:color="auto"/>
        <w:bottom w:val="none" w:sz="0" w:space="0" w:color="auto"/>
        <w:right w:val="none" w:sz="0" w:space="0" w:color="auto"/>
      </w:divBdr>
    </w:div>
    <w:div w:id="807744062">
      <w:bodyDiv w:val="1"/>
      <w:marLeft w:val="0"/>
      <w:marRight w:val="0"/>
      <w:marTop w:val="0"/>
      <w:marBottom w:val="0"/>
      <w:divBdr>
        <w:top w:val="none" w:sz="0" w:space="0" w:color="auto"/>
        <w:left w:val="none" w:sz="0" w:space="0" w:color="auto"/>
        <w:bottom w:val="none" w:sz="0" w:space="0" w:color="auto"/>
        <w:right w:val="none" w:sz="0" w:space="0" w:color="auto"/>
      </w:divBdr>
    </w:div>
    <w:div w:id="887450131">
      <w:bodyDiv w:val="1"/>
      <w:marLeft w:val="0"/>
      <w:marRight w:val="0"/>
      <w:marTop w:val="0"/>
      <w:marBottom w:val="0"/>
      <w:divBdr>
        <w:top w:val="none" w:sz="0" w:space="0" w:color="auto"/>
        <w:left w:val="none" w:sz="0" w:space="0" w:color="auto"/>
        <w:bottom w:val="none" w:sz="0" w:space="0" w:color="auto"/>
        <w:right w:val="none" w:sz="0" w:space="0" w:color="auto"/>
      </w:divBdr>
    </w:div>
    <w:div w:id="1016350540">
      <w:bodyDiv w:val="1"/>
      <w:marLeft w:val="0"/>
      <w:marRight w:val="0"/>
      <w:marTop w:val="0"/>
      <w:marBottom w:val="0"/>
      <w:divBdr>
        <w:top w:val="none" w:sz="0" w:space="0" w:color="auto"/>
        <w:left w:val="none" w:sz="0" w:space="0" w:color="auto"/>
        <w:bottom w:val="none" w:sz="0" w:space="0" w:color="auto"/>
        <w:right w:val="none" w:sz="0" w:space="0" w:color="auto"/>
      </w:divBdr>
    </w:div>
    <w:div w:id="1111784259">
      <w:bodyDiv w:val="1"/>
      <w:marLeft w:val="0"/>
      <w:marRight w:val="0"/>
      <w:marTop w:val="0"/>
      <w:marBottom w:val="0"/>
      <w:divBdr>
        <w:top w:val="none" w:sz="0" w:space="0" w:color="auto"/>
        <w:left w:val="none" w:sz="0" w:space="0" w:color="auto"/>
        <w:bottom w:val="none" w:sz="0" w:space="0" w:color="auto"/>
        <w:right w:val="none" w:sz="0" w:space="0" w:color="auto"/>
      </w:divBdr>
    </w:div>
    <w:div w:id="1137993559">
      <w:bodyDiv w:val="1"/>
      <w:marLeft w:val="0"/>
      <w:marRight w:val="0"/>
      <w:marTop w:val="0"/>
      <w:marBottom w:val="0"/>
      <w:divBdr>
        <w:top w:val="none" w:sz="0" w:space="0" w:color="auto"/>
        <w:left w:val="none" w:sz="0" w:space="0" w:color="auto"/>
        <w:bottom w:val="none" w:sz="0" w:space="0" w:color="auto"/>
        <w:right w:val="none" w:sz="0" w:space="0" w:color="auto"/>
      </w:divBdr>
    </w:div>
    <w:div w:id="1235117486">
      <w:bodyDiv w:val="1"/>
      <w:marLeft w:val="0"/>
      <w:marRight w:val="0"/>
      <w:marTop w:val="0"/>
      <w:marBottom w:val="0"/>
      <w:divBdr>
        <w:top w:val="none" w:sz="0" w:space="0" w:color="auto"/>
        <w:left w:val="none" w:sz="0" w:space="0" w:color="auto"/>
        <w:bottom w:val="none" w:sz="0" w:space="0" w:color="auto"/>
        <w:right w:val="none" w:sz="0" w:space="0" w:color="auto"/>
      </w:divBdr>
    </w:div>
    <w:div w:id="1291130608">
      <w:bodyDiv w:val="1"/>
      <w:marLeft w:val="0"/>
      <w:marRight w:val="0"/>
      <w:marTop w:val="0"/>
      <w:marBottom w:val="0"/>
      <w:divBdr>
        <w:top w:val="none" w:sz="0" w:space="0" w:color="auto"/>
        <w:left w:val="none" w:sz="0" w:space="0" w:color="auto"/>
        <w:bottom w:val="none" w:sz="0" w:space="0" w:color="auto"/>
        <w:right w:val="none" w:sz="0" w:space="0" w:color="auto"/>
      </w:divBdr>
    </w:div>
    <w:div w:id="1353074868">
      <w:bodyDiv w:val="1"/>
      <w:marLeft w:val="0"/>
      <w:marRight w:val="0"/>
      <w:marTop w:val="0"/>
      <w:marBottom w:val="0"/>
      <w:divBdr>
        <w:top w:val="none" w:sz="0" w:space="0" w:color="auto"/>
        <w:left w:val="none" w:sz="0" w:space="0" w:color="auto"/>
        <w:bottom w:val="none" w:sz="0" w:space="0" w:color="auto"/>
        <w:right w:val="none" w:sz="0" w:space="0" w:color="auto"/>
      </w:divBdr>
    </w:div>
    <w:div w:id="1418673215">
      <w:bodyDiv w:val="1"/>
      <w:marLeft w:val="0"/>
      <w:marRight w:val="0"/>
      <w:marTop w:val="0"/>
      <w:marBottom w:val="0"/>
      <w:divBdr>
        <w:top w:val="none" w:sz="0" w:space="0" w:color="auto"/>
        <w:left w:val="none" w:sz="0" w:space="0" w:color="auto"/>
        <w:bottom w:val="none" w:sz="0" w:space="0" w:color="auto"/>
        <w:right w:val="none" w:sz="0" w:space="0" w:color="auto"/>
      </w:divBdr>
    </w:div>
    <w:div w:id="1609895436">
      <w:bodyDiv w:val="1"/>
      <w:marLeft w:val="0"/>
      <w:marRight w:val="0"/>
      <w:marTop w:val="0"/>
      <w:marBottom w:val="0"/>
      <w:divBdr>
        <w:top w:val="none" w:sz="0" w:space="0" w:color="auto"/>
        <w:left w:val="none" w:sz="0" w:space="0" w:color="auto"/>
        <w:bottom w:val="none" w:sz="0" w:space="0" w:color="auto"/>
        <w:right w:val="none" w:sz="0" w:space="0" w:color="auto"/>
      </w:divBdr>
    </w:div>
    <w:div w:id="1834174532">
      <w:bodyDiv w:val="1"/>
      <w:marLeft w:val="0"/>
      <w:marRight w:val="0"/>
      <w:marTop w:val="0"/>
      <w:marBottom w:val="0"/>
      <w:divBdr>
        <w:top w:val="none" w:sz="0" w:space="0" w:color="auto"/>
        <w:left w:val="none" w:sz="0" w:space="0" w:color="auto"/>
        <w:bottom w:val="none" w:sz="0" w:space="0" w:color="auto"/>
        <w:right w:val="none" w:sz="0" w:space="0" w:color="auto"/>
      </w:divBdr>
    </w:div>
    <w:div w:id="1850826191">
      <w:bodyDiv w:val="1"/>
      <w:marLeft w:val="0"/>
      <w:marRight w:val="0"/>
      <w:marTop w:val="0"/>
      <w:marBottom w:val="0"/>
      <w:divBdr>
        <w:top w:val="none" w:sz="0" w:space="0" w:color="auto"/>
        <w:left w:val="none" w:sz="0" w:space="0" w:color="auto"/>
        <w:bottom w:val="none" w:sz="0" w:space="0" w:color="auto"/>
        <w:right w:val="none" w:sz="0" w:space="0" w:color="auto"/>
      </w:divBdr>
    </w:div>
    <w:div w:id="2001345237">
      <w:bodyDiv w:val="1"/>
      <w:marLeft w:val="0"/>
      <w:marRight w:val="0"/>
      <w:marTop w:val="0"/>
      <w:marBottom w:val="0"/>
      <w:divBdr>
        <w:top w:val="none" w:sz="0" w:space="0" w:color="auto"/>
        <w:left w:val="none" w:sz="0" w:space="0" w:color="auto"/>
        <w:bottom w:val="none" w:sz="0" w:space="0" w:color="auto"/>
        <w:right w:val="none" w:sz="0" w:space="0" w:color="auto"/>
      </w:divBdr>
    </w:div>
    <w:div w:id="2084713922">
      <w:bodyDiv w:val="1"/>
      <w:marLeft w:val="0"/>
      <w:marRight w:val="0"/>
      <w:marTop w:val="0"/>
      <w:marBottom w:val="0"/>
      <w:divBdr>
        <w:top w:val="none" w:sz="0" w:space="0" w:color="auto"/>
        <w:left w:val="none" w:sz="0" w:space="0" w:color="auto"/>
        <w:bottom w:val="none" w:sz="0" w:space="0" w:color="auto"/>
        <w:right w:val="none" w:sz="0" w:space="0" w:color="auto"/>
      </w:divBdr>
    </w:div>
    <w:div w:id="21224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hpublications.org/bloo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phaaustralia.com/page/11/classification-of-pulmonary-hypertension" TargetMode="External"/><Relationship Id="rId4" Type="http://schemas.openxmlformats.org/officeDocument/2006/relationships/settings" Target="settings.xml"/><Relationship Id="rId9" Type="http://schemas.openxmlformats.org/officeDocument/2006/relationships/hyperlink" Target="https://www.tga.gov.au/product-information-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5B0B8-815B-4D25-B1F0-A828C07FD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1976</Words>
  <Characters>12151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2020-04-23T05:34:00Z</dcterms:created>
  <dcterms:modified xsi:type="dcterms:W3CDTF">2020-08-27T03:16:00Z</dcterms:modified>
</cp:coreProperties>
</file>