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1BE0C3D5" w14:textId="240B9BFA" w:rsidR="002111BB" w:rsidRDefault="00A5463B" w:rsidP="005D6E31">
      <w:pPr>
        <w:tabs>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r w:rsidRPr="00A5463B">
        <w:rPr>
          <w:i/>
          <w:szCs w:val="24"/>
        </w:rPr>
        <w:t>Health Insurance Legislation Amendment (</w:t>
      </w:r>
      <w:r w:rsidR="00C231A3">
        <w:rPr>
          <w:i/>
          <w:szCs w:val="24"/>
        </w:rPr>
        <w:t xml:space="preserve">Section 3C – </w:t>
      </w:r>
      <w:r w:rsidR="006842D4">
        <w:rPr>
          <w:i/>
          <w:szCs w:val="24"/>
        </w:rPr>
        <w:t>Cardiac</w:t>
      </w:r>
      <w:r w:rsidRPr="00A5463B">
        <w:rPr>
          <w:i/>
          <w:szCs w:val="24"/>
        </w:rPr>
        <w:t xml:space="preserve"> Services) Determination 2020</w:t>
      </w:r>
    </w:p>
    <w:p w14:paraId="44F31373" w14:textId="77777777" w:rsidR="005D6E31" w:rsidRDefault="005D6E31" w:rsidP="001A4575">
      <w:pPr>
        <w:shd w:val="clear" w:color="auto" w:fill="FFFFFF"/>
        <w:rPr>
          <w:color w:val="000000"/>
          <w:szCs w:val="24"/>
          <w:shd w:val="clear" w:color="auto" w:fill="FFFFFF"/>
        </w:rPr>
      </w:pPr>
    </w:p>
    <w:p w14:paraId="46AD257F" w14:textId="202BA203" w:rsidR="00AF5D61" w:rsidRDefault="00AF5D61" w:rsidP="001A4575">
      <w:pPr>
        <w:shd w:val="clear" w:color="auto" w:fill="FFFFFF"/>
        <w:rPr>
          <w:szCs w:val="24"/>
        </w:rPr>
      </w:pPr>
      <w:r w:rsidRPr="00B12B90">
        <w:rPr>
          <w:color w:val="000000"/>
          <w:szCs w:val="24"/>
          <w:shd w:val="clear" w:color="auto" w:fill="FFFFFF"/>
        </w:rPr>
        <w:t xml:space="preserve">Subsection </w:t>
      </w:r>
      <w:proofErr w:type="gramStart"/>
      <w:r w:rsidRPr="00B12B90">
        <w:rPr>
          <w:color w:val="000000"/>
          <w:szCs w:val="24"/>
          <w:shd w:val="clear" w:color="auto" w:fill="FFFFFF"/>
        </w:rPr>
        <w:t>3C(</w:t>
      </w:r>
      <w:proofErr w:type="gramEnd"/>
      <w:r w:rsidRPr="00B12B90">
        <w:rPr>
          <w:color w:val="000000"/>
          <w:szCs w:val="24"/>
          <w:shd w:val="clear" w:color="auto" w:fill="FFFFFF"/>
        </w:rPr>
        <w:t xml:space="preserve">1) of the </w:t>
      </w:r>
      <w:r w:rsidRPr="00B12B90">
        <w:rPr>
          <w:i/>
          <w:iCs/>
          <w:color w:val="000000"/>
          <w:szCs w:val="24"/>
          <w:shd w:val="clear" w:color="auto" w:fill="FFFFFF"/>
        </w:rPr>
        <w:t>Health Insurance Act 1973</w:t>
      </w:r>
      <w:r w:rsidRPr="00B12B90">
        <w:rPr>
          <w:color w:val="000000"/>
          <w:szCs w:val="24"/>
          <w:shd w:val="clear" w:color="auto" w:fill="FFFFFF"/>
        </w:rPr>
        <w:t xml:space="preserve"> (the Act) provides that the Minister may, by legislative instrument, determine that a health service not specified in an item in the general medical services table (the </w:t>
      </w:r>
      <w:r>
        <w:rPr>
          <w:color w:val="000000"/>
          <w:szCs w:val="24"/>
          <w:shd w:val="clear" w:color="auto" w:fill="FFFFFF"/>
        </w:rPr>
        <w:t>GMST</w:t>
      </w:r>
      <w:r w:rsidRPr="00B12B90">
        <w:rPr>
          <w:color w:val="000000"/>
          <w:szCs w:val="24"/>
          <w:shd w:val="clear" w:color="auto" w:fill="FFFFFF"/>
        </w:rPr>
        <w:t>)</w:t>
      </w:r>
      <w:r w:rsidR="00A5463B">
        <w:rPr>
          <w:color w:val="000000"/>
          <w:szCs w:val="24"/>
          <w:shd w:val="clear" w:color="auto" w:fill="FFFFFF"/>
        </w:rPr>
        <w:t xml:space="preserve"> and</w:t>
      </w:r>
      <w:r>
        <w:rPr>
          <w:color w:val="000000"/>
          <w:szCs w:val="24"/>
          <w:shd w:val="clear" w:color="auto" w:fill="FFFFFF"/>
        </w:rPr>
        <w:t xml:space="preserve"> the </w:t>
      </w:r>
      <w:r w:rsidR="00AB543B">
        <w:rPr>
          <w:color w:val="000000"/>
          <w:szCs w:val="24"/>
          <w:shd w:val="clear" w:color="auto" w:fill="FFFFFF"/>
        </w:rPr>
        <w:t>d</w:t>
      </w:r>
      <w:r>
        <w:rPr>
          <w:color w:val="000000"/>
          <w:szCs w:val="24"/>
          <w:shd w:val="clear" w:color="auto" w:fill="FFFFFF"/>
        </w:rPr>
        <w:t xml:space="preserve">iagnostic </w:t>
      </w:r>
      <w:r w:rsidR="00AB543B">
        <w:rPr>
          <w:color w:val="000000"/>
          <w:szCs w:val="24"/>
          <w:shd w:val="clear" w:color="auto" w:fill="FFFFFF"/>
        </w:rPr>
        <w:t>i</w:t>
      </w:r>
      <w:r>
        <w:rPr>
          <w:color w:val="000000"/>
          <w:szCs w:val="24"/>
          <w:shd w:val="clear" w:color="auto" w:fill="FFFFFF"/>
        </w:rPr>
        <w:t xml:space="preserve">maging </w:t>
      </w:r>
      <w:r w:rsidR="00AB543B">
        <w:rPr>
          <w:color w:val="000000"/>
          <w:szCs w:val="24"/>
          <w:shd w:val="clear" w:color="auto" w:fill="FFFFFF"/>
        </w:rPr>
        <w:t>s</w:t>
      </w:r>
      <w:r>
        <w:rPr>
          <w:color w:val="000000"/>
          <w:szCs w:val="24"/>
          <w:shd w:val="clear" w:color="auto" w:fill="FFFFFF"/>
        </w:rPr>
        <w:t xml:space="preserve">ervices </w:t>
      </w:r>
      <w:r w:rsidR="00AB543B">
        <w:rPr>
          <w:color w:val="000000"/>
          <w:szCs w:val="24"/>
          <w:shd w:val="clear" w:color="auto" w:fill="FFFFFF"/>
        </w:rPr>
        <w:t>t</w:t>
      </w:r>
      <w:r>
        <w:rPr>
          <w:color w:val="000000"/>
          <w:szCs w:val="24"/>
          <w:shd w:val="clear" w:color="auto" w:fill="FFFFFF"/>
        </w:rPr>
        <w:t>able</w:t>
      </w:r>
      <w:r w:rsidRPr="00B12B90">
        <w:rPr>
          <w:color w:val="000000"/>
          <w:szCs w:val="24"/>
          <w:shd w:val="clear" w:color="auto" w:fill="FFFFFF"/>
        </w:rPr>
        <w:t xml:space="preserve"> </w:t>
      </w:r>
      <w:r>
        <w:rPr>
          <w:color w:val="000000"/>
          <w:szCs w:val="24"/>
          <w:shd w:val="clear" w:color="auto" w:fill="FFFFFF"/>
        </w:rPr>
        <w:t>(the DIST</w:t>
      </w:r>
      <w:r w:rsidR="00A5463B">
        <w:rPr>
          <w:color w:val="000000"/>
          <w:szCs w:val="24"/>
          <w:shd w:val="clear" w:color="auto" w:fill="FFFFFF"/>
        </w:rPr>
        <w:t>)</w:t>
      </w:r>
      <w:r>
        <w:rPr>
          <w:color w:val="000000"/>
          <w:szCs w:val="24"/>
          <w:shd w:val="clear" w:color="auto" w:fill="FFFFFF"/>
        </w:rPr>
        <w:t xml:space="preserve"> </w:t>
      </w:r>
      <w:r w:rsidRPr="00B12B90">
        <w:rPr>
          <w:color w:val="000000"/>
          <w:szCs w:val="24"/>
          <w:shd w:val="clear" w:color="auto" w:fill="FFFFFF"/>
        </w:rPr>
        <w:t xml:space="preserve">shall, in specified circumstances and for specified statutory provisions, be treated as if it were specified </w:t>
      </w:r>
      <w:r w:rsidRPr="001A4575">
        <w:rPr>
          <w:szCs w:val="24"/>
        </w:rPr>
        <w:t>in one of these tables.</w:t>
      </w:r>
    </w:p>
    <w:p w14:paraId="5FF23116" w14:textId="77777777" w:rsidR="00B80FA2" w:rsidRPr="001A4575" w:rsidRDefault="00B80FA2" w:rsidP="001A4575">
      <w:pPr>
        <w:shd w:val="clear" w:color="auto" w:fill="FFFFFF"/>
        <w:rPr>
          <w:szCs w:val="24"/>
        </w:rPr>
      </w:pPr>
    </w:p>
    <w:p w14:paraId="2B74EBCF" w14:textId="4EF2C2CE" w:rsidR="00A5463B" w:rsidRPr="00BA38BC" w:rsidRDefault="00AF5D61" w:rsidP="001A4575">
      <w:pPr>
        <w:shd w:val="clear" w:color="auto" w:fill="FFFFFF"/>
        <w:rPr>
          <w:i/>
        </w:rPr>
      </w:pPr>
      <w:r w:rsidRPr="00B12B90">
        <w:rPr>
          <w:szCs w:val="24"/>
        </w:rPr>
        <w:t>The</w:t>
      </w:r>
      <w:r w:rsidR="00A5463B">
        <w:rPr>
          <w:szCs w:val="24"/>
        </w:rPr>
        <w:t xml:space="preserve"> GMST is set out in the regulations made under subsection 4(1) of the Act.</w:t>
      </w:r>
      <w:r>
        <w:rPr>
          <w:szCs w:val="24"/>
        </w:rPr>
        <w:t xml:space="preserve"> </w:t>
      </w:r>
      <w:r w:rsidR="00A5463B">
        <w:rPr>
          <w:szCs w:val="24"/>
        </w:rPr>
        <w:t xml:space="preserve">The GMST is currently prescribed in the </w:t>
      </w:r>
      <w:r w:rsidR="00A5463B" w:rsidRPr="00BA38BC">
        <w:rPr>
          <w:i/>
        </w:rPr>
        <w:t xml:space="preserve">Health Insurance (General Medical Services Table) Regulations </w:t>
      </w:r>
      <w:r w:rsidR="008F6F44">
        <w:rPr>
          <w:i/>
        </w:rPr>
        <w:br/>
      </w:r>
      <w:r w:rsidR="00A5463B" w:rsidRPr="00BA38BC">
        <w:rPr>
          <w:i/>
        </w:rPr>
        <w:t xml:space="preserve">(No. </w:t>
      </w:r>
      <w:r w:rsidR="00C231A3">
        <w:rPr>
          <w:i/>
        </w:rPr>
        <w:t>2</w:t>
      </w:r>
      <w:r w:rsidR="00A5463B" w:rsidRPr="00BA38BC">
        <w:rPr>
          <w:i/>
        </w:rPr>
        <w:t>) 2020.</w:t>
      </w:r>
    </w:p>
    <w:p w14:paraId="3D90B1F4" w14:textId="5AD4A79D" w:rsidR="00A5463B" w:rsidRDefault="00A5463B" w:rsidP="00A5463B">
      <w:pPr>
        <w:shd w:val="clear" w:color="auto" w:fill="FFFFFF"/>
        <w:rPr>
          <w:szCs w:val="24"/>
        </w:rPr>
      </w:pPr>
    </w:p>
    <w:p w14:paraId="47FF2C5C" w14:textId="5C639C9A" w:rsidR="00A5463B" w:rsidRDefault="00A5463B" w:rsidP="00A5463B">
      <w:pPr>
        <w:shd w:val="clear" w:color="auto" w:fill="FFFFFF"/>
        <w:rPr>
          <w:szCs w:val="24"/>
        </w:rPr>
      </w:pPr>
      <w:r>
        <w:rPr>
          <w:szCs w:val="24"/>
        </w:rPr>
        <w:t xml:space="preserve">The DIST </w:t>
      </w:r>
      <w:r w:rsidRPr="00A5463B">
        <w:rPr>
          <w:szCs w:val="24"/>
        </w:rPr>
        <w:t>is set out in the regulations made under subsection</w:t>
      </w:r>
      <w:r>
        <w:rPr>
          <w:szCs w:val="24"/>
        </w:rPr>
        <w:t xml:space="preserve"> </w:t>
      </w:r>
      <w:proofErr w:type="gramStart"/>
      <w:r w:rsidRPr="00797F31">
        <w:rPr>
          <w:szCs w:val="24"/>
        </w:rPr>
        <w:t>4AA(</w:t>
      </w:r>
      <w:proofErr w:type="gramEnd"/>
      <w:r w:rsidRPr="00797F31">
        <w:rPr>
          <w:szCs w:val="24"/>
        </w:rPr>
        <w:t>1) of the Act</w:t>
      </w:r>
      <w:r>
        <w:rPr>
          <w:szCs w:val="24"/>
        </w:rPr>
        <w:t xml:space="preserve">. The DIST is currently prescribed in the </w:t>
      </w:r>
      <w:r w:rsidRPr="00A5463B">
        <w:rPr>
          <w:i/>
        </w:rPr>
        <w:t xml:space="preserve">Health Insurance (Diagnostic Imaging Services Table) Regulations (No. </w:t>
      </w:r>
      <w:r w:rsidR="00C231A3">
        <w:rPr>
          <w:i/>
        </w:rPr>
        <w:t>2</w:t>
      </w:r>
      <w:r w:rsidRPr="00A5463B">
        <w:rPr>
          <w:i/>
        </w:rPr>
        <w:t>) 2020</w:t>
      </w:r>
      <w:r>
        <w:t>.</w:t>
      </w:r>
    </w:p>
    <w:p w14:paraId="0591D5A7" w14:textId="742D7EDF" w:rsidR="00A5463B" w:rsidRDefault="00A5463B" w:rsidP="00A5463B">
      <w:pPr>
        <w:shd w:val="clear" w:color="auto" w:fill="FFFFFF"/>
        <w:rPr>
          <w:szCs w:val="24"/>
        </w:rPr>
      </w:pPr>
    </w:p>
    <w:p w14:paraId="3FD9B55B" w14:textId="6A977F90" w:rsidR="00CE1A40" w:rsidRDefault="00963A5E"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S</w:t>
      </w:r>
      <w:r w:rsidR="00CE1A40" w:rsidRPr="00CE1A40">
        <w:t xml:space="preserve">ubsection 33(3) of the </w:t>
      </w:r>
      <w:r w:rsidR="00CE1A40" w:rsidRPr="00CE1A40">
        <w:rPr>
          <w:i/>
          <w:iCs/>
        </w:rPr>
        <w:t xml:space="preserve">Acts Interpretation Act 1901 </w:t>
      </w:r>
      <w:r w:rsidR="00CE1A40" w:rsidRPr="00CE1A40">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F6DF215" w14:textId="77777777" w:rsidR="00D5274F" w:rsidRDefault="00D5274F"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6E5CB2E" w14:textId="120BBA47" w:rsidR="00AF5D61" w:rsidRPr="00AF5D61" w:rsidRDefault="00A1739A" w:rsidP="00B44F00">
      <w:pPr>
        <w:rPr>
          <w:b/>
          <w:szCs w:val="24"/>
          <w:lang w:val="en-US" w:eastAsia="en-US"/>
        </w:rPr>
      </w:pPr>
      <w:r w:rsidRPr="00CD4A21">
        <w:rPr>
          <w:b/>
          <w:szCs w:val="24"/>
          <w:lang w:val="en-US" w:eastAsia="en-US"/>
        </w:rPr>
        <w:t>Purpose</w:t>
      </w:r>
    </w:p>
    <w:p w14:paraId="4B18B479" w14:textId="33D419EE" w:rsidR="00964083" w:rsidRPr="00964083" w:rsidRDefault="00B21A1B" w:rsidP="00B44F00">
      <w:pPr>
        <w:rPr>
          <w:szCs w:val="24"/>
        </w:rPr>
      </w:pPr>
      <w:r>
        <w:t xml:space="preserve">The purpose of the </w:t>
      </w:r>
      <w:r w:rsidR="00A5463B" w:rsidRPr="00BC7046">
        <w:rPr>
          <w:i/>
        </w:rPr>
        <w:t xml:space="preserve">Health Insurance Legislation Amendment (Section 3C – </w:t>
      </w:r>
      <w:r w:rsidR="00C231A3">
        <w:rPr>
          <w:i/>
        </w:rPr>
        <w:t>Cardiac</w:t>
      </w:r>
      <w:r w:rsidR="00A5463B" w:rsidRPr="00BC7046">
        <w:rPr>
          <w:i/>
        </w:rPr>
        <w:t xml:space="preserve"> Services) Determination 2020</w:t>
      </w:r>
      <w:r w:rsidR="00A5463B">
        <w:rPr>
          <w:i/>
        </w:rPr>
        <w:t xml:space="preserve"> </w:t>
      </w:r>
      <w:r>
        <w:t xml:space="preserve">(the Determination) is </w:t>
      </w:r>
      <w:r>
        <w:rPr>
          <w:szCs w:val="24"/>
        </w:rPr>
        <w:t xml:space="preserve">to </w:t>
      </w:r>
      <w:r w:rsidR="00964083">
        <w:rPr>
          <w:szCs w:val="24"/>
        </w:rPr>
        <w:t xml:space="preserve">amend the </w:t>
      </w:r>
      <w:r w:rsidR="00964083" w:rsidRPr="00964083">
        <w:rPr>
          <w:i/>
          <w:iCs/>
          <w:szCs w:val="24"/>
        </w:rPr>
        <w:t>Health Insurance (Section 3C Diagnostic Imaging Services – Cardiac Services) Determination 2020</w:t>
      </w:r>
      <w:r w:rsidR="00964083">
        <w:rPr>
          <w:i/>
          <w:iCs/>
          <w:szCs w:val="24"/>
        </w:rPr>
        <w:t xml:space="preserve"> </w:t>
      </w:r>
      <w:r w:rsidR="00964083">
        <w:rPr>
          <w:iCs/>
          <w:szCs w:val="24"/>
        </w:rPr>
        <w:t xml:space="preserve">(Principal DIST Determination) and the </w:t>
      </w:r>
      <w:r w:rsidR="00964083" w:rsidRPr="00964083">
        <w:rPr>
          <w:i/>
          <w:iCs/>
          <w:szCs w:val="24"/>
        </w:rPr>
        <w:t>Health Insurance (Section 3C General Medical Services – Cardiac Services) Determination 2020</w:t>
      </w:r>
      <w:r w:rsidR="00964083">
        <w:rPr>
          <w:i/>
          <w:iCs/>
          <w:szCs w:val="24"/>
        </w:rPr>
        <w:t xml:space="preserve"> </w:t>
      </w:r>
      <w:r w:rsidR="00964083">
        <w:rPr>
          <w:iCs/>
          <w:szCs w:val="24"/>
        </w:rPr>
        <w:t>(Principal GMST Determination)</w:t>
      </w:r>
      <w:r w:rsidR="001A328B">
        <w:rPr>
          <w:iCs/>
          <w:szCs w:val="24"/>
        </w:rPr>
        <w:t xml:space="preserve">. The Determination will </w:t>
      </w:r>
      <w:r w:rsidR="00964083">
        <w:rPr>
          <w:iCs/>
          <w:szCs w:val="24"/>
        </w:rPr>
        <w:t xml:space="preserve">amend </w:t>
      </w:r>
      <w:r w:rsidR="001A328B">
        <w:rPr>
          <w:iCs/>
          <w:szCs w:val="24"/>
        </w:rPr>
        <w:t xml:space="preserve">some </w:t>
      </w:r>
      <w:r w:rsidR="00964083">
        <w:rPr>
          <w:iCs/>
          <w:szCs w:val="24"/>
        </w:rPr>
        <w:t xml:space="preserve">existing </w:t>
      </w:r>
      <w:r w:rsidR="001A328B">
        <w:rPr>
          <w:iCs/>
          <w:szCs w:val="24"/>
        </w:rPr>
        <w:t xml:space="preserve">cardiac </w:t>
      </w:r>
      <w:r w:rsidR="00964083">
        <w:rPr>
          <w:iCs/>
          <w:szCs w:val="24"/>
        </w:rPr>
        <w:t xml:space="preserve">items </w:t>
      </w:r>
      <w:r w:rsidR="001A328B">
        <w:rPr>
          <w:iCs/>
          <w:szCs w:val="24"/>
        </w:rPr>
        <w:t xml:space="preserve">to clarify the intent and will </w:t>
      </w:r>
      <w:r w:rsidR="00964083">
        <w:rPr>
          <w:iCs/>
          <w:szCs w:val="24"/>
        </w:rPr>
        <w:t xml:space="preserve">list </w:t>
      </w:r>
      <w:r w:rsidR="001A328B">
        <w:rPr>
          <w:iCs/>
          <w:szCs w:val="24"/>
        </w:rPr>
        <w:t xml:space="preserve">six </w:t>
      </w:r>
      <w:r w:rsidR="00964083">
        <w:rPr>
          <w:iCs/>
          <w:szCs w:val="24"/>
        </w:rPr>
        <w:t>new items for cardiac services.</w:t>
      </w:r>
    </w:p>
    <w:p w14:paraId="10748EF3" w14:textId="77777777" w:rsidR="00227BB1" w:rsidRDefault="00227BB1" w:rsidP="00687D0A">
      <w:pPr>
        <w:rPr>
          <w:iCs/>
          <w:szCs w:val="24"/>
        </w:rPr>
      </w:pPr>
    </w:p>
    <w:p w14:paraId="3FA08AC5" w14:textId="6599BE61" w:rsidR="00687D0A" w:rsidRDefault="00C231A3" w:rsidP="00687D0A">
      <w:pPr>
        <w:rPr>
          <w:iCs/>
          <w:szCs w:val="24"/>
        </w:rPr>
      </w:pPr>
      <w:r w:rsidRPr="00C231A3">
        <w:rPr>
          <w:iCs/>
          <w:szCs w:val="24"/>
        </w:rPr>
        <w:t xml:space="preserve">In the 2018-19 Mid-Year Economic and Fiscal Outlook (MYEFO) under the </w:t>
      </w:r>
      <w:r w:rsidRPr="00C231A3">
        <w:rPr>
          <w:i/>
          <w:iCs/>
          <w:szCs w:val="24"/>
        </w:rPr>
        <w:t>Guaranteeing Medicare – strengthening primary care</w:t>
      </w:r>
      <w:r w:rsidRPr="00C231A3">
        <w:rPr>
          <w:iCs/>
          <w:szCs w:val="24"/>
        </w:rPr>
        <w:t xml:space="preserve"> measure, the Government agreed to </w:t>
      </w:r>
      <w:r w:rsidR="00B80FA2">
        <w:rPr>
          <w:iCs/>
          <w:szCs w:val="24"/>
        </w:rPr>
        <w:t>some</w:t>
      </w:r>
      <w:r w:rsidRPr="00C231A3">
        <w:rPr>
          <w:iCs/>
          <w:szCs w:val="24"/>
        </w:rPr>
        <w:t xml:space="preserve"> recommendations made by the clinician-led M</w:t>
      </w:r>
      <w:r w:rsidR="00B80FA2">
        <w:rPr>
          <w:iCs/>
          <w:szCs w:val="24"/>
        </w:rPr>
        <w:t xml:space="preserve">edicare </w:t>
      </w:r>
      <w:r w:rsidRPr="00C231A3">
        <w:rPr>
          <w:iCs/>
          <w:szCs w:val="24"/>
        </w:rPr>
        <w:t>B</w:t>
      </w:r>
      <w:r w:rsidR="00B80FA2">
        <w:rPr>
          <w:iCs/>
          <w:szCs w:val="24"/>
        </w:rPr>
        <w:t xml:space="preserve">enefits </w:t>
      </w:r>
      <w:r w:rsidR="00B80FA2" w:rsidRPr="00C231A3">
        <w:rPr>
          <w:iCs/>
          <w:szCs w:val="24"/>
        </w:rPr>
        <w:t>S</w:t>
      </w:r>
      <w:r w:rsidR="00B80FA2">
        <w:rPr>
          <w:iCs/>
          <w:szCs w:val="24"/>
        </w:rPr>
        <w:t>chedule</w:t>
      </w:r>
      <w:r w:rsidRPr="00C231A3">
        <w:rPr>
          <w:iCs/>
          <w:szCs w:val="24"/>
        </w:rPr>
        <w:t xml:space="preserve"> Review Taskforce (the Taskforce) to cardiac services.</w:t>
      </w:r>
    </w:p>
    <w:p w14:paraId="7C45B055" w14:textId="23A97ACD" w:rsidR="00227BB1" w:rsidRDefault="00227BB1" w:rsidP="00687D0A">
      <w:pPr>
        <w:rPr>
          <w:iCs/>
          <w:szCs w:val="24"/>
        </w:rPr>
      </w:pPr>
    </w:p>
    <w:p w14:paraId="37D8D16E" w14:textId="7619DD2C" w:rsidR="00227BB1" w:rsidRDefault="00227BB1" w:rsidP="00687D0A">
      <w:pPr>
        <w:rPr>
          <w:iCs/>
          <w:szCs w:val="24"/>
        </w:rPr>
      </w:pPr>
      <w:r>
        <w:rPr>
          <w:iCs/>
          <w:szCs w:val="24"/>
        </w:rPr>
        <w:t xml:space="preserve">On 1 August 2020, the Principal DIST Determination listed 19 new </w:t>
      </w:r>
      <w:r w:rsidRPr="00227BB1">
        <w:rPr>
          <w:iCs/>
          <w:szCs w:val="24"/>
        </w:rPr>
        <w:t>items for cardiac diagnostic imaging services</w:t>
      </w:r>
      <w:r>
        <w:rPr>
          <w:iCs/>
          <w:szCs w:val="24"/>
        </w:rPr>
        <w:t xml:space="preserve">, and the Principal GMST Determination listed </w:t>
      </w:r>
      <w:r w:rsidR="00B80FA2">
        <w:rPr>
          <w:iCs/>
          <w:szCs w:val="24"/>
        </w:rPr>
        <w:t xml:space="preserve">ten </w:t>
      </w:r>
      <w:r>
        <w:rPr>
          <w:iCs/>
          <w:szCs w:val="24"/>
        </w:rPr>
        <w:t xml:space="preserve">new items for </w:t>
      </w:r>
      <w:r w:rsidRPr="00227BB1">
        <w:rPr>
          <w:iCs/>
          <w:szCs w:val="24"/>
        </w:rPr>
        <w:t>cardiac investigation services</w:t>
      </w:r>
      <w:r>
        <w:rPr>
          <w:iCs/>
          <w:szCs w:val="24"/>
        </w:rPr>
        <w:t>.</w:t>
      </w:r>
    </w:p>
    <w:p w14:paraId="045CD557" w14:textId="1BAF4BB4" w:rsidR="00227BB1" w:rsidRDefault="00227BB1" w:rsidP="00687D0A">
      <w:pPr>
        <w:rPr>
          <w:iCs/>
          <w:szCs w:val="24"/>
        </w:rPr>
      </w:pPr>
    </w:p>
    <w:p w14:paraId="60F99E83" w14:textId="45A869F3" w:rsidR="00606339" w:rsidRPr="00606339" w:rsidRDefault="00790F8B" w:rsidP="00687D0A">
      <w:pPr>
        <w:rPr>
          <w:b/>
          <w:i/>
          <w:iCs/>
          <w:szCs w:val="24"/>
        </w:rPr>
      </w:pPr>
      <w:r>
        <w:rPr>
          <w:b/>
          <w:i/>
          <w:iCs/>
          <w:szCs w:val="24"/>
        </w:rPr>
        <w:t>Amendments</w:t>
      </w:r>
      <w:r w:rsidR="00606339" w:rsidRPr="00606339">
        <w:rPr>
          <w:b/>
          <w:i/>
          <w:iCs/>
          <w:szCs w:val="24"/>
        </w:rPr>
        <w:t xml:space="preserve"> made to the Principal DIST Determination</w:t>
      </w:r>
    </w:p>
    <w:p w14:paraId="2810095F" w14:textId="20BC92D7" w:rsidR="00DF2CEB" w:rsidRDefault="00227BB1" w:rsidP="00687D0A">
      <w:pPr>
        <w:rPr>
          <w:iCs/>
          <w:szCs w:val="24"/>
        </w:rPr>
      </w:pPr>
      <w:r>
        <w:rPr>
          <w:iCs/>
          <w:szCs w:val="24"/>
        </w:rPr>
        <w:t xml:space="preserve">The Determination will amend the Principal DIST Determination to list </w:t>
      </w:r>
      <w:r w:rsidR="00B80FA2">
        <w:rPr>
          <w:iCs/>
          <w:szCs w:val="24"/>
        </w:rPr>
        <w:t>five</w:t>
      </w:r>
      <w:r w:rsidR="000909E1">
        <w:rPr>
          <w:iCs/>
          <w:szCs w:val="24"/>
        </w:rPr>
        <w:t xml:space="preserve"> </w:t>
      </w:r>
      <w:r>
        <w:rPr>
          <w:iCs/>
          <w:szCs w:val="24"/>
        </w:rPr>
        <w:t xml:space="preserve">new </w:t>
      </w:r>
      <w:r w:rsidRPr="00227BB1">
        <w:rPr>
          <w:iCs/>
          <w:szCs w:val="24"/>
        </w:rPr>
        <w:t>myocardial perfusion stud</w:t>
      </w:r>
      <w:r w:rsidR="00DF2CEB">
        <w:rPr>
          <w:iCs/>
          <w:szCs w:val="24"/>
        </w:rPr>
        <w:t>y</w:t>
      </w:r>
      <w:r w:rsidRPr="00227BB1">
        <w:rPr>
          <w:iCs/>
          <w:szCs w:val="24"/>
        </w:rPr>
        <w:t xml:space="preserve"> (MPS) items </w:t>
      </w:r>
      <w:r>
        <w:rPr>
          <w:iCs/>
          <w:szCs w:val="24"/>
        </w:rPr>
        <w:t>(</w:t>
      </w:r>
      <w:r w:rsidRPr="00227BB1">
        <w:rPr>
          <w:iCs/>
          <w:szCs w:val="24"/>
        </w:rPr>
        <w:t>61394, 61398, 61406, 61410</w:t>
      </w:r>
      <w:r w:rsidR="000909E1">
        <w:rPr>
          <w:iCs/>
          <w:szCs w:val="24"/>
        </w:rPr>
        <w:t xml:space="preserve"> and</w:t>
      </w:r>
      <w:r w:rsidRPr="00227BB1">
        <w:rPr>
          <w:iCs/>
          <w:szCs w:val="24"/>
        </w:rPr>
        <w:t xml:space="preserve"> 61414</w:t>
      </w:r>
      <w:r>
        <w:rPr>
          <w:iCs/>
          <w:szCs w:val="24"/>
        </w:rPr>
        <w:t>)</w:t>
      </w:r>
      <w:r w:rsidR="00DF2CEB">
        <w:rPr>
          <w:iCs/>
          <w:szCs w:val="24"/>
        </w:rPr>
        <w:t xml:space="preserve">. </w:t>
      </w:r>
      <w:r w:rsidR="00345BDA">
        <w:rPr>
          <w:iCs/>
          <w:szCs w:val="24"/>
        </w:rPr>
        <w:t>The n</w:t>
      </w:r>
      <w:r w:rsidR="00DF2CEB">
        <w:rPr>
          <w:iCs/>
          <w:szCs w:val="24"/>
        </w:rPr>
        <w:t xml:space="preserve">ew items will </w:t>
      </w:r>
      <w:r w:rsidR="00790F8B" w:rsidRPr="00790F8B">
        <w:rPr>
          <w:iCs/>
          <w:szCs w:val="24"/>
        </w:rPr>
        <w:t xml:space="preserve">allow patients to access MPS services where stress echocardiography services </w:t>
      </w:r>
      <w:r w:rsidR="00AB1897">
        <w:rPr>
          <w:iCs/>
          <w:szCs w:val="24"/>
        </w:rPr>
        <w:t>are not readily available</w:t>
      </w:r>
      <w:r w:rsidR="00790F8B">
        <w:rPr>
          <w:iCs/>
          <w:szCs w:val="24"/>
        </w:rPr>
        <w:t>.</w:t>
      </w:r>
      <w:r w:rsidR="00A00280">
        <w:rPr>
          <w:iCs/>
          <w:szCs w:val="24"/>
        </w:rPr>
        <w:t xml:space="preserve"> The new </w:t>
      </w:r>
      <w:r w:rsidR="00FC3E5C" w:rsidRPr="00FC3E5C">
        <w:rPr>
          <w:iCs/>
          <w:szCs w:val="24"/>
        </w:rPr>
        <w:t>services will benefit patients who live in rural or remote areas</w:t>
      </w:r>
      <w:r w:rsidR="00AB1897">
        <w:rPr>
          <w:iCs/>
          <w:szCs w:val="24"/>
        </w:rPr>
        <w:t xml:space="preserve"> (as defined by </w:t>
      </w:r>
      <w:r w:rsidR="00AB1897">
        <w:rPr>
          <w:iCs/>
          <w:szCs w:val="24"/>
        </w:rPr>
        <w:lastRenderedPageBreak/>
        <w:t>Modified Monash 3 to 7 areas)</w:t>
      </w:r>
      <w:r w:rsidR="00FC3E5C" w:rsidRPr="00FC3E5C">
        <w:rPr>
          <w:iCs/>
          <w:szCs w:val="24"/>
        </w:rPr>
        <w:t xml:space="preserve"> and who are unable to access </w:t>
      </w:r>
      <w:r w:rsidR="00272B74">
        <w:rPr>
          <w:iCs/>
          <w:szCs w:val="24"/>
        </w:rPr>
        <w:t xml:space="preserve">a </w:t>
      </w:r>
      <w:r w:rsidR="00FC3E5C" w:rsidRPr="00FC3E5C">
        <w:rPr>
          <w:iCs/>
          <w:szCs w:val="24"/>
        </w:rPr>
        <w:t>stress echocardiography service</w:t>
      </w:r>
      <w:r w:rsidR="006A766C">
        <w:rPr>
          <w:iCs/>
          <w:szCs w:val="24"/>
        </w:rPr>
        <w:t xml:space="preserve"> as the first line investigation</w:t>
      </w:r>
      <w:r w:rsidR="00FC3E5C" w:rsidRPr="00FC3E5C">
        <w:rPr>
          <w:iCs/>
          <w:szCs w:val="24"/>
        </w:rPr>
        <w:t>.</w:t>
      </w:r>
      <w:r w:rsidR="00FC3E5C">
        <w:rPr>
          <w:iCs/>
          <w:szCs w:val="24"/>
        </w:rPr>
        <w:t xml:space="preserve"> </w:t>
      </w:r>
    </w:p>
    <w:p w14:paraId="4BD2C2C3" w14:textId="77777777" w:rsidR="00790F8B" w:rsidRDefault="00790F8B" w:rsidP="00687D0A">
      <w:pPr>
        <w:rPr>
          <w:iCs/>
          <w:szCs w:val="24"/>
        </w:rPr>
      </w:pPr>
    </w:p>
    <w:p w14:paraId="62977EE4" w14:textId="3AE3CFD4" w:rsidR="00272B74" w:rsidRDefault="00272B74" w:rsidP="00687D0A">
      <w:pPr>
        <w:rPr>
          <w:iCs/>
          <w:szCs w:val="24"/>
        </w:rPr>
      </w:pPr>
      <w:r>
        <w:rPr>
          <w:iCs/>
          <w:szCs w:val="24"/>
        </w:rPr>
        <w:t>The Determination will also amend existing</w:t>
      </w:r>
      <w:r w:rsidR="00C023A0">
        <w:rPr>
          <w:iCs/>
          <w:szCs w:val="24"/>
        </w:rPr>
        <w:t xml:space="preserve"> </w:t>
      </w:r>
      <w:r w:rsidR="00C023A0" w:rsidRPr="00C023A0">
        <w:rPr>
          <w:iCs/>
          <w:szCs w:val="24"/>
        </w:rPr>
        <w:t>cardiac diagnostic imaging</w:t>
      </w:r>
      <w:r>
        <w:rPr>
          <w:iCs/>
          <w:szCs w:val="24"/>
        </w:rPr>
        <w:t xml:space="preserve"> items </w:t>
      </w:r>
      <w:r w:rsidR="00C023A0" w:rsidRPr="00C023A0">
        <w:rPr>
          <w:iCs/>
          <w:szCs w:val="24"/>
        </w:rPr>
        <w:t>to clarify that the provision of the service can include planar imaging, as opposed to the requirement that planar imaging must be provided.</w:t>
      </w:r>
      <w:r w:rsidR="00C023A0">
        <w:rPr>
          <w:iCs/>
          <w:szCs w:val="24"/>
        </w:rPr>
        <w:t xml:space="preserve"> Co-claiming restrictions against the new items will be added.</w:t>
      </w:r>
    </w:p>
    <w:p w14:paraId="50A8CA70" w14:textId="135493B7" w:rsidR="00C023A0" w:rsidRDefault="00C023A0" w:rsidP="00687D0A">
      <w:pPr>
        <w:rPr>
          <w:iCs/>
          <w:szCs w:val="24"/>
        </w:rPr>
      </w:pPr>
    </w:p>
    <w:p w14:paraId="3522AD2F" w14:textId="678676B1" w:rsidR="00790F8B" w:rsidRPr="00606339" w:rsidRDefault="00790F8B" w:rsidP="00790F8B">
      <w:pPr>
        <w:rPr>
          <w:b/>
          <w:i/>
          <w:iCs/>
          <w:szCs w:val="24"/>
        </w:rPr>
      </w:pPr>
      <w:r>
        <w:rPr>
          <w:b/>
          <w:i/>
          <w:iCs/>
          <w:szCs w:val="24"/>
        </w:rPr>
        <w:t>Amendments</w:t>
      </w:r>
      <w:r w:rsidRPr="00606339">
        <w:rPr>
          <w:b/>
          <w:i/>
          <w:iCs/>
          <w:szCs w:val="24"/>
        </w:rPr>
        <w:t xml:space="preserve"> made to the Principal </w:t>
      </w:r>
      <w:r>
        <w:rPr>
          <w:b/>
          <w:i/>
          <w:iCs/>
          <w:szCs w:val="24"/>
        </w:rPr>
        <w:t>GMST</w:t>
      </w:r>
      <w:r w:rsidRPr="00606339">
        <w:rPr>
          <w:b/>
          <w:i/>
          <w:iCs/>
          <w:szCs w:val="24"/>
        </w:rPr>
        <w:t xml:space="preserve"> Determination</w:t>
      </w:r>
    </w:p>
    <w:p w14:paraId="2EB38E86" w14:textId="026B4769" w:rsidR="00C023A0" w:rsidRDefault="00C023A0" w:rsidP="00687D0A">
      <w:pPr>
        <w:rPr>
          <w:iCs/>
          <w:szCs w:val="24"/>
        </w:rPr>
      </w:pPr>
      <w:r w:rsidRPr="00C023A0">
        <w:rPr>
          <w:iCs/>
          <w:szCs w:val="24"/>
        </w:rPr>
        <w:t xml:space="preserve">The Determination will amend the Principal </w:t>
      </w:r>
      <w:r>
        <w:rPr>
          <w:iCs/>
          <w:szCs w:val="24"/>
        </w:rPr>
        <w:t>GMST</w:t>
      </w:r>
      <w:r w:rsidRPr="00C023A0">
        <w:rPr>
          <w:iCs/>
          <w:szCs w:val="24"/>
        </w:rPr>
        <w:t xml:space="preserve"> Determination</w:t>
      </w:r>
      <w:r>
        <w:rPr>
          <w:iCs/>
          <w:szCs w:val="24"/>
        </w:rPr>
        <w:t xml:space="preserve"> to list one new item 11735 for </w:t>
      </w:r>
      <w:r w:rsidRPr="00C023A0">
        <w:rPr>
          <w:iCs/>
          <w:szCs w:val="24"/>
        </w:rPr>
        <w:t>continuous electrocardiogram monitoring</w:t>
      </w:r>
      <w:r>
        <w:rPr>
          <w:iCs/>
          <w:szCs w:val="24"/>
        </w:rPr>
        <w:t xml:space="preserve"> and to amend existing items to include co-claiming restrictions.</w:t>
      </w:r>
    </w:p>
    <w:p w14:paraId="128B8659" w14:textId="5B85241C" w:rsidR="00C023A0" w:rsidRDefault="00C023A0" w:rsidP="00687D0A">
      <w:pPr>
        <w:rPr>
          <w:iCs/>
          <w:szCs w:val="24"/>
        </w:rPr>
      </w:pPr>
    </w:p>
    <w:p w14:paraId="05515210" w14:textId="728AEAFD" w:rsidR="00C231A3" w:rsidRDefault="00C023A0" w:rsidP="00687D0A">
      <w:pPr>
        <w:rPr>
          <w:b/>
          <w:i/>
          <w:iCs/>
          <w:szCs w:val="24"/>
        </w:rPr>
      </w:pPr>
      <w:r>
        <w:rPr>
          <w:iCs/>
          <w:szCs w:val="24"/>
        </w:rPr>
        <w:t xml:space="preserve">New item 11735 </w:t>
      </w:r>
      <w:r w:rsidRPr="00C023A0">
        <w:rPr>
          <w:iCs/>
          <w:szCs w:val="24"/>
        </w:rPr>
        <w:t xml:space="preserve">is for continuous electrocardiogram recording of an ambulatory patient for </w:t>
      </w:r>
      <w:r w:rsidR="00B80FA2">
        <w:rPr>
          <w:iCs/>
          <w:szCs w:val="24"/>
        </w:rPr>
        <w:t>seven</w:t>
      </w:r>
      <w:r w:rsidRPr="00C023A0">
        <w:rPr>
          <w:iCs/>
          <w:szCs w:val="24"/>
        </w:rPr>
        <w:t xml:space="preserve"> days utilising intelligent microprocessor</w:t>
      </w:r>
      <w:r w:rsidR="00B80FA2">
        <w:rPr>
          <w:iCs/>
          <w:szCs w:val="24"/>
        </w:rPr>
        <w:t>-</w:t>
      </w:r>
      <w:r w:rsidRPr="00C023A0">
        <w:rPr>
          <w:iCs/>
          <w:szCs w:val="24"/>
        </w:rPr>
        <w:t>based monitoring.</w:t>
      </w:r>
      <w:r>
        <w:rPr>
          <w:iCs/>
          <w:szCs w:val="24"/>
        </w:rPr>
        <w:t xml:space="preserve"> This service will provide an additional service </w:t>
      </w:r>
      <w:r w:rsidR="001105E1">
        <w:rPr>
          <w:iCs/>
          <w:szCs w:val="24"/>
        </w:rPr>
        <w:t>using</w:t>
      </w:r>
      <w:r>
        <w:rPr>
          <w:iCs/>
          <w:szCs w:val="24"/>
        </w:rPr>
        <w:t xml:space="preserve"> this technology, </w:t>
      </w:r>
      <w:r w:rsidR="00BD2A97" w:rsidRPr="00BD2A97">
        <w:rPr>
          <w:iCs/>
          <w:szCs w:val="24"/>
        </w:rPr>
        <w:t xml:space="preserve">which can record continuously for up to 30 days if required, thereby </w:t>
      </w:r>
      <w:r w:rsidR="008F6F44">
        <w:rPr>
          <w:iCs/>
          <w:szCs w:val="24"/>
        </w:rPr>
        <w:t xml:space="preserve">providing </w:t>
      </w:r>
      <w:r w:rsidR="00BD2A97">
        <w:rPr>
          <w:iCs/>
          <w:szCs w:val="24"/>
        </w:rPr>
        <w:t>appropriate monitoring and improving</w:t>
      </w:r>
      <w:r>
        <w:rPr>
          <w:iCs/>
          <w:szCs w:val="24"/>
        </w:rPr>
        <w:t xml:space="preserve"> patient care. </w:t>
      </w:r>
    </w:p>
    <w:p w14:paraId="765BFE44" w14:textId="77777777" w:rsidR="00C231A3" w:rsidRDefault="00C231A3" w:rsidP="00687D0A">
      <w:pPr>
        <w:rPr>
          <w:b/>
          <w:i/>
          <w:iCs/>
          <w:szCs w:val="24"/>
        </w:rPr>
      </w:pPr>
    </w:p>
    <w:p w14:paraId="2412D131" w14:textId="508D89E9" w:rsidR="001865F8" w:rsidRDefault="00A1739A" w:rsidP="00E04B6F">
      <w:pPr>
        <w:rPr>
          <w:b/>
        </w:rPr>
      </w:pPr>
      <w:r w:rsidRPr="00A853D1">
        <w:rPr>
          <w:b/>
        </w:rPr>
        <w:t>Consultation</w:t>
      </w:r>
    </w:p>
    <w:p w14:paraId="4AD4D4FE" w14:textId="5665EE49" w:rsidR="00C231A3" w:rsidRPr="00C231A3" w:rsidRDefault="00C231A3" w:rsidP="00C231A3">
      <w:pPr>
        <w:rPr>
          <w:rFonts w:eastAsiaTheme="minorHAnsi"/>
          <w:szCs w:val="24"/>
          <w:lang w:val="en-US" w:eastAsia="en-US"/>
        </w:rPr>
      </w:pPr>
      <w:r w:rsidRPr="00C231A3">
        <w:rPr>
          <w:rFonts w:eastAsiaTheme="minorHAnsi"/>
          <w:szCs w:val="24"/>
          <w:lang w:eastAsia="en-US"/>
        </w:rPr>
        <w:t xml:space="preserve">Consultation was undertaken on the cardiac changes that were recommended by the Taskforce, and announced in the 2018-19 MYEFO under the </w:t>
      </w:r>
      <w:r w:rsidRPr="00C231A3">
        <w:rPr>
          <w:rFonts w:eastAsiaTheme="minorHAnsi"/>
          <w:i/>
          <w:iCs/>
          <w:szCs w:val="24"/>
          <w:lang w:eastAsia="en-US"/>
        </w:rPr>
        <w:t>Guaranteeing Medicare – strengthening primary care</w:t>
      </w:r>
      <w:r w:rsidRPr="00C231A3">
        <w:rPr>
          <w:rFonts w:eastAsiaTheme="minorHAnsi"/>
          <w:szCs w:val="24"/>
          <w:lang w:eastAsia="en-US"/>
        </w:rPr>
        <w:t xml:space="preserve"> measure.</w:t>
      </w:r>
    </w:p>
    <w:p w14:paraId="61FBF561" w14:textId="77777777" w:rsidR="00C231A3" w:rsidRPr="00C231A3" w:rsidRDefault="00C231A3" w:rsidP="00C231A3">
      <w:pPr>
        <w:rPr>
          <w:rFonts w:eastAsiaTheme="minorHAnsi"/>
          <w:szCs w:val="24"/>
          <w:lang w:val="en-US" w:eastAsia="en-US"/>
        </w:rPr>
      </w:pPr>
      <w:r w:rsidRPr="00C231A3">
        <w:rPr>
          <w:rFonts w:eastAsiaTheme="minorHAnsi"/>
          <w:szCs w:val="24"/>
          <w:lang w:eastAsia="en-US"/>
        </w:rPr>
        <w:t> </w:t>
      </w:r>
    </w:p>
    <w:p w14:paraId="1A0173AA" w14:textId="35E22313" w:rsidR="00C231A3" w:rsidRDefault="00C231A3" w:rsidP="00C231A3">
      <w:pPr>
        <w:rPr>
          <w:rFonts w:eastAsiaTheme="minorHAnsi"/>
          <w:szCs w:val="24"/>
          <w:lang w:eastAsia="en-US"/>
        </w:rPr>
      </w:pPr>
      <w:r w:rsidRPr="00C231A3">
        <w:rPr>
          <w:rFonts w:eastAsiaTheme="minorHAnsi"/>
          <w:szCs w:val="24"/>
          <w:lang w:eastAsia="en-US"/>
        </w:rPr>
        <w:t xml:space="preserve">The </w:t>
      </w:r>
      <w:r w:rsidR="00B80FA2">
        <w:rPr>
          <w:rFonts w:eastAsiaTheme="minorHAnsi"/>
          <w:szCs w:val="24"/>
          <w:lang w:eastAsia="en-US"/>
        </w:rPr>
        <w:t xml:space="preserve">Taskforce engaged </w:t>
      </w:r>
      <w:r w:rsidRPr="00C231A3">
        <w:rPr>
          <w:rFonts w:eastAsiaTheme="minorHAnsi"/>
          <w:szCs w:val="24"/>
          <w:lang w:eastAsia="en-US"/>
        </w:rPr>
        <w:t xml:space="preserve">expert committees and working groups focusing on specific areas of </w:t>
      </w:r>
      <w:r w:rsidR="00B80FA2">
        <w:rPr>
          <w:rFonts w:eastAsiaTheme="minorHAnsi"/>
          <w:szCs w:val="24"/>
          <w:lang w:eastAsia="en-US"/>
        </w:rPr>
        <w:t>Medicare</w:t>
      </w:r>
      <w:r w:rsidRPr="00C231A3">
        <w:rPr>
          <w:rFonts w:eastAsiaTheme="minorHAnsi"/>
          <w:szCs w:val="24"/>
          <w:lang w:eastAsia="en-US"/>
        </w:rPr>
        <w:t>. The Cardiac Services Clinical Committee (CSCC) report on changes to cardiac services was released for public comment and further consideration taken based on stakeholder feedback. The CSCC report was then presented to the Taskforce for finalisation and endorsement of the recommendations, before being presented to Government.</w:t>
      </w:r>
    </w:p>
    <w:p w14:paraId="5F751739" w14:textId="7B1408A4" w:rsidR="00BD2A97" w:rsidRDefault="00BD2A97" w:rsidP="00C231A3">
      <w:pPr>
        <w:rPr>
          <w:rFonts w:eastAsiaTheme="minorHAnsi"/>
          <w:szCs w:val="24"/>
          <w:lang w:eastAsia="en-US"/>
        </w:rPr>
      </w:pPr>
    </w:p>
    <w:p w14:paraId="4A9C6946" w14:textId="7F1C6AA7" w:rsidR="00BD2A97" w:rsidRPr="00C231A3" w:rsidRDefault="00BD2A97" w:rsidP="00C231A3">
      <w:pPr>
        <w:rPr>
          <w:rFonts w:eastAsiaTheme="minorHAnsi"/>
          <w:szCs w:val="24"/>
          <w:lang w:val="en-US" w:eastAsia="en-US"/>
        </w:rPr>
      </w:pPr>
      <w:r w:rsidRPr="00BD2A97">
        <w:rPr>
          <w:rFonts w:eastAsiaTheme="minorHAnsi"/>
          <w:szCs w:val="24"/>
          <w:lang w:val="en-US" w:eastAsia="en-US"/>
        </w:rPr>
        <w:t xml:space="preserve">Consultation </w:t>
      </w:r>
      <w:r>
        <w:rPr>
          <w:rFonts w:eastAsiaTheme="minorHAnsi"/>
          <w:szCs w:val="24"/>
          <w:lang w:val="en-US" w:eastAsia="en-US"/>
        </w:rPr>
        <w:t xml:space="preserve">on the changes to the cardiac items which the Determination implements </w:t>
      </w:r>
      <w:r w:rsidRPr="00BD2A97">
        <w:rPr>
          <w:rFonts w:eastAsiaTheme="minorHAnsi"/>
          <w:szCs w:val="24"/>
          <w:lang w:val="en-US" w:eastAsia="en-US"/>
        </w:rPr>
        <w:t xml:space="preserve">was undertaken with the Australian Diagnostic Imaging Association, </w:t>
      </w:r>
      <w:r>
        <w:rPr>
          <w:rFonts w:eastAsiaTheme="minorHAnsi"/>
          <w:szCs w:val="24"/>
          <w:lang w:val="en-US" w:eastAsia="en-US"/>
        </w:rPr>
        <w:t xml:space="preserve">the </w:t>
      </w:r>
      <w:r w:rsidRPr="00BD2A97">
        <w:rPr>
          <w:rFonts w:eastAsiaTheme="minorHAnsi"/>
          <w:szCs w:val="24"/>
          <w:lang w:val="en-US" w:eastAsia="en-US"/>
        </w:rPr>
        <w:t>Australian Association of Nuclear Medicine Specialists and nuclear medicine specialists</w:t>
      </w:r>
      <w:r>
        <w:rPr>
          <w:rFonts w:eastAsiaTheme="minorHAnsi"/>
          <w:szCs w:val="24"/>
          <w:lang w:val="en-US" w:eastAsia="en-US"/>
        </w:rPr>
        <w:t>.</w:t>
      </w:r>
    </w:p>
    <w:p w14:paraId="13D07C42" w14:textId="77777777" w:rsidR="00282B79" w:rsidRDefault="00282B79" w:rsidP="001A5BC0">
      <w:pPr>
        <w:shd w:val="clear" w:color="auto" w:fill="FFFFFF"/>
        <w:rPr>
          <w:color w:val="000000"/>
          <w:szCs w:val="24"/>
        </w:rPr>
      </w:pPr>
    </w:p>
    <w:p w14:paraId="2412D134" w14:textId="49C84D98" w:rsidR="00967E5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7F310E98" w14:textId="70BC4F2F" w:rsidR="007C30F6" w:rsidRDefault="003252BB" w:rsidP="003252BB">
      <w:pPr>
        <w:tabs>
          <w:tab w:val="left" w:pos="567"/>
        </w:tabs>
        <w:spacing w:before="240" w:after="240"/>
        <w:rPr>
          <w:szCs w:val="24"/>
        </w:rPr>
      </w:pPr>
      <w:r>
        <w:rPr>
          <w:szCs w:val="24"/>
        </w:rPr>
        <w:t>The Act specifies no conditions that need to be satisfied before the power to make the Determination may be exercised.</w:t>
      </w:r>
    </w:p>
    <w:p w14:paraId="7F8BAEED" w14:textId="5A6AF503" w:rsidR="004C1122" w:rsidRPr="00E95832" w:rsidRDefault="00297AD0" w:rsidP="00E95832">
      <w:pPr>
        <w:shd w:val="clear" w:color="auto" w:fill="FFFFFF"/>
        <w:rPr>
          <w:color w:val="000000"/>
          <w:szCs w:val="24"/>
        </w:rPr>
      </w:pPr>
      <w:r w:rsidRPr="00E95832">
        <w:rPr>
          <w:color w:val="000000"/>
          <w:szCs w:val="24"/>
        </w:rPr>
        <w:t xml:space="preserve">The </w:t>
      </w:r>
      <w:r w:rsidR="00967E51" w:rsidRPr="00E95832">
        <w:rPr>
          <w:color w:val="000000"/>
          <w:szCs w:val="24"/>
        </w:rPr>
        <w:t>Determination</w:t>
      </w:r>
      <w:r w:rsidRPr="00E95832">
        <w:rPr>
          <w:color w:val="000000"/>
          <w:szCs w:val="24"/>
        </w:rPr>
        <w:t xml:space="preserve"> </w:t>
      </w:r>
      <w:r w:rsidR="007524B0" w:rsidRPr="00FE2800">
        <w:rPr>
          <w:color w:val="000000"/>
          <w:szCs w:val="24"/>
        </w:rPr>
        <w:t>commences</w:t>
      </w:r>
      <w:r w:rsidR="004C1122" w:rsidRPr="00FE2800">
        <w:rPr>
          <w:color w:val="000000"/>
          <w:szCs w:val="24"/>
        </w:rPr>
        <w:t xml:space="preserve"> on </w:t>
      </w:r>
      <w:r w:rsidR="003252BB" w:rsidRPr="00FE2800">
        <w:rPr>
          <w:color w:val="000000"/>
          <w:szCs w:val="24"/>
        </w:rPr>
        <w:t>1</w:t>
      </w:r>
      <w:r w:rsidR="00C231A3">
        <w:rPr>
          <w:color w:val="000000"/>
          <w:szCs w:val="24"/>
        </w:rPr>
        <w:t>5 September</w:t>
      </w:r>
      <w:r w:rsidR="006B5E7C" w:rsidRPr="00FE2800">
        <w:rPr>
          <w:color w:val="000000"/>
          <w:szCs w:val="24"/>
        </w:rPr>
        <w:t xml:space="preserve"> </w:t>
      </w:r>
      <w:r w:rsidR="003252BB" w:rsidRPr="00FE2800">
        <w:rPr>
          <w:color w:val="000000"/>
          <w:szCs w:val="24"/>
        </w:rPr>
        <w:t>2020</w:t>
      </w:r>
      <w:r w:rsidR="006B5E7C" w:rsidRPr="00FE2800">
        <w:rPr>
          <w:color w:val="000000"/>
          <w:szCs w:val="24"/>
        </w:rPr>
        <w:t>.</w:t>
      </w:r>
    </w:p>
    <w:p w14:paraId="490E8A66" w14:textId="77777777" w:rsidR="00E95832" w:rsidRPr="00E95832" w:rsidRDefault="00E95832" w:rsidP="00E95832">
      <w:pPr>
        <w:shd w:val="clear" w:color="auto" w:fill="FFFFFF"/>
        <w:rPr>
          <w:color w:val="000000"/>
          <w:szCs w:val="24"/>
        </w:rPr>
      </w:pPr>
    </w:p>
    <w:p w14:paraId="2412D138" w14:textId="533B92D2" w:rsidR="00574E71" w:rsidRDefault="0002728B" w:rsidP="00E95832">
      <w:pPr>
        <w:shd w:val="clear" w:color="auto" w:fill="FFFFFF"/>
        <w:rPr>
          <w:szCs w:val="24"/>
        </w:rPr>
      </w:pPr>
      <w:r w:rsidRPr="00E95832">
        <w:rPr>
          <w:color w:val="000000"/>
          <w:szCs w:val="24"/>
        </w:rPr>
        <w:t>T</w:t>
      </w:r>
      <w:r w:rsidR="00574E71" w:rsidRPr="00E95832">
        <w:rPr>
          <w:color w:val="000000"/>
          <w:szCs w:val="24"/>
        </w:rPr>
        <w:t>he</w:t>
      </w:r>
      <w:r w:rsidR="00574E71" w:rsidRPr="00A853D1">
        <w:rPr>
          <w:szCs w:val="24"/>
        </w:rPr>
        <w:t xml:space="preserv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F7C70F6" w14:textId="66DA6BB5" w:rsidR="003252BB" w:rsidRPr="00A853D1" w:rsidRDefault="003252BB" w:rsidP="003252BB">
      <w:pPr>
        <w:tabs>
          <w:tab w:val="left" w:pos="567"/>
        </w:tabs>
        <w:spacing w:before="240"/>
        <w:rPr>
          <w:szCs w:val="24"/>
        </w:rPr>
      </w:pPr>
      <w:r>
        <w:rPr>
          <w:szCs w:val="24"/>
        </w:rPr>
        <w:t xml:space="preserve">The Determination is compatible with the human rights and freedoms recognised or declared in the international instruments listed in section 3 of the </w:t>
      </w:r>
      <w:r w:rsidRPr="003F6970">
        <w:rPr>
          <w:i/>
          <w:szCs w:val="24"/>
        </w:rPr>
        <w:t>Human Rights (Parliamentary Scrutiny) Act 2011</w:t>
      </w:r>
      <w:r>
        <w:rPr>
          <w:szCs w:val="24"/>
        </w:rPr>
        <w:t xml:space="preserve"> as set out in the attached Statement of Compatibility with Human Rights. </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proofErr w:type="gramStart"/>
      <w:r w:rsidRPr="00A853D1">
        <w:rPr>
          <w:szCs w:val="24"/>
        </w:rPr>
        <w:t>3</w:t>
      </w:r>
      <w:r w:rsidR="00967E51" w:rsidRPr="00A853D1">
        <w:rPr>
          <w:szCs w:val="24"/>
        </w:rPr>
        <w:t>C</w:t>
      </w:r>
      <w:r w:rsidRPr="00A853D1">
        <w:rPr>
          <w:szCs w:val="24"/>
        </w:rPr>
        <w:t>(</w:t>
      </w:r>
      <w:proofErr w:type="gramEnd"/>
      <w:r w:rsidRPr="00A853D1">
        <w:rPr>
          <w:szCs w:val="24"/>
        </w:rPr>
        <w:t xml:space="preserve">1) of the </w:t>
      </w:r>
    </w:p>
    <w:p w14:paraId="4C9942A6" w14:textId="77777777" w:rsidR="00EB36F2" w:rsidRDefault="00A1739A" w:rsidP="000337CB">
      <w:pPr>
        <w:tabs>
          <w:tab w:val="left" w:pos="4820"/>
        </w:tabs>
        <w:rPr>
          <w:i/>
          <w:szCs w:val="24"/>
        </w:rPr>
        <w:sectPr w:rsidR="00EB36F2" w:rsidSect="00E50EC8">
          <w:headerReference w:type="even" r:id="rId11"/>
          <w:headerReference w:type="default" r:id="rId12"/>
          <w:headerReference w:type="first" r:id="rId13"/>
          <w:pgSz w:w="11906" w:h="16838"/>
          <w:pgMar w:top="1135" w:right="1133" w:bottom="1135" w:left="1440" w:header="720" w:footer="720" w:gutter="0"/>
          <w:paperSrc w:first="7" w:other="7"/>
          <w:pgNumType w:start="1"/>
          <w:cols w:space="720"/>
          <w:titlePg/>
          <w:docGrid w:linePitch="326"/>
        </w:sectPr>
      </w:pPr>
      <w:r w:rsidRPr="00A853D1">
        <w:rPr>
          <w:i/>
          <w:szCs w:val="24"/>
        </w:rPr>
        <w:tab/>
        <w:t>Health Insurance Act 1973</w:t>
      </w:r>
    </w:p>
    <w:p w14:paraId="441C9181" w14:textId="4183083F" w:rsidR="00C67460" w:rsidRPr="009C0610" w:rsidRDefault="00C67460" w:rsidP="00DA0C2F">
      <w:pPr>
        <w:spacing w:after="200" w:line="276" w:lineRule="auto"/>
        <w:jc w:val="right"/>
        <w:rPr>
          <w:b/>
          <w:szCs w:val="24"/>
        </w:rPr>
      </w:pPr>
      <w:r w:rsidRPr="009C0610">
        <w:rPr>
          <w:b/>
          <w:szCs w:val="24"/>
        </w:rPr>
        <w:lastRenderedPageBreak/>
        <w:t>ATTACHMENT</w:t>
      </w:r>
    </w:p>
    <w:p w14:paraId="7C5E231D" w14:textId="10C0083E" w:rsidR="00C67460" w:rsidRPr="00215191" w:rsidRDefault="00C67460" w:rsidP="00695DBD">
      <w:pPr>
        <w:pStyle w:val="BodyText"/>
        <w:rPr>
          <w:i/>
          <w:szCs w:val="24"/>
        </w:rPr>
      </w:pPr>
      <w:r w:rsidRPr="00215191">
        <w:rPr>
          <w:szCs w:val="24"/>
        </w:rPr>
        <w:t xml:space="preserve">Details of the </w:t>
      </w:r>
      <w:r w:rsidR="0089764E" w:rsidRPr="00BC7046">
        <w:rPr>
          <w:i/>
        </w:rPr>
        <w:t xml:space="preserve">Health Insurance Legislation Amendment (Section 3C – </w:t>
      </w:r>
      <w:r w:rsidR="00A33029">
        <w:rPr>
          <w:i/>
        </w:rPr>
        <w:t>Cardiac</w:t>
      </w:r>
      <w:r w:rsidR="0089764E" w:rsidRPr="00BC7046">
        <w:rPr>
          <w:i/>
        </w:rPr>
        <w:t xml:space="preserve"> Services) Determination 2020</w:t>
      </w:r>
    </w:p>
    <w:p w14:paraId="4275FCDB" w14:textId="77777777" w:rsidR="00C67460" w:rsidRPr="00215191" w:rsidRDefault="00C67460" w:rsidP="00C67460">
      <w:pPr>
        <w:pStyle w:val="BodyText"/>
        <w:rPr>
          <w:b w:val="0"/>
          <w:i/>
          <w:szCs w:val="24"/>
        </w:rPr>
      </w:pPr>
    </w:p>
    <w:p w14:paraId="437237FF" w14:textId="19A55500" w:rsidR="00C67460" w:rsidRPr="00215191" w:rsidRDefault="00C67460" w:rsidP="00C67460">
      <w:pPr>
        <w:pStyle w:val="BodyText"/>
        <w:rPr>
          <w:b w:val="0"/>
          <w:szCs w:val="24"/>
          <w:u w:val="single"/>
        </w:rPr>
      </w:pPr>
      <w:r w:rsidRPr="00215191">
        <w:rPr>
          <w:b w:val="0"/>
          <w:szCs w:val="24"/>
          <w:u w:val="single"/>
        </w:rPr>
        <w:t>Section 1 – Name</w:t>
      </w:r>
    </w:p>
    <w:p w14:paraId="0FDB14B2" w14:textId="77777777" w:rsidR="00C67460" w:rsidRPr="00215191" w:rsidRDefault="00C67460" w:rsidP="008861F7">
      <w:pPr>
        <w:pStyle w:val="NoSpacing"/>
      </w:pPr>
    </w:p>
    <w:p w14:paraId="62B5A915" w14:textId="6F18A09F" w:rsidR="00C67460" w:rsidRPr="00695DBD" w:rsidRDefault="008F39B4" w:rsidP="008861F7">
      <w:pPr>
        <w:pStyle w:val="NoSpacing"/>
      </w:pPr>
      <w:r>
        <w:t>Section 1</w:t>
      </w:r>
      <w:r w:rsidR="00C67460" w:rsidRPr="00215191">
        <w:t xml:space="preserve"> provides for the </w:t>
      </w:r>
      <w:r w:rsidR="00890F41" w:rsidRPr="00890F41">
        <w:t>Determination</w:t>
      </w:r>
      <w:r w:rsidR="00890F41" w:rsidRPr="00215191">
        <w:t xml:space="preserve"> </w:t>
      </w:r>
      <w:r w:rsidR="00C67460" w:rsidRPr="00215191">
        <w:t xml:space="preserve">to be referred to as the </w:t>
      </w:r>
      <w:r w:rsidR="00151724" w:rsidRPr="00BC7046">
        <w:rPr>
          <w:i/>
        </w:rPr>
        <w:t xml:space="preserve">Health Insurance Legislation Amendment (Section 3C – </w:t>
      </w:r>
      <w:r w:rsidR="00A33029">
        <w:rPr>
          <w:i/>
        </w:rPr>
        <w:t>Cardiac</w:t>
      </w:r>
      <w:r w:rsidR="00151724" w:rsidRPr="00BC7046">
        <w:rPr>
          <w:i/>
        </w:rPr>
        <w:t xml:space="preserve"> Services) Determination 2020</w:t>
      </w:r>
      <w:r w:rsidR="00151724">
        <w:rPr>
          <w:i/>
        </w:rPr>
        <w:t>.</w:t>
      </w:r>
    </w:p>
    <w:p w14:paraId="6E248236" w14:textId="77777777" w:rsidR="00C67460" w:rsidRPr="00695DBD" w:rsidRDefault="00C67460" w:rsidP="00C67460">
      <w:pPr>
        <w:rPr>
          <w:u w:val="single"/>
        </w:rPr>
      </w:pPr>
    </w:p>
    <w:p w14:paraId="09A44DED" w14:textId="77777777" w:rsidR="00C67460" w:rsidRPr="00215191" w:rsidRDefault="00C67460" w:rsidP="00C67460">
      <w:pPr>
        <w:pStyle w:val="BodyText"/>
        <w:rPr>
          <w:b w:val="0"/>
          <w:szCs w:val="24"/>
          <w:u w:val="single"/>
        </w:rPr>
      </w:pPr>
      <w:r w:rsidRPr="00215191">
        <w:rPr>
          <w:b w:val="0"/>
          <w:szCs w:val="24"/>
          <w:u w:val="single"/>
        </w:rPr>
        <w:t xml:space="preserve">Section 2 – Commencement </w:t>
      </w:r>
    </w:p>
    <w:p w14:paraId="7F4E3DC2" w14:textId="77777777" w:rsidR="00C67460" w:rsidRPr="00215191" w:rsidRDefault="00C67460" w:rsidP="00C67460">
      <w:pPr>
        <w:pStyle w:val="BodyText"/>
        <w:rPr>
          <w:b w:val="0"/>
          <w:szCs w:val="24"/>
          <w:u w:val="single"/>
        </w:rPr>
      </w:pPr>
    </w:p>
    <w:p w14:paraId="2FEC2A64" w14:textId="48A10ECA" w:rsidR="00C67460" w:rsidRPr="00215191" w:rsidRDefault="00C67460" w:rsidP="004C37D3">
      <w:pPr>
        <w:pStyle w:val="BodyText"/>
        <w:rPr>
          <w:b w:val="0"/>
          <w:szCs w:val="24"/>
        </w:rPr>
      </w:pPr>
      <w:r w:rsidRPr="00215191">
        <w:rPr>
          <w:b w:val="0"/>
          <w:szCs w:val="24"/>
        </w:rPr>
        <w:t xml:space="preserve">Section 2 provides that the </w:t>
      </w:r>
      <w:r w:rsidR="00890F41">
        <w:rPr>
          <w:b w:val="0"/>
          <w:szCs w:val="24"/>
        </w:rPr>
        <w:t>Determination</w:t>
      </w:r>
      <w:r w:rsidRPr="00215191">
        <w:rPr>
          <w:b w:val="0"/>
          <w:szCs w:val="24"/>
        </w:rPr>
        <w:t xml:space="preserve"> </w:t>
      </w:r>
      <w:r w:rsidRPr="00FE2800">
        <w:rPr>
          <w:b w:val="0"/>
          <w:szCs w:val="24"/>
        </w:rPr>
        <w:t>commences</w:t>
      </w:r>
      <w:r w:rsidRPr="00FE2800">
        <w:t xml:space="preserve"> </w:t>
      </w:r>
      <w:r w:rsidRPr="00FE2800">
        <w:rPr>
          <w:b w:val="0"/>
          <w:szCs w:val="24"/>
        </w:rPr>
        <w:t xml:space="preserve">on </w:t>
      </w:r>
      <w:r w:rsidR="004C37D3" w:rsidRPr="00FE2800">
        <w:rPr>
          <w:b w:val="0"/>
          <w:szCs w:val="24"/>
        </w:rPr>
        <w:t>1</w:t>
      </w:r>
      <w:r w:rsidR="00A33029">
        <w:rPr>
          <w:b w:val="0"/>
          <w:szCs w:val="24"/>
        </w:rPr>
        <w:t>5 September</w:t>
      </w:r>
      <w:r w:rsidR="003252BB" w:rsidRPr="00FE2800">
        <w:rPr>
          <w:b w:val="0"/>
          <w:szCs w:val="24"/>
        </w:rPr>
        <w:t xml:space="preserve"> 2020</w:t>
      </w:r>
      <w:r w:rsidR="004C37D3" w:rsidRPr="00FE2800">
        <w:rPr>
          <w:b w:val="0"/>
          <w:szCs w:val="24"/>
        </w:rPr>
        <w:t>.</w:t>
      </w:r>
      <w:r w:rsidR="004C37D3">
        <w:rPr>
          <w:b w:val="0"/>
          <w:szCs w:val="24"/>
        </w:rPr>
        <w:t xml:space="preserve">  </w:t>
      </w:r>
    </w:p>
    <w:p w14:paraId="12230BE2" w14:textId="77777777" w:rsidR="00C67460" w:rsidRPr="00215191" w:rsidRDefault="00C67460" w:rsidP="00C67460">
      <w:pPr>
        <w:pStyle w:val="BodyText"/>
        <w:rPr>
          <w:b w:val="0"/>
          <w:szCs w:val="24"/>
        </w:rPr>
      </w:pPr>
    </w:p>
    <w:p w14:paraId="658B9080" w14:textId="77777777" w:rsidR="00C67460" w:rsidRPr="00215191" w:rsidRDefault="00C67460" w:rsidP="00C67460">
      <w:pPr>
        <w:pStyle w:val="BodyText"/>
        <w:rPr>
          <w:b w:val="0"/>
          <w:szCs w:val="24"/>
          <w:u w:val="single"/>
        </w:rPr>
      </w:pPr>
      <w:r w:rsidRPr="00215191">
        <w:rPr>
          <w:b w:val="0"/>
          <w:szCs w:val="24"/>
          <w:u w:val="single"/>
        </w:rPr>
        <w:t>Section 3 – Authority</w:t>
      </w:r>
    </w:p>
    <w:p w14:paraId="36336F91" w14:textId="77777777" w:rsidR="00C67460" w:rsidRPr="00215191" w:rsidRDefault="00C67460" w:rsidP="00C67460">
      <w:pPr>
        <w:pStyle w:val="BodyText"/>
        <w:rPr>
          <w:b w:val="0"/>
          <w:szCs w:val="24"/>
          <w:u w:val="single"/>
        </w:rPr>
      </w:pPr>
    </w:p>
    <w:p w14:paraId="6E4BEB2F" w14:textId="7E0491DB" w:rsidR="00C67460" w:rsidRPr="00215191" w:rsidRDefault="00C67460" w:rsidP="00C67460">
      <w:pPr>
        <w:pStyle w:val="BodyText"/>
        <w:rPr>
          <w:b w:val="0"/>
        </w:rPr>
      </w:pPr>
      <w:r w:rsidRPr="00215191">
        <w:rPr>
          <w:b w:val="0"/>
        </w:rPr>
        <w:t xml:space="preserve">Section 3 provides that the </w:t>
      </w:r>
      <w:r w:rsidR="00890F41">
        <w:rPr>
          <w:b w:val="0"/>
          <w:szCs w:val="24"/>
        </w:rPr>
        <w:t>Determination</w:t>
      </w:r>
      <w:r w:rsidR="00890F41" w:rsidRPr="00215191">
        <w:rPr>
          <w:b w:val="0"/>
          <w:szCs w:val="24"/>
        </w:rPr>
        <w:t xml:space="preserve"> </w:t>
      </w:r>
      <w:r w:rsidRPr="00215191">
        <w:rPr>
          <w:b w:val="0"/>
        </w:rPr>
        <w:t xml:space="preserve">is made under subsection </w:t>
      </w:r>
      <w:proofErr w:type="gramStart"/>
      <w:r w:rsidRPr="00215191">
        <w:rPr>
          <w:b w:val="0"/>
        </w:rPr>
        <w:t>3C(</w:t>
      </w:r>
      <w:proofErr w:type="gramEnd"/>
      <w:r w:rsidRPr="00215191">
        <w:rPr>
          <w:b w:val="0"/>
        </w:rPr>
        <w:t xml:space="preserve">1) of the </w:t>
      </w:r>
      <w:r w:rsidRPr="00215191">
        <w:rPr>
          <w:b w:val="0"/>
          <w:i/>
        </w:rPr>
        <w:t>Health Insurance Act 1973</w:t>
      </w:r>
      <w:r w:rsidRPr="00215191">
        <w:rPr>
          <w:b w:val="0"/>
        </w:rPr>
        <w:t>.</w:t>
      </w:r>
    </w:p>
    <w:p w14:paraId="718A5E49" w14:textId="77777777" w:rsidR="00C67460" w:rsidRPr="00215191" w:rsidRDefault="00C67460" w:rsidP="00C67460">
      <w:pPr>
        <w:pStyle w:val="BodyText"/>
        <w:rPr>
          <w:b w:val="0"/>
        </w:rPr>
      </w:pPr>
    </w:p>
    <w:p w14:paraId="2DD1D35A" w14:textId="088225A4" w:rsidR="00C67460" w:rsidRPr="00215191" w:rsidRDefault="00C67460" w:rsidP="00C67460">
      <w:pPr>
        <w:pStyle w:val="BodyText"/>
        <w:rPr>
          <w:b w:val="0"/>
          <w:szCs w:val="24"/>
          <w:u w:val="single"/>
        </w:rPr>
      </w:pPr>
      <w:r w:rsidRPr="00215191">
        <w:rPr>
          <w:b w:val="0"/>
          <w:szCs w:val="24"/>
          <w:u w:val="single"/>
        </w:rPr>
        <w:t xml:space="preserve">Section </w:t>
      </w:r>
      <w:r w:rsidR="002B5085">
        <w:rPr>
          <w:b w:val="0"/>
          <w:szCs w:val="24"/>
          <w:u w:val="single"/>
        </w:rPr>
        <w:t>4</w:t>
      </w:r>
      <w:r w:rsidRPr="00215191">
        <w:rPr>
          <w:b w:val="0"/>
          <w:szCs w:val="24"/>
          <w:u w:val="single"/>
        </w:rPr>
        <w:t xml:space="preserve"> – </w:t>
      </w:r>
      <w:r w:rsidR="008A256F">
        <w:rPr>
          <w:b w:val="0"/>
          <w:szCs w:val="24"/>
          <w:u w:val="single"/>
        </w:rPr>
        <w:t>Schedule</w:t>
      </w:r>
      <w:r w:rsidR="0012120D">
        <w:rPr>
          <w:b w:val="0"/>
          <w:szCs w:val="24"/>
          <w:u w:val="single"/>
        </w:rPr>
        <w:t>s</w:t>
      </w:r>
    </w:p>
    <w:p w14:paraId="65A5FA9C" w14:textId="77777777" w:rsidR="00C67460" w:rsidRPr="00215191" w:rsidRDefault="00C67460" w:rsidP="00C67460">
      <w:pPr>
        <w:pStyle w:val="BodyText"/>
        <w:rPr>
          <w:b w:val="0"/>
          <w:szCs w:val="24"/>
          <w:u w:val="single"/>
        </w:rPr>
      </w:pPr>
    </w:p>
    <w:p w14:paraId="28051AD7" w14:textId="77777777" w:rsidR="008A256F" w:rsidRDefault="008A256F" w:rsidP="0089764E">
      <w:pPr>
        <w:pStyle w:val="BodyText"/>
        <w:rPr>
          <w:b w:val="0"/>
        </w:rPr>
      </w:pPr>
      <w:r>
        <w:rPr>
          <w:b w:val="0"/>
          <w:szCs w:val="24"/>
        </w:rPr>
        <w:t>Section 4</w:t>
      </w:r>
      <w:r w:rsidRPr="00215191">
        <w:rPr>
          <w:b w:val="0"/>
          <w:szCs w:val="24"/>
        </w:rPr>
        <w:t xml:space="preserve"> </w:t>
      </w:r>
      <w:r>
        <w:rPr>
          <w:b w:val="0"/>
          <w:szCs w:val="24"/>
        </w:rPr>
        <w:t xml:space="preserve">provides that </w:t>
      </w:r>
      <w:r w:rsidRPr="008C4CAD">
        <w:rPr>
          <w:b w:val="0"/>
        </w:rPr>
        <w:t>each instrument that is s</w:t>
      </w:r>
      <w:r>
        <w:rPr>
          <w:b w:val="0"/>
        </w:rPr>
        <w:t>pecified in a Schedule to this Determination</w:t>
      </w:r>
      <w:r w:rsidRPr="008C4CAD">
        <w:rPr>
          <w:b w:val="0"/>
        </w:rPr>
        <w:t xml:space="preserve"> is amended or repealed as set out in the applicable items in the Schedule concerned, and any ot</w:t>
      </w:r>
      <w:r>
        <w:rPr>
          <w:b w:val="0"/>
        </w:rPr>
        <w:t>her item in a Schedule to this Determination</w:t>
      </w:r>
      <w:r w:rsidRPr="008C4CAD">
        <w:rPr>
          <w:b w:val="0"/>
        </w:rPr>
        <w:t xml:space="preserve"> has effect according to its terms.</w:t>
      </w:r>
    </w:p>
    <w:p w14:paraId="41B34056" w14:textId="77777777" w:rsidR="0089764E" w:rsidRDefault="0089764E" w:rsidP="0089764E">
      <w:pPr>
        <w:rPr>
          <w:szCs w:val="24"/>
          <w:u w:val="single"/>
        </w:rPr>
      </w:pPr>
    </w:p>
    <w:p w14:paraId="5DFB26DF" w14:textId="14DDF1E2" w:rsidR="00151724" w:rsidRDefault="00BE5947" w:rsidP="0089764E">
      <w:pPr>
        <w:rPr>
          <w:i/>
        </w:rPr>
      </w:pPr>
      <w:r w:rsidRPr="005B5F95">
        <w:rPr>
          <w:szCs w:val="24"/>
          <w:u w:val="single"/>
        </w:rPr>
        <w:t>Schedule</w:t>
      </w:r>
      <w:r w:rsidR="00B85F0D" w:rsidRPr="005B5F95">
        <w:rPr>
          <w:szCs w:val="24"/>
          <w:u w:val="single"/>
        </w:rPr>
        <w:t xml:space="preserve"> 1</w:t>
      </w:r>
      <w:r w:rsidR="002F3C7E">
        <w:rPr>
          <w:szCs w:val="24"/>
          <w:u w:val="single"/>
        </w:rPr>
        <w:t xml:space="preserve"> – </w:t>
      </w:r>
      <w:r w:rsidR="0012120D">
        <w:rPr>
          <w:szCs w:val="24"/>
          <w:u w:val="single"/>
        </w:rPr>
        <w:t>Amendments</w:t>
      </w:r>
      <w:r w:rsidR="0012120D">
        <w:rPr>
          <w:i/>
          <w:szCs w:val="24"/>
          <w:u w:val="single"/>
        </w:rPr>
        <w:br/>
      </w:r>
      <w:r w:rsidR="0012120D">
        <w:rPr>
          <w:i/>
          <w:szCs w:val="24"/>
          <w:u w:val="single"/>
        </w:rPr>
        <w:br/>
      </w:r>
      <w:r w:rsidR="00A33029" w:rsidRPr="00A33029">
        <w:rPr>
          <w:i/>
        </w:rPr>
        <w:t>Health Insurance (Section 3C Diagnostic Imaging Services – Cardiac Services) Determination 2020</w:t>
      </w:r>
      <w:r w:rsidR="00A33029">
        <w:rPr>
          <w:i/>
        </w:rPr>
        <w:t xml:space="preserve"> </w:t>
      </w:r>
      <w:r w:rsidR="00A33029" w:rsidRPr="00A33029">
        <w:t xml:space="preserve">(Principal </w:t>
      </w:r>
      <w:r w:rsidR="003257C1">
        <w:t xml:space="preserve">DIST </w:t>
      </w:r>
      <w:r w:rsidR="00A33029" w:rsidRPr="00A33029">
        <w:t>Determination)</w:t>
      </w:r>
    </w:p>
    <w:p w14:paraId="57FEC0A5" w14:textId="77777777" w:rsidR="0089764E" w:rsidRDefault="0089764E" w:rsidP="00151724">
      <w:pPr>
        <w:rPr>
          <w:b/>
        </w:rPr>
      </w:pPr>
    </w:p>
    <w:p w14:paraId="786830AE" w14:textId="70C3FB1E" w:rsidR="00151724" w:rsidRPr="00151724" w:rsidRDefault="00151724" w:rsidP="00151724">
      <w:pPr>
        <w:rPr>
          <w:b/>
        </w:rPr>
      </w:pPr>
      <w:r w:rsidRPr="00151724">
        <w:rPr>
          <w:b/>
        </w:rPr>
        <w:t xml:space="preserve">Item [1] – Subsection </w:t>
      </w:r>
      <w:r w:rsidR="00A33029">
        <w:rPr>
          <w:b/>
        </w:rPr>
        <w:t>6</w:t>
      </w:r>
      <w:r w:rsidRPr="00151724">
        <w:rPr>
          <w:b/>
        </w:rPr>
        <w:t>(</w:t>
      </w:r>
      <w:r w:rsidR="00A33029">
        <w:rPr>
          <w:b/>
        </w:rPr>
        <w:t>24</w:t>
      </w:r>
      <w:r w:rsidRPr="00151724">
        <w:rPr>
          <w:b/>
        </w:rPr>
        <w:t>)</w:t>
      </w:r>
    </w:p>
    <w:p w14:paraId="67DBA2E8" w14:textId="71D64E35" w:rsidR="00A33029" w:rsidRDefault="00A33029" w:rsidP="00FE1564">
      <w:r>
        <w:t xml:space="preserve">Section 6 of the Principal </w:t>
      </w:r>
      <w:r w:rsidR="003257C1">
        <w:t xml:space="preserve">DIST </w:t>
      </w:r>
      <w:r>
        <w:t xml:space="preserve">Determination </w:t>
      </w:r>
      <w:r w:rsidRPr="00A33029">
        <w:t xml:space="preserve">specifies provisions of the diagnostic imaging services table </w:t>
      </w:r>
      <w:r w:rsidR="003F28D4">
        <w:t xml:space="preserve">(DIST) </w:t>
      </w:r>
      <w:r w:rsidRPr="00A33029">
        <w:t>that apply as if items in Schedule 1 of th</w:t>
      </w:r>
      <w:r>
        <w:t xml:space="preserve">e Principal </w:t>
      </w:r>
      <w:r w:rsidR="00B93BE0">
        <w:t xml:space="preserve">DIST </w:t>
      </w:r>
      <w:r w:rsidRPr="00A33029">
        <w:t xml:space="preserve">Determination were specified in the relevant provisions of the </w:t>
      </w:r>
      <w:r w:rsidR="00600A0B">
        <w:t>DIST</w:t>
      </w:r>
      <w:r w:rsidRPr="00A33029">
        <w:t>.</w:t>
      </w:r>
    </w:p>
    <w:p w14:paraId="55BA8A3D" w14:textId="77777777" w:rsidR="00A33029" w:rsidRDefault="00A33029" w:rsidP="00FE1564"/>
    <w:p w14:paraId="779C873E" w14:textId="1870158F" w:rsidR="00A33029" w:rsidRDefault="00151724" w:rsidP="00FE1564">
      <w:r>
        <w:t xml:space="preserve">Item 1 </w:t>
      </w:r>
      <w:r w:rsidR="00A33029">
        <w:t xml:space="preserve">repeals and replaces subsection 6(24) to provide that </w:t>
      </w:r>
      <w:r w:rsidR="00A33029" w:rsidRPr="00A33029">
        <w:t xml:space="preserve">new items </w:t>
      </w:r>
      <w:r w:rsidR="00A33029">
        <w:t>(</w:t>
      </w:r>
      <w:r w:rsidR="00A33029" w:rsidRPr="00A33029">
        <w:t>61394, 61398, 61406, 61410</w:t>
      </w:r>
      <w:r w:rsidR="000909E1">
        <w:t xml:space="preserve"> and</w:t>
      </w:r>
      <w:r w:rsidR="00A33029" w:rsidRPr="00A33029">
        <w:t xml:space="preserve"> 61414</w:t>
      </w:r>
      <w:r w:rsidR="00A33029">
        <w:t>) as well as current items (</w:t>
      </w:r>
      <w:r w:rsidR="00A33029" w:rsidRPr="00A33029">
        <w:t>61321, 61</w:t>
      </w:r>
      <w:r w:rsidR="00A33029">
        <w:t>324, 61325, 61329, 61345, 61349 and</w:t>
      </w:r>
      <w:r w:rsidR="00A33029" w:rsidRPr="00A33029">
        <w:t xml:space="preserve"> 61357</w:t>
      </w:r>
      <w:r w:rsidR="00A33029">
        <w:t xml:space="preserve">) </w:t>
      </w:r>
      <w:r w:rsidR="00A33029" w:rsidRPr="00A33029">
        <w:t xml:space="preserve">will be treated as if the items were specified in clause 2.4.1 of the </w:t>
      </w:r>
      <w:r w:rsidR="00600A0B">
        <w:t>DIST</w:t>
      </w:r>
      <w:r w:rsidR="00A33029" w:rsidRPr="00A33029">
        <w:t xml:space="preserve">. </w:t>
      </w:r>
    </w:p>
    <w:p w14:paraId="7085AFC8" w14:textId="77777777" w:rsidR="00A33029" w:rsidRDefault="00A33029" w:rsidP="00FE1564"/>
    <w:p w14:paraId="4E89446C" w14:textId="21F900A0" w:rsidR="00A33029" w:rsidRDefault="00A33029" w:rsidP="00FE1564">
      <w:r w:rsidRPr="00A33029">
        <w:t xml:space="preserve">Clause 2.4.1 of the </w:t>
      </w:r>
      <w:r w:rsidR="00600A0B">
        <w:t>DIST</w:t>
      </w:r>
      <w:r w:rsidR="00600A0B" w:rsidRPr="00A33029">
        <w:t xml:space="preserve"> </w:t>
      </w:r>
      <w:r w:rsidRPr="00A33029">
        <w:t xml:space="preserve">provides that nuclear scanning services (other than positron emission tomography, which is covered under clause 2.4.2 of the </w:t>
      </w:r>
      <w:r w:rsidR="00F46846">
        <w:t>DIST</w:t>
      </w:r>
      <w:r w:rsidRPr="00A33029">
        <w:t xml:space="preserve">) are to be performed by a specialist or consultant physician whose name is included in a register, given to the Chief Executive Medicare by the Joint Nuclear Medicine </w:t>
      </w:r>
      <w:proofErr w:type="spellStart"/>
      <w:r w:rsidRPr="00A33029">
        <w:t>Credentialling</w:t>
      </w:r>
      <w:proofErr w:type="spellEnd"/>
      <w:r w:rsidRPr="00A33029">
        <w:t xml:space="preserve"> and Accreditation Committee (JNMCAC), of participants in the Joint Nuclear Medicine Specialist </w:t>
      </w:r>
      <w:proofErr w:type="spellStart"/>
      <w:r w:rsidRPr="00A33029">
        <w:t>Credentialling</w:t>
      </w:r>
      <w:proofErr w:type="spellEnd"/>
      <w:r w:rsidRPr="00A33029">
        <w:t xml:space="preserve"> Program of the JNMCAC, or a person acting on behalf of a specialist or consultant physician. The final report is also to be compiled by the specialist or consultant physician who performed the preliminary examination.</w:t>
      </w:r>
    </w:p>
    <w:p w14:paraId="6B673055" w14:textId="77777777" w:rsidR="00A33029" w:rsidRDefault="00A33029" w:rsidP="00FE1564"/>
    <w:p w14:paraId="66C71A35" w14:textId="45E8D9D5" w:rsidR="00993EAC" w:rsidRDefault="00993EAC" w:rsidP="00FE1564">
      <w:pPr>
        <w:rPr>
          <w:b/>
        </w:rPr>
      </w:pPr>
      <w:r>
        <w:rPr>
          <w:b/>
        </w:rPr>
        <w:t>Item [2] – Division 1.1 of Schedule 1 (subclause 1.1.1(3))</w:t>
      </w:r>
    </w:p>
    <w:p w14:paraId="10F9A144" w14:textId="216DE9B4" w:rsidR="00993EAC" w:rsidRDefault="00993EAC" w:rsidP="00FE1564">
      <w:r>
        <w:t xml:space="preserve">Item 2 repeals and substitutes subclause 1.1.1(3) to </w:t>
      </w:r>
      <w:r w:rsidR="00917C08">
        <w:t>amend subparagraph (c)(</w:t>
      </w:r>
      <w:r w:rsidR="003F28D4">
        <w:t>i</w:t>
      </w:r>
      <w:r w:rsidR="00917C08">
        <w:t xml:space="preserve">v) to </w:t>
      </w:r>
      <w:r>
        <w:t xml:space="preserve">clarify that </w:t>
      </w:r>
      <w:r w:rsidR="00E8127D">
        <w:t xml:space="preserve">an </w:t>
      </w:r>
      <w:r w:rsidR="00917C08">
        <w:t>i</w:t>
      </w:r>
      <w:r w:rsidR="00DE67C3">
        <w:t>ndication</w:t>
      </w:r>
      <w:r w:rsidR="00917C08">
        <w:t xml:space="preserve"> to access a service under items 55141, 55143, 55145 or 55146 can include either an </w:t>
      </w:r>
      <w:r w:rsidR="00917C08">
        <w:lastRenderedPageBreak/>
        <w:t>assessment by a specialist or consultant physician where it indicates that the patient has potential non-coronary artery disease and where the stress echocardiography service is likely to assist the diagnosis</w:t>
      </w:r>
      <w:r w:rsidR="00E20235">
        <w:t xml:space="preserve"> (as per subparagraph (c)(iv) in the Determination)</w:t>
      </w:r>
      <w:r w:rsidR="00917C08">
        <w:t>, or if an assessment</w:t>
      </w:r>
      <w:r w:rsidR="00E20235">
        <w:t xml:space="preserve">, </w:t>
      </w:r>
      <w:r w:rsidR="00917C08">
        <w:t>which can be undertaken by a medical practitioner</w:t>
      </w:r>
      <w:r w:rsidR="00E20235">
        <w:t>,</w:t>
      </w:r>
      <w:r w:rsidR="00917C08">
        <w:t xml:space="preserve"> indicates that the patient has undue exertional dyspnoea of uncertain aetiology</w:t>
      </w:r>
      <w:r w:rsidR="00E20235">
        <w:t xml:space="preserve"> (as per subparagraph (c)(v) in the Determination)</w:t>
      </w:r>
      <w:r w:rsidR="00917C08">
        <w:t xml:space="preserve">. </w:t>
      </w:r>
    </w:p>
    <w:p w14:paraId="2A9FFD9B" w14:textId="29F79B7E" w:rsidR="00E8127D" w:rsidRDefault="00E8127D" w:rsidP="00FE1564"/>
    <w:p w14:paraId="1B14F4BC" w14:textId="74E29742" w:rsidR="00E8127D" w:rsidRPr="00C9247B" w:rsidRDefault="00E8127D" w:rsidP="00FE1564">
      <w:r w:rsidRPr="00E8127D">
        <w:t>Subclause 1.1.1(3) provides that a service provided under item 55141, 55143, 55145 or 55146 can only be provided if the patient displays one or more symptoms of typical or atypical angina, or one or more indications in relation to suggested cardiac ischemia or valvular pathology, or for patients at intermediate to high cardiovascular risk undergoing pre-operative assessment for high-risk surgery.</w:t>
      </w:r>
      <w:r w:rsidR="00E973E4" w:rsidRPr="00E973E4">
        <w:t xml:space="preserve"> This change will ensure that </w:t>
      </w:r>
      <w:r w:rsidR="00E973E4">
        <w:t xml:space="preserve">the assessment of the patient for these indications is undertaken appropriately, and provides a delineation between the assessment by a medical practitioner or a specialist or consultant physician. </w:t>
      </w:r>
    </w:p>
    <w:p w14:paraId="64A53927" w14:textId="77777777" w:rsidR="00993EAC" w:rsidRDefault="00993EAC" w:rsidP="00FE1564">
      <w:pPr>
        <w:rPr>
          <w:b/>
        </w:rPr>
      </w:pPr>
    </w:p>
    <w:p w14:paraId="2D6B741C" w14:textId="0E2E3E7D" w:rsidR="00FE1564" w:rsidRPr="0089764E" w:rsidRDefault="00FE1564" w:rsidP="00FE1564">
      <w:pPr>
        <w:rPr>
          <w:b/>
        </w:rPr>
      </w:pPr>
      <w:r w:rsidRPr="0089764E">
        <w:rPr>
          <w:b/>
        </w:rPr>
        <w:t>Item [</w:t>
      </w:r>
      <w:r w:rsidR="00993EAC">
        <w:rPr>
          <w:b/>
        </w:rPr>
        <w:t>3</w:t>
      </w:r>
      <w:r w:rsidRPr="0089764E">
        <w:rPr>
          <w:b/>
        </w:rPr>
        <w:t xml:space="preserve">] – </w:t>
      </w:r>
      <w:r w:rsidR="007502C2">
        <w:rPr>
          <w:b/>
        </w:rPr>
        <w:t>Division 1.1 of Schedule 1 (below clause 1.1.2)</w:t>
      </w:r>
    </w:p>
    <w:p w14:paraId="7D81DC1D" w14:textId="7C0E1236" w:rsidR="007502C2" w:rsidRDefault="00FE1564" w:rsidP="00FE1564">
      <w:r>
        <w:t xml:space="preserve">Item </w:t>
      </w:r>
      <w:r w:rsidR="00993EAC">
        <w:t xml:space="preserve">3 </w:t>
      </w:r>
      <w:r w:rsidR="007502C2">
        <w:t xml:space="preserve">repeals and replaces </w:t>
      </w:r>
      <w:r w:rsidR="00C836CE" w:rsidRPr="00C836CE">
        <w:t>the table with a new table in</w:t>
      </w:r>
      <w:r w:rsidR="00C836CE">
        <w:t xml:space="preserve"> Division 1.1 of Schedule 1. The new table </w:t>
      </w:r>
      <w:r w:rsidR="00C836CE" w:rsidRPr="00C836CE">
        <w:t>includes amended item descriptors for items</w:t>
      </w:r>
      <w:r w:rsidR="00C836CE">
        <w:t xml:space="preserve"> 55126, 55127, 55128, 55129, 55132, 55133, 55134, 55137, 55141, 55143, 55145 and 55146 to provide that these services cannot be provided in association with a service under Subgroup 1 (except item 55054) or Subgroup 3 of the </w:t>
      </w:r>
      <w:r w:rsidR="00600A0B">
        <w:t>DIST</w:t>
      </w:r>
      <w:r w:rsidR="00C836CE">
        <w:t>.</w:t>
      </w:r>
      <w:r w:rsidR="00616E4E">
        <w:t xml:space="preserve"> This is an administrative change </w:t>
      </w:r>
      <w:r w:rsidR="006D3FA3">
        <w:t>to clarify this restriction</w:t>
      </w:r>
      <w:r w:rsidR="00B41FCB">
        <w:t xml:space="preserve">, which </w:t>
      </w:r>
      <w:r w:rsidR="006D3FA3">
        <w:t xml:space="preserve">applied to </w:t>
      </w:r>
      <w:r w:rsidR="000909E1">
        <w:t xml:space="preserve">ceased </w:t>
      </w:r>
      <w:r w:rsidR="006D3FA3" w:rsidRPr="006D3FA3">
        <w:t xml:space="preserve">echocardiographic items </w:t>
      </w:r>
      <w:r w:rsidR="006D3FA3">
        <w:t>(</w:t>
      </w:r>
      <w:r w:rsidR="006D3FA3" w:rsidRPr="006D3FA3">
        <w:t>55113, 55114, 55115, 55116 and 55117</w:t>
      </w:r>
      <w:r w:rsidR="006D3FA3">
        <w:t>) which the current items replaced</w:t>
      </w:r>
      <w:r w:rsidR="003B6852">
        <w:t xml:space="preserve"> on 1 August 2020</w:t>
      </w:r>
      <w:r w:rsidR="006D3FA3">
        <w:t>.</w:t>
      </w:r>
    </w:p>
    <w:p w14:paraId="2E371618" w14:textId="77777777" w:rsidR="000909E1" w:rsidRDefault="000909E1" w:rsidP="00FE1564"/>
    <w:p w14:paraId="549344D9" w14:textId="0C6DAF8C" w:rsidR="00585D07" w:rsidRDefault="00585D07" w:rsidP="00FE1564">
      <w:r>
        <w:t xml:space="preserve">Item 55132 is also amended to remove the requirement that the service can only be requested by a </w:t>
      </w:r>
      <w:r w:rsidRPr="00585D07">
        <w:t>specialist or consultant physician</w:t>
      </w:r>
      <w:r>
        <w:t xml:space="preserve">. </w:t>
      </w:r>
      <w:r w:rsidRPr="00585D07">
        <w:t>Item 55132 is for a serial real</w:t>
      </w:r>
      <w:r w:rsidR="00600A0B">
        <w:t>-</w:t>
      </w:r>
      <w:r w:rsidRPr="00585D07">
        <w:t>time echocardiographic examination for patients aged under 17 years, or patients of any age with complex congenital heart disease</w:t>
      </w:r>
      <w:r>
        <w:t xml:space="preserve">. Removing this restriction will </w:t>
      </w:r>
      <w:r w:rsidRPr="00585D07">
        <w:t>enable medical practitioner</w:t>
      </w:r>
      <w:r w:rsidR="003257C1">
        <w:t>s</w:t>
      </w:r>
      <w:r w:rsidRPr="00585D07">
        <w:t xml:space="preserve"> to </w:t>
      </w:r>
      <w:r w:rsidR="000358DF">
        <w:t xml:space="preserve">be able to </w:t>
      </w:r>
      <w:r w:rsidRPr="00585D07">
        <w:t>request this service b</w:t>
      </w:r>
      <w:r>
        <w:t>ased on their clinical judgement</w:t>
      </w:r>
      <w:r w:rsidR="000358DF">
        <w:t>,</w:t>
      </w:r>
      <w:r>
        <w:t xml:space="preserve"> </w:t>
      </w:r>
      <w:r w:rsidR="00664A25">
        <w:t>and will</w:t>
      </w:r>
      <w:r w:rsidR="003257C1">
        <w:t xml:space="preserve"> </w:t>
      </w:r>
      <w:r>
        <w:t>expand patient access</w:t>
      </w:r>
      <w:r w:rsidR="003257C1">
        <w:t>,</w:t>
      </w:r>
      <w:r>
        <w:t xml:space="preserve"> </w:t>
      </w:r>
      <w:r w:rsidR="000358DF">
        <w:t>particularly</w:t>
      </w:r>
      <w:r>
        <w:t xml:space="preserve"> for patients who are unable to see a specialist or consultant physician.</w:t>
      </w:r>
    </w:p>
    <w:p w14:paraId="493271C3" w14:textId="0AA86E33" w:rsidR="00585D07" w:rsidRDefault="00585D07" w:rsidP="00FE1564"/>
    <w:p w14:paraId="7A985977" w14:textId="08075083" w:rsidR="00585D07" w:rsidRPr="005C2DB7" w:rsidRDefault="005C2DB7" w:rsidP="00FE1564">
      <w:pPr>
        <w:rPr>
          <w:b/>
        </w:rPr>
      </w:pPr>
      <w:r w:rsidRPr="005C2DB7">
        <w:rPr>
          <w:b/>
        </w:rPr>
        <w:t>Item [</w:t>
      </w:r>
      <w:r w:rsidR="00993EAC">
        <w:rPr>
          <w:b/>
        </w:rPr>
        <w:t>4</w:t>
      </w:r>
      <w:r w:rsidRPr="005C2DB7">
        <w:rPr>
          <w:b/>
        </w:rPr>
        <w:t xml:space="preserve">] – Division 1.2 of Schedule 1 (subclause 1.2.1(1))  </w:t>
      </w:r>
    </w:p>
    <w:p w14:paraId="2CE7B336" w14:textId="642BF4D0" w:rsidR="000909E1" w:rsidRDefault="00C71431" w:rsidP="00FE1564">
      <w:r>
        <w:t xml:space="preserve">Item </w:t>
      </w:r>
      <w:r w:rsidR="00993EAC">
        <w:t xml:space="preserve">4 repeals and replaces </w:t>
      </w:r>
      <w:r w:rsidR="003257C1">
        <w:t>subclause 1.2.1(1)</w:t>
      </w:r>
      <w:r w:rsidR="00C00E0C">
        <w:t xml:space="preserve"> </w:t>
      </w:r>
      <w:r w:rsidR="00993EAC">
        <w:t xml:space="preserve">to insert </w:t>
      </w:r>
      <w:r w:rsidR="00C00E0C">
        <w:t xml:space="preserve">new items </w:t>
      </w:r>
      <w:r w:rsidR="00C00E0C" w:rsidRPr="00C00E0C">
        <w:t xml:space="preserve">61394, 61398, 61406, 61410 </w:t>
      </w:r>
      <w:r w:rsidR="004E1045">
        <w:t>and</w:t>
      </w:r>
      <w:r w:rsidR="00C00E0C" w:rsidRPr="00C00E0C">
        <w:t xml:space="preserve"> 61414</w:t>
      </w:r>
      <w:r w:rsidR="00993EAC">
        <w:t>, and to clarify that under subparagraph (c)(vii), the indication is for a patient with congenital heart lesions who ha</w:t>
      </w:r>
      <w:r w:rsidR="00600A0B">
        <w:t>ve</w:t>
      </w:r>
      <w:r w:rsidR="00993EAC">
        <w:t xml:space="preserve"> undergone surgery, where ischemia is considered possible, as opposed to </w:t>
      </w:r>
      <w:r w:rsidR="00180D75">
        <w:t>the</w:t>
      </w:r>
      <w:r w:rsidR="00993EAC">
        <w:t xml:space="preserve"> </w:t>
      </w:r>
      <w:r w:rsidR="00180D75">
        <w:t xml:space="preserve">reversal of ischemia </w:t>
      </w:r>
      <w:r w:rsidR="00180D75" w:rsidRPr="00180D75">
        <w:t>is considered possible</w:t>
      </w:r>
      <w:r w:rsidR="003257C1">
        <w:t>.</w:t>
      </w:r>
      <w:r w:rsidR="004E1045">
        <w:t xml:space="preserve"> </w:t>
      </w:r>
    </w:p>
    <w:p w14:paraId="1A1859D8" w14:textId="77777777" w:rsidR="000909E1" w:rsidRDefault="000909E1" w:rsidP="00FE1564"/>
    <w:p w14:paraId="3B2D827C" w14:textId="196C5D31" w:rsidR="004E1045" w:rsidRDefault="00894BBB" w:rsidP="00FE1564">
      <w:r>
        <w:t>Subclause 1.2.1</w:t>
      </w:r>
      <w:r w:rsidR="003257C1">
        <w:t>(1)</w:t>
      </w:r>
      <w:r>
        <w:t xml:space="preserve"> provides that </w:t>
      </w:r>
      <w:r w:rsidR="00600A0B">
        <w:t xml:space="preserve">specific </w:t>
      </w:r>
      <w:r w:rsidR="004E1045" w:rsidRPr="004E1045">
        <w:t>myocardial perfusion stud</w:t>
      </w:r>
      <w:r w:rsidR="004E1045">
        <w:t>y</w:t>
      </w:r>
      <w:r w:rsidR="004E1045" w:rsidRPr="004E1045">
        <w:t xml:space="preserve"> (</w:t>
      </w:r>
      <w:r w:rsidR="004E1045">
        <w:t>MPS) services</w:t>
      </w:r>
      <w:r w:rsidR="004E1045" w:rsidRPr="004E1045">
        <w:t xml:space="preserve"> </w:t>
      </w:r>
      <w:r w:rsidRPr="00894BBB">
        <w:t xml:space="preserve">can only be </w:t>
      </w:r>
      <w:r w:rsidR="00600A0B">
        <w:t>claimed</w:t>
      </w:r>
      <w:r w:rsidR="00600A0B" w:rsidRPr="00894BBB">
        <w:t xml:space="preserve"> </w:t>
      </w:r>
      <w:r w:rsidRPr="00894BBB">
        <w:t xml:space="preserve">if the patient displays one or more symptoms of typical or atypical angina, or one or more indications in relation to suggested cardiac ischemia or valvular pathology, or for patients at intermediate to high cardiovascular risk undergoing pre-operative assessment for high-risk surgery. This </w:t>
      </w:r>
      <w:r>
        <w:t xml:space="preserve">change will </w:t>
      </w:r>
      <w:r w:rsidRPr="00894BBB">
        <w:t xml:space="preserve">ensure that </w:t>
      </w:r>
      <w:r w:rsidR="004E1045">
        <w:t xml:space="preserve">services </w:t>
      </w:r>
      <w:r w:rsidR="008A108A">
        <w:t xml:space="preserve">provided </w:t>
      </w:r>
      <w:r w:rsidR="004E1045">
        <w:t xml:space="preserve">under </w:t>
      </w:r>
      <w:r w:rsidR="003257C1">
        <w:t xml:space="preserve">the </w:t>
      </w:r>
      <w:r w:rsidR="004E1045">
        <w:t xml:space="preserve">new items will be </w:t>
      </w:r>
      <w:r w:rsidR="008A108A">
        <w:t>performed</w:t>
      </w:r>
      <w:r w:rsidR="004E1045">
        <w:t xml:space="preserve"> based on the </w:t>
      </w:r>
      <w:r w:rsidR="004E1045" w:rsidRPr="004E1045">
        <w:t xml:space="preserve">clinical </w:t>
      </w:r>
      <w:r w:rsidR="00600A0B">
        <w:t>need</w:t>
      </w:r>
      <w:r w:rsidR="00600A0B" w:rsidRPr="004E1045">
        <w:t xml:space="preserve"> </w:t>
      </w:r>
      <w:r w:rsidR="004E1045" w:rsidRPr="004E1045">
        <w:t>of the patient</w:t>
      </w:r>
      <w:r w:rsidR="008A108A">
        <w:t>.</w:t>
      </w:r>
    </w:p>
    <w:p w14:paraId="5D296195" w14:textId="77777777" w:rsidR="004E1045" w:rsidRDefault="004E1045" w:rsidP="00FE1564"/>
    <w:p w14:paraId="57414A77" w14:textId="7FB2A6A2" w:rsidR="00F66DC9" w:rsidRPr="00615ED8" w:rsidRDefault="00615ED8" w:rsidP="00F66DC9">
      <w:pPr>
        <w:rPr>
          <w:b/>
        </w:rPr>
      </w:pPr>
      <w:r w:rsidRPr="00615ED8">
        <w:rPr>
          <w:b/>
        </w:rPr>
        <w:t>Item [</w:t>
      </w:r>
      <w:r w:rsidR="00E96820">
        <w:rPr>
          <w:b/>
        </w:rPr>
        <w:t>5</w:t>
      </w:r>
      <w:r w:rsidRPr="00615ED8">
        <w:rPr>
          <w:b/>
        </w:rPr>
        <w:t>] – Division 1.2 of Schedule 1 (subclause 1.2.1(2))</w:t>
      </w:r>
    </w:p>
    <w:p w14:paraId="0BE202E5" w14:textId="02018B52" w:rsidR="00F66DC9" w:rsidRDefault="005E3F70" w:rsidP="000F3DE3">
      <w:r>
        <w:t xml:space="preserve">Item </w:t>
      </w:r>
      <w:r w:rsidR="00E96820">
        <w:t xml:space="preserve">5 </w:t>
      </w:r>
      <w:r>
        <w:t xml:space="preserve">repeals and replaces subclause 1.2.1(2) to </w:t>
      </w:r>
      <w:r w:rsidR="00993EAC">
        <w:t xml:space="preserve">insert </w:t>
      </w:r>
      <w:r>
        <w:t xml:space="preserve">new items </w:t>
      </w:r>
      <w:r w:rsidRPr="005E3F70">
        <w:t xml:space="preserve">61394, 61398, 61406, 61410 </w:t>
      </w:r>
      <w:r>
        <w:t>and</w:t>
      </w:r>
      <w:r w:rsidRPr="005E3F70">
        <w:t xml:space="preserve"> 61414</w:t>
      </w:r>
      <w:r>
        <w:t xml:space="preserve">. </w:t>
      </w:r>
      <w:r w:rsidRPr="005E3F70">
        <w:t xml:space="preserve">Subclause 1.2.1(2) provides that the request for the provision of a service must identify the relevant symptom/s or indication/s of the patient, which are outlined in subclause 1.2.1(1) of the </w:t>
      </w:r>
      <w:r w:rsidR="009C54AF">
        <w:t xml:space="preserve">Principal DIST </w:t>
      </w:r>
      <w:r w:rsidRPr="005E3F70">
        <w:t>Determination.</w:t>
      </w:r>
    </w:p>
    <w:p w14:paraId="3F2D01E9" w14:textId="610F2CA3" w:rsidR="003257C1" w:rsidRDefault="003257C1" w:rsidP="000F3DE3"/>
    <w:p w14:paraId="599A6B3A" w14:textId="77777777" w:rsidR="000909E1" w:rsidRDefault="000909E1">
      <w:pPr>
        <w:spacing w:after="200" w:line="276" w:lineRule="auto"/>
        <w:rPr>
          <w:b/>
        </w:rPr>
      </w:pPr>
      <w:r>
        <w:rPr>
          <w:b/>
        </w:rPr>
        <w:br w:type="page"/>
      </w:r>
    </w:p>
    <w:p w14:paraId="1E304228" w14:textId="104A724D" w:rsidR="003257C1" w:rsidRPr="003257C1" w:rsidRDefault="003257C1" w:rsidP="000F3DE3">
      <w:pPr>
        <w:rPr>
          <w:b/>
        </w:rPr>
      </w:pPr>
      <w:r w:rsidRPr="003257C1">
        <w:rPr>
          <w:b/>
        </w:rPr>
        <w:lastRenderedPageBreak/>
        <w:t>Item [</w:t>
      </w:r>
      <w:r w:rsidR="00E96820">
        <w:rPr>
          <w:b/>
        </w:rPr>
        <w:t>6</w:t>
      </w:r>
      <w:r w:rsidRPr="003257C1">
        <w:rPr>
          <w:b/>
        </w:rPr>
        <w:t>] – Division 1.2 of Schedule 1 (subclause 1.2.1(3))</w:t>
      </w:r>
    </w:p>
    <w:p w14:paraId="21520FD1" w14:textId="252D4037" w:rsidR="00E46EB8" w:rsidRDefault="003257C1" w:rsidP="007F1654">
      <w:r>
        <w:t xml:space="preserve">Item </w:t>
      </w:r>
      <w:r w:rsidR="00E96820">
        <w:t xml:space="preserve">6 </w:t>
      </w:r>
      <w:r>
        <w:t xml:space="preserve">amends subclause 1.2.1(3) </w:t>
      </w:r>
      <w:r w:rsidR="00E96820">
        <w:t>to inse</w:t>
      </w:r>
      <w:r w:rsidR="00C9247B">
        <w:t>r</w:t>
      </w:r>
      <w:r w:rsidR="00E96820">
        <w:t>t</w:t>
      </w:r>
      <w:r>
        <w:t xml:space="preserve"> new items </w:t>
      </w:r>
      <w:r w:rsidRPr="003257C1">
        <w:t>61394, 61398, 61406, 61410 and 61414. Subclause 1.2.1</w:t>
      </w:r>
      <w:r>
        <w:t>(3)</w:t>
      </w:r>
      <w:r w:rsidR="00E46EB8">
        <w:t xml:space="preserve"> </w:t>
      </w:r>
      <w:r w:rsidR="00E46EB8" w:rsidRPr="00E46EB8">
        <w:t xml:space="preserve">provides that a service can only be </w:t>
      </w:r>
      <w:r w:rsidR="00600A0B">
        <w:t>claim</w:t>
      </w:r>
      <w:r w:rsidR="00600A0B" w:rsidRPr="00E46EB8">
        <w:t xml:space="preserve">ed </w:t>
      </w:r>
      <w:r w:rsidR="00E46EB8" w:rsidRPr="00E46EB8">
        <w:t xml:space="preserve">if the diagnostic imaging procedure is performed by a person trained in cardiopulmonary resuscitation who is in personal attendance during the procedure, and if a second person who is also trained in cardiopulmonary resuscitation as well as exercise testing, is located at the diagnostic imaging premise where the procedure is performed and is immediately available to respond at the time the exercise test is performed on the patient. At least one of these people must be a medical practitioner, and the diagnostic imaging procedure can only be performed on premises equipped with resuscitation equipment, which includes a defibrillator. This </w:t>
      </w:r>
      <w:r w:rsidR="00E46EB8">
        <w:t xml:space="preserve">change </w:t>
      </w:r>
      <w:r w:rsidR="00E46EB8" w:rsidRPr="00E46EB8">
        <w:t xml:space="preserve">will ensure patient safety </w:t>
      </w:r>
      <w:r w:rsidR="00E46EB8">
        <w:t xml:space="preserve">during a test </w:t>
      </w:r>
      <w:r w:rsidR="00B205F7">
        <w:t xml:space="preserve">claimed </w:t>
      </w:r>
      <w:r w:rsidR="00E46EB8">
        <w:t xml:space="preserve">under the new services and </w:t>
      </w:r>
      <w:r w:rsidR="00E46EB8" w:rsidRPr="00E46EB8">
        <w:t>will maximise the results obtained for reporting and subsequent treatment.</w:t>
      </w:r>
    </w:p>
    <w:p w14:paraId="0B7A94B5" w14:textId="253301CB" w:rsidR="00E46EB8" w:rsidRDefault="00E46EB8" w:rsidP="007F1654"/>
    <w:p w14:paraId="30D89EEA" w14:textId="418F9642" w:rsidR="00E46EB8" w:rsidRDefault="00E46EB8" w:rsidP="007F1654">
      <w:pPr>
        <w:rPr>
          <w:b/>
        </w:rPr>
      </w:pPr>
      <w:r w:rsidRPr="00E46EB8">
        <w:rPr>
          <w:b/>
        </w:rPr>
        <w:t>Item [</w:t>
      </w:r>
      <w:r w:rsidR="00E96820">
        <w:rPr>
          <w:b/>
        </w:rPr>
        <w:t>7</w:t>
      </w:r>
      <w:r w:rsidRPr="00E46EB8">
        <w:rPr>
          <w:b/>
        </w:rPr>
        <w:t>] – Division 1.2 of Schedule 1 (subclause 1.2.1(4))</w:t>
      </w:r>
    </w:p>
    <w:p w14:paraId="3461F441" w14:textId="372E5BA7" w:rsidR="00E46EB8" w:rsidRDefault="00E46EB8" w:rsidP="007F1654">
      <w:r>
        <w:t xml:space="preserve">Item </w:t>
      </w:r>
      <w:r w:rsidR="00E96820">
        <w:t xml:space="preserve">7 </w:t>
      </w:r>
      <w:r>
        <w:t xml:space="preserve">amends subclause 1.2.1(4) </w:t>
      </w:r>
      <w:r w:rsidR="00E96820">
        <w:t>to insert</w:t>
      </w:r>
      <w:r>
        <w:t xml:space="preserve"> new</w:t>
      </w:r>
      <w:r w:rsidR="000512F5">
        <w:t xml:space="preserve"> nuclear imaging service</w:t>
      </w:r>
      <w:r>
        <w:t xml:space="preserve"> items </w:t>
      </w:r>
      <w:r w:rsidRPr="00E46EB8">
        <w:t>61394, 61398, 61406, 61410 and 61414. Subclause 1.2.1(</w:t>
      </w:r>
      <w:r>
        <w:t>4</w:t>
      </w:r>
      <w:r w:rsidRPr="00E46EB8">
        <w:t>) provides that an attendance service cannot be provided on the same day</w:t>
      </w:r>
      <w:r>
        <w:t xml:space="preserve"> as the nuclear imaging service, except if the </w:t>
      </w:r>
      <w:r w:rsidRPr="00E46EB8">
        <w:t>attendance service is provided after the nuclear imaging service where clinical management decisions are made, or if the decision to perform the nuclear imaging service on the same day was made during the attendance service subject to clinical assessment.</w:t>
      </w:r>
    </w:p>
    <w:p w14:paraId="696663A5" w14:textId="62F84263" w:rsidR="000512F5" w:rsidRDefault="000512F5" w:rsidP="007F1654"/>
    <w:p w14:paraId="6917BF02" w14:textId="087EDCA1" w:rsidR="000512F5" w:rsidRPr="000512F5" w:rsidRDefault="000512F5" w:rsidP="007F1654">
      <w:pPr>
        <w:rPr>
          <w:b/>
        </w:rPr>
      </w:pPr>
      <w:r w:rsidRPr="000512F5">
        <w:rPr>
          <w:b/>
        </w:rPr>
        <w:t>Item [</w:t>
      </w:r>
      <w:r w:rsidR="000909E1">
        <w:rPr>
          <w:b/>
        </w:rPr>
        <w:t>8</w:t>
      </w:r>
      <w:r w:rsidRPr="000512F5">
        <w:rPr>
          <w:b/>
        </w:rPr>
        <w:t>] – Division 1.2 of Schedule 1 (subclause 1.2.2(1))</w:t>
      </w:r>
    </w:p>
    <w:p w14:paraId="5B15406D" w14:textId="6CCC860A" w:rsidR="000512F5" w:rsidRDefault="000512F5" w:rsidP="007F1654">
      <w:r>
        <w:t xml:space="preserve">Item </w:t>
      </w:r>
      <w:r w:rsidR="000909E1">
        <w:t>8</w:t>
      </w:r>
      <w:r w:rsidR="00C35B1A">
        <w:t xml:space="preserve"> </w:t>
      </w:r>
      <w:r>
        <w:t xml:space="preserve">repeals and replaces subclause 1.2.2(1) to include new items </w:t>
      </w:r>
      <w:r w:rsidRPr="000512F5">
        <w:t>61394, 61398, 61406</w:t>
      </w:r>
      <w:r w:rsidR="000909E1">
        <w:t xml:space="preserve"> and</w:t>
      </w:r>
      <w:r w:rsidRPr="000512F5">
        <w:t xml:space="preserve"> 61414</w:t>
      </w:r>
      <w:r>
        <w:t>.</w:t>
      </w:r>
      <w:r w:rsidRPr="000512F5">
        <w:t xml:space="preserve"> </w:t>
      </w:r>
      <w:r>
        <w:t xml:space="preserve">Subclause 1.2.2(1) provides that a service </w:t>
      </w:r>
      <w:r w:rsidR="00A37B47">
        <w:t xml:space="preserve">can </w:t>
      </w:r>
      <w:r w:rsidR="00A37B47" w:rsidRPr="00A37B47">
        <w:t>only be provided once every two years if the patient is 17 years old or older.</w:t>
      </w:r>
    </w:p>
    <w:p w14:paraId="5EC2B36E" w14:textId="685E1833" w:rsidR="00A37B47" w:rsidRDefault="00A37B47" w:rsidP="007F1654"/>
    <w:p w14:paraId="7CD355C2" w14:textId="7D3F24D7" w:rsidR="00A37B47" w:rsidRPr="00A37B47" w:rsidRDefault="00A37B47" w:rsidP="007F1654">
      <w:pPr>
        <w:rPr>
          <w:b/>
        </w:rPr>
      </w:pPr>
      <w:r w:rsidRPr="00A37B47">
        <w:rPr>
          <w:b/>
        </w:rPr>
        <w:t>Item [</w:t>
      </w:r>
      <w:r w:rsidR="004C47F0">
        <w:rPr>
          <w:b/>
        </w:rPr>
        <w:t>9</w:t>
      </w:r>
      <w:r w:rsidRPr="00A37B47">
        <w:rPr>
          <w:b/>
        </w:rPr>
        <w:t>] – Division 1.2 of Schedule 1 (below clause 1.2.2)</w:t>
      </w:r>
    </w:p>
    <w:p w14:paraId="242249C8" w14:textId="3C3ACC47" w:rsidR="003A3FCA" w:rsidRDefault="00A37B47" w:rsidP="007F1654">
      <w:r w:rsidRPr="00A37B47">
        <w:t xml:space="preserve">Item </w:t>
      </w:r>
      <w:r w:rsidR="004C47F0">
        <w:t>9</w:t>
      </w:r>
      <w:r w:rsidR="00C35B1A" w:rsidRPr="00A37B47">
        <w:t xml:space="preserve"> </w:t>
      </w:r>
      <w:r w:rsidRPr="00A37B47">
        <w:t>repeals and replaces the table with a new table in</w:t>
      </w:r>
      <w:r>
        <w:t xml:space="preserve"> Division 1.2</w:t>
      </w:r>
      <w:r w:rsidR="009C54AF">
        <w:t xml:space="preserve"> of Schedule 1</w:t>
      </w:r>
      <w:r>
        <w:t xml:space="preserve">. </w:t>
      </w:r>
      <w:r w:rsidRPr="00A37B47">
        <w:t>The new table amend</w:t>
      </w:r>
      <w:r>
        <w:t xml:space="preserve">s </w:t>
      </w:r>
      <w:r w:rsidR="00E26484">
        <w:t xml:space="preserve">current </w:t>
      </w:r>
      <w:r w:rsidRPr="00A37B47">
        <w:t>items</w:t>
      </w:r>
      <w:r>
        <w:t xml:space="preserve"> 61321, 61324, </w:t>
      </w:r>
      <w:r w:rsidR="00E26484">
        <w:t xml:space="preserve">61325, 61329, 61345, 61349 and 61357, and inserts </w:t>
      </w:r>
      <w:r w:rsidR="004C47F0">
        <w:t xml:space="preserve">five </w:t>
      </w:r>
      <w:r w:rsidR="00E26484">
        <w:t xml:space="preserve">new </w:t>
      </w:r>
      <w:r w:rsidR="004541E2" w:rsidRPr="004541E2">
        <w:t xml:space="preserve">myocardial perfusion studies (MPS) </w:t>
      </w:r>
      <w:r w:rsidR="00E26484">
        <w:t>items 61394, 61398, 61406, 61410</w:t>
      </w:r>
      <w:r w:rsidR="004C47F0">
        <w:t xml:space="preserve"> and</w:t>
      </w:r>
      <w:r w:rsidR="00E26484">
        <w:t xml:space="preserve"> 61414. </w:t>
      </w:r>
    </w:p>
    <w:p w14:paraId="7466CB13" w14:textId="77777777" w:rsidR="003A3FCA" w:rsidRDefault="003A3FCA" w:rsidP="007F1654"/>
    <w:p w14:paraId="3FB9FC6E" w14:textId="4D54692C" w:rsidR="003A3FCA" w:rsidRDefault="00E26484" w:rsidP="007F1654">
      <w:r>
        <w:t xml:space="preserve">The item descriptor of </w:t>
      </w:r>
      <w:r w:rsidR="003A3FCA">
        <w:t xml:space="preserve">current </w:t>
      </w:r>
      <w:r>
        <w:t xml:space="preserve">items 61321 to 61357 have been amended </w:t>
      </w:r>
      <w:r w:rsidR="003A3FCA">
        <w:t>to clarify</w:t>
      </w:r>
      <w:r>
        <w:t xml:space="preserve"> </w:t>
      </w:r>
      <w:r w:rsidR="003A3FCA">
        <w:t xml:space="preserve">that the provision of the service can include planar imaging, as opposed to the requirement that planar imaging must be provided. </w:t>
      </w:r>
      <w:r w:rsidR="00393698">
        <w:t xml:space="preserve">Additional </w:t>
      </w:r>
      <w:r w:rsidR="009C54AF">
        <w:t xml:space="preserve">co-claim </w:t>
      </w:r>
      <w:r w:rsidR="00393698">
        <w:t>restriction requirements have also been applied</w:t>
      </w:r>
      <w:r w:rsidR="004541E2">
        <w:t xml:space="preserve"> as follows</w:t>
      </w:r>
      <w:r w:rsidR="003A3FCA">
        <w:t>:</w:t>
      </w:r>
    </w:p>
    <w:p w14:paraId="53B3BAEE" w14:textId="5EB4037C" w:rsidR="00393698" w:rsidRPr="004C47F0" w:rsidRDefault="0006727B" w:rsidP="00393698">
      <w:pPr>
        <w:pStyle w:val="ListParagraph"/>
        <w:numPr>
          <w:ilvl w:val="0"/>
          <w:numId w:val="41"/>
        </w:numPr>
      </w:pPr>
      <w:r>
        <w:t>I</w:t>
      </w:r>
      <w:r w:rsidR="00393698">
        <w:t xml:space="preserve">tems </w:t>
      </w:r>
      <w:r w:rsidR="00393698" w:rsidRPr="004C47F0">
        <w:t>61321 and 61325 cannot be provided with new items 61398 or 61406.</w:t>
      </w:r>
    </w:p>
    <w:p w14:paraId="69233999" w14:textId="5E4FBCF2" w:rsidR="003A3FCA" w:rsidRDefault="0006727B" w:rsidP="00393698">
      <w:pPr>
        <w:pStyle w:val="ListParagraph"/>
        <w:numPr>
          <w:ilvl w:val="0"/>
          <w:numId w:val="41"/>
        </w:numPr>
      </w:pPr>
      <w:r w:rsidRPr="004C47F0">
        <w:t>I</w:t>
      </w:r>
      <w:r w:rsidR="00393698" w:rsidRPr="004C47F0">
        <w:t>tems 61324, 61329</w:t>
      </w:r>
      <w:r w:rsidR="00CF48C4">
        <w:t>,</w:t>
      </w:r>
      <w:r w:rsidR="00C35B1A" w:rsidRPr="004C47F0">
        <w:t xml:space="preserve"> </w:t>
      </w:r>
      <w:r w:rsidR="00393698" w:rsidRPr="004C47F0">
        <w:t xml:space="preserve">61345 </w:t>
      </w:r>
      <w:r w:rsidR="00CF48C4">
        <w:t xml:space="preserve">and 61357 </w:t>
      </w:r>
      <w:r w:rsidR="00393698" w:rsidRPr="004C47F0">
        <w:t>can</w:t>
      </w:r>
      <w:r w:rsidR="00393698" w:rsidRPr="00C35B1A">
        <w:t>not</w:t>
      </w:r>
      <w:r w:rsidR="00393698">
        <w:t xml:space="preserve"> be provided with new items </w:t>
      </w:r>
      <w:r w:rsidR="00393698" w:rsidRPr="00393698">
        <w:t>61394, 61398, 61406 or 61414</w:t>
      </w:r>
      <w:r w:rsidR="00393698">
        <w:t>.</w:t>
      </w:r>
    </w:p>
    <w:p w14:paraId="3971B5D6" w14:textId="535F430F" w:rsidR="00B325B7" w:rsidRDefault="0006727B" w:rsidP="00B325B7">
      <w:pPr>
        <w:pStyle w:val="ListParagraph"/>
        <w:numPr>
          <w:ilvl w:val="0"/>
          <w:numId w:val="41"/>
        </w:numPr>
      </w:pPr>
      <w:r>
        <w:t>I</w:t>
      </w:r>
      <w:r w:rsidR="00393698">
        <w:t>tem 61349 can be provided if in the previous 24 months, the patient has had a service provided under new item</w:t>
      </w:r>
      <w:r w:rsidR="004541E2">
        <w:t>s</w:t>
      </w:r>
      <w:r w:rsidR="00393698">
        <w:t xml:space="preserve"> </w:t>
      </w:r>
      <w:r w:rsidR="00393698" w:rsidRPr="00393698">
        <w:t xml:space="preserve">61394, 61398, 61406 or </w:t>
      </w:r>
      <w:r w:rsidR="00C35B1A">
        <w:t>6141</w:t>
      </w:r>
      <w:r w:rsidR="00664A25">
        <w:t>4</w:t>
      </w:r>
      <w:r w:rsidR="00393698">
        <w:t xml:space="preserve"> and has undergone a revascularisation procedure.</w:t>
      </w:r>
    </w:p>
    <w:p w14:paraId="32CEBC1A" w14:textId="6E21E3F5" w:rsidR="00B325B7" w:rsidRDefault="00B325B7" w:rsidP="00B325B7"/>
    <w:p w14:paraId="59A9D560" w14:textId="20E1BA85" w:rsidR="004541E2" w:rsidRDefault="00B325B7" w:rsidP="004541E2">
      <w:r>
        <w:t xml:space="preserve">The table lists the following </w:t>
      </w:r>
      <w:r w:rsidR="004C47F0">
        <w:t xml:space="preserve">five </w:t>
      </w:r>
      <w:r>
        <w:t xml:space="preserve">new </w:t>
      </w:r>
      <w:r w:rsidRPr="00B325B7">
        <w:t>MPS</w:t>
      </w:r>
      <w:r>
        <w:t xml:space="preserve"> items </w:t>
      </w:r>
      <w:r w:rsidRPr="00B325B7">
        <w:t xml:space="preserve">which </w:t>
      </w:r>
      <w:r>
        <w:t xml:space="preserve">can </w:t>
      </w:r>
      <w:r w:rsidR="004541E2">
        <w:t>only be provid</w:t>
      </w:r>
      <w:r w:rsidRPr="00B325B7">
        <w:t xml:space="preserve">ed </w:t>
      </w:r>
      <w:r w:rsidR="004C47F0">
        <w:t>if a</w:t>
      </w:r>
      <w:r w:rsidRPr="00B325B7">
        <w:t xml:space="preserve"> stress echocardiography service </w:t>
      </w:r>
      <w:r w:rsidR="004C47F0">
        <w:t>is unable to be provided</w:t>
      </w:r>
      <w:r w:rsidR="00C9247B">
        <w:t xml:space="preserve"> in the area</w:t>
      </w:r>
      <w:r w:rsidR="004C47F0">
        <w:t>, and i</w:t>
      </w:r>
      <w:r w:rsidR="004541E2">
        <w:t xml:space="preserve">f the practice </w:t>
      </w:r>
      <w:r w:rsidRPr="00B325B7">
        <w:t>is located in a Modified Monash 3 to 7 area</w:t>
      </w:r>
      <w:r w:rsidR="004541E2">
        <w:t xml:space="preserve">: </w:t>
      </w:r>
    </w:p>
    <w:p w14:paraId="57A8288D" w14:textId="15D0BCAA" w:rsidR="00B325B7" w:rsidRDefault="00B325B7" w:rsidP="004541E2">
      <w:pPr>
        <w:pStyle w:val="ListParagraph"/>
        <w:numPr>
          <w:ilvl w:val="0"/>
          <w:numId w:val="43"/>
        </w:numPr>
      </w:pPr>
      <w:r>
        <w:t xml:space="preserve">Item 61394 </w:t>
      </w:r>
      <w:r w:rsidRPr="00B325B7">
        <w:t>is for a single stress MPS to investigate cardiac ischemia</w:t>
      </w:r>
      <w:r w:rsidR="00073497">
        <w:t xml:space="preserve">. This service can only be </w:t>
      </w:r>
      <w:r w:rsidR="00B9042F">
        <w:t>requested by a specialist or consultant physician</w:t>
      </w:r>
      <w:r>
        <w:t xml:space="preserve">. </w:t>
      </w:r>
    </w:p>
    <w:p w14:paraId="621D0110" w14:textId="64C5F676" w:rsidR="00B325B7" w:rsidRDefault="00B325B7" w:rsidP="00B325B7">
      <w:pPr>
        <w:pStyle w:val="ListParagraph"/>
        <w:numPr>
          <w:ilvl w:val="0"/>
          <w:numId w:val="42"/>
        </w:numPr>
      </w:pPr>
      <w:r>
        <w:t xml:space="preserve">Item 61398 </w:t>
      </w:r>
      <w:r w:rsidRPr="00B325B7">
        <w:t>is for a combined rest and stress MPS study to investigate cardiac ischemia</w:t>
      </w:r>
      <w:r w:rsidR="00073497">
        <w:t xml:space="preserve">. This service can only be </w:t>
      </w:r>
      <w:r w:rsidR="00B9042F">
        <w:t>requested by a medical practitioner (other than a specialist or consultant physician)</w:t>
      </w:r>
      <w:r w:rsidR="004541E2">
        <w:t>.</w:t>
      </w:r>
    </w:p>
    <w:p w14:paraId="0BDA798A" w14:textId="1FAB793B" w:rsidR="003A3FCA" w:rsidRDefault="00B325B7" w:rsidP="002B1007">
      <w:pPr>
        <w:pStyle w:val="ListParagraph"/>
        <w:numPr>
          <w:ilvl w:val="0"/>
          <w:numId w:val="42"/>
        </w:numPr>
      </w:pPr>
      <w:r>
        <w:lastRenderedPageBreak/>
        <w:t xml:space="preserve">Item 61406 is for a </w:t>
      </w:r>
      <w:r w:rsidRPr="00B325B7">
        <w:t>combined rest and stress MPS study, to allow the comparison of previous myocardial injury (single rest) with evolving myocardial ischemia</w:t>
      </w:r>
      <w:r w:rsidR="00073497">
        <w:t xml:space="preserve">. This service can only be </w:t>
      </w:r>
      <w:r w:rsidR="00B9042F">
        <w:t>requested by a specialist or consultant physician</w:t>
      </w:r>
      <w:r w:rsidR="004541E2">
        <w:t>.</w:t>
      </w:r>
    </w:p>
    <w:p w14:paraId="35174F78" w14:textId="1A502FED" w:rsidR="00B325B7" w:rsidRDefault="00B325B7" w:rsidP="00B325B7">
      <w:pPr>
        <w:pStyle w:val="ListParagraph"/>
        <w:numPr>
          <w:ilvl w:val="0"/>
          <w:numId w:val="42"/>
        </w:numPr>
      </w:pPr>
      <w:r>
        <w:t xml:space="preserve">Item  61410 </w:t>
      </w:r>
      <w:r w:rsidRPr="00B325B7">
        <w:t>is for a repeat combined rest and stress MPS study, which can only be provided once a year to patients with evolving symptoms who are not adequately controlled with optimal medical therapy, following a revascularisation procedure.</w:t>
      </w:r>
      <w:r w:rsidR="00073497">
        <w:t xml:space="preserve"> This service can be requested by any medical practitioner.</w:t>
      </w:r>
    </w:p>
    <w:p w14:paraId="227B50B0" w14:textId="78B25AF8" w:rsidR="00B9042F" w:rsidRPr="00B9042F" w:rsidRDefault="00B325B7" w:rsidP="00B9042F">
      <w:pPr>
        <w:pStyle w:val="ListParagraph"/>
        <w:numPr>
          <w:ilvl w:val="0"/>
          <w:numId w:val="42"/>
        </w:numPr>
      </w:pPr>
      <w:r>
        <w:t xml:space="preserve">Item 61414 is for a </w:t>
      </w:r>
      <w:r w:rsidRPr="00B325B7">
        <w:t>single stress MPS to investigate cardiac ischemia</w:t>
      </w:r>
      <w:r w:rsidR="00073497">
        <w:t xml:space="preserve">. This service can only be </w:t>
      </w:r>
      <w:bookmarkStart w:id="0" w:name="_GoBack"/>
      <w:bookmarkEnd w:id="0"/>
      <w:r w:rsidR="00B9042F">
        <w:t xml:space="preserve">requested by a </w:t>
      </w:r>
      <w:r w:rsidR="00B9042F" w:rsidRPr="00B9042F">
        <w:t>medical practitioner (other than a specialist or consultant physician).</w:t>
      </w:r>
    </w:p>
    <w:p w14:paraId="44858E3E" w14:textId="77777777" w:rsidR="00287104" w:rsidRDefault="00287104" w:rsidP="007F1654"/>
    <w:p w14:paraId="100BA2F9" w14:textId="6C135E2B" w:rsidR="0006727B" w:rsidRDefault="0006727B" w:rsidP="0006727B">
      <w:r w:rsidRPr="00A33029">
        <w:rPr>
          <w:i/>
        </w:rPr>
        <w:t xml:space="preserve">Health Insurance (Section 3C </w:t>
      </w:r>
      <w:r>
        <w:rPr>
          <w:i/>
        </w:rPr>
        <w:t>General Medical</w:t>
      </w:r>
      <w:r w:rsidRPr="00A33029">
        <w:rPr>
          <w:i/>
        </w:rPr>
        <w:t xml:space="preserve"> Services – Cardiac Services) Determination 2020</w:t>
      </w:r>
      <w:r>
        <w:rPr>
          <w:i/>
        </w:rPr>
        <w:t xml:space="preserve"> </w:t>
      </w:r>
      <w:r w:rsidRPr="00A33029">
        <w:t xml:space="preserve">(Principal </w:t>
      </w:r>
      <w:r>
        <w:t xml:space="preserve">GMST </w:t>
      </w:r>
      <w:r w:rsidRPr="00A33029">
        <w:t>Determination)</w:t>
      </w:r>
    </w:p>
    <w:p w14:paraId="00932ACF" w14:textId="72D71274" w:rsidR="00B93BE0" w:rsidRDefault="00B93BE0" w:rsidP="0006727B"/>
    <w:p w14:paraId="3FEBD57D" w14:textId="50A145B5" w:rsidR="00B93BE0" w:rsidRPr="00B93BE0" w:rsidRDefault="00B93BE0" w:rsidP="0006727B">
      <w:pPr>
        <w:rPr>
          <w:b/>
        </w:rPr>
      </w:pPr>
      <w:r w:rsidRPr="00B93BE0">
        <w:rPr>
          <w:b/>
        </w:rPr>
        <w:t>Item [</w:t>
      </w:r>
      <w:r w:rsidR="0070581F">
        <w:rPr>
          <w:b/>
        </w:rPr>
        <w:t>1</w:t>
      </w:r>
      <w:r w:rsidR="004C47F0">
        <w:rPr>
          <w:b/>
        </w:rPr>
        <w:t>0</w:t>
      </w:r>
      <w:r w:rsidRPr="00B93BE0">
        <w:rPr>
          <w:b/>
        </w:rPr>
        <w:t>] – Subsection 6(2)</w:t>
      </w:r>
    </w:p>
    <w:p w14:paraId="625CD3A8" w14:textId="003831B1" w:rsidR="00B93BE0" w:rsidRDefault="00B93BE0" w:rsidP="0006727B">
      <w:r w:rsidRPr="00B93BE0">
        <w:t xml:space="preserve">Section </w:t>
      </w:r>
      <w:r w:rsidR="00E46269">
        <w:t>6</w:t>
      </w:r>
      <w:r w:rsidRPr="00B93BE0">
        <w:t xml:space="preserve"> of the Principal </w:t>
      </w:r>
      <w:r>
        <w:t>GMST</w:t>
      </w:r>
      <w:r w:rsidRPr="00B93BE0">
        <w:t xml:space="preserve"> Determination specifies provisions of the </w:t>
      </w:r>
      <w:r>
        <w:t>general medical</w:t>
      </w:r>
      <w:r w:rsidRPr="00B93BE0">
        <w:t xml:space="preserve"> services table </w:t>
      </w:r>
      <w:r w:rsidR="005369FA">
        <w:t xml:space="preserve">(GMST) </w:t>
      </w:r>
      <w:r w:rsidRPr="00B93BE0">
        <w:t xml:space="preserve">that apply as if items in Schedule 1 of the Principal </w:t>
      </w:r>
      <w:r>
        <w:t xml:space="preserve">GMST </w:t>
      </w:r>
      <w:r w:rsidRPr="00B93BE0">
        <w:t xml:space="preserve">Determination were specified in the relevant provisions of the </w:t>
      </w:r>
      <w:r>
        <w:t>general medical</w:t>
      </w:r>
      <w:r w:rsidRPr="00B93BE0">
        <w:t xml:space="preserve"> services table.</w:t>
      </w:r>
    </w:p>
    <w:p w14:paraId="6E0F234E" w14:textId="77777777" w:rsidR="0070581F" w:rsidRDefault="0070581F" w:rsidP="0006727B"/>
    <w:p w14:paraId="7723C9C3" w14:textId="341E6F8C" w:rsidR="00B93BE0" w:rsidRDefault="00B93BE0" w:rsidP="0006727B">
      <w:r>
        <w:t xml:space="preserve">Item </w:t>
      </w:r>
      <w:r w:rsidR="0070581F">
        <w:t>1</w:t>
      </w:r>
      <w:r w:rsidR="004C47F0">
        <w:t>0</w:t>
      </w:r>
      <w:r w:rsidR="0070581F">
        <w:t xml:space="preserve"> </w:t>
      </w:r>
      <w:r>
        <w:t>repeals and replaces subsection 6(2) to provide that new item 11735</w:t>
      </w:r>
      <w:r w:rsidR="00F46846">
        <w:t>,</w:t>
      </w:r>
      <w:r>
        <w:t xml:space="preserve"> as well as items </w:t>
      </w:r>
      <w:r w:rsidRPr="00B93BE0">
        <w:t>11704, 11707, 11714, 11716, 11717, 11723, 11729</w:t>
      </w:r>
      <w:r>
        <w:t xml:space="preserve"> and</w:t>
      </w:r>
      <w:r w:rsidRPr="00B93BE0">
        <w:t xml:space="preserve"> 11730</w:t>
      </w:r>
      <w:r>
        <w:t xml:space="preserve"> will be treated as if the items were specified in clause 1.2.11 of the </w:t>
      </w:r>
      <w:r w:rsidR="00F46846">
        <w:t>GMST</w:t>
      </w:r>
      <w:r>
        <w:t xml:space="preserve">. </w:t>
      </w:r>
      <w:r w:rsidR="0070581F">
        <w:t xml:space="preserve">Item 11705 is also removed as this service can only be provided by a specialist or consultant physician. </w:t>
      </w:r>
      <w:r w:rsidRPr="00B93BE0">
        <w:t>Clause 1.2.11 prescribes a list of items that can be performed on behalf of a medical practitioner by a non-medical practitioner, providing they are employed by the medical practitioner or perform the service under the supervision of a medical practitioner in accordance with accepted medical practice.</w:t>
      </w:r>
    </w:p>
    <w:p w14:paraId="7BB5B327" w14:textId="1561337A" w:rsidR="00B93BE0" w:rsidRDefault="00B93BE0" w:rsidP="0006727B"/>
    <w:p w14:paraId="4D0083D8" w14:textId="2E157916" w:rsidR="00B93BE0" w:rsidRPr="00BA1817" w:rsidRDefault="00BA1817" w:rsidP="0006727B">
      <w:pPr>
        <w:rPr>
          <w:b/>
        </w:rPr>
      </w:pPr>
      <w:r w:rsidRPr="00BA1817">
        <w:rPr>
          <w:b/>
        </w:rPr>
        <w:t>Item [</w:t>
      </w:r>
      <w:r w:rsidR="0070581F" w:rsidRPr="00BA1817">
        <w:rPr>
          <w:b/>
        </w:rPr>
        <w:t>1</w:t>
      </w:r>
      <w:r w:rsidR="004C47F0">
        <w:rPr>
          <w:b/>
        </w:rPr>
        <w:t>1</w:t>
      </w:r>
      <w:r w:rsidRPr="00BA1817">
        <w:rPr>
          <w:b/>
        </w:rPr>
        <w:t>] – Section 7 (below the heading)</w:t>
      </w:r>
    </w:p>
    <w:p w14:paraId="341E97B3" w14:textId="72E52BF8" w:rsidR="00E26484" w:rsidRDefault="00BA1817" w:rsidP="007F1654">
      <w:r>
        <w:t xml:space="preserve">Section 7 of the Principal GMST Determination provides the condition of how items are to be investigated. Item </w:t>
      </w:r>
      <w:r w:rsidR="0070581F">
        <w:t>1</w:t>
      </w:r>
      <w:r w:rsidR="004C47F0">
        <w:t>1</w:t>
      </w:r>
      <w:r w:rsidR="0070581F">
        <w:t xml:space="preserve"> </w:t>
      </w:r>
      <w:r>
        <w:t>repeals and replaces section 7 to provide how new item 11735</w:t>
      </w:r>
      <w:r w:rsidR="00F46846">
        <w:t>,</w:t>
      </w:r>
      <w:r>
        <w:t xml:space="preserve"> as well as items </w:t>
      </w:r>
      <w:r w:rsidRPr="00BA1817">
        <w:t xml:space="preserve">11716, 11717, 11723 </w:t>
      </w:r>
      <w:r>
        <w:t>and</w:t>
      </w:r>
      <w:r w:rsidRPr="00BA1817">
        <w:t xml:space="preserve"> 11729</w:t>
      </w:r>
      <w:r>
        <w:t xml:space="preserve"> are to be </w:t>
      </w:r>
      <w:r w:rsidR="00E46269">
        <w:t>investigated.</w:t>
      </w:r>
    </w:p>
    <w:p w14:paraId="5C8AAD0B" w14:textId="3CEF3ED9" w:rsidR="00BA1817" w:rsidRDefault="00BA1817" w:rsidP="007F1654"/>
    <w:p w14:paraId="39EEB11E" w14:textId="4EE2EF3A" w:rsidR="00BA1817" w:rsidRDefault="00BA1817" w:rsidP="00BA1817">
      <w:r>
        <w:t>Subsection 7(1) provides that a service to which an item applies can be requested by a requesting practitioner or referred. Subsection 7(2) specifies a service is taken to be referred if the specialist or consultant physician who renders the service</w:t>
      </w:r>
      <w:r w:rsidR="005E6DC0">
        <w:t xml:space="preserve"> manages the ongoing care of the patient, or </w:t>
      </w:r>
      <w:r>
        <w:t>determines the need for a cardiac investigation that has not otherwise been scheduled, or performs a scheduled test but also provides an attendance where clinical management decisions are discussed with the patient. Services in all other circumstances are considered to be requested, per subsection 7(3).</w:t>
      </w:r>
    </w:p>
    <w:p w14:paraId="150DAA29" w14:textId="77777777" w:rsidR="00BA1817" w:rsidRDefault="00BA1817" w:rsidP="00BA1817"/>
    <w:p w14:paraId="380364B2" w14:textId="224F565E" w:rsidR="00E26484" w:rsidRDefault="005E6DC0" w:rsidP="007F1654">
      <w:pPr>
        <w:rPr>
          <w:b/>
        </w:rPr>
      </w:pPr>
      <w:r w:rsidRPr="005E6DC0">
        <w:rPr>
          <w:b/>
        </w:rPr>
        <w:t>Item [</w:t>
      </w:r>
      <w:r w:rsidR="0070581F" w:rsidRPr="005E6DC0">
        <w:rPr>
          <w:b/>
        </w:rPr>
        <w:t>1</w:t>
      </w:r>
      <w:r w:rsidR="004C47F0">
        <w:rPr>
          <w:b/>
        </w:rPr>
        <w:t>2</w:t>
      </w:r>
      <w:r w:rsidRPr="005E6DC0">
        <w:rPr>
          <w:b/>
        </w:rPr>
        <w:t>] – Subsection 8(1) (including the heading)</w:t>
      </w:r>
    </w:p>
    <w:p w14:paraId="5E02AC0F" w14:textId="5B2D13B1" w:rsidR="005E6DC0" w:rsidRDefault="005E6DC0" w:rsidP="007F1654">
      <w:r>
        <w:t xml:space="preserve">Section 8 of the Principal GMST Determination provides restrictions on the provision of services. Item </w:t>
      </w:r>
      <w:r w:rsidR="0070581F">
        <w:t>1</w:t>
      </w:r>
      <w:r w:rsidR="004C47F0">
        <w:t>2</w:t>
      </w:r>
      <w:r w:rsidR="0070581F">
        <w:t xml:space="preserve"> </w:t>
      </w:r>
      <w:r>
        <w:t>repeals and replaces subsection 8(1) (including the heading) to provide that new item 11735</w:t>
      </w:r>
      <w:r w:rsidR="00F46846">
        <w:t>,</w:t>
      </w:r>
      <w:r>
        <w:t xml:space="preserve"> as well as items </w:t>
      </w:r>
      <w:r w:rsidRPr="005E6DC0">
        <w:t>11704, 11707, 11714, 11716, 11717</w:t>
      </w:r>
      <w:r>
        <w:t xml:space="preserve"> and</w:t>
      </w:r>
      <w:r w:rsidRPr="005E6DC0">
        <w:t xml:space="preserve"> 11723</w:t>
      </w:r>
      <w:r>
        <w:t xml:space="preserve"> d</w:t>
      </w:r>
      <w:r w:rsidRPr="005E6DC0">
        <w:t>o not apply where the patient is an “admitted patient” of a hospital</w:t>
      </w:r>
      <w:r>
        <w:t>.</w:t>
      </w:r>
    </w:p>
    <w:p w14:paraId="0D32498A" w14:textId="487D3BF9" w:rsidR="005E6DC0" w:rsidRDefault="005E6DC0" w:rsidP="007F1654"/>
    <w:p w14:paraId="07728E10" w14:textId="1E32EC1F" w:rsidR="005E6DC0" w:rsidRPr="003C12D5" w:rsidRDefault="006F70B6" w:rsidP="007F1654">
      <w:pPr>
        <w:rPr>
          <w:b/>
        </w:rPr>
      </w:pPr>
      <w:r w:rsidRPr="003C12D5">
        <w:rPr>
          <w:b/>
        </w:rPr>
        <w:t>Item [</w:t>
      </w:r>
      <w:r w:rsidR="0070581F">
        <w:rPr>
          <w:b/>
        </w:rPr>
        <w:t>1</w:t>
      </w:r>
      <w:r w:rsidR="004C47F0">
        <w:rPr>
          <w:b/>
        </w:rPr>
        <w:t>3</w:t>
      </w:r>
      <w:r w:rsidRPr="003C12D5">
        <w:rPr>
          <w:b/>
        </w:rPr>
        <w:t>] – Subsection 8(10) (including the heading)</w:t>
      </w:r>
    </w:p>
    <w:p w14:paraId="0B53653D" w14:textId="20440330" w:rsidR="006F70B6" w:rsidRPr="005E6DC0" w:rsidRDefault="006F70B6" w:rsidP="007F1654">
      <w:r>
        <w:t xml:space="preserve">Item </w:t>
      </w:r>
      <w:r w:rsidR="0070581F">
        <w:t>1</w:t>
      </w:r>
      <w:r w:rsidR="004C47F0">
        <w:t>3</w:t>
      </w:r>
      <w:r w:rsidR="0070581F">
        <w:t xml:space="preserve"> </w:t>
      </w:r>
      <w:r>
        <w:t xml:space="preserve">repeals and replaces subsection 8(10) (including the heading) to provide that </w:t>
      </w:r>
      <w:r w:rsidR="003C12D5">
        <w:t xml:space="preserve">where </w:t>
      </w:r>
      <w:r>
        <w:t>new item 11735</w:t>
      </w:r>
      <w:r w:rsidR="00F46846">
        <w:t>,</w:t>
      </w:r>
      <w:r>
        <w:t xml:space="preserve"> as well as items </w:t>
      </w:r>
      <w:r w:rsidRPr="006F70B6">
        <w:t>11716, 11717, 11723</w:t>
      </w:r>
      <w:r>
        <w:t xml:space="preserve"> and</w:t>
      </w:r>
      <w:r w:rsidRPr="006F70B6">
        <w:t xml:space="preserve"> 11729</w:t>
      </w:r>
      <w:r>
        <w:t xml:space="preserve"> </w:t>
      </w:r>
      <w:r w:rsidR="003C12D5">
        <w:t xml:space="preserve">are requested, the service does not </w:t>
      </w:r>
      <w:r w:rsidR="003C12D5">
        <w:lastRenderedPageBreak/>
        <w:t>apply if the medical practitioner has performed a service to which an attendance applies on the same day.</w:t>
      </w:r>
    </w:p>
    <w:p w14:paraId="7E91DD2F" w14:textId="0757F8FC" w:rsidR="00E46EB8" w:rsidRDefault="00E46EB8" w:rsidP="007F1654"/>
    <w:p w14:paraId="54F793F8" w14:textId="68D6C4A3" w:rsidR="00E473EB" w:rsidRDefault="00E473EB" w:rsidP="007F1654">
      <w:pPr>
        <w:rPr>
          <w:b/>
        </w:rPr>
      </w:pPr>
      <w:r w:rsidRPr="00E473EB">
        <w:rPr>
          <w:b/>
        </w:rPr>
        <w:t>Item [</w:t>
      </w:r>
      <w:r w:rsidR="0070581F">
        <w:rPr>
          <w:b/>
        </w:rPr>
        <w:t>1</w:t>
      </w:r>
      <w:r w:rsidR="004C47F0">
        <w:rPr>
          <w:b/>
        </w:rPr>
        <w:t>4</w:t>
      </w:r>
      <w:r w:rsidRPr="00E473EB">
        <w:rPr>
          <w:b/>
        </w:rPr>
        <w:t>] – Schedule 1 (below the heading)</w:t>
      </w:r>
    </w:p>
    <w:p w14:paraId="325E5CE3" w14:textId="25E81822" w:rsidR="00E473EB" w:rsidRDefault="00E473EB" w:rsidP="007F1654">
      <w:r>
        <w:t xml:space="preserve">Item </w:t>
      </w:r>
      <w:r w:rsidR="0070581F">
        <w:t>1</w:t>
      </w:r>
      <w:r w:rsidR="004C47F0">
        <w:t>4</w:t>
      </w:r>
      <w:r w:rsidR="0070581F">
        <w:t xml:space="preserve"> </w:t>
      </w:r>
      <w:r>
        <w:t>repeals and replaces the table with a new table in Schedule 1. The new table amends current items</w:t>
      </w:r>
      <w:r w:rsidR="009E1FC0">
        <w:t xml:space="preserve"> to include co-claiming restrictions</w:t>
      </w:r>
      <w:r>
        <w:t xml:space="preserve"> and inserts one new item 11735</w:t>
      </w:r>
      <w:r w:rsidR="009E1FC0">
        <w:t xml:space="preserve"> for </w:t>
      </w:r>
      <w:r w:rsidR="00E46269">
        <w:t xml:space="preserve">continuous </w:t>
      </w:r>
      <w:r w:rsidR="009E1FC0">
        <w:t>electrocardiogram</w:t>
      </w:r>
      <w:r w:rsidR="009E1FC0" w:rsidRPr="009E1FC0">
        <w:t xml:space="preserve"> (ECG) monitoring</w:t>
      </w:r>
      <w:r w:rsidR="009E1FC0">
        <w:t>.</w:t>
      </w:r>
    </w:p>
    <w:p w14:paraId="15A2F033" w14:textId="77777777" w:rsidR="00E473EB" w:rsidRDefault="00E473EB" w:rsidP="007F1654"/>
    <w:p w14:paraId="33C07164" w14:textId="6529CBB1" w:rsidR="00E473EB" w:rsidRDefault="00E473EB" w:rsidP="00CD25BC">
      <w:r>
        <w:t xml:space="preserve">The item descriptor of current items 11704, 11705, 11707, 11714, 11716, 11717 and 11723 </w:t>
      </w:r>
      <w:r w:rsidR="00CD25BC">
        <w:t xml:space="preserve">is amended </w:t>
      </w:r>
      <w:r>
        <w:t xml:space="preserve">to provide that these services cannot be provided in association with sleep study services under items </w:t>
      </w:r>
      <w:r w:rsidRPr="00E473EB">
        <w:t>12203, 12204, 12205, 12207, 12208, 12210, 12213, 12215, 12217 or 12250</w:t>
      </w:r>
      <w:r>
        <w:t>.</w:t>
      </w:r>
      <w:r w:rsidR="00CD25BC">
        <w:t xml:space="preserve"> The item descriptor of items 11729 and 11730 is amended to include a restriction that these services cannot be provided if a service under new cardiac diagnostic imaging items </w:t>
      </w:r>
      <w:r w:rsidR="00CD25BC" w:rsidRPr="00CD25BC">
        <w:t xml:space="preserve">61349, 61398, 61406, 61410 </w:t>
      </w:r>
      <w:r w:rsidR="00CD25BC">
        <w:t>or</w:t>
      </w:r>
      <w:r w:rsidR="00CD25BC" w:rsidRPr="00CD25BC">
        <w:t xml:space="preserve"> 61414</w:t>
      </w:r>
      <w:r w:rsidR="00CD25BC">
        <w:t xml:space="preserve"> was performed within 24 months.</w:t>
      </w:r>
      <w:r w:rsidR="0070581F">
        <w:t xml:space="preserve"> Co-claiming restrictions have also been applied to current items 11716, 11717, 11723 and 11735 to a</w:t>
      </w:r>
      <w:r w:rsidR="00B205F7">
        <w:t>lign with</w:t>
      </w:r>
      <w:r w:rsidR="0070581F">
        <w:t xml:space="preserve"> </w:t>
      </w:r>
      <w:r w:rsidR="00C9247B">
        <w:t xml:space="preserve">best </w:t>
      </w:r>
      <w:r w:rsidR="0070581F">
        <w:t xml:space="preserve">clinical practice. </w:t>
      </w:r>
    </w:p>
    <w:p w14:paraId="3A9A5E08" w14:textId="11D8E588" w:rsidR="00CD25BC" w:rsidRDefault="00CD25BC" w:rsidP="00CD25BC"/>
    <w:p w14:paraId="48EA5E88" w14:textId="6352A834" w:rsidR="00CD25BC" w:rsidRDefault="00ED4B95" w:rsidP="00CD25BC">
      <w:r>
        <w:t xml:space="preserve">New item 11735 is for continuous ECG </w:t>
      </w:r>
      <w:r w:rsidR="000C3686">
        <w:t>recording of</w:t>
      </w:r>
      <w:r>
        <w:t xml:space="preserve"> ambulatory patients</w:t>
      </w:r>
      <w:r w:rsidR="000C3686">
        <w:t xml:space="preserve"> for </w:t>
      </w:r>
      <w:r w:rsidR="00B205F7">
        <w:t xml:space="preserve">seven </w:t>
      </w:r>
      <w:r w:rsidR="000C3686">
        <w:t>days</w:t>
      </w:r>
      <w:r>
        <w:t>, to investigate abnormal rhythms</w:t>
      </w:r>
      <w:r w:rsidR="000C3686">
        <w:t xml:space="preserve">, </w:t>
      </w:r>
      <w:r w:rsidR="000C3686" w:rsidRPr="000C3686">
        <w:t>in particular when episodes are infrequent but significant</w:t>
      </w:r>
      <w:r>
        <w:t xml:space="preserve">. </w:t>
      </w:r>
      <w:r w:rsidR="000C3686">
        <w:t xml:space="preserve">This service will be automated, which would remove </w:t>
      </w:r>
      <w:r w:rsidR="000C3686" w:rsidRPr="000C3686">
        <w:t>inaccurate activation by patients at the time of symptom onset</w:t>
      </w:r>
      <w:r w:rsidR="00B9042F">
        <w:t>, but still allow activation if the patient is aware of symptoms</w:t>
      </w:r>
      <w:r w:rsidR="000C3686">
        <w:t>.</w:t>
      </w:r>
    </w:p>
    <w:p w14:paraId="1492FE22" w14:textId="19021F90" w:rsidR="00E473EB" w:rsidRDefault="00E473EB" w:rsidP="007F1654"/>
    <w:p w14:paraId="01819030" w14:textId="77777777" w:rsidR="00E473EB" w:rsidRPr="00E473EB" w:rsidRDefault="00E473EB" w:rsidP="007F1654"/>
    <w:p w14:paraId="5BB09616" w14:textId="6C9060D7" w:rsidR="003257C1" w:rsidRDefault="003257C1">
      <w:pPr>
        <w:spacing w:after="200" w:line="276" w:lineRule="auto"/>
        <w:rPr>
          <w:b/>
          <w:sz w:val="28"/>
          <w:szCs w:val="28"/>
        </w:rPr>
      </w:pPr>
      <w:r>
        <w:rPr>
          <w:b/>
          <w:sz w:val="28"/>
          <w:szCs w:val="28"/>
        </w:rPr>
        <w:br w:type="page"/>
      </w:r>
    </w:p>
    <w:p w14:paraId="796D727D" w14:textId="41E079E1" w:rsidR="00C67460" w:rsidRPr="0071124D" w:rsidRDefault="00C67460" w:rsidP="0071124D">
      <w:pPr>
        <w:shd w:val="clear" w:color="auto" w:fill="FFFFFF"/>
        <w:spacing w:before="100" w:beforeAutospacing="1" w:after="100" w:afterAutospacing="1"/>
        <w:jc w:val="center"/>
        <w:rPr>
          <w:szCs w:val="24"/>
        </w:rPr>
      </w:pPr>
      <w:r w:rsidRPr="00B86A9F">
        <w:rPr>
          <w:b/>
          <w:sz w:val="28"/>
          <w:szCs w:val="28"/>
        </w:rPr>
        <w:lastRenderedPageBreak/>
        <w:t>Statement of Compatibility with Human Rights</w:t>
      </w:r>
    </w:p>
    <w:p w14:paraId="76CE15CD" w14:textId="77777777" w:rsidR="00C67460" w:rsidRPr="00B86A9F" w:rsidRDefault="00C67460" w:rsidP="00C67460">
      <w:pPr>
        <w:spacing w:before="120" w:after="120"/>
        <w:jc w:val="center"/>
        <w:rPr>
          <w:szCs w:val="24"/>
        </w:rPr>
      </w:pPr>
      <w:r w:rsidRPr="00B86A9F">
        <w:rPr>
          <w:i/>
          <w:szCs w:val="24"/>
        </w:rPr>
        <w:t>Prepared in accordance with Part 3 of the Human Rights (Parliamentary Scrutiny) Act 2011</w:t>
      </w:r>
    </w:p>
    <w:p w14:paraId="67D4B8CB" w14:textId="77777777" w:rsidR="00C354FC" w:rsidRDefault="00C354FC" w:rsidP="00441339">
      <w:pPr>
        <w:jc w:val="center"/>
        <w:rPr>
          <w:i/>
        </w:rPr>
      </w:pPr>
    </w:p>
    <w:p w14:paraId="0FFE4FB8" w14:textId="3055D4E2" w:rsidR="00C67460" w:rsidRPr="00C06753" w:rsidRDefault="009D2CE3" w:rsidP="00441339">
      <w:pPr>
        <w:jc w:val="center"/>
        <w:rPr>
          <w:i/>
          <w:szCs w:val="24"/>
        </w:rPr>
      </w:pPr>
      <w:r w:rsidRPr="00C06753">
        <w:rPr>
          <w:i/>
        </w:rPr>
        <w:t xml:space="preserve">Health Insurance Legislation Amendment (Section 3C – </w:t>
      </w:r>
      <w:r w:rsidR="00C71431" w:rsidRPr="00C06753">
        <w:rPr>
          <w:i/>
        </w:rPr>
        <w:t>Cardiac</w:t>
      </w:r>
      <w:r w:rsidRPr="00C06753">
        <w:rPr>
          <w:i/>
        </w:rPr>
        <w:t xml:space="preserve"> Services) Determination 2020</w:t>
      </w:r>
      <w:r w:rsidR="00C67460" w:rsidRPr="00C06753">
        <w:rPr>
          <w:i/>
          <w:szCs w:val="24"/>
        </w:rPr>
        <w:br/>
      </w:r>
    </w:p>
    <w:p w14:paraId="2A44F74C" w14:textId="418C7B44" w:rsidR="00C67460" w:rsidRPr="00B86A9F" w:rsidRDefault="00C67460" w:rsidP="00C67460">
      <w:pPr>
        <w:jc w:val="center"/>
        <w:rPr>
          <w:szCs w:val="24"/>
        </w:rPr>
      </w:pPr>
      <w:r w:rsidRPr="00B86A9F">
        <w:rPr>
          <w:szCs w:val="24"/>
        </w:rPr>
        <w:t xml:space="preserve">This </w:t>
      </w:r>
      <w:r w:rsidR="00535742">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6ECEAD35" w14:textId="77777777" w:rsidR="00C67460" w:rsidRPr="003E6F8B" w:rsidRDefault="00C67460" w:rsidP="00CD6C5E">
      <w:pPr>
        <w:spacing w:before="120" w:after="120"/>
        <w:rPr>
          <w:b/>
          <w:szCs w:val="24"/>
        </w:rPr>
      </w:pPr>
      <w:r w:rsidRPr="003E6F8B">
        <w:rPr>
          <w:b/>
          <w:szCs w:val="24"/>
        </w:rPr>
        <w:t>Overview of the Determination</w:t>
      </w:r>
    </w:p>
    <w:p w14:paraId="02B69B44" w14:textId="77777777" w:rsidR="003E6F8B" w:rsidRPr="00964083" w:rsidRDefault="003E6F8B" w:rsidP="003E6F8B">
      <w:pPr>
        <w:spacing w:before="120" w:after="120"/>
        <w:rPr>
          <w:szCs w:val="24"/>
        </w:rPr>
      </w:pPr>
      <w:r w:rsidRPr="003E6F8B">
        <w:rPr>
          <w:szCs w:val="24"/>
        </w:rPr>
        <w:t>The</w:t>
      </w:r>
      <w:r>
        <w:t xml:space="preserve"> purpose of the </w:t>
      </w:r>
      <w:r w:rsidRPr="00BC7046">
        <w:rPr>
          <w:i/>
        </w:rPr>
        <w:t xml:space="preserve">Health Insurance Legislation Amendment (Section 3C – </w:t>
      </w:r>
      <w:r>
        <w:rPr>
          <w:i/>
        </w:rPr>
        <w:t>Cardiac</w:t>
      </w:r>
      <w:r w:rsidRPr="00BC7046">
        <w:rPr>
          <w:i/>
        </w:rPr>
        <w:t xml:space="preserve"> Services) Determination 2020</w:t>
      </w:r>
      <w:r>
        <w:rPr>
          <w:i/>
        </w:rPr>
        <w:t xml:space="preserve"> </w:t>
      </w:r>
      <w:r>
        <w:t xml:space="preserve">(the Determination) is </w:t>
      </w:r>
      <w:r>
        <w:rPr>
          <w:szCs w:val="24"/>
        </w:rPr>
        <w:t xml:space="preserve">to amend the </w:t>
      </w:r>
      <w:r w:rsidRPr="00964083">
        <w:rPr>
          <w:i/>
          <w:iCs/>
          <w:szCs w:val="24"/>
        </w:rPr>
        <w:t>Health Insurance (Section 3C Diagnostic Imaging Services – Cardiac Services) Determination 2020</w:t>
      </w:r>
      <w:r>
        <w:rPr>
          <w:i/>
          <w:iCs/>
          <w:szCs w:val="24"/>
        </w:rPr>
        <w:t xml:space="preserve"> </w:t>
      </w:r>
      <w:r>
        <w:rPr>
          <w:iCs/>
          <w:szCs w:val="24"/>
        </w:rPr>
        <w:t xml:space="preserve">(Principal DIST Determination) and the </w:t>
      </w:r>
      <w:r w:rsidRPr="00964083">
        <w:rPr>
          <w:i/>
          <w:iCs/>
          <w:szCs w:val="24"/>
        </w:rPr>
        <w:t>Health Insurance (Section 3C General Medical Services – Cardiac Services) Determination 2020</w:t>
      </w:r>
      <w:r>
        <w:rPr>
          <w:i/>
          <w:iCs/>
          <w:szCs w:val="24"/>
        </w:rPr>
        <w:t xml:space="preserve"> </w:t>
      </w:r>
      <w:r>
        <w:rPr>
          <w:iCs/>
          <w:szCs w:val="24"/>
        </w:rPr>
        <w:t>(Principal GMST Determination). The Determination will amend some existing cardiac items to clarify the intent and will list six new items for cardiac services.</w:t>
      </w:r>
    </w:p>
    <w:p w14:paraId="326F2757" w14:textId="77777777" w:rsidR="003E6F8B" w:rsidRDefault="003E6F8B" w:rsidP="003E6F8B">
      <w:pPr>
        <w:rPr>
          <w:iCs/>
          <w:szCs w:val="24"/>
        </w:rPr>
      </w:pPr>
    </w:p>
    <w:p w14:paraId="6D4511D1" w14:textId="77777777" w:rsidR="003E6F8B" w:rsidRDefault="003E6F8B" w:rsidP="003E6F8B">
      <w:pPr>
        <w:rPr>
          <w:iCs/>
          <w:szCs w:val="24"/>
        </w:rPr>
      </w:pPr>
      <w:r w:rsidRPr="00C231A3">
        <w:rPr>
          <w:iCs/>
          <w:szCs w:val="24"/>
        </w:rPr>
        <w:t xml:space="preserve">In the 2018-19 Mid-Year Economic and Fiscal Outlook (MYEFO) under the </w:t>
      </w:r>
      <w:r w:rsidRPr="00C231A3">
        <w:rPr>
          <w:i/>
          <w:iCs/>
          <w:szCs w:val="24"/>
        </w:rPr>
        <w:t>Guaranteeing Medicare – strengthening primary care</w:t>
      </w:r>
      <w:r w:rsidRPr="00C231A3">
        <w:rPr>
          <w:iCs/>
          <w:szCs w:val="24"/>
        </w:rPr>
        <w:t xml:space="preserve"> measure, the Government agreed to </w:t>
      </w:r>
      <w:r>
        <w:rPr>
          <w:iCs/>
          <w:szCs w:val="24"/>
        </w:rPr>
        <w:t>some</w:t>
      </w:r>
      <w:r w:rsidRPr="00C231A3">
        <w:rPr>
          <w:iCs/>
          <w:szCs w:val="24"/>
        </w:rPr>
        <w:t xml:space="preserve"> recommendations made by the clinician-led M</w:t>
      </w:r>
      <w:r>
        <w:rPr>
          <w:iCs/>
          <w:szCs w:val="24"/>
        </w:rPr>
        <w:t xml:space="preserve">edicare </w:t>
      </w:r>
      <w:r w:rsidRPr="00C231A3">
        <w:rPr>
          <w:iCs/>
          <w:szCs w:val="24"/>
        </w:rPr>
        <w:t>B</w:t>
      </w:r>
      <w:r>
        <w:rPr>
          <w:iCs/>
          <w:szCs w:val="24"/>
        </w:rPr>
        <w:t xml:space="preserve">enefits </w:t>
      </w:r>
      <w:r w:rsidRPr="00C231A3">
        <w:rPr>
          <w:iCs/>
          <w:szCs w:val="24"/>
        </w:rPr>
        <w:t>S</w:t>
      </w:r>
      <w:r>
        <w:rPr>
          <w:iCs/>
          <w:szCs w:val="24"/>
        </w:rPr>
        <w:t>chedule</w:t>
      </w:r>
      <w:r w:rsidRPr="00C231A3">
        <w:rPr>
          <w:iCs/>
          <w:szCs w:val="24"/>
        </w:rPr>
        <w:t xml:space="preserve"> Review Taskforce (the Taskforce) to cardiac services.</w:t>
      </w:r>
    </w:p>
    <w:p w14:paraId="0DC96E46" w14:textId="77777777" w:rsidR="003E6F8B" w:rsidRDefault="003E6F8B" w:rsidP="003E6F8B">
      <w:pPr>
        <w:rPr>
          <w:iCs/>
          <w:szCs w:val="24"/>
        </w:rPr>
      </w:pPr>
    </w:p>
    <w:p w14:paraId="039823EA" w14:textId="77777777" w:rsidR="003E6F8B" w:rsidRDefault="003E6F8B" w:rsidP="003E6F8B">
      <w:pPr>
        <w:rPr>
          <w:iCs/>
          <w:szCs w:val="24"/>
        </w:rPr>
      </w:pPr>
      <w:r>
        <w:rPr>
          <w:iCs/>
          <w:szCs w:val="24"/>
        </w:rPr>
        <w:t xml:space="preserve">On 1 August 2020, the Principal DIST Determination listed 19 new </w:t>
      </w:r>
      <w:r w:rsidRPr="00227BB1">
        <w:rPr>
          <w:iCs/>
          <w:szCs w:val="24"/>
        </w:rPr>
        <w:t>items for cardiac diagnostic imaging services</w:t>
      </w:r>
      <w:r>
        <w:rPr>
          <w:iCs/>
          <w:szCs w:val="24"/>
        </w:rPr>
        <w:t xml:space="preserve">, and the Principal GMST Determination listed ten new items for </w:t>
      </w:r>
      <w:r w:rsidRPr="00227BB1">
        <w:rPr>
          <w:iCs/>
          <w:szCs w:val="24"/>
        </w:rPr>
        <w:t>cardiac investigation services</w:t>
      </w:r>
      <w:r>
        <w:rPr>
          <w:iCs/>
          <w:szCs w:val="24"/>
        </w:rPr>
        <w:t>.</w:t>
      </w:r>
    </w:p>
    <w:p w14:paraId="7EA6691F" w14:textId="77777777" w:rsidR="003E6F8B" w:rsidRDefault="003E6F8B" w:rsidP="003E6F8B">
      <w:pPr>
        <w:rPr>
          <w:iCs/>
          <w:szCs w:val="24"/>
        </w:rPr>
      </w:pPr>
    </w:p>
    <w:p w14:paraId="511BD567" w14:textId="77777777" w:rsidR="003E6F8B" w:rsidRPr="00606339" w:rsidRDefault="003E6F8B" w:rsidP="003E6F8B">
      <w:pPr>
        <w:rPr>
          <w:b/>
          <w:i/>
          <w:iCs/>
          <w:szCs w:val="24"/>
        </w:rPr>
      </w:pPr>
      <w:r>
        <w:rPr>
          <w:b/>
          <w:i/>
          <w:iCs/>
          <w:szCs w:val="24"/>
        </w:rPr>
        <w:t>Amendments</w:t>
      </w:r>
      <w:r w:rsidRPr="00606339">
        <w:rPr>
          <w:b/>
          <w:i/>
          <w:iCs/>
          <w:szCs w:val="24"/>
        </w:rPr>
        <w:t xml:space="preserve"> made to the Principal DIST Determination</w:t>
      </w:r>
    </w:p>
    <w:p w14:paraId="33D6B619" w14:textId="77777777" w:rsidR="003E6F8B" w:rsidRDefault="003E6F8B" w:rsidP="003E6F8B">
      <w:pPr>
        <w:rPr>
          <w:iCs/>
          <w:szCs w:val="24"/>
        </w:rPr>
      </w:pPr>
      <w:r>
        <w:rPr>
          <w:iCs/>
          <w:szCs w:val="24"/>
        </w:rPr>
        <w:t xml:space="preserve">The Determination will amend the Principal DIST Determination to list five new </w:t>
      </w:r>
      <w:r w:rsidRPr="00227BB1">
        <w:rPr>
          <w:iCs/>
          <w:szCs w:val="24"/>
        </w:rPr>
        <w:t>myocardial perfusion stud</w:t>
      </w:r>
      <w:r>
        <w:rPr>
          <w:iCs/>
          <w:szCs w:val="24"/>
        </w:rPr>
        <w:t>y</w:t>
      </w:r>
      <w:r w:rsidRPr="00227BB1">
        <w:rPr>
          <w:iCs/>
          <w:szCs w:val="24"/>
        </w:rPr>
        <w:t xml:space="preserve"> (MPS) items </w:t>
      </w:r>
      <w:r>
        <w:rPr>
          <w:iCs/>
          <w:szCs w:val="24"/>
        </w:rPr>
        <w:t>(</w:t>
      </w:r>
      <w:r w:rsidRPr="00227BB1">
        <w:rPr>
          <w:iCs/>
          <w:szCs w:val="24"/>
        </w:rPr>
        <w:t>61394, 61398, 61406, 61410</w:t>
      </w:r>
      <w:r>
        <w:rPr>
          <w:iCs/>
          <w:szCs w:val="24"/>
        </w:rPr>
        <w:t xml:space="preserve"> and</w:t>
      </w:r>
      <w:r w:rsidRPr="00227BB1">
        <w:rPr>
          <w:iCs/>
          <w:szCs w:val="24"/>
        </w:rPr>
        <w:t xml:space="preserve"> 61414</w:t>
      </w:r>
      <w:r>
        <w:rPr>
          <w:iCs/>
          <w:szCs w:val="24"/>
        </w:rPr>
        <w:t xml:space="preserve">). The new items will </w:t>
      </w:r>
      <w:r w:rsidRPr="00790F8B">
        <w:rPr>
          <w:iCs/>
          <w:szCs w:val="24"/>
        </w:rPr>
        <w:t xml:space="preserve">allow patients to access MPS services where stress echocardiography services </w:t>
      </w:r>
      <w:r>
        <w:rPr>
          <w:iCs/>
          <w:szCs w:val="24"/>
        </w:rPr>
        <w:t xml:space="preserve">are not readily available. The new </w:t>
      </w:r>
      <w:r w:rsidRPr="00FC3E5C">
        <w:rPr>
          <w:iCs/>
          <w:szCs w:val="24"/>
        </w:rPr>
        <w:t>services will benefit patients who live in rural or remote areas</w:t>
      </w:r>
      <w:r>
        <w:rPr>
          <w:iCs/>
          <w:szCs w:val="24"/>
        </w:rPr>
        <w:t xml:space="preserve"> (as defined by Modified Monash 3 to 7 areas)</w:t>
      </w:r>
      <w:r w:rsidRPr="00FC3E5C">
        <w:rPr>
          <w:iCs/>
          <w:szCs w:val="24"/>
        </w:rPr>
        <w:t xml:space="preserve"> and who are unable to access </w:t>
      </w:r>
      <w:r>
        <w:rPr>
          <w:iCs/>
          <w:szCs w:val="24"/>
        </w:rPr>
        <w:t xml:space="preserve">a </w:t>
      </w:r>
      <w:r w:rsidRPr="00FC3E5C">
        <w:rPr>
          <w:iCs/>
          <w:szCs w:val="24"/>
        </w:rPr>
        <w:t>stress echocardiography service</w:t>
      </w:r>
      <w:r>
        <w:rPr>
          <w:iCs/>
          <w:szCs w:val="24"/>
        </w:rPr>
        <w:t xml:space="preserve"> as the first line investigation</w:t>
      </w:r>
      <w:r w:rsidRPr="00FC3E5C">
        <w:rPr>
          <w:iCs/>
          <w:szCs w:val="24"/>
        </w:rPr>
        <w:t>.</w:t>
      </w:r>
      <w:r>
        <w:rPr>
          <w:iCs/>
          <w:szCs w:val="24"/>
        </w:rPr>
        <w:t xml:space="preserve"> </w:t>
      </w:r>
    </w:p>
    <w:p w14:paraId="4F14A337" w14:textId="77777777" w:rsidR="003E6F8B" w:rsidRDefault="003E6F8B" w:rsidP="003E6F8B">
      <w:pPr>
        <w:rPr>
          <w:iCs/>
          <w:szCs w:val="24"/>
        </w:rPr>
      </w:pPr>
    </w:p>
    <w:p w14:paraId="65C64F6B" w14:textId="77777777" w:rsidR="003E6F8B" w:rsidRDefault="003E6F8B" w:rsidP="003E6F8B">
      <w:pPr>
        <w:rPr>
          <w:iCs/>
          <w:szCs w:val="24"/>
        </w:rPr>
      </w:pPr>
      <w:r>
        <w:rPr>
          <w:iCs/>
          <w:szCs w:val="24"/>
        </w:rPr>
        <w:t xml:space="preserve">The Determination will also amend existing </w:t>
      </w:r>
      <w:r w:rsidRPr="00C023A0">
        <w:rPr>
          <w:iCs/>
          <w:szCs w:val="24"/>
        </w:rPr>
        <w:t>cardiac diagnostic imaging</w:t>
      </w:r>
      <w:r>
        <w:rPr>
          <w:iCs/>
          <w:szCs w:val="24"/>
        </w:rPr>
        <w:t xml:space="preserve"> items </w:t>
      </w:r>
      <w:r w:rsidRPr="00C023A0">
        <w:rPr>
          <w:iCs/>
          <w:szCs w:val="24"/>
        </w:rPr>
        <w:t>to clarify that the provision of the service can include planar imaging, as opposed to the requirement that planar imaging must be provided.</w:t>
      </w:r>
      <w:r>
        <w:rPr>
          <w:iCs/>
          <w:szCs w:val="24"/>
        </w:rPr>
        <w:t xml:space="preserve"> Co-claiming restrictions against the new items will be added.</w:t>
      </w:r>
    </w:p>
    <w:p w14:paraId="03E19EEE" w14:textId="77777777" w:rsidR="003E6F8B" w:rsidRDefault="003E6F8B" w:rsidP="003E6F8B">
      <w:pPr>
        <w:rPr>
          <w:iCs/>
          <w:szCs w:val="24"/>
        </w:rPr>
      </w:pPr>
    </w:p>
    <w:p w14:paraId="019AC8E3" w14:textId="77777777" w:rsidR="003E6F8B" w:rsidRPr="00606339" w:rsidRDefault="003E6F8B" w:rsidP="003E6F8B">
      <w:pPr>
        <w:rPr>
          <w:b/>
          <w:i/>
          <w:iCs/>
          <w:szCs w:val="24"/>
        </w:rPr>
      </w:pPr>
      <w:r>
        <w:rPr>
          <w:b/>
          <w:i/>
          <w:iCs/>
          <w:szCs w:val="24"/>
        </w:rPr>
        <w:t>Amendments</w:t>
      </w:r>
      <w:r w:rsidRPr="00606339">
        <w:rPr>
          <w:b/>
          <w:i/>
          <w:iCs/>
          <w:szCs w:val="24"/>
        </w:rPr>
        <w:t xml:space="preserve"> made to the Principal </w:t>
      </w:r>
      <w:r>
        <w:rPr>
          <w:b/>
          <w:i/>
          <w:iCs/>
          <w:szCs w:val="24"/>
        </w:rPr>
        <w:t>GMST</w:t>
      </w:r>
      <w:r w:rsidRPr="00606339">
        <w:rPr>
          <w:b/>
          <w:i/>
          <w:iCs/>
          <w:szCs w:val="24"/>
        </w:rPr>
        <w:t xml:space="preserve"> Determination</w:t>
      </w:r>
    </w:p>
    <w:p w14:paraId="2A195753" w14:textId="77777777" w:rsidR="003E6F8B" w:rsidRDefault="003E6F8B" w:rsidP="003E6F8B">
      <w:pPr>
        <w:rPr>
          <w:iCs/>
          <w:szCs w:val="24"/>
        </w:rPr>
      </w:pPr>
      <w:r w:rsidRPr="00C023A0">
        <w:rPr>
          <w:iCs/>
          <w:szCs w:val="24"/>
        </w:rPr>
        <w:t xml:space="preserve">The Determination will amend the Principal </w:t>
      </w:r>
      <w:r>
        <w:rPr>
          <w:iCs/>
          <w:szCs w:val="24"/>
        </w:rPr>
        <w:t>GMST</w:t>
      </w:r>
      <w:r w:rsidRPr="00C023A0">
        <w:rPr>
          <w:iCs/>
          <w:szCs w:val="24"/>
        </w:rPr>
        <w:t xml:space="preserve"> Determination</w:t>
      </w:r>
      <w:r>
        <w:rPr>
          <w:iCs/>
          <w:szCs w:val="24"/>
        </w:rPr>
        <w:t xml:space="preserve"> to list one new item 11735 for </w:t>
      </w:r>
      <w:r w:rsidRPr="00C023A0">
        <w:rPr>
          <w:iCs/>
          <w:szCs w:val="24"/>
        </w:rPr>
        <w:t>continuous electrocardiogram monitoring</w:t>
      </w:r>
      <w:r>
        <w:rPr>
          <w:iCs/>
          <w:szCs w:val="24"/>
        </w:rPr>
        <w:t xml:space="preserve"> and to amend existing items to include co-claiming restrictions.</w:t>
      </w:r>
    </w:p>
    <w:p w14:paraId="2937E119" w14:textId="77777777" w:rsidR="003E6F8B" w:rsidRDefault="003E6F8B" w:rsidP="003E6F8B">
      <w:pPr>
        <w:rPr>
          <w:iCs/>
          <w:szCs w:val="24"/>
        </w:rPr>
      </w:pPr>
    </w:p>
    <w:p w14:paraId="5FC3482C" w14:textId="77777777" w:rsidR="003E6F8B" w:rsidRDefault="003E6F8B" w:rsidP="003E6F8B">
      <w:pPr>
        <w:rPr>
          <w:b/>
          <w:i/>
          <w:iCs/>
          <w:szCs w:val="24"/>
        </w:rPr>
      </w:pPr>
      <w:r>
        <w:rPr>
          <w:iCs/>
          <w:szCs w:val="24"/>
        </w:rPr>
        <w:t xml:space="preserve">New item 11735 </w:t>
      </w:r>
      <w:r w:rsidRPr="00C023A0">
        <w:rPr>
          <w:iCs/>
          <w:szCs w:val="24"/>
        </w:rPr>
        <w:t xml:space="preserve">is for continuous electrocardiogram recording of an ambulatory patient for </w:t>
      </w:r>
      <w:r>
        <w:rPr>
          <w:iCs/>
          <w:szCs w:val="24"/>
        </w:rPr>
        <w:t>seven</w:t>
      </w:r>
      <w:r w:rsidRPr="00C023A0">
        <w:rPr>
          <w:iCs/>
          <w:szCs w:val="24"/>
        </w:rPr>
        <w:t xml:space="preserve"> days utilising intelligent microprocessor</w:t>
      </w:r>
      <w:r>
        <w:rPr>
          <w:iCs/>
          <w:szCs w:val="24"/>
        </w:rPr>
        <w:t>-</w:t>
      </w:r>
      <w:r w:rsidRPr="00C023A0">
        <w:rPr>
          <w:iCs/>
          <w:szCs w:val="24"/>
        </w:rPr>
        <w:t>based monitoring.</w:t>
      </w:r>
      <w:r>
        <w:rPr>
          <w:iCs/>
          <w:szCs w:val="24"/>
        </w:rPr>
        <w:t xml:space="preserve"> This service will provide an additional service using this technology, </w:t>
      </w:r>
      <w:r w:rsidRPr="00BD2A97">
        <w:rPr>
          <w:iCs/>
          <w:szCs w:val="24"/>
        </w:rPr>
        <w:t xml:space="preserve">which can record continuously for up to 30 days if required, thereby </w:t>
      </w:r>
      <w:r>
        <w:rPr>
          <w:iCs/>
          <w:szCs w:val="24"/>
        </w:rPr>
        <w:t xml:space="preserve">providing appropriate monitoring and improving patient care. </w:t>
      </w:r>
    </w:p>
    <w:p w14:paraId="61B49823" w14:textId="77777777" w:rsidR="003E6F8B" w:rsidRDefault="003E6F8B" w:rsidP="003E6F8B">
      <w:pPr>
        <w:rPr>
          <w:b/>
          <w:i/>
          <w:iCs/>
          <w:szCs w:val="24"/>
        </w:rPr>
      </w:pPr>
    </w:p>
    <w:p w14:paraId="30F5FE8B" w14:textId="77777777" w:rsidR="00832304" w:rsidRDefault="00832304" w:rsidP="00832304">
      <w:pPr>
        <w:rPr>
          <w:iCs/>
          <w:szCs w:val="24"/>
        </w:rPr>
      </w:pPr>
    </w:p>
    <w:p w14:paraId="6CF1FB14" w14:textId="40F72B9B" w:rsidR="00C67460" w:rsidRPr="00B86A9F" w:rsidRDefault="00C67460" w:rsidP="00C9247B">
      <w:pPr>
        <w:rPr>
          <w:b/>
          <w:szCs w:val="24"/>
        </w:rPr>
      </w:pPr>
      <w:r w:rsidRPr="00B86A9F">
        <w:rPr>
          <w:b/>
          <w:szCs w:val="24"/>
        </w:rPr>
        <w:lastRenderedPageBreak/>
        <w:t>Human rights implications</w:t>
      </w:r>
    </w:p>
    <w:p w14:paraId="37CAF162" w14:textId="77777777" w:rsidR="00B21A1B" w:rsidRPr="00B86A9F" w:rsidRDefault="00B21A1B" w:rsidP="00B21A1B">
      <w:pPr>
        <w:spacing w:before="120" w:after="120"/>
        <w:rPr>
          <w:szCs w:val="24"/>
        </w:rPr>
      </w:pPr>
      <w:r w:rsidRPr="00B86A9F">
        <w:rPr>
          <w:szCs w:val="24"/>
        </w:rPr>
        <w:t>Th</w:t>
      </w:r>
      <w:r>
        <w:rPr>
          <w:szCs w:val="24"/>
        </w:rPr>
        <w:t>is</w:t>
      </w:r>
      <w:r w:rsidRPr="00B86A9F">
        <w:rPr>
          <w:szCs w:val="24"/>
        </w:rPr>
        <w:t xml:space="preserve"> </w:t>
      </w:r>
      <w:r>
        <w:rPr>
          <w:szCs w:val="24"/>
        </w:rPr>
        <w:t xml:space="preserve">Determination </w:t>
      </w:r>
      <w:r w:rsidRPr="00B86A9F">
        <w:rPr>
          <w:szCs w:val="24"/>
        </w:rPr>
        <w:t>engage</w:t>
      </w:r>
      <w:r>
        <w:rPr>
          <w:szCs w:val="24"/>
        </w:rPr>
        <w:t>s</w:t>
      </w:r>
      <w:r w:rsidRPr="00B86A9F">
        <w:rPr>
          <w:szCs w:val="24"/>
        </w:rPr>
        <w:t xml:space="preserve"> Articles 9 and 12 of the International Covenant on Economic Social and Cultural Rights (ICESCR), specifically the rights to health and social security. </w:t>
      </w:r>
    </w:p>
    <w:p w14:paraId="7F9B1457" w14:textId="77777777" w:rsidR="00B21A1B" w:rsidRPr="00B86A9F" w:rsidRDefault="00B21A1B" w:rsidP="00B21A1B">
      <w:pPr>
        <w:spacing w:before="120" w:after="120"/>
        <w:rPr>
          <w:i/>
          <w:szCs w:val="24"/>
        </w:rPr>
      </w:pPr>
      <w:r w:rsidRPr="00B86A9F">
        <w:rPr>
          <w:i/>
          <w:szCs w:val="24"/>
        </w:rPr>
        <w:t>The Right to Health</w:t>
      </w:r>
    </w:p>
    <w:p w14:paraId="7B684257" w14:textId="77777777" w:rsidR="00B21A1B" w:rsidRPr="00B86A9F" w:rsidRDefault="00B21A1B" w:rsidP="00B21A1B">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69C603CE" w14:textId="77777777" w:rsidR="00B21A1B" w:rsidRPr="00B86A9F" w:rsidRDefault="00B21A1B" w:rsidP="00B21A1B">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C8CEDF2" w14:textId="541B50B4" w:rsidR="00B21A1B" w:rsidRPr="00B86A9F" w:rsidRDefault="00B21A1B" w:rsidP="00B21A1B">
      <w:pPr>
        <w:spacing w:before="120" w:after="120"/>
        <w:rPr>
          <w:i/>
          <w:szCs w:val="24"/>
        </w:rPr>
      </w:pPr>
      <w:r w:rsidRPr="00B86A9F">
        <w:rPr>
          <w:i/>
          <w:szCs w:val="24"/>
        </w:rPr>
        <w:t xml:space="preserve">The Right to Social Security </w:t>
      </w:r>
    </w:p>
    <w:p w14:paraId="75913D45" w14:textId="2D9D20FD" w:rsidR="00B21A1B" w:rsidRPr="00B86A9F" w:rsidRDefault="00B21A1B" w:rsidP="00B21A1B">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satisfy, as a matter of priority, this minimum obligation.</w:t>
      </w:r>
    </w:p>
    <w:p w14:paraId="5FE870AF" w14:textId="0007494E" w:rsidR="00B21A1B" w:rsidRPr="00B86A9F" w:rsidRDefault="00B21A1B" w:rsidP="00B21A1B">
      <w:pPr>
        <w:spacing w:before="120" w:after="120"/>
        <w:rPr>
          <w:szCs w:val="24"/>
        </w:rPr>
      </w:pPr>
      <w:r w:rsidRPr="00B86A9F">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w:t>
      </w:r>
      <w:r w:rsidR="00B205F7">
        <w:rPr>
          <w:szCs w:val="24"/>
        </w:rPr>
        <w:t>community</w:t>
      </w:r>
      <w:r w:rsidRPr="00B86A9F">
        <w:rPr>
          <w:szCs w:val="24"/>
        </w:rPr>
        <w:t>.</w:t>
      </w:r>
    </w:p>
    <w:p w14:paraId="7337C3B6" w14:textId="77777777" w:rsidR="00B21A1B" w:rsidRPr="00B86A9F" w:rsidRDefault="00B21A1B" w:rsidP="00B21A1B">
      <w:pPr>
        <w:spacing w:before="120" w:after="120"/>
        <w:rPr>
          <w:szCs w:val="24"/>
          <w:u w:val="single"/>
        </w:rPr>
      </w:pPr>
      <w:r w:rsidRPr="00B86A9F">
        <w:rPr>
          <w:szCs w:val="24"/>
          <w:u w:val="single"/>
        </w:rPr>
        <w:t xml:space="preserve">Analysis </w:t>
      </w:r>
    </w:p>
    <w:p w14:paraId="46F03B09" w14:textId="55C12DBB" w:rsidR="00BA1FAD" w:rsidRDefault="00AB543B" w:rsidP="00BA1FAD">
      <w:pPr>
        <w:shd w:val="clear" w:color="auto" w:fill="FFFFFF"/>
        <w:spacing w:before="120" w:after="120"/>
        <w:rPr>
          <w:rFonts w:ascii="Helvetica Neue" w:hAnsi="Helvetica Neue"/>
          <w:szCs w:val="24"/>
        </w:rPr>
      </w:pPr>
      <w:r w:rsidRPr="00C9247B">
        <w:rPr>
          <w:rFonts w:ascii="Helvetica Neue" w:hAnsi="Helvetica Neue"/>
          <w:szCs w:val="24"/>
        </w:rPr>
        <w:t xml:space="preserve">This instrument </w:t>
      </w:r>
      <w:r w:rsidR="00BA1FAD" w:rsidRPr="00C9247B">
        <w:rPr>
          <w:rFonts w:ascii="Helvetica Neue" w:hAnsi="Helvetica Neue"/>
          <w:szCs w:val="24"/>
        </w:rPr>
        <w:t>advances</w:t>
      </w:r>
      <w:r w:rsidRPr="00C9247B">
        <w:rPr>
          <w:rFonts w:ascii="Helvetica Neue" w:hAnsi="Helvetica Neue"/>
          <w:szCs w:val="24"/>
        </w:rPr>
        <w:t xml:space="preserve"> rights to health and social security by </w:t>
      </w:r>
      <w:r w:rsidR="00BA1FAD" w:rsidRPr="00C9247B">
        <w:rPr>
          <w:rFonts w:ascii="Helvetica Neue" w:hAnsi="Helvetica Neue"/>
          <w:szCs w:val="24"/>
        </w:rPr>
        <w:t>listing new cardiac items for the provision of myocardial perfusion study services in rural and remote areas for patients who are unable to access a stress echocardiography service</w:t>
      </w:r>
      <w:r w:rsidR="00B205F7">
        <w:rPr>
          <w:rFonts w:ascii="Helvetica Neue" w:hAnsi="Helvetica Neue"/>
          <w:szCs w:val="24"/>
        </w:rPr>
        <w:t>. The instrument</w:t>
      </w:r>
      <w:r w:rsidR="00BA1FAD" w:rsidRPr="00C9247B">
        <w:rPr>
          <w:rFonts w:ascii="Helvetica Neue" w:hAnsi="Helvetica Neue"/>
          <w:szCs w:val="24"/>
        </w:rPr>
        <w:t xml:space="preserve"> list</w:t>
      </w:r>
      <w:r w:rsidR="00B205F7">
        <w:rPr>
          <w:rFonts w:ascii="Helvetica Neue" w:hAnsi="Helvetica Neue"/>
          <w:szCs w:val="24"/>
        </w:rPr>
        <w:t>s</w:t>
      </w:r>
      <w:r w:rsidR="00BA1FAD" w:rsidRPr="00C9247B">
        <w:rPr>
          <w:rFonts w:ascii="Helvetica Neue" w:hAnsi="Helvetica Neue"/>
          <w:szCs w:val="24"/>
        </w:rPr>
        <w:t xml:space="preserve"> a new item for </w:t>
      </w:r>
      <w:r w:rsidR="00D753C3" w:rsidRPr="00C9247B">
        <w:rPr>
          <w:rFonts w:ascii="Helvetica Neue" w:hAnsi="Helvetica Neue"/>
          <w:szCs w:val="24"/>
        </w:rPr>
        <w:t xml:space="preserve">the </w:t>
      </w:r>
      <w:r w:rsidR="00BA1FAD" w:rsidRPr="00C9247B">
        <w:rPr>
          <w:rFonts w:ascii="Helvetica Neue" w:hAnsi="Helvetica Neue"/>
          <w:szCs w:val="24"/>
        </w:rPr>
        <w:t>continuous electrocardiogram recording which utilises intelligent microprocessor based monitoring</w:t>
      </w:r>
      <w:r w:rsidR="00D753C3" w:rsidRPr="00C9247B">
        <w:rPr>
          <w:rFonts w:ascii="Helvetica Neue" w:hAnsi="Helvetica Neue"/>
          <w:szCs w:val="24"/>
        </w:rPr>
        <w:t xml:space="preserve">. These new items will expand patient access to cardiac services. The instrument also amends </w:t>
      </w:r>
      <w:r w:rsidR="00BA1FAD" w:rsidRPr="00C9247B">
        <w:rPr>
          <w:rFonts w:ascii="Helvetica Neue" w:hAnsi="Helvetica Neue"/>
          <w:szCs w:val="24"/>
        </w:rPr>
        <w:t xml:space="preserve">current cardiac items to apply </w:t>
      </w:r>
      <w:r w:rsidR="00D753C3" w:rsidRPr="00C9247B">
        <w:rPr>
          <w:rFonts w:ascii="Helvetica Neue" w:hAnsi="Helvetica Neue"/>
          <w:szCs w:val="24"/>
        </w:rPr>
        <w:t>appropriate</w:t>
      </w:r>
      <w:r w:rsidR="00BA1FAD" w:rsidRPr="00C9247B">
        <w:rPr>
          <w:rFonts w:ascii="Helvetica Neue" w:hAnsi="Helvetica Neue"/>
          <w:szCs w:val="24"/>
        </w:rPr>
        <w:t xml:space="preserve"> co-claiming restrictions and </w:t>
      </w:r>
      <w:r w:rsidR="00D753C3" w:rsidRPr="00C9247B">
        <w:rPr>
          <w:rFonts w:ascii="Helvetica Neue" w:hAnsi="Helvetica Neue"/>
          <w:szCs w:val="24"/>
        </w:rPr>
        <w:t xml:space="preserve">to </w:t>
      </w:r>
      <w:r w:rsidR="00BA1FAD" w:rsidRPr="00C9247B">
        <w:rPr>
          <w:rFonts w:ascii="Helvetica Neue" w:hAnsi="Helvetica Neue"/>
          <w:szCs w:val="24"/>
        </w:rPr>
        <w:t>clarify the intent of the service</w:t>
      </w:r>
      <w:r w:rsidR="00832304" w:rsidRPr="00C9247B">
        <w:rPr>
          <w:rFonts w:ascii="Helvetica Neue" w:hAnsi="Helvetica Neue"/>
          <w:szCs w:val="24"/>
        </w:rPr>
        <w:t>s</w:t>
      </w:r>
      <w:r w:rsidR="00BA1FAD" w:rsidRPr="00C9247B">
        <w:rPr>
          <w:rFonts w:ascii="Helvetica Neue" w:hAnsi="Helvetica Neue"/>
          <w:szCs w:val="24"/>
        </w:rPr>
        <w:t>.</w:t>
      </w:r>
    </w:p>
    <w:p w14:paraId="7EEF7069" w14:textId="63C3172B" w:rsidR="00C67460" w:rsidRPr="00B86A9F" w:rsidRDefault="00C67460" w:rsidP="00BA1FAD">
      <w:pPr>
        <w:shd w:val="clear" w:color="auto" w:fill="FFFFFF"/>
        <w:spacing w:before="120" w:after="120"/>
        <w:rPr>
          <w:rFonts w:eastAsia="Calibri"/>
          <w:b/>
          <w:szCs w:val="24"/>
          <w:lang w:eastAsia="en-US"/>
        </w:rPr>
      </w:pPr>
      <w:r w:rsidRPr="00B86A9F">
        <w:rPr>
          <w:rFonts w:eastAsia="Calibri"/>
          <w:b/>
          <w:szCs w:val="24"/>
          <w:lang w:eastAsia="en-US"/>
        </w:rPr>
        <w:t xml:space="preserve">Conclusion </w:t>
      </w:r>
    </w:p>
    <w:p w14:paraId="42B8647B" w14:textId="5CD4A562" w:rsidR="00C67460" w:rsidRPr="00B86A9F" w:rsidRDefault="00C67460" w:rsidP="00C67460">
      <w:pPr>
        <w:rPr>
          <w:szCs w:val="24"/>
        </w:rPr>
      </w:pPr>
      <w:r w:rsidRPr="00B86A9F">
        <w:rPr>
          <w:szCs w:val="24"/>
        </w:rPr>
        <w:t xml:space="preserve">This </w:t>
      </w:r>
      <w:r w:rsidR="00535742">
        <w:rPr>
          <w:szCs w:val="24"/>
        </w:rPr>
        <w:t>instrument</w:t>
      </w:r>
      <w:r w:rsidRPr="00B86A9F">
        <w:rPr>
          <w:szCs w:val="24"/>
        </w:rPr>
        <w:t xml:space="preserve"> is compatible with human rights </w:t>
      </w:r>
      <w:r w:rsidR="005A05F6">
        <w:rPr>
          <w:szCs w:val="24"/>
        </w:rPr>
        <w:t xml:space="preserve">because it maintains existing arrangements and the protection of human rights. </w:t>
      </w:r>
      <w:r>
        <w:rPr>
          <w:szCs w:val="24"/>
        </w:rPr>
        <w:t xml:space="preserve"> </w:t>
      </w:r>
    </w:p>
    <w:p w14:paraId="36F39195" w14:textId="77777777" w:rsidR="00C67460" w:rsidRPr="00B86A9F" w:rsidRDefault="00C67460" w:rsidP="00C67460">
      <w:pPr>
        <w:rPr>
          <w:rFonts w:eastAsia="Calibri"/>
          <w:szCs w:val="24"/>
          <w:lang w:eastAsia="en-US"/>
        </w:rPr>
      </w:pPr>
    </w:p>
    <w:p w14:paraId="3924E53C" w14:textId="2ABE612B" w:rsidR="00C67460" w:rsidRDefault="00790F8B" w:rsidP="008A7735">
      <w:pPr>
        <w:jc w:val="center"/>
        <w:rPr>
          <w:b/>
        </w:rPr>
      </w:pPr>
      <w:r>
        <w:rPr>
          <w:b/>
        </w:rPr>
        <w:t>Paul McBride</w:t>
      </w:r>
    </w:p>
    <w:p w14:paraId="577AFC0C" w14:textId="18FF5F17" w:rsidR="00C67460" w:rsidRPr="00D67E0A" w:rsidRDefault="005A05F6" w:rsidP="008A7735">
      <w:pPr>
        <w:jc w:val="center"/>
        <w:rPr>
          <w:b/>
        </w:rPr>
      </w:pPr>
      <w:r>
        <w:rPr>
          <w:b/>
        </w:rPr>
        <w:t xml:space="preserve">First </w:t>
      </w:r>
      <w:r w:rsidR="00C67460" w:rsidRPr="00D67E0A">
        <w:rPr>
          <w:b/>
        </w:rPr>
        <w:t>Assistant Secretary</w:t>
      </w:r>
    </w:p>
    <w:p w14:paraId="1D362E3A" w14:textId="77777777" w:rsidR="00C67460" w:rsidRDefault="00C67460" w:rsidP="00EB0185">
      <w:pPr>
        <w:autoSpaceDE w:val="0"/>
        <w:autoSpaceDN w:val="0"/>
        <w:spacing w:line="240" w:lineRule="atLeast"/>
        <w:ind w:right="-23"/>
        <w:jc w:val="center"/>
        <w:rPr>
          <w:b/>
          <w:szCs w:val="24"/>
          <w:lang w:eastAsia="en-US"/>
        </w:rPr>
      </w:pPr>
      <w:r w:rsidRPr="00536AC6">
        <w:rPr>
          <w:b/>
          <w:szCs w:val="24"/>
          <w:lang w:eastAsia="en-US"/>
        </w:rPr>
        <w:t>Medical Benefits Division</w:t>
      </w:r>
    </w:p>
    <w:p w14:paraId="2D114263" w14:textId="71F583C9" w:rsidR="00AB04F6" w:rsidRPr="00AB04F6" w:rsidRDefault="00AB04F6" w:rsidP="007C0532">
      <w:pPr>
        <w:autoSpaceDE w:val="0"/>
        <w:autoSpaceDN w:val="0"/>
        <w:spacing w:line="240" w:lineRule="atLeast"/>
        <w:ind w:right="-23"/>
        <w:jc w:val="center"/>
        <w:rPr>
          <w:b/>
          <w:szCs w:val="24"/>
          <w:lang w:eastAsia="en-US"/>
        </w:rPr>
      </w:pPr>
      <w:r w:rsidRPr="00AB04F6">
        <w:rPr>
          <w:b/>
          <w:szCs w:val="24"/>
          <w:lang w:eastAsia="en-US"/>
        </w:rPr>
        <w:t xml:space="preserve">Health </w:t>
      </w:r>
      <w:r w:rsidR="00EE6D7C">
        <w:rPr>
          <w:b/>
          <w:szCs w:val="24"/>
          <w:lang w:eastAsia="en-US"/>
        </w:rPr>
        <w:t>Resourcing</w:t>
      </w:r>
      <w:r w:rsidR="00EE6D7C" w:rsidRPr="00AB04F6">
        <w:rPr>
          <w:b/>
          <w:szCs w:val="24"/>
          <w:lang w:eastAsia="en-US"/>
        </w:rPr>
        <w:t xml:space="preserve"> </w:t>
      </w:r>
      <w:r w:rsidRPr="00AB04F6">
        <w:rPr>
          <w:b/>
          <w:szCs w:val="24"/>
          <w:lang w:eastAsia="en-US"/>
        </w:rPr>
        <w:t>Group</w:t>
      </w:r>
    </w:p>
    <w:p w14:paraId="60929AC7" w14:textId="216C5A02" w:rsidR="00C67460" w:rsidRPr="0020245D" w:rsidRDefault="00C67460" w:rsidP="002E0751">
      <w:pPr>
        <w:autoSpaceDE w:val="0"/>
        <w:autoSpaceDN w:val="0"/>
        <w:spacing w:line="240" w:lineRule="atLeast"/>
        <w:ind w:right="-23"/>
        <w:jc w:val="center"/>
        <w:rPr>
          <w:rFonts w:eastAsia="Calibri"/>
          <w:szCs w:val="24"/>
          <w:lang w:eastAsia="en-US"/>
        </w:rPr>
      </w:pPr>
      <w:r w:rsidRPr="00536AC6">
        <w:rPr>
          <w:b/>
          <w:szCs w:val="24"/>
          <w:lang w:eastAsia="en-US"/>
        </w:rPr>
        <w:t>Department of Health</w:t>
      </w:r>
    </w:p>
    <w:p w14:paraId="2412D13C" w14:textId="77777777" w:rsidR="00242974" w:rsidRPr="00EB601D" w:rsidRDefault="00242974" w:rsidP="000337CB">
      <w:pPr>
        <w:tabs>
          <w:tab w:val="left" w:pos="4536"/>
        </w:tabs>
        <w:rPr>
          <w:b/>
          <w:szCs w:val="24"/>
          <w:highlight w:val="yellow"/>
        </w:rPr>
      </w:pPr>
    </w:p>
    <w:sectPr w:rsidR="00242974" w:rsidRPr="00EB601D" w:rsidSect="005C2A0E">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520714"/>
      <w:docPartObj>
        <w:docPartGallery w:val="Page Numbers (Top of Page)"/>
        <w:docPartUnique/>
      </w:docPartObj>
    </w:sdtPr>
    <w:sdtEndPr>
      <w:rPr>
        <w:noProof/>
      </w:rPr>
    </w:sdtEndPr>
    <w:sdtContent>
      <w:p w14:paraId="2412D17A" w14:textId="23AABA35" w:rsidR="00E23B6B" w:rsidRDefault="00E23B6B">
        <w:pPr>
          <w:pStyle w:val="Header"/>
          <w:jc w:val="center"/>
        </w:pPr>
        <w:r>
          <w:fldChar w:fldCharType="begin"/>
        </w:r>
        <w:r>
          <w:instrText xml:space="preserve"> PAGE   \* MERGEFORMAT </w:instrText>
        </w:r>
        <w:r>
          <w:fldChar w:fldCharType="separate"/>
        </w:r>
        <w:r w:rsidR="00073497">
          <w:rPr>
            <w:noProof/>
          </w:rPr>
          <w:t>7</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095866"/>
      <w:docPartObj>
        <w:docPartGallery w:val="Page Numbers (Top of Page)"/>
        <w:docPartUnique/>
      </w:docPartObj>
    </w:sdtPr>
    <w:sdtEndPr>
      <w:rPr>
        <w:noProof/>
      </w:rPr>
    </w:sdtEndPr>
    <w:sdtContent>
      <w:p w14:paraId="2412D17C" w14:textId="51BCAE1E" w:rsidR="00E23B6B" w:rsidRDefault="00E23B6B">
        <w:pPr>
          <w:pStyle w:val="Header"/>
          <w:jc w:val="center"/>
        </w:pPr>
        <w:r>
          <w:fldChar w:fldCharType="begin"/>
        </w:r>
        <w:r>
          <w:instrText xml:space="preserve"> PAGE   \* MERGEFORMAT </w:instrText>
        </w:r>
        <w:r>
          <w:fldChar w:fldCharType="separate"/>
        </w:r>
        <w:r w:rsidR="00073497">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7E5FE1"/>
    <w:multiLevelType w:val="hybridMultilevel"/>
    <w:tmpl w:val="19C85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462A93"/>
    <w:multiLevelType w:val="hybridMultilevel"/>
    <w:tmpl w:val="FA20217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B04D72"/>
    <w:multiLevelType w:val="hybridMultilevel"/>
    <w:tmpl w:val="90F8F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3" w15:restartNumberingAfterBreak="0">
    <w:nsid w:val="50D83516"/>
    <w:multiLevelType w:val="hybridMultilevel"/>
    <w:tmpl w:val="6ECE54DA"/>
    <w:lvl w:ilvl="0" w:tplc="CD7E05B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216F70"/>
    <w:multiLevelType w:val="hybridMultilevel"/>
    <w:tmpl w:val="F034B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FF70D6"/>
    <w:multiLevelType w:val="hybridMultilevel"/>
    <w:tmpl w:val="386C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1"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25A53AE"/>
    <w:multiLevelType w:val="hybridMultilevel"/>
    <w:tmpl w:val="F2A2C8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5" w15:restartNumberingAfterBreak="0">
    <w:nsid w:val="6C9A2341"/>
    <w:multiLevelType w:val="hybridMultilevel"/>
    <w:tmpl w:val="6FE89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40" w15:restartNumberingAfterBreak="0">
    <w:nsid w:val="7A851562"/>
    <w:multiLevelType w:val="hybridMultilevel"/>
    <w:tmpl w:val="2256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4"/>
  </w:num>
  <w:num w:numId="4">
    <w:abstractNumId w:val="18"/>
  </w:num>
  <w:num w:numId="5">
    <w:abstractNumId w:val="21"/>
  </w:num>
  <w:num w:numId="6">
    <w:abstractNumId w:val="15"/>
  </w:num>
  <w:num w:numId="7">
    <w:abstractNumId w:val="38"/>
  </w:num>
  <w:num w:numId="8">
    <w:abstractNumId w:val="12"/>
  </w:num>
  <w:num w:numId="9">
    <w:abstractNumId w:val="8"/>
  </w:num>
  <w:num w:numId="10">
    <w:abstractNumId w:val="41"/>
  </w:num>
  <w:num w:numId="11">
    <w:abstractNumId w:val="37"/>
  </w:num>
  <w:num w:numId="12">
    <w:abstractNumId w:val="19"/>
  </w:num>
  <w:num w:numId="13">
    <w:abstractNumId w:val="20"/>
  </w:num>
  <w:num w:numId="14">
    <w:abstractNumId w:val="34"/>
  </w:num>
  <w:num w:numId="15">
    <w:abstractNumId w:val="13"/>
  </w:num>
  <w:num w:numId="16">
    <w:abstractNumId w:val="24"/>
  </w:num>
  <w:num w:numId="17">
    <w:abstractNumId w:val="28"/>
  </w:num>
  <w:num w:numId="18">
    <w:abstractNumId w:val="25"/>
  </w:num>
  <w:num w:numId="19">
    <w:abstractNumId w:val="7"/>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14"/>
  </w:num>
  <w:num w:numId="26">
    <w:abstractNumId w:val="1"/>
  </w:num>
  <w:num w:numId="27">
    <w:abstractNumId w:val="6"/>
  </w:num>
  <w:num w:numId="28">
    <w:abstractNumId w:val="10"/>
  </w:num>
  <w:num w:numId="29">
    <w:abstractNumId w:val="36"/>
  </w:num>
  <w:num w:numId="30">
    <w:abstractNumId w:val="3"/>
  </w:num>
  <w:num w:numId="31">
    <w:abstractNumId w:val="31"/>
  </w:num>
  <w:num w:numId="32">
    <w:abstractNumId w:val="30"/>
  </w:num>
  <w:num w:numId="33">
    <w:abstractNumId w:val="39"/>
  </w:num>
  <w:num w:numId="34">
    <w:abstractNumId w:val="9"/>
  </w:num>
  <w:num w:numId="35">
    <w:abstractNumId w:val="40"/>
  </w:num>
  <w:num w:numId="36">
    <w:abstractNumId w:val="11"/>
  </w:num>
  <w:num w:numId="37">
    <w:abstractNumId w:val="32"/>
  </w:num>
  <w:num w:numId="38">
    <w:abstractNumId w:val="29"/>
  </w:num>
  <w:num w:numId="39">
    <w:abstractNumId w:val="17"/>
  </w:num>
  <w:num w:numId="40">
    <w:abstractNumId w:val="23"/>
  </w:num>
  <w:num w:numId="41">
    <w:abstractNumId w:val="5"/>
  </w:num>
  <w:num w:numId="42">
    <w:abstractNumId w:val="27"/>
  </w:num>
  <w:num w:numId="4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2D75"/>
    <w:rsid w:val="00033034"/>
    <w:rsid w:val="000337CB"/>
    <w:rsid w:val="000358DF"/>
    <w:rsid w:val="0003591F"/>
    <w:rsid w:val="00041849"/>
    <w:rsid w:val="0004426E"/>
    <w:rsid w:val="00044A2A"/>
    <w:rsid w:val="000509BA"/>
    <w:rsid w:val="000512F5"/>
    <w:rsid w:val="0005224B"/>
    <w:rsid w:val="0005533C"/>
    <w:rsid w:val="00063242"/>
    <w:rsid w:val="00063255"/>
    <w:rsid w:val="000640CF"/>
    <w:rsid w:val="00064BA4"/>
    <w:rsid w:val="000654AD"/>
    <w:rsid w:val="0006727B"/>
    <w:rsid w:val="00067F59"/>
    <w:rsid w:val="000710DD"/>
    <w:rsid w:val="0007160C"/>
    <w:rsid w:val="0007187A"/>
    <w:rsid w:val="000727E0"/>
    <w:rsid w:val="00073497"/>
    <w:rsid w:val="00073983"/>
    <w:rsid w:val="00073BC9"/>
    <w:rsid w:val="00076C34"/>
    <w:rsid w:val="00076FE3"/>
    <w:rsid w:val="00080116"/>
    <w:rsid w:val="00081188"/>
    <w:rsid w:val="00081C37"/>
    <w:rsid w:val="000909E1"/>
    <w:rsid w:val="0009514A"/>
    <w:rsid w:val="000969EF"/>
    <w:rsid w:val="000A199B"/>
    <w:rsid w:val="000A31F2"/>
    <w:rsid w:val="000A45BE"/>
    <w:rsid w:val="000A467F"/>
    <w:rsid w:val="000A6FB3"/>
    <w:rsid w:val="000A7B9B"/>
    <w:rsid w:val="000B25E0"/>
    <w:rsid w:val="000B3452"/>
    <w:rsid w:val="000B36DF"/>
    <w:rsid w:val="000C04B2"/>
    <w:rsid w:val="000C1226"/>
    <w:rsid w:val="000C12EE"/>
    <w:rsid w:val="000C3686"/>
    <w:rsid w:val="000C3D8A"/>
    <w:rsid w:val="000C46E6"/>
    <w:rsid w:val="000C4B3D"/>
    <w:rsid w:val="000C5BA2"/>
    <w:rsid w:val="000C6797"/>
    <w:rsid w:val="000C6FF8"/>
    <w:rsid w:val="000C7FE1"/>
    <w:rsid w:val="000D1325"/>
    <w:rsid w:val="000D1A87"/>
    <w:rsid w:val="000D2300"/>
    <w:rsid w:val="000D3B79"/>
    <w:rsid w:val="000D7803"/>
    <w:rsid w:val="000E0368"/>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3DE3"/>
    <w:rsid w:val="000F5E76"/>
    <w:rsid w:val="000F6853"/>
    <w:rsid w:val="001000CE"/>
    <w:rsid w:val="00104751"/>
    <w:rsid w:val="0010617D"/>
    <w:rsid w:val="00106763"/>
    <w:rsid w:val="001068B6"/>
    <w:rsid w:val="001072D4"/>
    <w:rsid w:val="00107F36"/>
    <w:rsid w:val="001105E1"/>
    <w:rsid w:val="0011066E"/>
    <w:rsid w:val="00113B2E"/>
    <w:rsid w:val="00120766"/>
    <w:rsid w:val="00121189"/>
    <w:rsid w:val="0012120D"/>
    <w:rsid w:val="00121A66"/>
    <w:rsid w:val="00127E3A"/>
    <w:rsid w:val="00132087"/>
    <w:rsid w:val="00133846"/>
    <w:rsid w:val="00134B27"/>
    <w:rsid w:val="00135D0D"/>
    <w:rsid w:val="001400C4"/>
    <w:rsid w:val="00141323"/>
    <w:rsid w:val="00141E8C"/>
    <w:rsid w:val="00143943"/>
    <w:rsid w:val="00145918"/>
    <w:rsid w:val="00145D25"/>
    <w:rsid w:val="00145DED"/>
    <w:rsid w:val="00151724"/>
    <w:rsid w:val="001519E4"/>
    <w:rsid w:val="00152304"/>
    <w:rsid w:val="00153D99"/>
    <w:rsid w:val="00154FC4"/>
    <w:rsid w:val="0015521F"/>
    <w:rsid w:val="001572B0"/>
    <w:rsid w:val="001641C0"/>
    <w:rsid w:val="0016646C"/>
    <w:rsid w:val="00167DA1"/>
    <w:rsid w:val="00167EC6"/>
    <w:rsid w:val="0017187F"/>
    <w:rsid w:val="001734C9"/>
    <w:rsid w:val="00174E96"/>
    <w:rsid w:val="001770D9"/>
    <w:rsid w:val="0017759F"/>
    <w:rsid w:val="0018012F"/>
    <w:rsid w:val="00180742"/>
    <w:rsid w:val="00180D75"/>
    <w:rsid w:val="00181B3E"/>
    <w:rsid w:val="00181F74"/>
    <w:rsid w:val="00182F72"/>
    <w:rsid w:val="00183C10"/>
    <w:rsid w:val="0018451D"/>
    <w:rsid w:val="001865F8"/>
    <w:rsid w:val="001867EA"/>
    <w:rsid w:val="00187EE5"/>
    <w:rsid w:val="00190FC9"/>
    <w:rsid w:val="0019289B"/>
    <w:rsid w:val="001929C3"/>
    <w:rsid w:val="0019464A"/>
    <w:rsid w:val="00195A6A"/>
    <w:rsid w:val="001965CE"/>
    <w:rsid w:val="001965DA"/>
    <w:rsid w:val="0019711F"/>
    <w:rsid w:val="001978CE"/>
    <w:rsid w:val="001A328B"/>
    <w:rsid w:val="001A4575"/>
    <w:rsid w:val="001A4BE2"/>
    <w:rsid w:val="001A5BC0"/>
    <w:rsid w:val="001A7249"/>
    <w:rsid w:val="001A7EF8"/>
    <w:rsid w:val="001B0111"/>
    <w:rsid w:val="001B3714"/>
    <w:rsid w:val="001B5ED9"/>
    <w:rsid w:val="001B602D"/>
    <w:rsid w:val="001B66AF"/>
    <w:rsid w:val="001B7092"/>
    <w:rsid w:val="001C1B86"/>
    <w:rsid w:val="001C261D"/>
    <w:rsid w:val="001C35BC"/>
    <w:rsid w:val="001C5FC1"/>
    <w:rsid w:val="001C6713"/>
    <w:rsid w:val="001D128F"/>
    <w:rsid w:val="001D6B46"/>
    <w:rsid w:val="001D778A"/>
    <w:rsid w:val="001D7D62"/>
    <w:rsid w:val="001E014D"/>
    <w:rsid w:val="001E10DC"/>
    <w:rsid w:val="001E2D6D"/>
    <w:rsid w:val="001E3B02"/>
    <w:rsid w:val="001E5391"/>
    <w:rsid w:val="001E5787"/>
    <w:rsid w:val="001E579F"/>
    <w:rsid w:val="001E57BC"/>
    <w:rsid w:val="001E5DE7"/>
    <w:rsid w:val="001E63F3"/>
    <w:rsid w:val="001E7C25"/>
    <w:rsid w:val="001F0923"/>
    <w:rsid w:val="001F108B"/>
    <w:rsid w:val="001F1F27"/>
    <w:rsid w:val="001F75F3"/>
    <w:rsid w:val="00200145"/>
    <w:rsid w:val="002003CA"/>
    <w:rsid w:val="002003F7"/>
    <w:rsid w:val="00200971"/>
    <w:rsid w:val="0020245D"/>
    <w:rsid w:val="00203952"/>
    <w:rsid w:val="00203F23"/>
    <w:rsid w:val="00204413"/>
    <w:rsid w:val="0021042D"/>
    <w:rsid w:val="00210EE7"/>
    <w:rsid w:val="002111BB"/>
    <w:rsid w:val="00213177"/>
    <w:rsid w:val="00215191"/>
    <w:rsid w:val="00216C44"/>
    <w:rsid w:val="00217EBF"/>
    <w:rsid w:val="00220EE3"/>
    <w:rsid w:val="00221C4B"/>
    <w:rsid w:val="002227DF"/>
    <w:rsid w:val="0022342C"/>
    <w:rsid w:val="0022384B"/>
    <w:rsid w:val="00225B50"/>
    <w:rsid w:val="00225D8E"/>
    <w:rsid w:val="002264F4"/>
    <w:rsid w:val="00227BB1"/>
    <w:rsid w:val="002322A8"/>
    <w:rsid w:val="0023311C"/>
    <w:rsid w:val="00233BEB"/>
    <w:rsid w:val="00236DF2"/>
    <w:rsid w:val="0024152E"/>
    <w:rsid w:val="00242974"/>
    <w:rsid w:val="00244D84"/>
    <w:rsid w:val="00247818"/>
    <w:rsid w:val="00250061"/>
    <w:rsid w:val="00250414"/>
    <w:rsid w:val="00250642"/>
    <w:rsid w:val="00251E4A"/>
    <w:rsid w:val="00251F50"/>
    <w:rsid w:val="00253E30"/>
    <w:rsid w:val="0025493F"/>
    <w:rsid w:val="00254E5D"/>
    <w:rsid w:val="00257E4D"/>
    <w:rsid w:val="00262865"/>
    <w:rsid w:val="00263279"/>
    <w:rsid w:val="002643FC"/>
    <w:rsid w:val="00270055"/>
    <w:rsid w:val="00271639"/>
    <w:rsid w:val="00272B74"/>
    <w:rsid w:val="00274073"/>
    <w:rsid w:val="0027526F"/>
    <w:rsid w:val="0027529B"/>
    <w:rsid w:val="0027545F"/>
    <w:rsid w:val="0027610D"/>
    <w:rsid w:val="00276A38"/>
    <w:rsid w:val="00281918"/>
    <w:rsid w:val="00282B79"/>
    <w:rsid w:val="00282C2A"/>
    <w:rsid w:val="00284483"/>
    <w:rsid w:val="00285256"/>
    <w:rsid w:val="00287104"/>
    <w:rsid w:val="00287AEF"/>
    <w:rsid w:val="00287B08"/>
    <w:rsid w:val="00290B98"/>
    <w:rsid w:val="002944D4"/>
    <w:rsid w:val="00295110"/>
    <w:rsid w:val="00296763"/>
    <w:rsid w:val="0029737E"/>
    <w:rsid w:val="00297AD0"/>
    <w:rsid w:val="002A0CC8"/>
    <w:rsid w:val="002A3243"/>
    <w:rsid w:val="002A5CDF"/>
    <w:rsid w:val="002A68B3"/>
    <w:rsid w:val="002B0622"/>
    <w:rsid w:val="002B2AC5"/>
    <w:rsid w:val="002B2E78"/>
    <w:rsid w:val="002B49DE"/>
    <w:rsid w:val="002B4E4D"/>
    <w:rsid w:val="002B5085"/>
    <w:rsid w:val="002B53D3"/>
    <w:rsid w:val="002B6D15"/>
    <w:rsid w:val="002B7177"/>
    <w:rsid w:val="002C04B4"/>
    <w:rsid w:val="002C4F5B"/>
    <w:rsid w:val="002C54A1"/>
    <w:rsid w:val="002C59F8"/>
    <w:rsid w:val="002C5DCD"/>
    <w:rsid w:val="002D03AB"/>
    <w:rsid w:val="002D2A4E"/>
    <w:rsid w:val="002D5294"/>
    <w:rsid w:val="002D5DFC"/>
    <w:rsid w:val="002D5E92"/>
    <w:rsid w:val="002D6269"/>
    <w:rsid w:val="002D629A"/>
    <w:rsid w:val="002E0751"/>
    <w:rsid w:val="002E12C3"/>
    <w:rsid w:val="002E3493"/>
    <w:rsid w:val="002E35BF"/>
    <w:rsid w:val="002E5F5C"/>
    <w:rsid w:val="002E6FD5"/>
    <w:rsid w:val="002E7D88"/>
    <w:rsid w:val="002F0434"/>
    <w:rsid w:val="002F0508"/>
    <w:rsid w:val="002F1707"/>
    <w:rsid w:val="002F2F33"/>
    <w:rsid w:val="002F3A26"/>
    <w:rsid w:val="002F3C7E"/>
    <w:rsid w:val="002F449C"/>
    <w:rsid w:val="002F4CD2"/>
    <w:rsid w:val="002F6069"/>
    <w:rsid w:val="002F7549"/>
    <w:rsid w:val="00300EFB"/>
    <w:rsid w:val="00301D49"/>
    <w:rsid w:val="003025C7"/>
    <w:rsid w:val="00302F5C"/>
    <w:rsid w:val="00304080"/>
    <w:rsid w:val="0031124D"/>
    <w:rsid w:val="00312ED1"/>
    <w:rsid w:val="00313554"/>
    <w:rsid w:val="00317B55"/>
    <w:rsid w:val="0032155B"/>
    <w:rsid w:val="003239D0"/>
    <w:rsid w:val="00324908"/>
    <w:rsid w:val="003252BB"/>
    <w:rsid w:val="003257C1"/>
    <w:rsid w:val="0033493D"/>
    <w:rsid w:val="00335AE6"/>
    <w:rsid w:val="00337DE1"/>
    <w:rsid w:val="00340BDB"/>
    <w:rsid w:val="00340E39"/>
    <w:rsid w:val="00341145"/>
    <w:rsid w:val="003412CB"/>
    <w:rsid w:val="00345BDA"/>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273"/>
    <w:rsid w:val="00375E39"/>
    <w:rsid w:val="003760ED"/>
    <w:rsid w:val="003775D7"/>
    <w:rsid w:val="00380CBA"/>
    <w:rsid w:val="00381278"/>
    <w:rsid w:val="0038127E"/>
    <w:rsid w:val="00384080"/>
    <w:rsid w:val="00386C22"/>
    <w:rsid w:val="003876E6"/>
    <w:rsid w:val="00391AFA"/>
    <w:rsid w:val="00393698"/>
    <w:rsid w:val="00393774"/>
    <w:rsid w:val="003937EF"/>
    <w:rsid w:val="00393E9B"/>
    <w:rsid w:val="00395942"/>
    <w:rsid w:val="00397A97"/>
    <w:rsid w:val="003A280D"/>
    <w:rsid w:val="003A3FCA"/>
    <w:rsid w:val="003A5A70"/>
    <w:rsid w:val="003A6230"/>
    <w:rsid w:val="003A6299"/>
    <w:rsid w:val="003B1976"/>
    <w:rsid w:val="003B27BA"/>
    <w:rsid w:val="003B366C"/>
    <w:rsid w:val="003B38C1"/>
    <w:rsid w:val="003B59A9"/>
    <w:rsid w:val="003B6852"/>
    <w:rsid w:val="003B6B63"/>
    <w:rsid w:val="003B7C31"/>
    <w:rsid w:val="003C02D4"/>
    <w:rsid w:val="003C12D5"/>
    <w:rsid w:val="003C37E3"/>
    <w:rsid w:val="003C4CBD"/>
    <w:rsid w:val="003C546B"/>
    <w:rsid w:val="003C7255"/>
    <w:rsid w:val="003C7719"/>
    <w:rsid w:val="003D08EF"/>
    <w:rsid w:val="003D0FBD"/>
    <w:rsid w:val="003D2A6D"/>
    <w:rsid w:val="003E005B"/>
    <w:rsid w:val="003E04DA"/>
    <w:rsid w:val="003E1249"/>
    <w:rsid w:val="003E1D75"/>
    <w:rsid w:val="003E3544"/>
    <w:rsid w:val="003E35A8"/>
    <w:rsid w:val="003E6F8B"/>
    <w:rsid w:val="003E77CB"/>
    <w:rsid w:val="003F28D4"/>
    <w:rsid w:val="003F47FD"/>
    <w:rsid w:val="003F4B52"/>
    <w:rsid w:val="003F73BA"/>
    <w:rsid w:val="003F73F0"/>
    <w:rsid w:val="00401423"/>
    <w:rsid w:val="00403105"/>
    <w:rsid w:val="00404F11"/>
    <w:rsid w:val="004052E8"/>
    <w:rsid w:val="00405890"/>
    <w:rsid w:val="00405EF4"/>
    <w:rsid w:val="00411365"/>
    <w:rsid w:val="0041237F"/>
    <w:rsid w:val="00412B6C"/>
    <w:rsid w:val="0041439E"/>
    <w:rsid w:val="00414613"/>
    <w:rsid w:val="00415B19"/>
    <w:rsid w:val="0041767B"/>
    <w:rsid w:val="00420205"/>
    <w:rsid w:val="00421D5F"/>
    <w:rsid w:val="00422831"/>
    <w:rsid w:val="00422D5A"/>
    <w:rsid w:val="00424197"/>
    <w:rsid w:val="00425F40"/>
    <w:rsid w:val="004265AA"/>
    <w:rsid w:val="00426A8D"/>
    <w:rsid w:val="00427FDA"/>
    <w:rsid w:val="00430861"/>
    <w:rsid w:val="00432D4D"/>
    <w:rsid w:val="00433DCE"/>
    <w:rsid w:val="004361D7"/>
    <w:rsid w:val="00437B1B"/>
    <w:rsid w:val="004405B8"/>
    <w:rsid w:val="00441339"/>
    <w:rsid w:val="004417A2"/>
    <w:rsid w:val="00442F9D"/>
    <w:rsid w:val="00444EDF"/>
    <w:rsid w:val="004456A4"/>
    <w:rsid w:val="00445A6D"/>
    <w:rsid w:val="00446A6B"/>
    <w:rsid w:val="0045189C"/>
    <w:rsid w:val="00451A38"/>
    <w:rsid w:val="004541E2"/>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59F"/>
    <w:rsid w:val="004876DF"/>
    <w:rsid w:val="004909F3"/>
    <w:rsid w:val="00492341"/>
    <w:rsid w:val="00492DBE"/>
    <w:rsid w:val="004962CC"/>
    <w:rsid w:val="00497023"/>
    <w:rsid w:val="00497EC1"/>
    <w:rsid w:val="004A0313"/>
    <w:rsid w:val="004A0A89"/>
    <w:rsid w:val="004A0BE6"/>
    <w:rsid w:val="004A2249"/>
    <w:rsid w:val="004A26E0"/>
    <w:rsid w:val="004A4D01"/>
    <w:rsid w:val="004A524A"/>
    <w:rsid w:val="004A56D3"/>
    <w:rsid w:val="004A6B0F"/>
    <w:rsid w:val="004B1ECE"/>
    <w:rsid w:val="004B38C8"/>
    <w:rsid w:val="004B5C2E"/>
    <w:rsid w:val="004B7CB9"/>
    <w:rsid w:val="004C10BA"/>
    <w:rsid w:val="004C1122"/>
    <w:rsid w:val="004C27EB"/>
    <w:rsid w:val="004C357A"/>
    <w:rsid w:val="004C37D3"/>
    <w:rsid w:val="004C405B"/>
    <w:rsid w:val="004C47F0"/>
    <w:rsid w:val="004C5B35"/>
    <w:rsid w:val="004C68D1"/>
    <w:rsid w:val="004C6AE7"/>
    <w:rsid w:val="004C72E8"/>
    <w:rsid w:val="004D03E3"/>
    <w:rsid w:val="004D04DF"/>
    <w:rsid w:val="004D1BF4"/>
    <w:rsid w:val="004D2ECB"/>
    <w:rsid w:val="004D480B"/>
    <w:rsid w:val="004D7821"/>
    <w:rsid w:val="004E1045"/>
    <w:rsid w:val="004E10C5"/>
    <w:rsid w:val="004E22A7"/>
    <w:rsid w:val="004E39E6"/>
    <w:rsid w:val="004E71DC"/>
    <w:rsid w:val="004E7F97"/>
    <w:rsid w:val="004F1563"/>
    <w:rsid w:val="004F20B0"/>
    <w:rsid w:val="004F60F0"/>
    <w:rsid w:val="004F7682"/>
    <w:rsid w:val="005012BC"/>
    <w:rsid w:val="00502156"/>
    <w:rsid w:val="00502277"/>
    <w:rsid w:val="005042B5"/>
    <w:rsid w:val="00505C67"/>
    <w:rsid w:val="00510A4F"/>
    <w:rsid w:val="005119E9"/>
    <w:rsid w:val="00512A65"/>
    <w:rsid w:val="005130BE"/>
    <w:rsid w:val="005140F2"/>
    <w:rsid w:val="0051709B"/>
    <w:rsid w:val="0052165A"/>
    <w:rsid w:val="00521802"/>
    <w:rsid w:val="0052430B"/>
    <w:rsid w:val="00525D51"/>
    <w:rsid w:val="00532CD3"/>
    <w:rsid w:val="005345A9"/>
    <w:rsid w:val="00534D8A"/>
    <w:rsid w:val="00535655"/>
    <w:rsid w:val="00535742"/>
    <w:rsid w:val="005369FA"/>
    <w:rsid w:val="00536AC6"/>
    <w:rsid w:val="0054004F"/>
    <w:rsid w:val="00542913"/>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54E"/>
    <w:rsid w:val="00570F2B"/>
    <w:rsid w:val="0057258C"/>
    <w:rsid w:val="00573651"/>
    <w:rsid w:val="00574E71"/>
    <w:rsid w:val="005811D8"/>
    <w:rsid w:val="00581904"/>
    <w:rsid w:val="00582B3F"/>
    <w:rsid w:val="00583643"/>
    <w:rsid w:val="00585309"/>
    <w:rsid w:val="005857E8"/>
    <w:rsid w:val="005858CB"/>
    <w:rsid w:val="00585D07"/>
    <w:rsid w:val="0058699E"/>
    <w:rsid w:val="00586CE9"/>
    <w:rsid w:val="00590B04"/>
    <w:rsid w:val="00592F78"/>
    <w:rsid w:val="00594EB6"/>
    <w:rsid w:val="005960D0"/>
    <w:rsid w:val="0059798F"/>
    <w:rsid w:val="00597EC9"/>
    <w:rsid w:val="005A0300"/>
    <w:rsid w:val="005A05F6"/>
    <w:rsid w:val="005A163F"/>
    <w:rsid w:val="005A1891"/>
    <w:rsid w:val="005A3D73"/>
    <w:rsid w:val="005A3D8D"/>
    <w:rsid w:val="005A445D"/>
    <w:rsid w:val="005B00DC"/>
    <w:rsid w:val="005B0EA3"/>
    <w:rsid w:val="005B1B0A"/>
    <w:rsid w:val="005B20AE"/>
    <w:rsid w:val="005B5062"/>
    <w:rsid w:val="005B5F95"/>
    <w:rsid w:val="005B6234"/>
    <w:rsid w:val="005B7596"/>
    <w:rsid w:val="005C2A0E"/>
    <w:rsid w:val="005C2DB7"/>
    <w:rsid w:val="005C4A91"/>
    <w:rsid w:val="005C5824"/>
    <w:rsid w:val="005C6118"/>
    <w:rsid w:val="005D08E2"/>
    <w:rsid w:val="005D16F7"/>
    <w:rsid w:val="005D3575"/>
    <w:rsid w:val="005D3CED"/>
    <w:rsid w:val="005D538F"/>
    <w:rsid w:val="005D63D9"/>
    <w:rsid w:val="005D68D1"/>
    <w:rsid w:val="005D6E31"/>
    <w:rsid w:val="005E293A"/>
    <w:rsid w:val="005E3F70"/>
    <w:rsid w:val="005E49E7"/>
    <w:rsid w:val="005E56FE"/>
    <w:rsid w:val="005E62D6"/>
    <w:rsid w:val="005E6A82"/>
    <w:rsid w:val="005E6DC0"/>
    <w:rsid w:val="005E7398"/>
    <w:rsid w:val="005F04DC"/>
    <w:rsid w:val="005F0F6C"/>
    <w:rsid w:val="005F1A7F"/>
    <w:rsid w:val="005F1F44"/>
    <w:rsid w:val="00600A0B"/>
    <w:rsid w:val="00601165"/>
    <w:rsid w:val="00606339"/>
    <w:rsid w:val="00607971"/>
    <w:rsid w:val="00611A4E"/>
    <w:rsid w:val="006122C0"/>
    <w:rsid w:val="0061281D"/>
    <w:rsid w:val="00613C46"/>
    <w:rsid w:val="00615ED8"/>
    <w:rsid w:val="00616889"/>
    <w:rsid w:val="00616E4E"/>
    <w:rsid w:val="006177EC"/>
    <w:rsid w:val="00617F77"/>
    <w:rsid w:val="0062186B"/>
    <w:rsid w:val="00623004"/>
    <w:rsid w:val="00627C91"/>
    <w:rsid w:val="006327E7"/>
    <w:rsid w:val="00635031"/>
    <w:rsid w:val="006369D4"/>
    <w:rsid w:val="00636C51"/>
    <w:rsid w:val="006407FA"/>
    <w:rsid w:val="006427B2"/>
    <w:rsid w:val="00642BEB"/>
    <w:rsid w:val="00647426"/>
    <w:rsid w:val="00647590"/>
    <w:rsid w:val="006526F5"/>
    <w:rsid w:val="00657702"/>
    <w:rsid w:val="006619F5"/>
    <w:rsid w:val="006629F9"/>
    <w:rsid w:val="006639F0"/>
    <w:rsid w:val="00664A25"/>
    <w:rsid w:val="0066562D"/>
    <w:rsid w:val="00670998"/>
    <w:rsid w:val="00672050"/>
    <w:rsid w:val="00673872"/>
    <w:rsid w:val="00674A34"/>
    <w:rsid w:val="0067500D"/>
    <w:rsid w:val="006842D4"/>
    <w:rsid w:val="00685515"/>
    <w:rsid w:val="00685CC6"/>
    <w:rsid w:val="0068642A"/>
    <w:rsid w:val="00687D0A"/>
    <w:rsid w:val="00694C76"/>
    <w:rsid w:val="00694F4A"/>
    <w:rsid w:val="00695DBD"/>
    <w:rsid w:val="006A029B"/>
    <w:rsid w:val="006A17A1"/>
    <w:rsid w:val="006A61C5"/>
    <w:rsid w:val="006A766C"/>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3FA3"/>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6F70B6"/>
    <w:rsid w:val="0070058D"/>
    <w:rsid w:val="00702854"/>
    <w:rsid w:val="00704585"/>
    <w:rsid w:val="00704A1A"/>
    <w:rsid w:val="0070581F"/>
    <w:rsid w:val="00705833"/>
    <w:rsid w:val="00705924"/>
    <w:rsid w:val="00707B77"/>
    <w:rsid w:val="00707CE9"/>
    <w:rsid w:val="00710055"/>
    <w:rsid w:val="007103BC"/>
    <w:rsid w:val="0071124D"/>
    <w:rsid w:val="0071184F"/>
    <w:rsid w:val="00712189"/>
    <w:rsid w:val="007134A2"/>
    <w:rsid w:val="00713FB2"/>
    <w:rsid w:val="00717B45"/>
    <w:rsid w:val="007202C4"/>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860"/>
    <w:rsid w:val="007502C2"/>
    <w:rsid w:val="00750378"/>
    <w:rsid w:val="007505FB"/>
    <w:rsid w:val="007524B0"/>
    <w:rsid w:val="00752997"/>
    <w:rsid w:val="007533EC"/>
    <w:rsid w:val="00757618"/>
    <w:rsid w:val="00762606"/>
    <w:rsid w:val="00762B45"/>
    <w:rsid w:val="0076544A"/>
    <w:rsid w:val="00767402"/>
    <w:rsid w:val="0077044D"/>
    <w:rsid w:val="00774454"/>
    <w:rsid w:val="00774ABF"/>
    <w:rsid w:val="00776E17"/>
    <w:rsid w:val="00780DD4"/>
    <w:rsid w:val="00782D07"/>
    <w:rsid w:val="007859F8"/>
    <w:rsid w:val="00790F8B"/>
    <w:rsid w:val="00791384"/>
    <w:rsid w:val="0079191B"/>
    <w:rsid w:val="00791C27"/>
    <w:rsid w:val="0079239C"/>
    <w:rsid w:val="007934F3"/>
    <w:rsid w:val="00795A80"/>
    <w:rsid w:val="00796464"/>
    <w:rsid w:val="00796F15"/>
    <w:rsid w:val="007A0403"/>
    <w:rsid w:val="007A12F5"/>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767F"/>
    <w:rsid w:val="007C79FB"/>
    <w:rsid w:val="007D3891"/>
    <w:rsid w:val="007D4584"/>
    <w:rsid w:val="007D4A14"/>
    <w:rsid w:val="007E0017"/>
    <w:rsid w:val="007E0D9D"/>
    <w:rsid w:val="007E4B14"/>
    <w:rsid w:val="007E4B4C"/>
    <w:rsid w:val="007E7ABF"/>
    <w:rsid w:val="007F0907"/>
    <w:rsid w:val="007F0D24"/>
    <w:rsid w:val="007F10B5"/>
    <w:rsid w:val="007F1654"/>
    <w:rsid w:val="007F1C81"/>
    <w:rsid w:val="007F6ABA"/>
    <w:rsid w:val="0080144C"/>
    <w:rsid w:val="0080170D"/>
    <w:rsid w:val="00804A98"/>
    <w:rsid w:val="00805C3A"/>
    <w:rsid w:val="008061B8"/>
    <w:rsid w:val="008129B1"/>
    <w:rsid w:val="00817A12"/>
    <w:rsid w:val="00822092"/>
    <w:rsid w:val="0082437E"/>
    <w:rsid w:val="008259FD"/>
    <w:rsid w:val="00825B2C"/>
    <w:rsid w:val="00825D67"/>
    <w:rsid w:val="00826C1C"/>
    <w:rsid w:val="0083200D"/>
    <w:rsid w:val="00832304"/>
    <w:rsid w:val="00832E86"/>
    <w:rsid w:val="00833BAB"/>
    <w:rsid w:val="00833CC2"/>
    <w:rsid w:val="00833FCC"/>
    <w:rsid w:val="008356E6"/>
    <w:rsid w:val="008360AA"/>
    <w:rsid w:val="00837412"/>
    <w:rsid w:val="00840877"/>
    <w:rsid w:val="0084180A"/>
    <w:rsid w:val="0084197A"/>
    <w:rsid w:val="00841EDA"/>
    <w:rsid w:val="00843425"/>
    <w:rsid w:val="00843A81"/>
    <w:rsid w:val="008443D0"/>
    <w:rsid w:val="00845708"/>
    <w:rsid w:val="00846239"/>
    <w:rsid w:val="00846484"/>
    <w:rsid w:val="008470DE"/>
    <w:rsid w:val="008478EE"/>
    <w:rsid w:val="00852FB1"/>
    <w:rsid w:val="0085475F"/>
    <w:rsid w:val="00855470"/>
    <w:rsid w:val="00855C39"/>
    <w:rsid w:val="00856225"/>
    <w:rsid w:val="0085681C"/>
    <w:rsid w:val="008604B1"/>
    <w:rsid w:val="008609B1"/>
    <w:rsid w:val="008612E4"/>
    <w:rsid w:val="0086158F"/>
    <w:rsid w:val="008645C4"/>
    <w:rsid w:val="00867884"/>
    <w:rsid w:val="00867AC8"/>
    <w:rsid w:val="008734F5"/>
    <w:rsid w:val="00875104"/>
    <w:rsid w:val="008770B0"/>
    <w:rsid w:val="008774D2"/>
    <w:rsid w:val="0087779F"/>
    <w:rsid w:val="00880E40"/>
    <w:rsid w:val="00883771"/>
    <w:rsid w:val="00883C9D"/>
    <w:rsid w:val="00883EFE"/>
    <w:rsid w:val="008861F7"/>
    <w:rsid w:val="008869CA"/>
    <w:rsid w:val="008905BA"/>
    <w:rsid w:val="00890F41"/>
    <w:rsid w:val="00894BBB"/>
    <w:rsid w:val="0089513F"/>
    <w:rsid w:val="00895699"/>
    <w:rsid w:val="0089764E"/>
    <w:rsid w:val="008A108A"/>
    <w:rsid w:val="008A153F"/>
    <w:rsid w:val="008A256F"/>
    <w:rsid w:val="008A54A9"/>
    <w:rsid w:val="008A6188"/>
    <w:rsid w:val="008A7735"/>
    <w:rsid w:val="008A79C6"/>
    <w:rsid w:val="008B28F2"/>
    <w:rsid w:val="008B3A89"/>
    <w:rsid w:val="008B444F"/>
    <w:rsid w:val="008B683E"/>
    <w:rsid w:val="008C0EF7"/>
    <w:rsid w:val="008C11A2"/>
    <w:rsid w:val="008C20F7"/>
    <w:rsid w:val="008C5F1C"/>
    <w:rsid w:val="008D06D8"/>
    <w:rsid w:val="008D1B01"/>
    <w:rsid w:val="008D25D7"/>
    <w:rsid w:val="008D2A83"/>
    <w:rsid w:val="008D2D7B"/>
    <w:rsid w:val="008D2D98"/>
    <w:rsid w:val="008D44EB"/>
    <w:rsid w:val="008D6F0F"/>
    <w:rsid w:val="008E19EA"/>
    <w:rsid w:val="008E3E1A"/>
    <w:rsid w:val="008E4039"/>
    <w:rsid w:val="008F06B9"/>
    <w:rsid w:val="008F1AA9"/>
    <w:rsid w:val="008F25B0"/>
    <w:rsid w:val="008F39B4"/>
    <w:rsid w:val="008F6F44"/>
    <w:rsid w:val="008F7C5B"/>
    <w:rsid w:val="009042BB"/>
    <w:rsid w:val="009049C0"/>
    <w:rsid w:val="00906257"/>
    <w:rsid w:val="009069D6"/>
    <w:rsid w:val="00910EF6"/>
    <w:rsid w:val="00912380"/>
    <w:rsid w:val="009124F6"/>
    <w:rsid w:val="00912BC1"/>
    <w:rsid w:val="00913B67"/>
    <w:rsid w:val="00915B08"/>
    <w:rsid w:val="00916953"/>
    <w:rsid w:val="00917C08"/>
    <w:rsid w:val="0092164E"/>
    <w:rsid w:val="00921DD1"/>
    <w:rsid w:val="009225FE"/>
    <w:rsid w:val="00923D31"/>
    <w:rsid w:val="00923F94"/>
    <w:rsid w:val="00926DD3"/>
    <w:rsid w:val="0092705D"/>
    <w:rsid w:val="00932C51"/>
    <w:rsid w:val="00935308"/>
    <w:rsid w:val="00935868"/>
    <w:rsid w:val="009361FD"/>
    <w:rsid w:val="009406D2"/>
    <w:rsid w:val="00940F17"/>
    <w:rsid w:val="009414C5"/>
    <w:rsid w:val="009427F2"/>
    <w:rsid w:val="00944F64"/>
    <w:rsid w:val="00945CE1"/>
    <w:rsid w:val="009462C7"/>
    <w:rsid w:val="009467A8"/>
    <w:rsid w:val="00951A0B"/>
    <w:rsid w:val="00953383"/>
    <w:rsid w:val="00955683"/>
    <w:rsid w:val="009574A8"/>
    <w:rsid w:val="00963A5E"/>
    <w:rsid w:val="00964083"/>
    <w:rsid w:val="009648F3"/>
    <w:rsid w:val="00964D68"/>
    <w:rsid w:val="00965025"/>
    <w:rsid w:val="009654C8"/>
    <w:rsid w:val="00967E51"/>
    <w:rsid w:val="00971039"/>
    <w:rsid w:val="00971B7B"/>
    <w:rsid w:val="00971D3B"/>
    <w:rsid w:val="00972D48"/>
    <w:rsid w:val="00975E68"/>
    <w:rsid w:val="00977A95"/>
    <w:rsid w:val="009812FA"/>
    <w:rsid w:val="00982585"/>
    <w:rsid w:val="0098480E"/>
    <w:rsid w:val="009857AA"/>
    <w:rsid w:val="00985DC9"/>
    <w:rsid w:val="00985FA9"/>
    <w:rsid w:val="00987A99"/>
    <w:rsid w:val="00987B88"/>
    <w:rsid w:val="009902F7"/>
    <w:rsid w:val="00993EAC"/>
    <w:rsid w:val="0099448D"/>
    <w:rsid w:val="00995A06"/>
    <w:rsid w:val="00995C33"/>
    <w:rsid w:val="009A222A"/>
    <w:rsid w:val="009A26CA"/>
    <w:rsid w:val="009A6FE7"/>
    <w:rsid w:val="009B1FD2"/>
    <w:rsid w:val="009B3AEB"/>
    <w:rsid w:val="009B7AE2"/>
    <w:rsid w:val="009C0610"/>
    <w:rsid w:val="009C210D"/>
    <w:rsid w:val="009C2D83"/>
    <w:rsid w:val="009C3EB5"/>
    <w:rsid w:val="009C42BD"/>
    <w:rsid w:val="009C444B"/>
    <w:rsid w:val="009C54AF"/>
    <w:rsid w:val="009D2CE3"/>
    <w:rsid w:val="009D3773"/>
    <w:rsid w:val="009D499D"/>
    <w:rsid w:val="009D5C03"/>
    <w:rsid w:val="009D6F9C"/>
    <w:rsid w:val="009D72AA"/>
    <w:rsid w:val="009D7484"/>
    <w:rsid w:val="009E1FC0"/>
    <w:rsid w:val="009E2AEA"/>
    <w:rsid w:val="009E3183"/>
    <w:rsid w:val="009E36E1"/>
    <w:rsid w:val="009E3783"/>
    <w:rsid w:val="009E3EA3"/>
    <w:rsid w:val="009E3ED4"/>
    <w:rsid w:val="009F0715"/>
    <w:rsid w:val="009F1335"/>
    <w:rsid w:val="009F1615"/>
    <w:rsid w:val="009F45FE"/>
    <w:rsid w:val="009F5B74"/>
    <w:rsid w:val="009F6717"/>
    <w:rsid w:val="00A00280"/>
    <w:rsid w:val="00A01F6A"/>
    <w:rsid w:val="00A0321B"/>
    <w:rsid w:val="00A045CA"/>
    <w:rsid w:val="00A04DC3"/>
    <w:rsid w:val="00A0597B"/>
    <w:rsid w:val="00A05DAD"/>
    <w:rsid w:val="00A06FB4"/>
    <w:rsid w:val="00A14878"/>
    <w:rsid w:val="00A14CAA"/>
    <w:rsid w:val="00A1707B"/>
    <w:rsid w:val="00A1739A"/>
    <w:rsid w:val="00A17694"/>
    <w:rsid w:val="00A17F2C"/>
    <w:rsid w:val="00A232B9"/>
    <w:rsid w:val="00A33029"/>
    <w:rsid w:val="00A33893"/>
    <w:rsid w:val="00A3466B"/>
    <w:rsid w:val="00A34C9A"/>
    <w:rsid w:val="00A34D89"/>
    <w:rsid w:val="00A37B47"/>
    <w:rsid w:val="00A41364"/>
    <w:rsid w:val="00A41F72"/>
    <w:rsid w:val="00A44A25"/>
    <w:rsid w:val="00A45F81"/>
    <w:rsid w:val="00A5463B"/>
    <w:rsid w:val="00A54891"/>
    <w:rsid w:val="00A54CA1"/>
    <w:rsid w:val="00A56516"/>
    <w:rsid w:val="00A62031"/>
    <w:rsid w:val="00A65D80"/>
    <w:rsid w:val="00A672A7"/>
    <w:rsid w:val="00A714DD"/>
    <w:rsid w:val="00A71B36"/>
    <w:rsid w:val="00A73044"/>
    <w:rsid w:val="00A7379C"/>
    <w:rsid w:val="00A73CF1"/>
    <w:rsid w:val="00A75C9A"/>
    <w:rsid w:val="00A76AC8"/>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1522"/>
    <w:rsid w:val="00AA2734"/>
    <w:rsid w:val="00AA3015"/>
    <w:rsid w:val="00AA3E46"/>
    <w:rsid w:val="00AA4399"/>
    <w:rsid w:val="00AA4D97"/>
    <w:rsid w:val="00AA59AF"/>
    <w:rsid w:val="00AB04F6"/>
    <w:rsid w:val="00AB05D5"/>
    <w:rsid w:val="00AB0E8F"/>
    <w:rsid w:val="00AB1897"/>
    <w:rsid w:val="00AB2611"/>
    <w:rsid w:val="00AB35DC"/>
    <w:rsid w:val="00AB419D"/>
    <w:rsid w:val="00AB52D0"/>
    <w:rsid w:val="00AB543B"/>
    <w:rsid w:val="00AC046B"/>
    <w:rsid w:val="00AC1E16"/>
    <w:rsid w:val="00AC1EDB"/>
    <w:rsid w:val="00AC355E"/>
    <w:rsid w:val="00AC3A0C"/>
    <w:rsid w:val="00AC3EEC"/>
    <w:rsid w:val="00AC50EE"/>
    <w:rsid w:val="00AC54F8"/>
    <w:rsid w:val="00AC57A5"/>
    <w:rsid w:val="00AC5D4C"/>
    <w:rsid w:val="00AC681D"/>
    <w:rsid w:val="00AC6FF1"/>
    <w:rsid w:val="00AD0F67"/>
    <w:rsid w:val="00AD1A30"/>
    <w:rsid w:val="00AD700A"/>
    <w:rsid w:val="00AD7E8E"/>
    <w:rsid w:val="00AE0F81"/>
    <w:rsid w:val="00AE136A"/>
    <w:rsid w:val="00AE1EBC"/>
    <w:rsid w:val="00AE330D"/>
    <w:rsid w:val="00AF134A"/>
    <w:rsid w:val="00AF3563"/>
    <w:rsid w:val="00AF3BCE"/>
    <w:rsid w:val="00AF421C"/>
    <w:rsid w:val="00AF5C05"/>
    <w:rsid w:val="00AF5D61"/>
    <w:rsid w:val="00AF7622"/>
    <w:rsid w:val="00B00238"/>
    <w:rsid w:val="00B019A9"/>
    <w:rsid w:val="00B03218"/>
    <w:rsid w:val="00B03273"/>
    <w:rsid w:val="00B039EC"/>
    <w:rsid w:val="00B04F62"/>
    <w:rsid w:val="00B07EFF"/>
    <w:rsid w:val="00B10984"/>
    <w:rsid w:val="00B110B5"/>
    <w:rsid w:val="00B11FF9"/>
    <w:rsid w:val="00B14512"/>
    <w:rsid w:val="00B14C3A"/>
    <w:rsid w:val="00B167A2"/>
    <w:rsid w:val="00B174E3"/>
    <w:rsid w:val="00B205F7"/>
    <w:rsid w:val="00B21A1B"/>
    <w:rsid w:val="00B22071"/>
    <w:rsid w:val="00B2772E"/>
    <w:rsid w:val="00B27A5B"/>
    <w:rsid w:val="00B316E7"/>
    <w:rsid w:val="00B325B7"/>
    <w:rsid w:val="00B32A4E"/>
    <w:rsid w:val="00B3398C"/>
    <w:rsid w:val="00B34BDE"/>
    <w:rsid w:val="00B34EF9"/>
    <w:rsid w:val="00B3578F"/>
    <w:rsid w:val="00B35DAD"/>
    <w:rsid w:val="00B36D34"/>
    <w:rsid w:val="00B36EB3"/>
    <w:rsid w:val="00B41AE8"/>
    <w:rsid w:val="00B41FCB"/>
    <w:rsid w:val="00B445D0"/>
    <w:rsid w:val="00B44F00"/>
    <w:rsid w:val="00B45C4D"/>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AE"/>
    <w:rsid w:val="00B75D53"/>
    <w:rsid w:val="00B75DB2"/>
    <w:rsid w:val="00B7681E"/>
    <w:rsid w:val="00B80FA2"/>
    <w:rsid w:val="00B81EB1"/>
    <w:rsid w:val="00B832A3"/>
    <w:rsid w:val="00B83AFF"/>
    <w:rsid w:val="00B84886"/>
    <w:rsid w:val="00B84958"/>
    <w:rsid w:val="00B85067"/>
    <w:rsid w:val="00B85F0D"/>
    <w:rsid w:val="00B86A9F"/>
    <w:rsid w:val="00B9042F"/>
    <w:rsid w:val="00B910E8"/>
    <w:rsid w:val="00B93137"/>
    <w:rsid w:val="00B9328C"/>
    <w:rsid w:val="00B93BE0"/>
    <w:rsid w:val="00B94CD8"/>
    <w:rsid w:val="00B9595D"/>
    <w:rsid w:val="00B96F16"/>
    <w:rsid w:val="00B97A54"/>
    <w:rsid w:val="00BA0974"/>
    <w:rsid w:val="00BA1817"/>
    <w:rsid w:val="00BA1FAD"/>
    <w:rsid w:val="00BA3D73"/>
    <w:rsid w:val="00BA58AC"/>
    <w:rsid w:val="00BA5D5A"/>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0628"/>
    <w:rsid w:val="00BD2A97"/>
    <w:rsid w:val="00BD304A"/>
    <w:rsid w:val="00BD7FD9"/>
    <w:rsid w:val="00BE1022"/>
    <w:rsid w:val="00BE283F"/>
    <w:rsid w:val="00BE2ECA"/>
    <w:rsid w:val="00BE2EFA"/>
    <w:rsid w:val="00BE2FAA"/>
    <w:rsid w:val="00BE3768"/>
    <w:rsid w:val="00BE5947"/>
    <w:rsid w:val="00BE597C"/>
    <w:rsid w:val="00BE6870"/>
    <w:rsid w:val="00BE6EA7"/>
    <w:rsid w:val="00BE71FD"/>
    <w:rsid w:val="00BE7B19"/>
    <w:rsid w:val="00BF23A6"/>
    <w:rsid w:val="00BF3B3D"/>
    <w:rsid w:val="00BF564D"/>
    <w:rsid w:val="00BF591D"/>
    <w:rsid w:val="00BF5A87"/>
    <w:rsid w:val="00BF6341"/>
    <w:rsid w:val="00BF65F3"/>
    <w:rsid w:val="00C0045E"/>
    <w:rsid w:val="00C00E0C"/>
    <w:rsid w:val="00C00FC7"/>
    <w:rsid w:val="00C00FD8"/>
    <w:rsid w:val="00C023A0"/>
    <w:rsid w:val="00C05E84"/>
    <w:rsid w:val="00C06753"/>
    <w:rsid w:val="00C073E4"/>
    <w:rsid w:val="00C07C34"/>
    <w:rsid w:val="00C13962"/>
    <w:rsid w:val="00C154E6"/>
    <w:rsid w:val="00C158B5"/>
    <w:rsid w:val="00C16A92"/>
    <w:rsid w:val="00C16E23"/>
    <w:rsid w:val="00C2082B"/>
    <w:rsid w:val="00C20DBA"/>
    <w:rsid w:val="00C231A3"/>
    <w:rsid w:val="00C33771"/>
    <w:rsid w:val="00C3394C"/>
    <w:rsid w:val="00C3411B"/>
    <w:rsid w:val="00C34230"/>
    <w:rsid w:val="00C354FC"/>
    <w:rsid w:val="00C35B1A"/>
    <w:rsid w:val="00C3661B"/>
    <w:rsid w:val="00C42112"/>
    <w:rsid w:val="00C435EB"/>
    <w:rsid w:val="00C44B76"/>
    <w:rsid w:val="00C44D13"/>
    <w:rsid w:val="00C45768"/>
    <w:rsid w:val="00C4692B"/>
    <w:rsid w:val="00C46A0C"/>
    <w:rsid w:val="00C473F7"/>
    <w:rsid w:val="00C501E5"/>
    <w:rsid w:val="00C5100A"/>
    <w:rsid w:val="00C51884"/>
    <w:rsid w:val="00C518F6"/>
    <w:rsid w:val="00C5268C"/>
    <w:rsid w:val="00C549BC"/>
    <w:rsid w:val="00C56251"/>
    <w:rsid w:val="00C5667B"/>
    <w:rsid w:val="00C56A65"/>
    <w:rsid w:val="00C56FE0"/>
    <w:rsid w:val="00C6072B"/>
    <w:rsid w:val="00C6094D"/>
    <w:rsid w:val="00C62733"/>
    <w:rsid w:val="00C62FDC"/>
    <w:rsid w:val="00C67460"/>
    <w:rsid w:val="00C71431"/>
    <w:rsid w:val="00C724F5"/>
    <w:rsid w:val="00C73066"/>
    <w:rsid w:val="00C743D2"/>
    <w:rsid w:val="00C77A1F"/>
    <w:rsid w:val="00C80647"/>
    <w:rsid w:val="00C80836"/>
    <w:rsid w:val="00C8277B"/>
    <w:rsid w:val="00C836CE"/>
    <w:rsid w:val="00C84DDE"/>
    <w:rsid w:val="00C85162"/>
    <w:rsid w:val="00C874E5"/>
    <w:rsid w:val="00C87864"/>
    <w:rsid w:val="00C90463"/>
    <w:rsid w:val="00C90EAC"/>
    <w:rsid w:val="00C917FD"/>
    <w:rsid w:val="00C9247B"/>
    <w:rsid w:val="00C93D01"/>
    <w:rsid w:val="00C958FA"/>
    <w:rsid w:val="00C96958"/>
    <w:rsid w:val="00C96A6B"/>
    <w:rsid w:val="00CA62C0"/>
    <w:rsid w:val="00CA73CB"/>
    <w:rsid w:val="00CA79BB"/>
    <w:rsid w:val="00CB20E8"/>
    <w:rsid w:val="00CB4161"/>
    <w:rsid w:val="00CB43A2"/>
    <w:rsid w:val="00CB6DE1"/>
    <w:rsid w:val="00CB7730"/>
    <w:rsid w:val="00CC12A0"/>
    <w:rsid w:val="00CC26A8"/>
    <w:rsid w:val="00CC4CED"/>
    <w:rsid w:val="00CC5F5A"/>
    <w:rsid w:val="00CC6EBB"/>
    <w:rsid w:val="00CD25BC"/>
    <w:rsid w:val="00CD4A21"/>
    <w:rsid w:val="00CD6C5E"/>
    <w:rsid w:val="00CE1A40"/>
    <w:rsid w:val="00CE3A6F"/>
    <w:rsid w:val="00CE63F9"/>
    <w:rsid w:val="00CF0A31"/>
    <w:rsid w:val="00CF1E87"/>
    <w:rsid w:val="00CF240F"/>
    <w:rsid w:val="00CF34FA"/>
    <w:rsid w:val="00CF48C4"/>
    <w:rsid w:val="00CF4B5F"/>
    <w:rsid w:val="00CF4FAD"/>
    <w:rsid w:val="00CF5C15"/>
    <w:rsid w:val="00CF6201"/>
    <w:rsid w:val="00CF6B2F"/>
    <w:rsid w:val="00D05CAA"/>
    <w:rsid w:val="00D06129"/>
    <w:rsid w:val="00D114E6"/>
    <w:rsid w:val="00D1198D"/>
    <w:rsid w:val="00D14302"/>
    <w:rsid w:val="00D15F17"/>
    <w:rsid w:val="00D161BE"/>
    <w:rsid w:val="00D162D9"/>
    <w:rsid w:val="00D259FD"/>
    <w:rsid w:val="00D30F03"/>
    <w:rsid w:val="00D33180"/>
    <w:rsid w:val="00D34E5E"/>
    <w:rsid w:val="00D34F04"/>
    <w:rsid w:val="00D35495"/>
    <w:rsid w:val="00D4044B"/>
    <w:rsid w:val="00D4046C"/>
    <w:rsid w:val="00D41D2D"/>
    <w:rsid w:val="00D42638"/>
    <w:rsid w:val="00D44316"/>
    <w:rsid w:val="00D448E6"/>
    <w:rsid w:val="00D44EB2"/>
    <w:rsid w:val="00D4743F"/>
    <w:rsid w:val="00D5065B"/>
    <w:rsid w:val="00D51CBC"/>
    <w:rsid w:val="00D5274F"/>
    <w:rsid w:val="00D531B6"/>
    <w:rsid w:val="00D548E4"/>
    <w:rsid w:val="00D56338"/>
    <w:rsid w:val="00D565F8"/>
    <w:rsid w:val="00D56ABB"/>
    <w:rsid w:val="00D571B1"/>
    <w:rsid w:val="00D57944"/>
    <w:rsid w:val="00D57EFC"/>
    <w:rsid w:val="00D602E0"/>
    <w:rsid w:val="00D61C9B"/>
    <w:rsid w:val="00D63EFF"/>
    <w:rsid w:val="00D64096"/>
    <w:rsid w:val="00D644BD"/>
    <w:rsid w:val="00D65500"/>
    <w:rsid w:val="00D65F8F"/>
    <w:rsid w:val="00D664A9"/>
    <w:rsid w:val="00D66520"/>
    <w:rsid w:val="00D671E2"/>
    <w:rsid w:val="00D67E0A"/>
    <w:rsid w:val="00D70862"/>
    <w:rsid w:val="00D72F7B"/>
    <w:rsid w:val="00D753C3"/>
    <w:rsid w:val="00D7566A"/>
    <w:rsid w:val="00D85008"/>
    <w:rsid w:val="00D869A8"/>
    <w:rsid w:val="00D87426"/>
    <w:rsid w:val="00D8754D"/>
    <w:rsid w:val="00D91C9C"/>
    <w:rsid w:val="00D92717"/>
    <w:rsid w:val="00D93E05"/>
    <w:rsid w:val="00D9515D"/>
    <w:rsid w:val="00DA0C2F"/>
    <w:rsid w:val="00DA3A08"/>
    <w:rsid w:val="00DA4715"/>
    <w:rsid w:val="00DA62DF"/>
    <w:rsid w:val="00DA7439"/>
    <w:rsid w:val="00DB0DA9"/>
    <w:rsid w:val="00DB108A"/>
    <w:rsid w:val="00DC1776"/>
    <w:rsid w:val="00DC33A5"/>
    <w:rsid w:val="00DC4340"/>
    <w:rsid w:val="00DC6F5E"/>
    <w:rsid w:val="00DC7898"/>
    <w:rsid w:val="00DD19F8"/>
    <w:rsid w:val="00DD1C70"/>
    <w:rsid w:val="00DD3239"/>
    <w:rsid w:val="00DE07E4"/>
    <w:rsid w:val="00DE0877"/>
    <w:rsid w:val="00DE0FF8"/>
    <w:rsid w:val="00DE3EBF"/>
    <w:rsid w:val="00DE67C3"/>
    <w:rsid w:val="00DE6D39"/>
    <w:rsid w:val="00DE7099"/>
    <w:rsid w:val="00DE7345"/>
    <w:rsid w:val="00DF05D0"/>
    <w:rsid w:val="00DF2CEB"/>
    <w:rsid w:val="00DF51CA"/>
    <w:rsid w:val="00DF5581"/>
    <w:rsid w:val="00DF7501"/>
    <w:rsid w:val="00DF7936"/>
    <w:rsid w:val="00E04B6F"/>
    <w:rsid w:val="00E13833"/>
    <w:rsid w:val="00E17001"/>
    <w:rsid w:val="00E17406"/>
    <w:rsid w:val="00E20235"/>
    <w:rsid w:val="00E20AE5"/>
    <w:rsid w:val="00E20F00"/>
    <w:rsid w:val="00E21297"/>
    <w:rsid w:val="00E21FC9"/>
    <w:rsid w:val="00E22614"/>
    <w:rsid w:val="00E23A38"/>
    <w:rsid w:val="00E23B6B"/>
    <w:rsid w:val="00E26484"/>
    <w:rsid w:val="00E265A0"/>
    <w:rsid w:val="00E266DE"/>
    <w:rsid w:val="00E311F5"/>
    <w:rsid w:val="00E31262"/>
    <w:rsid w:val="00E34BF8"/>
    <w:rsid w:val="00E35B1E"/>
    <w:rsid w:val="00E4250F"/>
    <w:rsid w:val="00E44A7E"/>
    <w:rsid w:val="00E46269"/>
    <w:rsid w:val="00E46A7E"/>
    <w:rsid w:val="00E46CE8"/>
    <w:rsid w:val="00E46EB8"/>
    <w:rsid w:val="00E473EB"/>
    <w:rsid w:val="00E50EC8"/>
    <w:rsid w:val="00E51559"/>
    <w:rsid w:val="00E548DB"/>
    <w:rsid w:val="00E552BD"/>
    <w:rsid w:val="00E55649"/>
    <w:rsid w:val="00E56A50"/>
    <w:rsid w:val="00E5798A"/>
    <w:rsid w:val="00E57A3E"/>
    <w:rsid w:val="00E605A2"/>
    <w:rsid w:val="00E628D9"/>
    <w:rsid w:val="00E63ADA"/>
    <w:rsid w:val="00E640E0"/>
    <w:rsid w:val="00E645F6"/>
    <w:rsid w:val="00E64C5F"/>
    <w:rsid w:val="00E664F4"/>
    <w:rsid w:val="00E70355"/>
    <w:rsid w:val="00E72855"/>
    <w:rsid w:val="00E7377F"/>
    <w:rsid w:val="00E74710"/>
    <w:rsid w:val="00E74C1D"/>
    <w:rsid w:val="00E80439"/>
    <w:rsid w:val="00E8127D"/>
    <w:rsid w:val="00E81B2F"/>
    <w:rsid w:val="00E844ED"/>
    <w:rsid w:val="00E85810"/>
    <w:rsid w:val="00E85B0A"/>
    <w:rsid w:val="00E90558"/>
    <w:rsid w:val="00E909CD"/>
    <w:rsid w:val="00E92248"/>
    <w:rsid w:val="00E92BD1"/>
    <w:rsid w:val="00E935A1"/>
    <w:rsid w:val="00E93FB6"/>
    <w:rsid w:val="00E95832"/>
    <w:rsid w:val="00E96820"/>
    <w:rsid w:val="00E973E4"/>
    <w:rsid w:val="00EA1715"/>
    <w:rsid w:val="00EA31FD"/>
    <w:rsid w:val="00EA4349"/>
    <w:rsid w:val="00EA4EE4"/>
    <w:rsid w:val="00EA5A32"/>
    <w:rsid w:val="00EB0185"/>
    <w:rsid w:val="00EB2F51"/>
    <w:rsid w:val="00EB36F2"/>
    <w:rsid w:val="00EB3BF0"/>
    <w:rsid w:val="00EB601D"/>
    <w:rsid w:val="00EB6CCD"/>
    <w:rsid w:val="00EC0273"/>
    <w:rsid w:val="00EC25BA"/>
    <w:rsid w:val="00ED0AD5"/>
    <w:rsid w:val="00ED1DE2"/>
    <w:rsid w:val="00ED1F31"/>
    <w:rsid w:val="00ED3630"/>
    <w:rsid w:val="00ED4B95"/>
    <w:rsid w:val="00ED7140"/>
    <w:rsid w:val="00ED77E5"/>
    <w:rsid w:val="00ED78F5"/>
    <w:rsid w:val="00EE026E"/>
    <w:rsid w:val="00EE3C59"/>
    <w:rsid w:val="00EE5027"/>
    <w:rsid w:val="00EE5B70"/>
    <w:rsid w:val="00EE66B6"/>
    <w:rsid w:val="00EE6D7C"/>
    <w:rsid w:val="00EE7B48"/>
    <w:rsid w:val="00EF0AFA"/>
    <w:rsid w:val="00EF0EE9"/>
    <w:rsid w:val="00EF1D45"/>
    <w:rsid w:val="00EF38E5"/>
    <w:rsid w:val="00EF5C33"/>
    <w:rsid w:val="00EF629C"/>
    <w:rsid w:val="00EF6AB8"/>
    <w:rsid w:val="00EF7C6E"/>
    <w:rsid w:val="00F012F4"/>
    <w:rsid w:val="00F01632"/>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5669"/>
    <w:rsid w:val="00F27444"/>
    <w:rsid w:val="00F317CA"/>
    <w:rsid w:val="00F319F3"/>
    <w:rsid w:val="00F31BFB"/>
    <w:rsid w:val="00F323E7"/>
    <w:rsid w:val="00F324D2"/>
    <w:rsid w:val="00F32A56"/>
    <w:rsid w:val="00F335E4"/>
    <w:rsid w:val="00F35361"/>
    <w:rsid w:val="00F35509"/>
    <w:rsid w:val="00F358C3"/>
    <w:rsid w:val="00F413D8"/>
    <w:rsid w:val="00F42100"/>
    <w:rsid w:val="00F42A9B"/>
    <w:rsid w:val="00F45470"/>
    <w:rsid w:val="00F464FE"/>
    <w:rsid w:val="00F465F9"/>
    <w:rsid w:val="00F46846"/>
    <w:rsid w:val="00F47621"/>
    <w:rsid w:val="00F52CF2"/>
    <w:rsid w:val="00F570AB"/>
    <w:rsid w:val="00F57A71"/>
    <w:rsid w:val="00F60A1A"/>
    <w:rsid w:val="00F61C28"/>
    <w:rsid w:val="00F61E69"/>
    <w:rsid w:val="00F633B7"/>
    <w:rsid w:val="00F63B7E"/>
    <w:rsid w:val="00F64066"/>
    <w:rsid w:val="00F64151"/>
    <w:rsid w:val="00F645F1"/>
    <w:rsid w:val="00F6591A"/>
    <w:rsid w:val="00F66DC9"/>
    <w:rsid w:val="00F70D35"/>
    <w:rsid w:val="00F7546C"/>
    <w:rsid w:val="00F77B00"/>
    <w:rsid w:val="00F83B6F"/>
    <w:rsid w:val="00F84470"/>
    <w:rsid w:val="00F857BC"/>
    <w:rsid w:val="00F90273"/>
    <w:rsid w:val="00F90BD0"/>
    <w:rsid w:val="00F93ACB"/>
    <w:rsid w:val="00F93C4F"/>
    <w:rsid w:val="00F95994"/>
    <w:rsid w:val="00F973ED"/>
    <w:rsid w:val="00FA03C0"/>
    <w:rsid w:val="00FA49C5"/>
    <w:rsid w:val="00FA5BD2"/>
    <w:rsid w:val="00FA6175"/>
    <w:rsid w:val="00FA6784"/>
    <w:rsid w:val="00FA7E00"/>
    <w:rsid w:val="00FB1780"/>
    <w:rsid w:val="00FB35C6"/>
    <w:rsid w:val="00FB4C5A"/>
    <w:rsid w:val="00FB5BFA"/>
    <w:rsid w:val="00FB6F79"/>
    <w:rsid w:val="00FC10F6"/>
    <w:rsid w:val="00FC39FA"/>
    <w:rsid w:val="00FC3E5C"/>
    <w:rsid w:val="00FC4892"/>
    <w:rsid w:val="00FC7C25"/>
    <w:rsid w:val="00FD1C2E"/>
    <w:rsid w:val="00FD3574"/>
    <w:rsid w:val="00FD602D"/>
    <w:rsid w:val="00FD60D2"/>
    <w:rsid w:val="00FD6A7D"/>
    <w:rsid w:val="00FD6FC9"/>
    <w:rsid w:val="00FE02C2"/>
    <w:rsid w:val="00FE1564"/>
    <w:rsid w:val="00FE2800"/>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4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591">
      <w:bodyDiv w:val="1"/>
      <w:marLeft w:val="0"/>
      <w:marRight w:val="0"/>
      <w:marTop w:val="0"/>
      <w:marBottom w:val="0"/>
      <w:divBdr>
        <w:top w:val="none" w:sz="0" w:space="0" w:color="auto"/>
        <w:left w:val="none" w:sz="0" w:space="0" w:color="auto"/>
        <w:bottom w:val="none" w:sz="0" w:space="0" w:color="auto"/>
        <w:right w:val="none" w:sz="0" w:space="0" w:color="auto"/>
      </w:divBdr>
      <w:divsChild>
        <w:div w:id="1216892703">
          <w:marLeft w:val="0"/>
          <w:marRight w:val="0"/>
          <w:marTop w:val="0"/>
          <w:marBottom w:val="0"/>
          <w:divBdr>
            <w:top w:val="none" w:sz="0" w:space="0" w:color="auto"/>
            <w:left w:val="none" w:sz="0" w:space="0" w:color="auto"/>
            <w:bottom w:val="none" w:sz="0" w:space="0" w:color="auto"/>
            <w:right w:val="none" w:sz="0" w:space="0" w:color="auto"/>
          </w:divBdr>
          <w:divsChild>
            <w:div w:id="711198295">
              <w:marLeft w:val="0"/>
              <w:marRight w:val="0"/>
              <w:marTop w:val="0"/>
              <w:marBottom w:val="0"/>
              <w:divBdr>
                <w:top w:val="none" w:sz="0" w:space="0" w:color="auto"/>
                <w:left w:val="none" w:sz="0" w:space="0" w:color="auto"/>
                <w:bottom w:val="none" w:sz="0" w:space="0" w:color="auto"/>
                <w:right w:val="none" w:sz="0" w:space="0" w:color="auto"/>
              </w:divBdr>
              <w:divsChild>
                <w:div w:id="1435054752">
                  <w:marLeft w:val="0"/>
                  <w:marRight w:val="0"/>
                  <w:marTop w:val="0"/>
                  <w:marBottom w:val="0"/>
                  <w:divBdr>
                    <w:top w:val="none" w:sz="0" w:space="0" w:color="auto"/>
                    <w:left w:val="none" w:sz="0" w:space="0" w:color="auto"/>
                    <w:bottom w:val="none" w:sz="0" w:space="0" w:color="auto"/>
                    <w:right w:val="none" w:sz="0" w:space="0" w:color="auto"/>
                  </w:divBdr>
                  <w:divsChild>
                    <w:div w:id="572198592">
                      <w:marLeft w:val="0"/>
                      <w:marRight w:val="0"/>
                      <w:marTop w:val="0"/>
                      <w:marBottom w:val="0"/>
                      <w:divBdr>
                        <w:top w:val="none" w:sz="0" w:space="0" w:color="auto"/>
                        <w:left w:val="none" w:sz="0" w:space="0" w:color="auto"/>
                        <w:bottom w:val="none" w:sz="0" w:space="0" w:color="auto"/>
                        <w:right w:val="none" w:sz="0" w:space="0" w:color="auto"/>
                      </w:divBdr>
                      <w:divsChild>
                        <w:div w:id="1758208617">
                          <w:marLeft w:val="0"/>
                          <w:marRight w:val="0"/>
                          <w:marTop w:val="0"/>
                          <w:marBottom w:val="0"/>
                          <w:divBdr>
                            <w:top w:val="none" w:sz="0" w:space="0" w:color="auto"/>
                            <w:left w:val="none" w:sz="0" w:space="0" w:color="auto"/>
                            <w:bottom w:val="none" w:sz="0" w:space="0" w:color="auto"/>
                            <w:right w:val="none" w:sz="0" w:space="0" w:color="auto"/>
                          </w:divBdr>
                          <w:divsChild>
                            <w:div w:id="1205870390">
                              <w:marLeft w:val="0"/>
                              <w:marRight w:val="0"/>
                              <w:marTop w:val="0"/>
                              <w:marBottom w:val="0"/>
                              <w:divBdr>
                                <w:top w:val="none" w:sz="0" w:space="0" w:color="auto"/>
                                <w:left w:val="none" w:sz="0" w:space="0" w:color="auto"/>
                                <w:bottom w:val="none" w:sz="0" w:space="0" w:color="auto"/>
                                <w:right w:val="none" w:sz="0" w:space="0" w:color="auto"/>
                              </w:divBdr>
                              <w:divsChild>
                                <w:div w:id="536047005">
                                  <w:marLeft w:val="0"/>
                                  <w:marRight w:val="0"/>
                                  <w:marTop w:val="0"/>
                                  <w:marBottom w:val="0"/>
                                  <w:divBdr>
                                    <w:top w:val="none" w:sz="0" w:space="0" w:color="auto"/>
                                    <w:left w:val="none" w:sz="0" w:space="0" w:color="auto"/>
                                    <w:bottom w:val="none" w:sz="0" w:space="0" w:color="auto"/>
                                    <w:right w:val="none" w:sz="0" w:space="0" w:color="auto"/>
                                  </w:divBdr>
                                  <w:divsChild>
                                    <w:div w:id="1971207940">
                                      <w:marLeft w:val="0"/>
                                      <w:marRight w:val="0"/>
                                      <w:marTop w:val="0"/>
                                      <w:marBottom w:val="0"/>
                                      <w:divBdr>
                                        <w:top w:val="none" w:sz="0" w:space="0" w:color="auto"/>
                                        <w:left w:val="none" w:sz="0" w:space="0" w:color="auto"/>
                                        <w:bottom w:val="none" w:sz="0" w:space="0" w:color="auto"/>
                                        <w:right w:val="none" w:sz="0" w:space="0" w:color="auto"/>
                                      </w:divBdr>
                                      <w:divsChild>
                                        <w:div w:id="294723699">
                                          <w:marLeft w:val="0"/>
                                          <w:marRight w:val="0"/>
                                          <w:marTop w:val="0"/>
                                          <w:marBottom w:val="0"/>
                                          <w:divBdr>
                                            <w:top w:val="none" w:sz="0" w:space="0" w:color="auto"/>
                                            <w:left w:val="none" w:sz="0" w:space="0" w:color="auto"/>
                                            <w:bottom w:val="none" w:sz="0" w:space="0" w:color="auto"/>
                                            <w:right w:val="none" w:sz="0" w:space="0" w:color="auto"/>
                                          </w:divBdr>
                                          <w:divsChild>
                                            <w:div w:id="878778917">
                                              <w:marLeft w:val="0"/>
                                              <w:marRight w:val="0"/>
                                              <w:marTop w:val="0"/>
                                              <w:marBottom w:val="0"/>
                                              <w:divBdr>
                                                <w:top w:val="none" w:sz="0" w:space="0" w:color="auto"/>
                                                <w:left w:val="none" w:sz="0" w:space="0" w:color="auto"/>
                                                <w:bottom w:val="none" w:sz="0" w:space="0" w:color="auto"/>
                                                <w:right w:val="none" w:sz="0" w:space="0" w:color="auto"/>
                                              </w:divBdr>
                                              <w:divsChild>
                                                <w:div w:id="1139153276">
                                                  <w:marLeft w:val="0"/>
                                                  <w:marRight w:val="0"/>
                                                  <w:marTop w:val="0"/>
                                                  <w:marBottom w:val="0"/>
                                                  <w:divBdr>
                                                    <w:top w:val="none" w:sz="0" w:space="0" w:color="auto"/>
                                                    <w:left w:val="none" w:sz="0" w:space="0" w:color="auto"/>
                                                    <w:bottom w:val="none" w:sz="0" w:space="0" w:color="auto"/>
                                                    <w:right w:val="none" w:sz="0" w:space="0" w:color="auto"/>
                                                  </w:divBdr>
                                                  <w:divsChild>
                                                    <w:div w:id="2085757552">
                                                      <w:marLeft w:val="0"/>
                                                      <w:marRight w:val="0"/>
                                                      <w:marTop w:val="0"/>
                                                      <w:marBottom w:val="0"/>
                                                      <w:divBdr>
                                                        <w:top w:val="none" w:sz="0" w:space="0" w:color="auto"/>
                                                        <w:left w:val="none" w:sz="0" w:space="0" w:color="auto"/>
                                                        <w:bottom w:val="none" w:sz="0" w:space="0" w:color="auto"/>
                                                        <w:right w:val="none" w:sz="0" w:space="0" w:color="auto"/>
                                                      </w:divBdr>
                                                      <w:divsChild>
                                                        <w:div w:id="9509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1489702">
      <w:bodyDiv w:val="1"/>
      <w:marLeft w:val="0"/>
      <w:marRight w:val="0"/>
      <w:marTop w:val="0"/>
      <w:marBottom w:val="0"/>
      <w:divBdr>
        <w:top w:val="none" w:sz="0" w:space="0" w:color="auto"/>
        <w:left w:val="none" w:sz="0" w:space="0" w:color="auto"/>
        <w:bottom w:val="none" w:sz="0" w:space="0" w:color="auto"/>
        <w:right w:val="none" w:sz="0" w:space="0" w:color="auto"/>
      </w:divBdr>
      <w:divsChild>
        <w:div w:id="915819626">
          <w:marLeft w:val="0"/>
          <w:marRight w:val="0"/>
          <w:marTop w:val="0"/>
          <w:marBottom w:val="0"/>
          <w:divBdr>
            <w:top w:val="none" w:sz="0" w:space="0" w:color="auto"/>
            <w:left w:val="none" w:sz="0" w:space="0" w:color="auto"/>
            <w:bottom w:val="none" w:sz="0" w:space="0" w:color="auto"/>
            <w:right w:val="none" w:sz="0" w:space="0" w:color="auto"/>
          </w:divBdr>
          <w:divsChild>
            <w:div w:id="100228561">
              <w:marLeft w:val="0"/>
              <w:marRight w:val="0"/>
              <w:marTop w:val="0"/>
              <w:marBottom w:val="0"/>
              <w:divBdr>
                <w:top w:val="none" w:sz="0" w:space="0" w:color="auto"/>
                <w:left w:val="none" w:sz="0" w:space="0" w:color="auto"/>
                <w:bottom w:val="none" w:sz="0" w:space="0" w:color="auto"/>
                <w:right w:val="none" w:sz="0" w:space="0" w:color="auto"/>
              </w:divBdr>
              <w:divsChild>
                <w:div w:id="649284860">
                  <w:marLeft w:val="0"/>
                  <w:marRight w:val="0"/>
                  <w:marTop w:val="0"/>
                  <w:marBottom w:val="0"/>
                  <w:divBdr>
                    <w:top w:val="none" w:sz="0" w:space="0" w:color="auto"/>
                    <w:left w:val="none" w:sz="0" w:space="0" w:color="auto"/>
                    <w:bottom w:val="none" w:sz="0" w:space="0" w:color="auto"/>
                    <w:right w:val="none" w:sz="0" w:space="0" w:color="auto"/>
                  </w:divBdr>
                  <w:divsChild>
                    <w:div w:id="325210012">
                      <w:marLeft w:val="0"/>
                      <w:marRight w:val="0"/>
                      <w:marTop w:val="0"/>
                      <w:marBottom w:val="0"/>
                      <w:divBdr>
                        <w:top w:val="none" w:sz="0" w:space="0" w:color="auto"/>
                        <w:left w:val="none" w:sz="0" w:space="0" w:color="auto"/>
                        <w:bottom w:val="none" w:sz="0" w:space="0" w:color="auto"/>
                        <w:right w:val="none" w:sz="0" w:space="0" w:color="auto"/>
                      </w:divBdr>
                      <w:divsChild>
                        <w:div w:id="1952080780">
                          <w:marLeft w:val="0"/>
                          <w:marRight w:val="0"/>
                          <w:marTop w:val="0"/>
                          <w:marBottom w:val="0"/>
                          <w:divBdr>
                            <w:top w:val="none" w:sz="0" w:space="0" w:color="auto"/>
                            <w:left w:val="none" w:sz="0" w:space="0" w:color="auto"/>
                            <w:bottom w:val="none" w:sz="0" w:space="0" w:color="auto"/>
                            <w:right w:val="none" w:sz="0" w:space="0" w:color="auto"/>
                          </w:divBdr>
                          <w:divsChild>
                            <w:div w:id="1315914690">
                              <w:marLeft w:val="0"/>
                              <w:marRight w:val="0"/>
                              <w:marTop w:val="0"/>
                              <w:marBottom w:val="0"/>
                              <w:divBdr>
                                <w:top w:val="none" w:sz="0" w:space="0" w:color="auto"/>
                                <w:left w:val="none" w:sz="0" w:space="0" w:color="auto"/>
                                <w:bottom w:val="none" w:sz="0" w:space="0" w:color="auto"/>
                                <w:right w:val="none" w:sz="0" w:space="0" w:color="auto"/>
                              </w:divBdr>
                              <w:divsChild>
                                <w:div w:id="1749767763">
                                  <w:marLeft w:val="0"/>
                                  <w:marRight w:val="0"/>
                                  <w:marTop w:val="0"/>
                                  <w:marBottom w:val="0"/>
                                  <w:divBdr>
                                    <w:top w:val="none" w:sz="0" w:space="0" w:color="auto"/>
                                    <w:left w:val="none" w:sz="0" w:space="0" w:color="auto"/>
                                    <w:bottom w:val="none" w:sz="0" w:space="0" w:color="auto"/>
                                    <w:right w:val="none" w:sz="0" w:space="0" w:color="auto"/>
                                  </w:divBdr>
                                  <w:divsChild>
                                    <w:div w:id="821701564">
                                      <w:marLeft w:val="0"/>
                                      <w:marRight w:val="0"/>
                                      <w:marTop w:val="0"/>
                                      <w:marBottom w:val="0"/>
                                      <w:divBdr>
                                        <w:top w:val="none" w:sz="0" w:space="0" w:color="auto"/>
                                        <w:left w:val="none" w:sz="0" w:space="0" w:color="auto"/>
                                        <w:bottom w:val="none" w:sz="0" w:space="0" w:color="auto"/>
                                        <w:right w:val="none" w:sz="0" w:space="0" w:color="auto"/>
                                      </w:divBdr>
                                      <w:divsChild>
                                        <w:div w:id="1999724835">
                                          <w:marLeft w:val="0"/>
                                          <w:marRight w:val="0"/>
                                          <w:marTop w:val="0"/>
                                          <w:marBottom w:val="0"/>
                                          <w:divBdr>
                                            <w:top w:val="none" w:sz="0" w:space="0" w:color="auto"/>
                                            <w:left w:val="none" w:sz="0" w:space="0" w:color="auto"/>
                                            <w:bottom w:val="none" w:sz="0" w:space="0" w:color="auto"/>
                                            <w:right w:val="none" w:sz="0" w:space="0" w:color="auto"/>
                                          </w:divBdr>
                                          <w:divsChild>
                                            <w:div w:id="1647780376">
                                              <w:marLeft w:val="0"/>
                                              <w:marRight w:val="0"/>
                                              <w:marTop w:val="0"/>
                                              <w:marBottom w:val="0"/>
                                              <w:divBdr>
                                                <w:top w:val="none" w:sz="0" w:space="0" w:color="auto"/>
                                                <w:left w:val="none" w:sz="0" w:space="0" w:color="auto"/>
                                                <w:bottom w:val="none" w:sz="0" w:space="0" w:color="auto"/>
                                                <w:right w:val="none" w:sz="0" w:space="0" w:color="auto"/>
                                              </w:divBdr>
                                              <w:divsChild>
                                                <w:div w:id="1671331411">
                                                  <w:marLeft w:val="0"/>
                                                  <w:marRight w:val="0"/>
                                                  <w:marTop w:val="0"/>
                                                  <w:marBottom w:val="0"/>
                                                  <w:divBdr>
                                                    <w:top w:val="none" w:sz="0" w:space="0" w:color="auto"/>
                                                    <w:left w:val="none" w:sz="0" w:space="0" w:color="auto"/>
                                                    <w:bottom w:val="none" w:sz="0" w:space="0" w:color="auto"/>
                                                    <w:right w:val="none" w:sz="0" w:space="0" w:color="auto"/>
                                                  </w:divBdr>
                                                  <w:divsChild>
                                                    <w:div w:id="1820688345">
                                                      <w:marLeft w:val="0"/>
                                                      <w:marRight w:val="0"/>
                                                      <w:marTop w:val="0"/>
                                                      <w:marBottom w:val="0"/>
                                                      <w:divBdr>
                                                        <w:top w:val="none" w:sz="0" w:space="0" w:color="auto"/>
                                                        <w:left w:val="none" w:sz="0" w:space="0" w:color="auto"/>
                                                        <w:bottom w:val="none" w:sz="0" w:space="0" w:color="auto"/>
                                                        <w:right w:val="none" w:sz="0" w:space="0" w:color="auto"/>
                                                      </w:divBdr>
                                                      <w:divsChild>
                                                        <w:div w:id="12183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849744">
      <w:bodyDiv w:val="1"/>
      <w:marLeft w:val="0"/>
      <w:marRight w:val="0"/>
      <w:marTop w:val="0"/>
      <w:marBottom w:val="0"/>
      <w:divBdr>
        <w:top w:val="none" w:sz="0" w:space="0" w:color="auto"/>
        <w:left w:val="none" w:sz="0" w:space="0" w:color="auto"/>
        <w:bottom w:val="none" w:sz="0" w:space="0" w:color="auto"/>
        <w:right w:val="none" w:sz="0" w:space="0" w:color="auto"/>
      </w:divBdr>
      <w:divsChild>
        <w:div w:id="805586840">
          <w:marLeft w:val="0"/>
          <w:marRight w:val="0"/>
          <w:marTop w:val="0"/>
          <w:marBottom w:val="0"/>
          <w:divBdr>
            <w:top w:val="none" w:sz="0" w:space="0" w:color="auto"/>
            <w:left w:val="none" w:sz="0" w:space="0" w:color="auto"/>
            <w:bottom w:val="none" w:sz="0" w:space="0" w:color="auto"/>
            <w:right w:val="none" w:sz="0" w:space="0" w:color="auto"/>
          </w:divBdr>
          <w:divsChild>
            <w:div w:id="113447595">
              <w:marLeft w:val="0"/>
              <w:marRight w:val="0"/>
              <w:marTop w:val="0"/>
              <w:marBottom w:val="0"/>
              <w:divBdr>
                <w:top w:val="none" w:sz="0" w:space="0" w:color="auto"/>
                <w:left w:val="none" w:sz="0" w:space="0" w:color="auto"/>
                <w:bottom w:val="none" w:sz="0" w:space="0" w:color="auto"/>
                <w:right w:val="none" w:sz="0" w:space="0" w:color="auto"/>
              </w:divBdr>
              <w:divsChild>
                <w:div w:id="645164844">
                  <w:marLeft w:val="0"/>
                  <w:marRight w:val="0"/>
                  <w:marTop w:val="0"/>
                  <w:marBottom w:val="0"/>
                  <w:divBdr>
                    <w:top w:val="none" w:sz="0" w:space="0" w:color="auto"/>
                    <w:left w:val="none" w:sz="0" w:space="0" w:color="auto"/>
                    <w:bottom w:val="none" w:sz="0" w:space="0" w:color="auto"/>
                    <w:right w:val="none" w:sz="0" w:space="0" w:color="auto"/>
                  </w:divBdr>
                  <w:divsChild>
                    <w:div w:id="1024357528">
                      <w:marLeft w:val="0"/>
                      <w:marRight w:val="0"/>
                      <w:marTop w:val="0"/>
                      <w:marBottom w:val="0"/>
                      <w:divBdr>
                        <w:top w:val="none" w:sz="0" w:space="0" w:color="auto"/>
                        <w:left w:val="none" w:sz="0" w:space="0" w:color="auto"/>
                        <w:bottom w:val="none" w:sz="0" w:space="0" w:color="auto"/>
                        <w:right w:val="none" w:sz="0" w:space="0" w:color="auto"/>
                      </w:divBdr>
                      <w:divsChild>
                        <w:div w:id="1467165941">
                          <w:marLeft w:val="0"/>
                          <w:marRight w:val="0"/>
                          <w:marTop w:val="0"/>
                          <w:marBottom w:val="0"/>
                          <w:divBdr>
                            <w:top w:val="none" w:sz="0" w:space="0" w:color="auto"/>
                            <w:left w:val="none" w:sz="0" w:space="0" w:color="auto"/>
                            <w:bottom w:val="none" w:sz="0" w:space="0" w:color="auto"/>
                            <w:right w:val="none" w:sz="0" w:space="0" w:color="auto"/>
                          </w:divBdr>
                          <w:divsChild>
                            <w:div w:id="2001614544">
                              <w:marLeft w:val="0"/>
                              <w:marRight w:val="0"/>
                              <w:marTop w:val="0"/>
                              <w:marBottom w:val="0"/>
                              <w:divBdr>
                                <w:top w:val="none" w:sz="0" w:space="0" w:color="auto"/>
                                <w:left w:val="none" w:sz="0" w:space="0" w:color="auto"/>
                                <w:bottom w:val="none" w:sz="0" w:space="0" w:color="auto"/>
                                <w:right w:val="none" w:sz="0" w:space="0" w:color="auto"/>
                              </w:divBdr>
                              <w:divsChild>
                                <w:div w:id="1427579129">
                                  <w:marLeft w:val="0"/>
                                  <w:marRight w:val="0"/>
                                  <w:marTop w:val="0"/>
                                  <w:marBottom w:val="0"/>
                                  <w:divBdr>
                                    <w:top w:val="none" w:sz="0" w:space="0" w:color="auto"/>
                                    <w:left w:val="none" w:sz="0" w:space="0" w:color="auto"/>
                                    <w:bottom w:val="none" w:sz="0" w:space="0" w:color="auto"/>
                                    <w:right w:val="none" w:sz="0" w:space="0" w:color="auto"/>
                                  </w:divBdr>
                                  <w:divsChild>
                                    <w:div w:id="789322215">
                                      <w:marLeft w:val="0"/>
                                      <w:marRight w:val="0"/>
                                      <w:marTop w:val="0"/>
                                      <w:marBottom w:val="0"/>
                                      <w:divBdr>
                                        <w:top w:val="none" w:sz="0" w:space="0" w:color="auto"/>
                                        <w:left w:val="none" w:sz="0" w:space="0" w:color="auto"/>
                                        <w:bottom w:val="none" w:sz="0" w:space="0" w:color="auto"/>
                                        <w:right w:val="none" w:sz="0" w:space="0" w:color="auto"/>
                                      </w:divBdr>
                                      <w:divsChild>
                                        <w:div w:id="360596793">
                                          <w:marLeft w:val="0"/>
                                          <w:marRight w:val="0"/>
                                          <w:marTop w:val="0"/>
                                          <w:marBottom w:val="0"/>
                                          <w:divBdr>
                                            <w:top w:val="none" w:sz="0" w:space="0" w:color="auto"/>
                                            <w:left w:val="none" w:sz="0" w:space="0" w:color="auto"/>
                                            <w:bottom w:val="none" w:sz="0" w:space="0" w:color="auto"/>
                                            <w:right w:val="none" w:sz="0" w:space="0" w:color="auto"/>
                                          </w:divBdr>
                                          <w:divsChild>
                                            <w:div w:id="863906549">
                                              <w:marLeft w:val="0"/>
                                              <w:marRight w:val="0"/>
                                              <w:marTop w:val="0"/>
                                              <w:marBottom w:val="0"/>
                                              <w:divBdr>
                                                <w:top w:val="none" w:sz="0" w:space="0" w:color="auto"/>
                                                <w:left w:val="none" w:sz="0" w:space="0" w:color="auto"/>
                                                <w:bottom w:val="none" w:sz="0" w:space="0" w:color="auto"/>
                                                <w:right w:val="none" w:sz="0" w:space="0" w:color="auto"/>
                                              </w:divBdr>
                                              <w:divsChild>
                                                <w:div w:id="1123379562">
                                                  <w:marLeft w:val="0"/>
                                                  <w:marRight w:val="0"/>
                                                  <w:marTop w:val="0"/>
                                                  <w:marBottom w:val="0"/>
                                                  <w:divBdr>
                                                    <w:top w:val="none" w:sz="0" w:space="0" w:color="auto"/>
                                                    <w:left w:val="none" w:sz="0" w:space="0" w:color="auto"/>
                                                    <w:bottom w:val="none" w:sz="0" w:space="0" w:color="auto"/>
                                                    <w:right w:val="none" w:sz="0" w:space="0" w:color="auto"/>
                                                  </w:divBdr>
                                                  <w:divsChild>
                                                    <w:div w:id="300696979">
                                                      <w:marLeft w:val="0"/>
                                                      <w:marRight w:val="0"/>
                                                      <w:marTop w:val="0"/>
                                                      <w:marBottom w:val="0"/>
                                                      <w:divBdr>
                                                        <w:top w:val="none" w:sz="0" w:space="0" w:color="auto"/>
                                                        <w:left w:val="none" w:sz="0" w:space="0" w:color="auto"/>
                                                        <w:bottom w:val="none" w:sz="0" w:space="0" w:color="auto"/>
                                                        <w:right w:val="none" w:sz="0" w:space="0" w:color="auto"/>
                                                      </w:divBdr>
                                                      <w:divsChild>
                                                        <w:div w:id="6060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8341560">
      <w:bodyDiv w:val="1"/>
      <w:marLeft w:val="0"/>
      <w:marRight w:val="0"/>
      <w:marTop w:val="0"/>
      <w:marBottom w:val="0"/>
      <w:divBdr>
        <w:top w:val="none" w:sz="0" w:space="0" w:color="auto"/>
        <w:left w:val="none" w:sz="0" w:space="0" w:color="auto"/>
        <w:bottom w:val="none" w:sz="0" w:space="0" w:color="auto"/>
        <w:right w:val="none" w:sz="0" w:space="0" w:color="auto"/>
      </w:divBdr>
      <w:divsChild>
        <w:div w:id="281811504">
          <w:marLeft w:val="0"/>
          <w:marRight w:val="0"/>
          <w:marTop w:val="0"/>
          <w:marBottom w:val="0"/>
          <w:divBdr>
            <w:top w:val="none" w:sz="0" w:space="0" w:color="auto"/>
            <w:left w:val="none" w:sz="0" w:space="0" w:color="auto"/>
            <w:bottom w:val="none" w:sz="0" w:space="0" w:color="auto"/>
            <w:right w:val="none" w:sz="0" w:space="0" w:color="auto"/>
          </w:divBdr>
          <w:divsChild>
            <w:div w:id="1617835753">
              <w:marLeft w:val="0"/>
              <w:marRight w:val="0"/>
              <w:marTop w:val="0"/>
              <w:marBottom w:val="0"/>
              <w:divBdr>
                <w:top w:val="none" w:sz="0" w:space="0" w:color="auto"/>
                <w:left w:val="none" w:sz="0" w:space="0" w:color="auto"/>
                <w:bottom w:val="none" w:sz="0" w:space="0" w:color="auto"/>
                <w:right w:val="none" w:sz="0" w:space="0" w:color="auto"/>
              </w:divBdr>
              <w:divsChild>
                <w:div w:id="1938515387">
                  <w:marLeft w:val="0"/>
                  <w:marRight w:val="0"/>
                  <w:marTop w:val="0"/>
                  <w:marBottom w:val="0"/>
                  <w:divBdr>
                    <w:top w:val="none" w:sz="0" w:space="0" w:color="auto"/>
                    <w:left w:val="none" w:sz="0" w:space="0" w:color="auto"/>
                    <w:bottom w:val="none" w:sz="0" w:space="0" w:color="auto"/>
                    <w:right w:val="none" w:sz="0" w:space="0" w:color="auto"/>
                  </w:divBdr>
                  <w:divsChild>
                    <w:div w:id="2141025117">
                      <w:marLeft w:val="0"/>
                      <w:marRight w:val="0"/>
                      <w:marTop w:val="0"/>
                      <w:marBottom w:val="0"/>
                      <w:divBdr>
                        <w:top w:val="none" w:sz="0" w:space="0" w:color="auto"/>
                        <w:left w:val="none" w:sz="0" w:space="0" w:color="auto"/>
                        <w:bottom w:val="none" w:sz="0" w:space="0" w:color="auto"/>
                        <w:right w:val="none" w:sz="0" w:space="0" w:color="auto"/>
                      </w:divBdr>
                      <w:divsChild>
                        <w:div w:id="1319188647">
                          <w:marLeft w:val="0"/>
                          <w:marRight w:val="0"/>
                          <w:marTop w:val="0"/>
                          <w:marBottom w:val="0"/>
                          <w:divBdr>
                            <w:top w:val="none" w:sz="0" w:space="0" w:color="auto"/>
                            <w:left w:val="none" w:sz="0" w:space="0" w:color="auto"/>
                            <w:bottom w:val="none" w:sz="0" w:space="0" w:color="auto"/>
                            <w:right w:val="none" w:sz="0" w:space="0" w:color="auto"/>
                          </w:divBdr>
                          <w:divsChild>
                            <w:div w:id="1982037513">
                              <w:marLeft w:val="0"/>
                              <w:marRight w:val="0"/>
                              <w:marTop w:val="0"/>
                              <w:marBottom w:val="0"/>
                              <w:divBdr>
                                <w:top w:val="none" w:sz="0" w:space="0" w:color="auto"/>
                                <w:left w:val="none" w:sz="0" w:space="0" w:color="auto"/>
                                <w:bottom w:val="none" w:sz="0" w:space="0" w:color="auto"/>
                                <w:right w:val="none" w:sz="0" w:space="0" w:color="auto"/>
                              </w:divBdr>
                              <w:divsChild>
                                <w:div w:id="1278025510">
                                  <w:marLeft w:val="0"/>
                                  <w:marRight w:val="0"/>
                                  <w:marTop w:val="0"/>
                                  <w:marBottom w:val="0"/>
                                  <w:divBdr>
                                    <w:top w:val="none" w:sz="0" w:space="0" w:color="auto"/>
                                    <w:left w:val="none" w:sz="0" w:space="0" w:color="auto"/>
                                    <w:bottom w:val="none" w:sz="0" w:space="0" w:color="auto"/>
                                    <w:right w:val="none" w:sz="0" w:space="0" w:color="auto"/>
                                  </w:divBdr>
                                  <w:divsChild>
                                    <w:div w:id="1626036369">
                                      <w:marLeft w:val="0"/>
                                      <w:marRight w:val="0"/>
                                      <w:marTop w:val="0"/>
                                      <w:marBottom w:val="0"/>
                                      <w:divBdr>
                                        <w:top w:val="none" w:sz="0" w:space="0" w:color="auto"/>
                                        <w:left w:val="none" w:sz="0" w:space="0" w:color="auto"/>
                                        <w:bottom w:val="none" w:sz="0" w:space="0" w:color="auto"/>
                                        <w:right w:val="none" w:sz="0" w:space="0" w:color="auto"/>
                                      </w:divBdr>
                                      <w:divsChild>
                                        <w:div w:id="1317146944">
                                          <w:marLeft w:val="0"/>
                                          <w:marRight w:val="0"/>
                                          <w:marTop w:val="0"/>
                                          <w:marBottom w:val="0"/>
                                          <w:divBdr>
                                            <w:top w:val="none" w:sz="0" w:space="0" w:color="auto"/>
                                            <w:left w:val="none" w:sz="0" w:space="0" w:color="auto"/>
                                            <w:bottom w:val="none" w:sz="0" w:space="0" w:color="auto"/>
                                            <w:right w:val="none" w:sz="0" w:space="0" w:color="auto"/>
                                          </w:divBdr>
                                          <w:divsChild>
                                            <w:div w:id="1293555922">
                                              <w:marLeft w:val="0"/>
                                              <w:marRight w:val="0"/>
                                              <w:marTop w:val="0"/>
                                              <w:marBottom w:val="0"/>
                                              <w:divBdr>
                                                <w:top w:val="none" w:sz="0" w:space="0" w:color="auto"/>
                                                <w:left w:val="none" w:sz="0" w:space="0" w:color="auto"/>
                                                <w:bottom w:val="none" w:sz="0" w:space="0" w:color="auto"/>
                                                <w:right w:val="none" w:sz="0" w:space="0" w:color="auto"/>
                                              </w:divBdr>
                                              <w:divsChild>
                                                <w:div w:id="1303730598">
                                                  <w:marLeft w:val="0"/>
                                                  <w:marRight w:val="0"/>
                                                  <w:marTop w:val="0"/>
                                                  <w:marBottom w:val="0"/>
                                                  <w:divBdr>
                                                    <w:top w:val="none" w:sz="0" w:space="0" w:color="auto"/>
                                                    <w:left w:val="none" w:sz="0" w:space="0" w:color="auto"/>
                                                    <w:bottom w:val="none" w:sz="0" w:space="0" w:color="auto"/>
                                                    <w:right w:val="none" w:sz="0" w:space="0" w:color="auto"/>
                                                  </w:divBdr>
                                                  <w:divsChild>
                                                    <w:div w:id="1171333354">
                                                      <w:marLeft w:val="0"/>
                                                      <w:marRight w:val="0"/>
                                                      <w:marTop w:val="0"/>
                                                      <w:marBottom w:val="0"/>
                                                      <w:divBdr>
                                                        <w:top w:val="none" w:sz="0" w:space="0" w:color="auto"/>
                                                        <w:left w:val="none" w:sz="0" w:space="0" w:color="auto"/>
                                                        <w:bottom w:val="none" w:sz="0" w:space="0" w:color="auto"/>
                                                        <w:right w:val="none" w:sz="0" w:space="0" w:color="auto"/>
                                                      </w:divBdr>
                                                      <w:divsChild>
                                                        <w:div w:id="563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754DEED-6387-4087-AF11-312C0E03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Golkowski, Izabel</cp:lastModifiedBy>
  <cp:revision>22</cp:revision>
  <cp:lastPrinted>2019-02-06T02:57:00Z</cp:lastPrinted>
  <dcterms:created xsi:type="dcterms:W3CDTF">2020-09-08T22:37:00Z</dcterms:created>
  <dcterms:modified xsi:type="dcterms:W3CDTF">2020-09-09T02:54:00Z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