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663C" w14:textId="77777777" w:rsidR="00A67D51" w:rsidRPr="00BF1CA0" w:rsidRDefault="00A67D51" w:rsidP="00F52CDE">
      <w:pPr>
        <w:jc w:val="center"/>
        <w:rPr>
          <w:b/>
        </w:rPr>
      </w:pPr>
      <w:r w:rsidRPr="00BF1CA0">
        <w:rPr>
          <w:b/>
        </w:rPr>
        <w:t>EXPLANATORY STATEMENT</w:t>
      </w:r>
    </w:p>
    <w:p w14:paraId="50F1DB12" w14:textId="77777777" w:rsidR="00A67D51" w:rsidRPr="00BF1CA0" w:rsidRDefault="00A67D51" w:rsidP="00F52CDE">
      <w:pPr>
        <w:rPr>
          <w:b/>
        </w:rPr>
      </w:pPr>
    </w:p>
    <w:p w14:paraId="696E221F" w14:textId="42DF6FC8" w:rsidR="00A67D51" w:rsidRPr="00BF1CA0" w:rsidRDefault="00A67D51" w:rsidP="00F52CDE">
      <w:pPr>
        <w:jc w:val="center"/>
        <w:rPr>
          <w:b/>
        </w:rPr>
      </w:pPr>
      <w:r w:rsidRPr="00BF1CA0">
        <w:rPr>
          <w:b/>
        </w:rPr>
        <w:t>INSTRUMENT NUMBER PB</w:t>
      </w:r>
      <w:r w:rsidR="00053ED9" w:rsidRPr="00BF1CA0">
        <w:rPr>
          <w:b/>
        </w:rPr>
        <w:t xml:space="preserve"> </w:t>
      </w:r>
      <w:r w:rsidR="002A02F4">
        <w:rPr>
          <w:b/>
        </w:rPr>
        <w:t>88</w:t>
      </w:r>
      <w:r w:rsidR="00EE272D" w:rsidRPr="00BF1CA0">
        <w:rPr>
          <w:b/>
        </w:rPr>
        <w:t xml:space="preserve"> </w:t>
      </w:r>
      <w:r w:rsidR="0016619D" w:rsidRPr="00BF1CA0">
        <w:rPr>
          <w:b/>
        </w:rPr>
        <w:t xml:space="preserve">OF </w:t>
      </w:r>
      <w:r w:rsidR="0011547D" w:rsidRPr="00BF1CA0">
        <w:rPr>
          <w:b/>
        </w:rPr>
        <w:t>2020</w:t>
      </w:r>
    </w:p>
    <w:p w14:paraId="411FDE45" w14:textId="77777777" w:rsidR="00A67D51" w:rsidRPr="00BF1CA0" w:rsidRDefault="00A67D51" w:rsidP="00F52CDE">
      <w:pPr>
        <w:rPr>
          <w:b/>
        </w:rPr>
      </w:pPr>
    </w:p>
    <w:p w14:paraId="7E9EE331" w14:textId="77777777" w:rsidR="00A67D51" w:rsidRPr="00BF1CA0" w:rsidRDefault="00A67D51" w:rsidP="00F52CDE">
      <w:pPr>
        <w:jc w:val="center"/>
        <w:rPr>
          <w:b/>
          <w:i/>
        </w:rPr>
      </w:pPr>
      <w:r w:rsidRPr="00BF1CA0">
        <w:rPr>
          <w:b/>
          <w:i/>
        </w:rPr>
        <w:t>NATIONAL HEALTH ACT 1953</w:t>
      </w:r>
    </w:p>
    <w:p w14:paraId="307EBEBF" w14:textId="77777777" w:rsidR="00A67D51" w:rsidRPr="00BF1CA0" w:rsidRDefault="00A67D51" w:rsidP="00F52CDE">
      <w:pPr>
        <w:rPr>
          <w:b/>
        </w:rPr>
      </w:pPr>
    </w:p>
    <w:p w14:paraId="09686741" w14:textId="13B21E33" w:rsidR="00A67D51" w:rsidRPr="00BF1CA0" w:rsidRDefault="001F3B08" w:rsidP="00F52CDE">
      <w:pPr>
        <w:jc w:val="center"/>
        <w:rPr>
          <w:b/>
          <w:i/>
        </w:rPr>
      </w:pPr>
      <w:r w:rsidRPr="00BF1CA0">
        <w:rPr>
          <w:b/>
          <w:i/>
        </w:rPr>
        <w:t>National Health (Weighted a</w:t>
      </w:r>
      <w:r w:rsidR="00DC2D5A" w:rsidRPr="00BF1CA0">
        <w:rPr>
          <w:b/>
          <w:i/>
        </w:rPr>
        <w:t xml:space="preserve">verage </w:t>
      </w:r>
      <w:r w:rsidRPr="00BF1CA0">
        <w:rPr>
          <w:b/>
          <w:i/>
        </w:rPr>
        <w:t>d</w:t>
      </w:r>
      <w:r w:rsidR="00DC2D5A" w:rsidRPr="00BF1CA0">
        <w:rPr>
          <w:b/>
          <w:i/>
        </w:rPr>
        <w:t xml:space="preserve">isclosed </w:t>
      </w:r>
      <w:r w:rsidRPr="00BF1CA0">
        <w:rPr>
          <w:b/>
          <w:i/>
        </w:rPr>
        <w:t>p</w:t>
      </w:r>
      <w:r w:rsidR="00DC2D5A" w:rsidRPr="00BF1CA0">
        <w:rPr>
          <w:b/>
          <w:i/>
        </w:rPr>
        <w:t>rice –</w:t>
      </w:r>
      <w:r w:rsidR="00432F89" w:rsidRPr="00BF1CA0">
        <w:rPr>
          <w:b/>
          <w:i/>
        </w:rPr>
        <w:t xml:space="preserve"> </w:t>
      </w:r>
      <w:r w:rsidR="00552572">
        <w:rPr>
          <w:b/>
          <w:i/>
        </w:rPr>
        <w:t>October</w:t>
      </w:r>
      <w:r w:rsidR="0011547D" w:rsidRPr="00BF1CA0">
        <w:rPr>
          <w:b/>
          <w:i/>
        </w:rPr>
        <w:t xml:space="preserve"> 2020</w:t>
      </w:r>
      <w:r w:rsidR="00466422" w:rsidRPr="00BF1CA0">
        <w:rPr>
          <w:b/>
          <w:i/>
        </w:rPr>
        <w:t xml:space="preserve"> reduction day</w:t>
      </w:r>
      <w:r w:rsidR="00DC2D5A" w:rsidRPr="00BF1CA0">
        <w:rPr>
          <w:b/>
          <w:i/>
        </w:rPr>
        <w:t xml:space="preserve">) </w:t>
      </w:r>
      <w:r w:rsidRPr="00BF1CA0">
        <w:rPr>
          <w:b/>
          <w:i/>
        </w:rPr>
        <w:br/>
      </w:r>
      <w:r w:rsidR="007E3BBC" w:rsidRPr="00BF1CA0">
        <w:rPr>
          <w:b/>
          <w:i/>
        </w:rPr>
        <w:t xml:space="preserve">Amendment </w:t>
      </w:r>
      <w:r w:rsidR="00DC2D5A" w:rsidRPr="00BF1CA0">
        <w:rPr>
          <w:b/>
          <w:i/>
        </w:rPr>
        <w:t xml:space="preserve">Determination </w:t>
      </w:r>
      <w:r w:rsidR="0011547D" w:rsidRPr="00BF1CA0">
        <w:rPr>
          <w:b/>
          <w:i/>
        </w:rPr>
        <w:t xml:space="preserve">2020 </w:t>
      </w:r>
    </w:p>
    <w:p w14:paraId="054DCF21" w14:textId="77777777" w:rsidR="0071790E" w:rsidRPr="00BF1CA0" w:rsidRDefault="00FF2C8F" w:rsidP="00FF169C">
      <w:pPr>
        <w:spacing w:before="120" w:after="120"/>
        <w:rPr>
          <w:b/>
          <w:szCs w:val="24"/>
        </w:rPr>
      </w:pPr>
      <w:r w:rsidRPr="00BF1CA0">
        <w:rPr>
          <w:b/>
          <w:szCs w:val="24"/>
        </w:rPr>
        <w:t>Authority</w:t>
      </w:r>
    </w:p>
    <w:p w14:paraId="150FE667" w14:textId="77777777" w:rsidR="004E236A" w:rsidRPr="00BF1CA0" w:rsidRDefault="007C63B5" w:rsidP="00FF169C">
      <w:pPr>
        <w:spacing w:after="120"/>
      </w:pPr>
      <w:r w:rsidRPr="00BF1CA0">
        <w:t>This legislative instrument is made pursuant to</w:t>
      </w:r>
      <w:r w:rsidR="007D4824" w:rsidRPr="00BF1CA0">
        <w:t xml:space="preserve"> </w:t>
      </w:r>
      <w:r w:rsidRPr="00BF1CA0">
        <w:t xml:space="preserve">subsection 99ADB(4) of the </w:t>
      </w:r>
      <w:r w:rsidRPr="00BF1CA0">
        <w:rPr>
          <w:i/>
        </w:rPr>
        <w:t>National Health Act 1953</w:t>
      </w:r>
      <w:r w:rsidRPr="00BF1CA0">
        <w:t xml:space="preserve"> (the Act), which provides that the Minister may, by legislative instrument, determine the weighted average disclosed price (WADP) of a brand of a pharmaceutical item (listed brand) in accordance with the </w:t>
      </w:r>
      <w:r w:rsidRPr="00BF1CA0">
        <w:rPr>
          <w:i/>
        </w:rPr>
        <w:t xml:space="preserve">National Health (Pharmaceutical Benefits) Regulations </w:t>
      </w:r>
      <w:r w:rsidR="00B7646E" w:rsidRPr="00BF1CA0">
        <w:rPr>
          <w:i/>
        </w:rPr>
        <w:t>2017</w:t>
      </w:r>
      <w:r w:rsidRPr="00BF1CA0">
        <w:t xml:space="preserve"> (the Regulations)</w:t>
      </w:r>
      <w:r w:rsidR="00BD1F9F" w:rsidRPr="00BF1CA0">
        <w:t>.</w:t>
      </w:r>
    </w:p>
    <w:p w14:paraId="1E06C6DA" w14:textId="77777777" w:rsidR="004E236A" w:rsidRPr="00BF1CA0" w:rsidRDefault="004E236A" w:rsidP="00FF169C">
      <w:pPr>
        <w:spacing w:after="120"/>
      </w:pPr>
      <w:r w:rsidRPr="00BF1CA0">
        <w:t xml:space="preserve">Subsection </w:t>
      </w:r>
      <w:proofErr w:type="gramStart"/>
      <w:r w:rsidRPr="00BF1CA0">
        <w:t>99ADB(</w:t>
      </w:r>
      <w:proofErr w:type="gramEnd"/>
      <w:r w:rsidRPr="00BF1CA0">
        <w:t>7) of the Act further provides that a subsection 99ADB(4) determination for a listed brand may include the adjusted approved ex-manufacturer price (AAEMP) for the listed brand.</w:t>
      </w:r>
    </w:p>
    <w:p w14:paraId="05074CFA" w14:textId="77777777" w:rsidR="00FF2C8F" w:rsidRPr="00BF1CA0" w:rsidRDefault="00FF2C8F" w:rsidP="00FF169C">
      <w:pPr>
        <w:spacing w:before="120" w:after="120"/>
        <w:rPr>
          <w:b/>
          <w:szCs w:val="24"/>
        </w:rPr>
      </w:pPr>
      <w:r w:rsidRPr="00BF1CA0">
        <w:rPr>
          <w:b/>
          <w:szCs w:val="24"/>
        </w:rPr>
        <w:t>Purpose</w:t>
      </w:r>
    </w:p>
    <w:p w14:paraId="0420B3A5" w14:textId="2B16822A" w:rsidR="00C73414" w:rsidRPr="00BF1CA0" w:rsidRDefault="007E3BBC" w:rsidP="00FF169C">
      <w:pPr>
        <w:spacing w:before="120" w:after="120"/>
      </w:pPr>
      <w:r w:rsidRPr="00BF1CA0">
        <w:rPr>
          <w:szCs w:val="24"/>
        </w:rPr>
        <w:t>This legislative</w:t>
      </w:r>
      <w:r w:rsidR="0085563B" w:rsidRPr="00BF1CA0">
        <w:rPr>
          <w:szCs w:val="24"/>
        </w:rPr>
        <w:t xml:space="preserve"> instrument</w:t>
      </w:r>
      <w:r w:rsidR="007D4824" w:rsidRPr="00BF1CA0">
        <w:rPr>
          <w:szCs w:val="24"/>
        </w:rPr>
        <w:t xml:space="preserve"> </w:t>
      </w:r>
      <w:r w:rsidRPr="00BF1CA0">
        <w:t xml:space="preserve">amends the </w:t>
      </w:r>
      <w:r w:rsidRPr="00BF1CA0">
        <w:rPr>
          <w:i/>
        </w:rPr>
        <w:t xml:space="preserve">National Health (Weighted average disclosed price – </w:t>
      </w:r>
      <w:r w:rsidR="00552572">
        <w:rPr>
          <w:i/>
        </w:rPr>
        <w:t>October</w:t>
      </w:r>
      <w:r w:rsidR="0011547D" w:rsidRPr="00BF1CA0">
        <w:rPr>
          <w:i/>
        </w:rPr>
        <w:t> 2020</w:t>
      </w:r>
      <w:r w:rsidRPr="00BF1CA0">
        <w:rPr>
          <w:i/>
        </w:rPr>
        <w:t xml:space="preserve"> reduction day) Determination </w:t>
      </w:r>
      <w:r w:rsidR="0011547D" w:rsidRPr="00BF1CA0">
        <w:rPr>
          <w:i/>
        </w:rPr>
        <w:t>20</w:t>
      </w:r>
      <w:r w:rsidR="002A02F4">
        <w:rPr>
          <w:i/>
        </w:rPr>
        <w:t>20</w:t>
      </w:r>
      <w:r w:rsidR="0011547D" w:rsidRPr="00BF1CA0">
        <w:rPr>
          <w:i/>
        </w:rPr>
        <w:t xml:space="preserve"> </w:t>
      </w:r>
      <w:r w:rsidRPr="00BF1CA0">
        <w:t>(</w:t>
      </w:r>
      <w:r w:rsidRPr="002A02F4">
        <w:t xml:space="preserve">PB </w:t>
      </w:r>
      <w:r w:rsidR="002A02F4" w:rsidRPr="002A02F4">
        <w:t>54 of 2020</w:t>
      </w:r>
      <w:r w:rsidR="0098097E" w:rsidRPr="00BF1CA0">
        <w:t>)</w:t>
      </w:r>
      <w:r w:rsidRPr="00BF1CA0">
        <w:t xml:space="preserve"> (the Principal Instrument)</w:t>
      </w:r>
      <w:r w:rsidR="00C73414" w:rsidRPr="00BF1CA0">
        <w:t xml:space="preserve"> by:</w:t>
      </w:r>
    </w:p>
    <w:p w14:paraId="09039271" w14:textId="040D5DAD" w:rsidR="000521B9" w:rsidRPr="00E85C6C" w:rsidRDefault="0042423B" w:rsidP="000521B9">
      <w:pPr>
        <w:pStyle w:val="ListParagraph"/>
        <w:numPr>
          <w:ilvl w:val="0"/>
          <w:numId w:val="30"/>
        </w:numPr>
        <w:spacing w:before="120" w:after="120"/>
      </w:pPr>
      <w:r w:rsidRPr="00E85C6C">
        <w:t>amending</w:t>
      </w:r>
      <w:r w:rsidR="000521B9" w:rsidRPr="00E85C6C">
        <w:t xml:space="preserve"> </w:t>
      </w:r>
      <w:r w:rsidR="004C48D5" w:rsidRPr="00E85C6C">
        <w:t xml:space="preserve">the </w:t>
      </w:r>
      <w:r w:rsidR="000521B9" w:rsidRPr="00E85C6C">
        <w:t xml:space="preserve">WADPs </w:t>
      </w:r>
      <w:r w:rsidR="00567BD8" w:rsidRPr="00E85C6C">
        <w:t xml:space="preserve">for </w:t>
      </w:r>
      <w:r w:rsidR="000521B9" w:rsidRPr="00E85C6C">
        <w:t xml:space="preserve">brands of </w:t>
      </w:r>
      <w:r w:rsidR="004F5889">
        <w:t xml:space="preserve">the </w:t>
      </w:r>
      <w:r w:rsidR="000521B9" w:rsidRPr="00E85C6C">
        <w:t xml:space="preserve">pharmaceutical item: </w:t>
      </w:r>
    </w:p>
    <w:p w14:paraId="13A48D58" w14:textId="54B0E9E6" w:rsidR="006A7275" w:rsidRPr="00E85C6C" w:rsidRDefault="002A02F4" w:rsidP="000521B9">
      <w:pPr>
        <w:pStyle w:val="ListParagraph"/>
        <w:numPr>
          <w:ilvl w:val="1"/>
          <w:numId w:val="30"/>
        </w:numPr>
        <w:spacing w:before="120" w:after="120"/>
      </w:pPr>
      <w:proofErr w:type="spellStart"/>
      <w:r w:rsidRPr="00E85C6C">
        <w:t>Zoledronic</w:t>
      </w:r>
      <w:proofErr w:type="spellEnd"/>
      <w:r w:rsidRPr="00E85C6C">
        <w:t xml:space="preserve"> acid</w:t>
      </w:r>
      <w:r w:rsidR="00F66C2D">
        <w:t xml:space="preserve">, </w:t>
      </w:r>
      <w:r w:rsidR="00F66C2D" w:rsidRPr="00D86DC0">
        <w:t>Solution for I.V. infusion 5 mg (as monohydrate) in 100 mL</w:t>
      </w:r>
      <w:r w:rsidR="00F66C2D">
        <w:t>, injection</w:t>
      </w:r>
      <w:r w:rsidR="006A7275" w:rsidRPr="00E85C6C">
        <w:t xml:space="preserve"> (</w:t>
      </w:r>
      <w:proofErr w:type="spellStart"/>
      <w:r w:rsidR="00F66C2D">
        <w:t>zoledronic</w:t>
      </w:r>
      <w:proofErr w:type="spellEnd"/>
      <w:r w:rsidR="00F66C2D">
        <w:t xml:space="preserve"> acid</w:t>
      </w:r>
      <w:r w:rsidR="006A7275" w:rsidRPr="00E85C6C">
        <w:t>);</w:t>
      </w:r>
    </w:p>
    <w:p w14:paraId="2C17E367" w14:textId="36B7B1DF" w:rsidR="000521B9" w:rsidRPr="00E85C6C" w:rsidRDefault="000521B9" w:rsidP="000521B9">
      <w:pPr>
        <w:pStyle w:val="ListParagraph"/>
        <w:numPr>
          <w:ilvl w:val="0"/>
          <w:numId w:val="30"/>
        </w:numPr>
        <w:spacing w:before="120" w:after="120"/>
      </w:pPr>
      <w:r w:rsidRPr="00E85C6C">
        <w:t xml:space="preserve">removing from Schedule 1 </w:t>
      </w:r>
      <w:r w:rsidR="006A7275" w:rsidRPr="00E85C6C">
        <w:t xml:space="preserve">and inserting in Schedule 2 </w:t>
      </w:r>
      <w:r w:rsidR="00853747">
        <w:t xml:space="preserve">WADPs </w:t>
      </w:r>
      <w:r w:rsidRPr="00E85C6C">
        <w:t>for brands of pharmaceu</w:t>
      </w:r>
      <w:r w:rsidR="0042423B" w:rsidRPr="00E85C6C">
        <w:t>tical</w:t>
      </w:r>
      <w:r w:rsidR="006A7275" w:rsidRPr="00E85C6C">
        <w:t xml:space="preserve"> items</w:t>
      </w:r>
      <w:r w:rsidRPr="00E85C6C">
        <w:t xml:space="preserve"> containing:</w:t>
      </w:r>
    </w:p>
    <w:p w14:paraId="6E74AB89" w14:textId="76C21E5B" w:rsidR="00E85C6C" w:rsidRDefault="002A02F4" w:rsidP="00E85C6C">
      <w:pPr>
        <w:pStyle w:val="ListParagraph"/>
        <w:numPr>
          <w:ilvl w:val="1"/>
          <w:numId w:val="30"/>
        </w:numPr>
        <w:spacing w:before="120" w:after="120"/>
      </w:pPr>
      <w:proofErr w:type="spellStart"/>
      <w:r w:rsidRPr="00E85C6C">
        <w:t>Epirubicin</w:t>
      </w:r>
      <w:proofErr w:type="spellEnd"/>
      <w:r w:rsidR="00F66C2D">
        <w:t xml:space="preserve"> </w:t>
      </w:r>
      <w:r w:rsidR="00F66C2D" w:rsidRPr="00BA6072">
        <w:t>injection</w:t>
      </w:r>
      <w:r w:rsidR="00195AC0">
        <w:t>/</w:t>
      </w:r>
      <w:proofErr w:type="spellStart"/>
      <w:r w:rsidR="00195AC0">
        <w:t>intravesical</w:t>
      </w:r>
      <w:proofErr w:type="spellEnd"/>
      <w:r w:rsidR="0037503E" w:rsidRPr="00E85C6C">
        <w:t xml:space="preserve"> </w:t>
      </w:r>
      <w:r w:rsidR="000521B9" w:rsidRPr="00E85C6C">
        <w:t>(</w:t>
      </w:r>
      <w:proofErr w:type="spellStart"/>
      <w:r w:rsidR="00F66C2D">
        <w:t>e</w:t>
      </w:r>
      <w:r w:rsidR="00F66C2D" w:rsidRPr="00E85C6C">
        <w:t>pirubicin</w:t>
      </w:r>
      <w:proofErr w:type="spellEnd"/>
      <w:r w:rsidR="000521B9" w:rsidRPr="00E85C6C">
        <w:t xml:space="preserve">); </w:t>
      </w:r>
    </w:p>
    <w:p w14:paraId="4E842210" w14:textId="6AD583AC" w:rsidR="006A7275" w:rsidRPr="00E85C6C" w:rsidRDefault="002A02F4" w:rsidP="00E85C6C">
      <w:pPr>
        <w:pStyle w:val="ListParagraph"/>
        <w:numPr>
          <w:ilvl w:val="1"/>
          <w:numId w:val="30"/>
        </w:numPr>
        <w:spacing w:before="120" w:after="120"/>
      </w:pPr>
      <w:r w:rsidRPr="00E85C6C">
        <w:t>Etoposide</w:t>
      </w:r>
      <w:r w:rsidR="00F66C2D">
        <w:t xml:space="preserve"> </w:t>
      </w:r>
      <w:r w:rsidR="00195AC0">
        <w:t>injection</w:t>
      </w:r>
      <w:r w:rsidR="000521B9" w:rsidRPr="00E85C6C">
        <w:t xml:space="preserve"> (</w:t>
      </w:r>
      <w:r w:rsidR="00F66C2D">
        <w:t>e</w:t>
      </w:r>
      <w:r w:rsidR="00F66C2D" w:rsidRPr="00E85C6C">
        <w:t>toposide</w:t>
      </w:r>
      <w:r w:rsidR="000521B9" w:rsidRPr="00E85C6C">
        <w:t>)</w:t>
      </w:r>
      <w:r w:rsidR="006A7275" w:rsidRPr="00E85C6C">
        <w:t>;</w:t>
      </w:r>
    </w:p>
    <w:p w14:paraId="5E01AA64" w14:textId="08B054BB" w:rsidR="006A7275" w:rsidRDefault="00016EAC" w:rsidP="00B17B3C">
      <w:pPr>
        <w:pStyle w:val="ListParagraph"/>
        <w:numPr>
          <w:ilvl w:val="0"/>
          <w:numId w:val="30"/>
        </w:numPr>
        <w:spacing w:after="120"/>
        <w:ind w:left="714" w:hanging="357"/>
        <w:rPr>
          <w:color w:val="FF0000"/>
        </w:rPr>
      </w:pPr>
      <w:r w:rsidRPr="00E85C6C">
        <w:t>inserting</w:t>
      </w:r>
      <w:r w:rsidR="00C73414" w:rsidRPr="00E85C6C">
        <w:t xml:space="preserve"> WADP</w:t>
      </w:r>
      <w:r w:rsidR="006A7275" w:rsidRPr="00E85C6C">
        <w:t>s</w:t>
      </w:r>
      <w:r w:rsidR="006A2F46" w:rsidRPr="00E85C6C">
        <w:t xml:space="preserve"> for brand</w:t>
      </w:r>
      <w:r w:rsidR="004F5889">
        <w:t>s</w:t>
      </w:r>
      <w:r w:rsidR="006A2F46" w:rsidRPr="00E85C6C">
        <w:t xml:space="preserve"> of </w:t>
      </w:r>
      <w:r w:rsidR="00C73414" w:rsidRPr="00E85C6C">
        <w:t>pharmaceutical item</w:t>
      </w:r>
      <w:r w:rsidR="006A7275" w:rsidRPr="00E85C6C">
        <w:t>s</w:t>
      </w:r>
      <w:r w:rsidR="004F5889">
        <w:t xml:space="preserve"> that moved to the F2 formulary after </w:t>
      </w:r>
      <w:r w:rsidR="006C6C65">
        <w:t>publication of the Principle Instrument</w:t>
      </w:r>
      <w:r w:rsidR="006A7275" w:rsidRPr="00552572">
        <w:rPr>
          <w:color w:val="FF0000"/>
        </w:rPr>
        <w:t>:</w:t>
      </w:r>
    </w:p>
    <w:p w14:paraId="55B399D5" w14:textId="20492790" w:rsidR="00195AC0" w:rsidRDefault="00195AC0" w:rsidP="00195AC0">
      <w:pPr>
        <w:pStyle w:val="ListParagraph"/>
        <w:numPr>
          <w:ilvl w:val="2"/>
          <w:numId w:val="30"/>
        </w:numPr>
        <w:contextualSpacing w:val="0"/>
      </w:pPr>
      <w:r>
        <w:t xml:space="preserve">Levodopa with carbidopa and </w:t>
      </w:r>
      <w:proofErr w:type="spellStart"/>
      <w:r>
        <w:t>entacapone</w:t>
      </w:r>
      <w:proofErr w:type="spellEnd"/>
      <w:r>
        <w:t xml:space="preserve"> oral: </w:t>
      </w:r>
    </w:p>
    <w:p w14:paraId="662170A8" w14:textId="78CDFB1D" w:rsidR="00195AC0" w:rsidRDefault="00195AC0" w:rsidP="00195AC0">
      <w:pPr>
        <w:pStyle w:val="ListParagraph"/>
        <w:numPr>
          <w:ilvl w:val="3"/>
          <w:numId w:val="30"/>
        </w:numPr>
        <w:contextualSpacing w:val="0"/>
      </w:pPr>
      <w:r>
        <w:t>Tablet 100 mg-25 mg as monohydrate-200 mg</w:t>
      </w:r>
    </w:p>
    <w:p w14:paraId="2BEBD152" w14:textId="4B129263" w:rsidR="00195AC0" w:rsidRDefault="00195AC0" w:rsidP="00195AC0">
      <w:pPr>
        <w:pStyle w:val="ListParagraph"/>
        <w:numPr>
          <w:ilvl w:val="3"/>
          <w:numId w:val="30"/>
        </w:numPr>
        <w:contextualSpacing w:val="0"/>
      </w:pPr>
      <w:r>
        <w:t xml:space="preserve">Tablet 150 mg-37.5 mg as monohydrate-200 mg </w:t>
      </w:r>
    </w:p>
    <w:p w14:paraId="10CA0D09" w14:textId="2286B8C2" w:rsidR="00195AC0" w:rsidRDefault="00195AC0" w:rsidP="00195AC0">
      <w:pPr>
        <w:pStyle w:val="ListParagraph"/>
        <w:numPr>
          <w:ilvl w:val="3"/>
          <w:numId w:val="30"/>
        </w:numPr>
        <w:contextualSpacing w:val="0"/>
      </w:pPr>
      <w:r>
        <w:t>Tablet 50 mg-12.5 mg as monohydrate-200 mg</w:t>
      </w:r>
    </w:p>
    <w:p w14:paraId="3262C85E" w14:textId="256AA752" w:rsidR="00195AC0" w:rsidRDefault="00195AC0" w:rsidP="00195AC0">
      <w:pPr>
        <w:pStyle w:val="ListParagraph"/>
        <w:numPr>
          <w:ilvl w:val="3"/>
          <w:numId w:val="30"/>
        </w:numPr>
        <w:contextualSpacing w:val="0"/>
      </w:pPr>
      <w:r>
        <w:t>Tablet 125 mg-1.25 mg as monohydrate-200 mg</w:t>
      </w:r>
    </w:p>
    <w:p w14:paraId="12AD9D89" w14:textId="07A1BB27" w:rsidR="00195AC0" w:rsidRDefault="00195AC0" w:rsidP="00195AC0">
      <w:pPr>
        <w:pStyle w:val="ListParagraph"/>
        <w:numPr>
          <w:ilvl w:val="3"/>
          <w:numId w:val="30"/>
        </w:numPr>
        <w:contextualSpacing w:val="0"/>
      </w:pPr>
      <w:r>
        <w:t xml:space="preserve">Tablet 200 mg-50 mg as monohydrate-200 mg </w:t>
      </w:r>
    </w:p>
    <w:p w14:paraId="29814D03" w14:textId="629569C8" w:rsidR="00195AC0" w:rsidRDefault="00195AC0" w:rsidP="00195AC0">
      <w:pPr>
        <w:pStyle w:val="ListParagraph"/>
        <w:numPr>
          <w:ilvl w:val="3"/>
          <w:numId w:val="30"/>
        </w:numPr>
        <w:contextualSpacing w:val="0"/>
      </w:pPr>
      <w:r>
        <w:t>Tablet 75 mg-18.75 mg as monohydrate-200 mg</w:t>
      </w:r>
    </w:p>
    <w:p w14:paraId="6074476D" w14:textId="77777777" w:rsidR="00195AC0" w:rsidRDefault="00195AC0" w:rsidP="00195AC0">
      <w:pPr>
        <w:pStyle w:val="ListParagraph"/>
        <w:numPr>
          <w:ilvl w:val="2"/>
          <w:numId w:val="30"/>
        </w:numPr>
        <w:contextualSpacing w:val="0"/>
      </w:pPr>
      <w:proofErr w:type="spellStart"/>
      <w:r w:rsidRPr="007652C2">
        <w:t>Lurasidone</w:t>
      </w:r>
      <w:proofErr w:type="spellEnd"/>
      <w:r w:rsidRPr="007652C2">
        <w:t xml:space="preserve"> </w:t>
      </w:r>
      <w:r>
        <w:t>o</w:t>
      </w:r>
      <w:r w:rsidRPr="007652C2">
        <w:t>ral</w:t>
      </w:r>
      <w:r>
        <w:t>:</w:t>
      </w:r>
      <w:r w:rsidRPr="007652C2">
        <w:t xml:space="preserve"> </w:t>
      </w:r>
    </w:p>
    <w:p w14:paraId="67E50A8B" w14:textId="19081AB7" w:rsidR="00195AC0" w:rsidRDefault="00195AC0" w:rsidP="00195AC0">
      <w:pPr>
        <w:pStyle w:val="ListParagraph"/>
        <w:numPr>
          <w:ilvl w:val="3"/>
          <w:numId w:val="30"/>
        </w:numPr>
        <w:contextualSpacing w:val="0"/>
      </w:pPr>
      <w:r>
        <w:t>T</w:t>
      </w:r>
      <w:r w:rsidRPr="007652C2">
        <w:t xml:space="preserve">ablet containing </w:t>
      </w:r>
      <w:proofErr w:type="spellStart"/>
      <w:r w:rsidRPr="007652C2">
        <w:t>lurasidone</w:t>
      </w:r>
      <w:proofErr w:type="spellEnd"/>
      <w:r w:rsidRPr="007652C2">
        <w:t xml:space="preserve"> hydrochloride 40 mg</w:t>
      </w:r>
    </w:p>
    <w:p w14:paraId="58D2708E" w14:textId="48D7C616" w:rsidR="00195AC0" w:rsidRDefault="00195AC0" w:rsidP="00195AC0">
      <w:pPr>
        <w:pStyle w:val="ListParagraph"/>
        <w:numPr>
          <w:ilvl w:val="3"/>
          <w:numId w:val="30"/>
        </w:numPr>
        <w:contextualSpacing w:val="0"/>
      </w:pPr>
      <w:r>
        <w:t>T</w:t>
      </w:r>
      <w:r w:rsidRPr="007652C2">
        <w:t xml:space="preserve">ablet containing </w:t>
      </w:r>
      <w:proofErr w:type="spellStart"/>
      <w:r w:rsidRPr="007652C2">
        <w:t>lurasidone</w:t>
      </w:r>
      <w:proofErr w:type="spellEnd"/>
      <w:r w:rsidRPr="007652C2">
        <w:t xml:space="preserve"> hydrochloride 80 mg</w:t>
      </w:r>
    </w:p>
    <w:p w14:paraId="1C34CD4E" w14:textId="18D72704" w:rsidR="00195AC0" w:rsidRDefault="00195AC0" w:rsidP="00195AC0">
      <w:pPr>
        <w:pStyle w:val="ListParagraph"/>
        <w:numPr>
          <w:ilvl w:val="2"/>
          <w:numId w:val="30"/>
        </w:numPr>
        <w:contextualSpacing w:val="0"/>
      </w:pPr>
      <w:r>
        <w:t>Metformin oral, tablet (prolonged release) containing metformin hydrochloride 500 mg</w:t>
      </w:r>
    </w:p>
    <w:p w14:paraId="30B4FB62" w14:textId="0F8FDCB4" w:rsidR="00195AC0" w:rsidRDefault="00195AC0" w:rsidP="00195AC0">
      <w:pPr>
        <w:pStyle w:val="ListParagraph"/>
        <w:numPr>
          <w:ilvl w:val="2"/>
          <w:numId w:val="30"/>
        </w:numPr>
        <w:contextualSpacing w:val="0"/>
      </w:pPr>
      <w:r w:rsidRPr="007652C2">
        <w:t xml:space="preserve">Methylphenidate </w:t>
      </w:r>
      <w:r>
        <w:t>o</w:t>
      </w:r>
      <w:r w:rsidRPr="007652C2">
        <w:t xml:space="preserve">ral, </w:t>
      </w:r>
      <w:r>
        <w:t>c</w:t>
      </w:r>
      <w:r w:rsidRPr="007652C2">
        <w:t>apsule containing methylphenidate hydrochloride 60 mg modified release</w:t>
      </w:r>
    </w:p>
    <w:p w14:paraId="2A1CB479" w14:textId="77777777" w:rsidR="00195AC0" w:rsidRDefault="00195AC0" w:rsidP="00195AC0">
      <w:pPr>
        <w:pStyle w:val="ListParagraph"/>
        <w:numPr>
          <w:ilvl w:val="2"/>
          <w:numId w:val="30"/>
        </w:numPr>
        <w:contextualSpacing w:val="0"/>
      </w:pPr>
      <w:r w:rsidRPr="002F6E01">
        <w:t xml:space="preserve">Nitrofurantoin </w:t>
      </w:r>
      <w:r>
        <w:t>o</w:t>
      </w:r>
      <w:r w:rsidRPr="002F6E01">
        <w:t>ral</w:t>
      </w:r>
      <w:r>
        <w:t>:</w:t>
      </w:r>
      <w:r w:rsidRPr="002F6E01">
        <w:t xml:space="preserve"> </w:t>
      </w:r>
    </w:p>
    <w:p w14:paraId="2A443F94" w14:textId="4D600B41" w:rsidR="00195AC0" w:rsidRDefault="00195AC0" w:rsidP="00195AC0">
      <w:pPr>
        <w:pStyle w:val="ListParagraph"/>
        <w:numPr>
          <w:ilvl w:val="3"/>
          <w:numId w:val="30"/>
        </w:numPr>
        <w:contextualSpacing w:val="0"/>
      </w:pPr>
      <w:r>
        <w:t>C</w:t>
      </w:r>
      <w:r w:rsidRPr="002F6E01">
        <w:t>apsule 100 mg</w:t>
      </w:r>
    </w:p>
    <w:p w14:paraId="1747DE65" w14:textId="71A48B45" w:rsidR="00195AC0" w:rsidRDefault="00195AC0" w:rsidP="00195AC0">
      <w:pPr>
        <w:pStyle w:val="ListParagraph"/>
        <w:numPr>
          <w:ilvl w:val="3"/>
          <w:numId w:val="30"/>
        </w:numPr>
        <w:contextualSpacing w:val="0"/>
      </w:pPr>
      <w:r>
        <w:t>C</w:t>
      </w:r>
      <w:r w:rsidRPr="002F6E01">
        <w:t>apsule 50 mg</w:t>
      </w:r>
    </w:p>
    <w:p w14:paraId="3B2B8310" w14:textId="77777777" w:rsidR="00195AC0" w:rsidRDefault="00195AC0" w:rsidP="00195AC0">
      <w:pPr>
        <w:pStyle w:val="ListParagraph"/>
        <w:numPr>
          <w:ilvl w:val="2"/>
          <w:numId w:val="30"/>
        </w:numPr>
        <w:contextualSpacing w:val="0"/>
      </w:pPr>
      <w:r>
        <w:lastRenderedPageBreak/>
        <w:t>Salbutamol inhalation by mouth, p</w:t>
      </w:r>
      <w:r w:rsidRPr="00C92AFB">
        <w:t xml:space="preserve">ressurised inhalation 100 micrograms (as </w:t>
      </w:r>
      <w:proofErr w:type="spellStart"/>
      <w:r w:rsidRPr="00C92AFB">
        <w:t>sulfate</w:t>
      </w:r>
      <w:proofErr w:type="spellEnd"/>
      <w:r w:rsidRPr="00C92AFB">
        <w:t>) per dose with dose counter, 200 doses (CFC-free formulation)</w:t>
      </w:r>
      <w:r>
        <w:t>.</w:t>
      </w:r>
    </w:p>
    <w:p w14:paraId="32C1BB7C" w14:textId="77777777" w:rsidR="00E85C6C" w:rsidRPr="00552572" w:rsidRDefault="00E85C6C" w:rsidP="00E85C6C">
      <w:pPr>
        <w:pStyle w:val="ListParagraph"/>
        <w:spacing w:after="120"/>
        <w:ind w:left="714"/>
        <w:rPr>
          <w:color w:val="FF0000"/>
        </w:rPr>
      </w:pPr>
    </w:p>
    <w:p w14:paraId="1C67A710" w14:textId="11A09FCA" w:rsidR="00F137C0" w:rsidRDefault="00227BFC" w:rsidP="00B05AEB">
      <w:pPr>
        <w:spacing w:after="120"/>
        <w:rPr>
          <w:szCs w:val="24"/>
        </w:rPr>
      </w:pPr>
      <w:r w:rsidRPr="00BF1CA0">
        <w:t>T</w:t>
      </w:r>
      <w:r w:rsidR="007E3BBC" w:rsidRPr="00BF1CA0">
        <w:t xml:space="preserve">he Principal Instrument was made pursuant to </w:t>
      </w:r>
      <w:r w:rsidR="007E3BBC" w:rsidRPr="00BF1CA0">
        <w:rPr>
          <w:szCs w:val="24"/>
        </w:rPr>
        <w:t xml:space="preserve">subsection </w:t>
      </w:r>
      <w:proofErr w:type="gramStart"/>
      <w:r w:rsidR="007E3BBC" w:rsidRPr="00BF1CA0">
        <w:rPr>
          <w:szCs w:val="24"/>
        </w:rPr>
        <w:t>99ADB(</w:t>
      </w:r>
      <w:proofErr w:type="gramEnd"/>
      <w:r w:rsidR="007E3BBC" w:rsidRPr="00BF1CA0">
        <w:rPr>
          <w:szCs w:val="24"/>
        </w:rPr>
        <w:t>4) and paragraph 99ADH(1)(aa) of the</w:t>
      </w:r>
      <w:r w:rsidR="007C63B5" w:rsidRPr="00BF1CA0">
        <w:rPr>
          <w:szCs w:val="24"/>
        </w:rPr>
        <w:t xml:space="preserve"> Act for brands of pharmaceutical items with a data collection period ending</w:t>
      </w:r>
      <w:r w:rsidR="00D1438E" w:rsidRPr="00BF1CA0">
        <w:rPr>
          <w:szCs w:val="24"/>
        </w:rPr>
        <w:t xml:space="preserve"> </w:t>
      </w:r>
      <w:r w:rsidR="00552572">
        <w:rPr>
          <w:szCs w:val="24"/>
        </w:rPr>
        <w:t>31 March 2020</w:t>
      </w:r>
      <w:r w:rsidR="001F35B1" w:rsidRPr="00BF1CA0">
        <w:rPr>
          <w:szCs w:val="24"/>
        </w:rPr>
        <w:t xml:space="preserve"> </w:t>
      </w:r>
      <w:r w:rsidR="0044245A" w:rsidRPr="00BF1CA0">
        <w:rPr>
          <w:szCs w:val="24"/>
        </w:rPr>
        <w:t>(</w:t>
      </w:r>
      <w:r w:rsidR="0011547D" w:rsidRPr="00BF1CA0">
        <w:rPr>
          <w:szCs w:val="24"/>
        </w:rPr>
        <w:t xml:space="preserve">2020 </w:t>
      </w:r>
      <w:r w:rsidR="00552572">
        <w:rPr>
          <w:szCs w:val="24"/>
        </w:rPr>
        <w:t>October</w:t>
      </w:r>
      <w:r w:rsidR="0011547D" w:rsidRPr="00BF1CA0">
        <w:rPr>
          <w:szCs w:val="24"/>
        </w:rPr>
        <w:t xml:space="preserve"> </w:t>
      </w:r>
      <w:r w:rsidR="007C63B5" w:rsidRPr="00BF1CA0">
        <w:rPr>
          <w:szCs w:val="24"/>
        </w:rPr>
        <w:t>cycle)</w:t>
      </w:r>
      <w:r w:rsidR="007E3BBC" w:rsidRPr="00BF1CA0">
        <w:rPr>
          <w:szCs w:val="24"/>
        </w:rPr>
        <w:t>.</w:t>
      </w:r>
    </w:p>
    <w:p w14:paraId="5A1ECA8B" w14:textId="77777777" w:rsidR="00B05AEB" w:rsidRPr="00BF1CA0" w:rsidRDefault="00B05AEB" w:rsidP="00B05AEB">
      <w:pPr>
        <w:spacing w:after="120"/>
        <w:rPr>
          <w:b/>
          <w:szCs w:val="24"/>
        </w:rPr>
      </w:pPr>
    </w:p>
    <w:p w14:paraId="51267898" w14:textId="25467E4A" w:rsidR="00552183" w:rsidRPr="00BF1CA0" w:rsidRDefault="00CC0026" w:rsidP="00FF169C">
      <w:pPr>
        <w:spacing w:before="120" w:after="120"/>
        <w:rPr>
          <w:b/>
          <w:i/>
          <w:szCs w:val="24"/>
        </w:rPr>
      </w:pPr>
      <w:r w:rsidRPr="00BF1CA0">
        <w:rPr>
          <w:b/>
          <w:szCs w:val="24"/>
        </w:rPr>
        <w:t>Amendment</w:t>
      </w:r>
      <w:r w:rsidR="00AB5DA0" w:rsidRPr="00BF1CA0">
        <w:rPr>
          <w:b/>
          <w:szCs w:val="24"/>
        </w:rPr>
        <w:t>s</w:t>
      </w:r>
    </w:p>
    <w:p w14:paraId="32A89C88" w14:textId="49A778E5" w:rsidR="00745389" w:rsidRPr="00BF1CA0" w:rsidRDefault="00745389" w:rsidP="00FF169C">
      <w:pPr>
        <w:spacing w:after="120"/>
        <w:rPr>
          <w:i/>
          <w:szCs w:val="24"/>
        </w:rPr>
      </w:pPr>
      <w:r w:rsidRPr="00BF1CA0">
        <w:rPr>
          <w:i/>
          <w:szCs w:val="24"/>
        </w:rPr>
        <w:t>Revision of WADP determinations for Brands of Pharmaceutical Items</w:t>
      </w:r>
    </w:p>
    <w:p w14:paraId="0015B284" w14:textId="248DE620" w:rsidR="00745389" w:rsidRPr="002A02F4" w:rsidRDefault="00745389" w:rsidP="0042423B">
      <w:pPr>
        <w:spacing w:after="120"/>
      </w:pPr>
      <w:r w:rsidRPr="00BF1CA0">
        <w:t xml:space="preserve">Amendments are being made following consideration of matters raised by responsible persons concerning the determinations in the Principal Instrument for brands of pharmaceutical items </w:t>
      </w:r>
      <w:r w:rsidRPr="002A02F4">
        <w:t xml:space="preserve">containing </w:t>
      </w:r>
      <w:proofErr w:type="spellStart"/>
      <w:r w:rsidR="002A02F4" w:rsidRPr="002A02F4">
        <w:rPr>
          <w:szCs w:val="24"/>
        </w:rPr>
        <w:t>zoledronic</w:t>
      </w:r>
      <w:proofErr w:type="spellEnd"/>
      <w:r w:rsidR="002A02F4" w:rsidRPr="002A02F4">
        <w:rPr>
          <w:szCs w:val="24"/>
        </w:rPr>
        <w:t xml:space="preserve"> acid, </w:t>
      </w:r>
      <w:proofErr w:type="spellStart"/>
      <w:r w:rsidR="002A02F4" w:rsidRPr="002A02F4">
        <w:rPr>
          <w:szCs w:val="24"/>
        </w:rPr>
        <w:t>epirubicin</w:t>
      </w:r>
      <w:proofErr w:type="spellEnd"/>
      <w:r w:rsidR="002A02F4" w:rsidRPr="002A02F4">
        <w:rPr>
          <w:szCs w:val="24"/>
        </w:rPr>
        <w:t xml:space="preserve"> and </w:t>
      </w:r>
      <w:r w:rsidR="00824B99" w:rsidRPr="002A02F4">
        <w:rPr>
          <w:szCs w:val="24"/>
        </w:rPr>
        <w:t>etop</w:t>
      </w:r>
      <w:r w:rsidR="00824B99">
        <w:rPr>
          <w:szCs w:val="24"/>
        </w:rPr>
        <w:t>o</w:t>
      </w:r>
      <w:r w:rsidR="00824B99" w:rsidRPr="002A02F4">
        <w:rPr>
          <w:szCs w:val="24"/>
        </w:rPr>
        <w:t>side</w:t>
      </w:r>
      <w:r w:rsidR="002A02F4" w:rsidRPr="002A02F4">
        <w:rPr>
          <w:szCs w:val="24"/>
        </w:rPr>
        <w:t>.</w:t>
      </w:r>
    </w:p>
    <w:p w14:paraId="0E4F2CE8" w14:textId="4E10A2FE" w:rsidR="00B05AEB" w:rsidRDefault="00745389" w:rsidP="0042423B">
      <w:pPr>
        <w:spacing w:after="120"/>
      </w:pPr>
      <w:r w:rsidRPr="00BF1CA0">
        <w:t>A review of determinations in response to matters raised by re</w:t>
      </w:r>
      <w:r w:rsidR="00B05AEB">
        <w:t>sponsible persons revealed that</w:t>
      </w:r>
      <w:r w:rsidR="00853747">
        <w:t>:</w:t>
      </w:r>
      <w:r w:rsidR="00B05AEB">
        <w:t xml:space="preserve"> </w:t>
      </w:r>
    </w:p>
    <w:p w14:paraId="2F38027A" w14:textId="04BFC0A4" w:rsidR="00476719" w:rsidRDefault="00AB0625" w:rsidP="00B05AEB">
      <w:pPr>
        <w:pStyle w:val="ListParagraph"/>
        <w:numPr>
          <w:ilvl w:val="0"/>
          <w:numId w:val="34"/>
        </w:numPr>
        <w:spacing w:after="120"/>
      </w:pPr>
      <w:r w:rsidRPr="00BF1CA0">
        <w:t>A</w:t>
      </w:r>
      <w:r w:rsidR="002A02F4" w:rsidRPr="00BF1CA0">
        <w:t xml:space="preserve"> responsible person for </w:t>
      </w:r>
      <w:proofErr w:type="spellStart"/>
      <w:r w:rsidR="002A02F4" w:rsidRPr="00BF1CA0">
        <w:t>zoledronic</w:t>
      </w:r>
      <w:proofErr w:type="spellEnd"/>
      <w:r w:rsidR="002A02F4" w:rsidRPr="00BF1CA0">
        <w:t xml:space="preserve"> acid had submitted incorrect data</w:t>
      </w:r>
      <w:r w:rsidR="00D409CC" w:rsidRPr="00BF1CA0">
        <w:t>.</w:t>
      </w:r>
      <w:r w:rsidR="00745389" w:rsidRPr="00BF1CA0">
        <w:t xml:space="preserve"> Corrected data was submitted. New calculations for the WADPs set out in this amending determination were completed in accordan</w:t>
      </w:r>
      <w:r w:rsidR="00195AC0">
        <w:t>ce with the Act and Regulations;</w:t>
      </w:r>
    </w:p>
    <w:p w14:paraId="4537D00D" w14:textId="51FA1C1E" w:rsidR="00B05AEB" w:rsidRDefault="00824B99" w:rsidP="00B05AEB">
      <w:pPr>
        <w:pStyle w:val="ListParagraph"/>
        <w:numPr>
          <w:ilvl w:val="0"/>
          <w:numId w:val="34"/>
        </w:numPr>
        <w:spacing w:after="120"/>
      </w:pPr>
      <w:r>
        <w:t xml:space="preserve">Etoposide </w:t>
      </w:r>
      <w:r w:rsidR="00B05AEB">
        <w:t xml:space="preserve">has an exemption from </w:t>
      </w:r>
      <w:r w:rsidR="004F5889">
        <w:t>the Pharmaceutical Benefits Advisory Committee (</w:t>
      </w:r>
      <w:r w:rsidR="00B05AEB">
        <w:t>PBAC</w:t>
      </w:r>
      <w:r w:rsidR="004F5889">
        <w:t>)</w:t>
      </w:r>
      <w:r w:rsidR="00B05AEB">
        <w:t xml:space="preserve"> for</w:t>
      </w:r>
      <w:r w:rsidR="00CD5A06">
        <w:t xml:space="preserve"> price disclosure</w:t>
      </w:r>
      <w:r w:rsidR="00B05AEB">
        <w:t xml:space="preserve"> reduction</w:t>
      </w:r>
      <w:r w:rsidR="00853747">
        <w:t>s</w:t>
      </w:r>
      <w:r w:rsidR="00B05AEB">
        <w:t xml:space="preserve">, moving the drug from </w:t>
      </w:r>
      <w:r w:rsidR="00195AC0">
        <w:t>S</w:t>
      </w:r>
      <w:r w:rsidR="00B05AEB">
        <w:t>chedu</w:t>
      </w:r>
      <w:r w:rsidR="00195AC0">
        <w:t>le 1 to Schedule</w:t>
      </w:r>
      <w:r w:rsidR="004F5889">
        <w:t> </w:t>
      </w:r>
      <w:r w:rsidR="00195AC0">
        <w:t>2; and</w:t>
      </w:r>
    </w:p>
    <w:p w14:paraId="6D676992" w14:textId="55F9B075" w:rsidR="00B05AEB" w:rsidRPr="00BF1CA0" w:rsidRDefault="00B05AEB" w:rsidP="0042423B">
      <w:pPr>
        <w:pStyle w:val="ListParagraph"/>
        <w:numPr>
          <w:ilvl w:val="0"/>
          <w:numId w:val="34"/>
        </w:numPr>
        <w:spacing w:after="120"/>
      </w:pPr>
      <w:proofErr w:type="spellStart"/>
      <w:r>
        <w:t>Epirubicin</w:t>
      </w:r>
      <w:proofErr w:type="spellEnd"/>
      <w:r>
        <w:t xml:space="preserve"> will not take a reduction due to the </w:t>
      </w:r>
      <w:r w:rsidR="00195AC0">
        <w:t xml:space="preserve">correct </w:t>
      </w:r>
      <w:r w:rsidR="00CD5A06">
        <w:t xml:space="preserve">threshold </w:t>
      </w:r>
      <w:r w:rsidR="00195AC0">
        <w:t xml:space="preserve">for its calculations being </w:t>
      </w:r>
      <w:r w:rsidR="00CD5A06">
        <w:t>30</w:t>
      </w:r>
      <w:r w:rsidR="00195AC0">
        <w:t xml:space="preserve"> per cent</w:t>
      </w:r>
      <w:r w:rsidR="00CD5A06">
        <w:t xml:space="preserve">, moving the drug from </w:t>
      </w:r>
      <w:r w:rsidR="00195AC0">
        <w:t>S</w:t>
      </w:r>
      <w:r w:rsidR="00CD5A06">
        <w:t xml:space="preserve">chedule 1 to </w:t>
      </w:r>
      <w:r w:rsidR="00195AC0">
        <w:t>Schedule 2.</w:t>
      </w:r>
    </w:p>
    <w:p w14:paraId="4BED4BF0" w14:textId="27C1034E" w:rsidR="00AC069B" w:rsidRPr="00BF1CA0" w:rsidRDefault="00AC069B" w:rsidP="00FF169C">
      <w:pPr>
        <w:spacing w:after="120"/>
        <w:rPr>
          <w:i/>
          <w:szCs w:val="24"/>
        </w:rPr>
      </w:pPr>
      <w:r w:rsidRPr="00BF1CA0">
        <w:rPr>
          <w:i/>
          <w:szCs w:val="24"/>
        </w:rPr>
        <w:t xml:space="preserve">Insertion of </w:t>
      </w:r>
      <w:r w:rsidRPr="00BF1CA0">
        <w:rPr>
          <w:i/>
        </w:rPr>
        <w:t xml:space="preserve">WADP determinations for </w:t>
      </w:r>
      <w:r w:rsidRPr="00BF1CA0">
        <w:rPr>
          <w:i/>
          <w:szCs w:val="24"/>
        </w:rPr>
        <w:t>New Brands of New Pharmaceutical Items</w:t>
      </w:r>
    </w:p>
    <w:p w14:paraId="7B6651FF" w14:textId="23DDDAB2" w:rsidR="00B20FE1" w:rsidRDefault="00B20FE1" w:rsidP="00B20FE1">
      <w:pPr>
        <w:tabs>
          <w:tab w:val="left" w:pos="709"/>
        </w:tabs>
      </w:pPr>
      <w:r>
        <w:t xml:space="preserve">WADPs do need to be determined </w:t>
      </w:r>
      <w:r w:rsidRPr="008D3D53">
        <w:t xml:space="preserve">for new brands listing </w:t>
      </w:r>
      <w:r w:rsidRPr="0046618D">
        <w:t>between 3</w:t>
      </w:r>
      <w:r>
        <w:t>1 March 2020</w:t>
      </w:r>
      <w:r w:rsidRPr="0046618D">
        <w:t xml:space="preserve"> and 1</w:t>
      </w:r>
      <w:r>
        <w:t> October</w:t>
      </w:r>
      <w:r w:rsidRPr="0046618D">
        <w:t xml:space="preserve"> 2020 th</w:t>
      </w:r>
      <w:r w:rsidRPr="008D3D53">
        <w:t>at have no other existing brand of the same pharmaceutical item</w:t>
      </w:r>
      <w:r>
        <w:t xml:space="preserve">. Examples are s19A temporary listings (imipramine and metformin), </w:t>
      </w:r>
      <w:r w:rsidR="00824B99">
        <w:t xml:space="preserve">drugs that moved </w:t>
      </w:r>
      <w:r w:rsidR="004F5889">
        <w:t xml:space="preserve">from F1 or the administrative combination drugs list </w:t>
      </w:r>
      <w:r w:rsidR="00824B99">
        <w:t xml:space="preserve">to F2 (levodopa with carbidopa and </w:t>
      </w:r>
      <w:proofErr w:type="spellStart"/>
      <w:r w:rsidR="00824B99">
        <w:t>entacapone</w:t>
      </w:r>
      <w:proofErr w:type="spellEnd"/>
      <w:r w:rsidR="00824B99">
        <w:t xml:space="preserve">, </w:t>
      </w:r>
      <w:proofErr w:type="spellStart"/>
      <w:r w:rsidR="00824B99">
        <w:t>l</w:t>
      </w:r>
      <w:r w:rsidR="00824B99" w:rsidRPr="007652C2">
        <w:t>urasidone</w:t>
      </w:r>
      <w:proofErr w:type="spellEnd"/>
      <w:r w:rsidR="00824B99">
        <w:t xml:space="preserve"> and n</w:t>
      </w:r>
      <w:r w:rsidR="00824B99" w:rsidRPr="002F6E01">
        <w:t>itrofurantoin</w:t>
      </w:r>
      <w:r w:rsidR="00824B99">
        <w:t>) and new strengths or forms of drugs (salbutamol and m</w:t>
      </w:r>
      <w:r w:rsidR="00824B99" w:rsidRPr="007652C2">
        <w:t>ethylphenidate</w:t>
      </w:r>
      <w:r w:rsidR="00824B99">
        <w:t>).</w:t>
      </w:r>
    </w:p>
    <w:p w14:paraId="4FC241CE" w14:textId="77777777" w:rsidR="00B20FE1" w:rsidRDefault="00B20FE1" w:rsidP="00CB189A">
      <w:pPr>
        <w:spacing w:after="120"/>
      </w:pPr>
    </w:p>
    <w:p w14:paraId="411E7A9B" w14:textId="55223B70" w:rsidR="00087024" w:rsidRDefault="00AC069B" w:rsidP="00CB189A">
      <w:pPr>
        <w:spacing w:after="120"/>
      </w:pPr>
      <w:r w:rsidRPr="00BF1CA0">
        <w:t xml:space="preserve">There </w:t>
      </w:r>
      <w:r w:rsidR="003F6987" w:rsidRPr="00F66C2D">
        <w:t xml:space="preserve">are </w:t>
      </w:r>
      <w:r w:rsidR="0012155E">
        <w:t>27</w:t>
      </w:r>
      <w:r w:rsidR="001C2567" w:rsidRPr="00F66C2D">
        <w:t xml:space="preserve"> brand</w:t>
      </w:r>
      <w:r w:rsidR="003F6987" w:rsidRPr="00F66C2D">
        <w:t>s</w:t>
      </w:r>
      <w:r w:rsidRPr="00F66C2D">
        <w:t xml:space="preserve"> </w:t>
      </w:r>
      <w:r w:rsidRPr="00BF1CA0">
        <w:t xml:space="preserve">of </w:t>
      </w:r>
      <w:r w:rsidR="0012155E">
        <w:t>14</w:t>
      </w:r>
      <w:r w:rsidR="00195AC0">
        <w:t xml:space="preserve"> </w:t>
      </w:r>
      <w:r w:rsidRPr="00BF1CA0">
        <w:t>new pharmaceutical item</w:t>
      </w:r>
      <w:r w:rsidR="003F6987" w:rsidRPr="00BF1CA0">
        <w:t>s</w:t>
      </w:r>
      <w:r w:rsidRPr="00BF1CA0">
        <w:t xml:space="preserve"> that </w:t>
      </w:r>
      <w:r w:rsidR="003F6987" w:rsidRPr="00BF1CA0">
        <w:t xml:space="preserve">are </w:t>
      </w:r>
      <w:r w:rsidRPr="00BF1CA0">
        <w:t>included in this amending instrument, as follows:</w:t>
      </w:r>
    </w:p>
    <w:p w14:paraId="49525F1B" w14:textId="799FFA37" w:rsidR="00087024" w:rsidRPr="00087024" w:rsidRDefault="00087024" w:rsidP="00087024">
      <w:pPr>
        <w:pStyle w:val="ListParagraph"/>
        <w:numPr>
          <w:ilvl w:val="0"/>
          <w:numId w:val="30"/>
        </w:numPr>
        <w:spacing w:before="120" w:after="120"/>
        <w:rPr>
          <w:i/>
        </w:rPr>
      </w:pPr>
      <w:r w:rsidRPr="009D04DD">
        <w:t xml:space="preserve">Imipramine (Leading) </w:t>
      </w:r>
      <w:r>
        <w:t>brand of imipramine oral, t</w:t>
      </w:r>
      <w:r w:rsidRPr="007652C2">
        <w:t>ablet containing imipramine hydrochloride 25 mg USP</w:t>
      </w:r>
    </w:p>
    <w:p w14:paraId="1079843C" w14:textId="74242E59" w:rsidR="00195AC0" w:rsidRDefault="00195AC0" w:rsidP="00195AC0">
      <w:pPr>
        <w:pStyle w:val="ListParagraph"/>
        <w:numPr>
          <w:ilvl w:val="0"/>
          <w:numId w:val="30"/>
        </w:numPr>
        <w:spacing w:before="120" w:after="120"/>
      </w:pPr>
      <w:r w:rsidRPr="002F6E01">
        <w:t xml:space="preserve">Levodopa with carbidopa and </w:t>
      </w:r>
      <w:proofErr w:type="spellStart"/>
      <w:r>
        <w:t>entacapone</w:t>
      </w:r>
      <w:proofErr w:type="spellEnd"/>
      <w:r>
        <w:t xml:space="preserve"> oral:</w:t>
      </w:r>
    </w:p>
    <w:p w14:paraId="34C9B169" w14:textId="080B752C" w:rsidR="00195AC0" w:rsidRDefault="00CD5A06" w:rsidP="00195AC0">
      <w:pPr>
        <w:pStyle w:val="ListParagraph"/>
        <w:numPr>
          <w:ilvl w:val="1"/>
          <w:numId w:val="30"/>
        </w:numPr>
        <w:spacing w:before="120" w:after="120"/>
      </w:pPr>
      <w:r>
        <w:t>Tablet 100 mg-25 mg as monohydrate-</w:t>
      </w:r>
      <w:r w:rsidRPr="002F6E01">
        <w:t>200 mg</w:t>
      </w:r>
      <w:r w:rsidR="00195AC0">
        <w:t xml:space="preserve">: </w:t>
      </w:r>
      <w:proofErr w:type="spellStart"/>
      <w:r w:rsidR="00195AC0">
        <w:t>Lecteva</w:t>
      </w:r>
      <w:proofErr w:type="spellEnd"/>
      <w:r w:rsidR="00195AC0" w:rsidRPr="009D04DD">
        <w:t xml:space="preserve"> </w:t>
      </w:r>
      <w:r w:rsidR="00195AC0">
        <w:t xml:space="preserve">and </w:t>
      </w:r>
      <w:proofErr w:type="spellStart"/>
      <w:r w:rsidR="00195AC0">
        <w:t>Stalevo</w:t>
      </w:r>
      <w:proofErr w:type="spellEnd"/>
      <w:r w:rsidR="00195AC0">
        <w:t xml:space="preserve"> brands</w:t>
      </w:r>
    </w:p>
    <w:p w14:paraId="25BE43D7" w14:textId="71843F4F" w:rsidR="00195AC0" w:rsidRDefault="00CD5A06" w:rsidP="00195AC0">
      <w:pPr>
        <w:pStyle w:val="ListParagraph"/>
        <w:numPr>
          <w:ilvl w:val="1"/>
          <w:numId w:val="30"/>
        </w:numPr>
        <w:spacing w:before="120" w:after="120"/>
      </w:pPr>
      <w:r>
        <w:t>Tablet 150 mg-37.5 mg as monohydrate-</w:t>
      </w:r>
      <w:r w:rsidRPr="002F6E01">
        <w:t>200 mg</w:t>
      </w:r>
      <w:r w:rsidR="00195AC0">
        <w:t xml:space="preserve">: </w:t>
      </w:r>
      <w:proofErr w:type="spellStart"/>
      <w:r w:rsidR="00195AC0">
        <w:t>Lecteva</w:t>
      </w:r>
      <w:proofErr w:type="spellEnd"/>
      <w:r w:rsidR="00195AC0" w:rsidRPr="009D04DD">
        <w:t xml:space="preserve"> </w:t>
      </w:r>
      <w:r w:rsidR="00195AC0">
        <w:t xml:space="preserve">and </w:t>
      </w:r>
      <w:proofErr w:type="spellStart"/>
      <w:r w:rsidR="00195AC0">
        <w:t>Stalevo</w:t>
      </w:r>
      <w:proofErr w:type="spellEnd"/>
      <w:r w:rsidR="00195AC0">
        <w:t xml:space="preserve"> brands</w:t>
      </w:r>
    </w:p>
    <w:p w14:paraId="7E9CA329" w14:textId="4465F820" w:rsidR="00195AC0" w:rsidRDefault="00CD5A06" w:rsidP="00195AC0">
      <w:pPr>
        <w:pStyle w:val="ListParagraph"/>
        <w:numPr>
          <w:ilvl w:val="1"/>
          <w:numId w:val="30"/>
        </w:numPr>
        <w:spacing w:before="120" w:after="120"/>
      </w:pPr>
      <w:r>
        <w:t>Tablet 50 mg-12.5 mg as monohydrate-</w:t>
      </w:r>
      <w:r w:rsidRPr="002F6E01">
        <w:t>200 mg</w:t>
      </w:r>
      <w:r w:rsidR="00195AC0">
        <w:t xml:space="preserve">: </w:t>
      </w:r>
      <w:proofErr w:type="spellStart"/>
      <w:r w:rsidR="00195AC0">
        <w:t>Lecteva</w:t>
      </w:r>
      <w:proofErr w:type="spellEnd"/>
      <w:r w:rsidR="00195AC0" w:rsidRPr="009D04DD">
        <w:t xml:space="preserve"> </w:t>
      </w:r>
      <w:r w:rsidR="00195AC0">
        <w:t xml:space="preserve">and </w:t>
      </w:r>
      <w:proofErr w:type="spellStart"/>
      <w:r w:rsidR="00195AC0">
        <w:t>Stalevo</w:t>
      </w:r>
      <w:proofErr w:type="spellEnd"/>
      <w:r w:rsidR="00195AC0">
        <w:t xml:space="preserve"> brands</w:t>
      </w:r>
    </w:p>
    <w:p w14:paraId="6369EB93" w14:textId="593784C3" w:rsidR="00195AC0" w:rsidRDefault="00CD5A06" w:rsidP="00195AC0">
      <w:pPr>
        <w:pStyle w:val="ListParagraph"/>
        <w:numPr>
          <w:ilvl w:val="1"/>
          <w:numId w:val="30"/>
        </w:numPr>
        <w:spacing w:before="120" w:after="120"/>
      </w:pPr>
      <w:r w:rsidRPr="002F6E01">
        <w:t>Tabl</w:t>
      </w:r>
      <w:r>
        <w:t>et 125 mg-1.25 mg as monohydrate-</w:t>
      </w:r>
      <w:r w:rsidRPr="002F6E01">
        <w:t>200 mg</w:t>
      </w:r>
      <w:r w:rsidR="00195AC0">
        <w:t xml:space="preserve">: </w:t>
      </w:r>
      <w:proofErr w:type="spellStart"/>
      <w:r w:rsidR="00195AC0">
        <w:t>Lecteva</w:t>
      </w:r>
      <w:proofErr w:type="spellEnd"/>
      <w:r w:rsidR="00195AC0" w:rsidRPr="009D04DD">
        <w:t xml:space="preserve"> </w:t>
      </w:r>
      <w:r w:rsidR="00195AC0">
        <w:t xml:space="preserve">and </w:t>
      </w:r>
      <w:proofErr w:type="spellStart"/>
      <w:r w:rsidR="00195AC0">
        <w:t>Stalevo</w:t>
      </w:r>
      <w:proofErr w:type="spellEnd"/>
      <w:r w:rsidR="00195AC0">
        <w:t xml:space="preserve"> brands</w:t>
      </w:r>
    </w:p>
    <w:p w14:paraId="45B4DF39" w14:textId="26EE12B5" w:rsidR="00195AC0" w:rsidRDefault="00CD5A06" w:rsidP="00195AC0">
      <w:pPr>
        <w:pStyle w:val="ListParagraph"/>
        <w:numPr>
          <w:ilvl w:val="1"/>
          <w:numId w:val="30"/>
        </w:numPr>
        <w:spacing w:before="120" w:after="120"/>
      </w:pPr>
      <w:r>
        <w:t>Tablet 200 mg-50 mg as monohydrate-</w:t>
      </w:r>
      <w:r w:rsidRPr="002F6E01">
        <w:t>200 mg</w:t>
      </w:r>
      <w:r w:rsidR="00195AC0">
        <w:t xml:space="preserve">: </w:t>
      </w:r>
      <w:proofErr w:type="spellStart"/>
      <w:r w:rsidR="00195AC0">
        <w:t>Lecteva</w:t>
      </w:r>
      <w:proofErr w:type="spellEnd"/>
      <w:r w:rsidR="00195AC0" w:rsidRPr="009D04DD">
        <w:t xml:space="preserve"> </w:t>
      </w:r>
      <w:r w:rsidR="00195AC0">
        <w:t xml:space="preserve">and </w:t>
      </w:r>
      <w:proofErr w:type="spellStart"/>
      <w:r w:rsidR="00195AC0">
        <w:t>Stalevo</w:t>
      </w:r>
      <w:proofErr w:type="spellEnd"/>
      <w:r w:rsidR="00195AC0">
        <w:t xml:space="preserve"> brands</w:t>
      </w:r>
    </w:p>
    <w:p w14:paraId="1895D429" w14:textId="16506540" w:rsidR="00CD5A06" w:rsidRDefault="00CD5A06" w:rsidP="00195AC0">
      <w:pPr>
        <w:pStyle w:val="ListParagraph"/>
        <w:numPr>
          <w:ilvl w:val="1"/>
          <w:numId w:val="30"/>
        </w:numPr>
        <w:spacing w:before="120" w:after="120"/>
      </w:pPr>
      <w:r>
        <w:t>Tablet 75 mg-18.75 mg as monohydrate-</w:t>
      </w:r>
      <w:r w:rsidRPr="002F6E01">
        <w:t>200 mg</w:t>
      </w:r>
      <w:r w:rsidR="00195AC0">
        <w:t xml:space="preserve">: </w:t>
      </w:r>
      <w:proofErr w:type="spellStart"/>
      <w:r w:rsidR="00195AC0">
        <w:t>Lecteva</w:t>
      </w:r>
      <w:proofErr w:type="spellEnd"/>
      <w:r w:rsidR="00195AC0" w:rsidRPr="009D04DD">
        <w:t xml:space="preserve"> </w:t>
      </w:r>
      <w:r w:rsidR="00195AC0">
        <w:t xml:space="preserve">and </w:t>
      </w:r>
      <w:proofErr w:type="spellStart"/>
      <w:r w:rsidR="00195AC0">
        <w:t>Stalevo</w:t>
      </w:r>
      <w:proofErr w:type="spellEnd"/>
      <w:r w:rsidR="00195AC0">
        <w:t xml:space="preserve"> brands</w:t>
      </w:r>
    </w:p>
    <w:p w14:paraId="778A608D" w14:textId="77777777" w:rsidR="00195AC0" w:rsidRDefault="00195AC0" w:rsidP="00195AC0">
      <w:pPr>
        <w:pStyle w:val="ListParagraph"/>
        <w:numPr>
          <w:ilvl w:val="0"/>
          <w:numId w:val="30"/>
        </w:numPr>
        <w:spacing w:before="120" w:after="120"/>
      </w:pPr>
      <w:proofErr w:type="spellStart"/>
      <w:r>
        <w:t>Lurasidone</w:t>
      </w:r>
      <w:proofErr w:type="spellEnd"/>
      <w:r>
        <w:t xml:space="preserve"> oral:</w:t>
      </w:r>
    </w:p>
    <w:p w14:paraId="38BB891A" w14:textId="001467D1" w:rsidR="00195AC0" w:rsidRDefault="00CD5A06" w:rsidP="00195AC0">
      <w:pPr>
        <w:pStyle w:val="ListParagraph"/>
        <w:numPr>
          <w:ilvl w:val="1"/>
          <w:numId w:val="30"/>
        </w:numPr>
        <w:spacing w:before="120" w:after="120"/>
      </w:pPr>
      <w:r w:rsidRPr="007652C2">
        <w:t xml:space="preserve">Tablet containing </w:t>
      </w:r>
      <w:proofErr w:type="spellStart"/>
      <w:r w:rsidRPr="007652C2">
        <w:t>lurasidone</w:t>
      </w:r>
      <w:proofErr w:type="spellEnd"/>
      <w:r w:rsidRPr="007652C2">
        <w:t xml:space="preserve"> hydrochloride 40 mg</w:t>
      </w:r>
      <w:r w:rsidR="00195AC0">
        <w:t xml:space="preserve">: </w:t>
      </w:r>
      <w:proofErr w:type="spellStart"/>
      <w:r w:rsidR="00614A44">
        <w:t>Latuda</w:t>
      </w:r>
      <w:proofErr w:type="spellEnd"/>
      <w:r w:rsidR="00614A44">
        <w:t xml:space="preserve">, </w:t>
      </w:r>
      <w:proofErr w:type="spellStart"/>
      <w:r w:rsidR="00195AC0" w:rsidRPr="009D04DD">
        <w:t>Lurasidone</w:t>
      </w:r>
      <w:proofErr w:type="spellEnd"/>
      <w:r w:rsidR="00195AC0" w:rsidRPr="009D04DD">
        <w:t xml:space="preserve"> Lupin </w:t>
      </w:r>
      <w:r w:rsidR="00195AC0">
        <w:t xml:space="preserve">and </w:t>
      </w:r>
      <w:proofErr w:type="spellStart"/>
      <w:r w:rsidR="00195AC0" w:rsidRPr="009D04DD">
        <w:t>Ardix</w:t>
      </w:r>
      <w:proofErr w:type="spellEnd"/>
      <w:r w:rsidR="00195AC0" w:rsidRPr="009D04DD">
        <w:t xml:space="preserve"> </w:t>
      </w:r>
      <w:proofErr w:type="spellStart"/>
      <w:r w:rsidR="00195AC0" w:rsidRPr="009D04DD">
        <w:t>Lurasidone</w:t>
      </w:r>
      <w:proofErr w:type="spellEnd"/>
      <w:r w:rsidR="00195AC0" w:rsidRPr="009D04DD">
        <w:t xml:space="preserve"> </w:t>
      </w:r>
      <w:r w:rsidR="00195AC0">
        <w:t>brands</w:t>
      </w:r>
    </w:p>
    <w:p w14:paraId="57781429" w14:textId="53744AFA" w:rsidR="00CD5A06" w:rsidRDefault="00CD5A06" w:rsidP="00195AC0">
      <w:pPr>
        <w:pStyle w:val="ListParagraph"/>
        <w:numPr>
          <w:ilvl w:val="1"/>
          <w:numId w:val="30"/>
        </w:numPr>
        <w:spacing w:before="120" w:after="120"/>
      </w:pPr>
      <w:r w:rsidRPr="007652C2">
        <w:lastRenderedPageBreak/>
        <w:t xml:space="preserve">Tablet containing </w:t>
      </w:r>
      <w:proofErr w:type="spellStart"/>
      <w:r w:rsidRPr="007652C2">
        <w:t>lurasidone</w:t>
      </w:r>
      <w:proofErr w:type="spellEnd"/>
      <w:r w:rsidRPr="007652C2">
        <w:t xml:space="preserve"> hydrochloride 80 mg</w:t>
      </w:r>
      <w:r w:rsidR="00195AC0">
        <w:t xml:space="preserve">: </w:t>
      </w:r>
      <w:proofErr w:type="spellStart"/>
      <w:r w:rsidR="00614A44">
        <w:t>Latuda</w:t>
      </w:r>
      <w:proofErr w:type="spellEnd"/>
      <w:r w:rsidR="00614A44">
        <w:t xml:space="preserve">, </w:t>
      </w:r>
      <w:proofErr w:type="spellStart"/>
      <w:r w:rsidR="00195AC0" w:rsidRPr="009D04DD">
        <w:t>Lurasidone</w:t>
      </w:r>
      <w:proofErr w:type="spellEnd"/>
      <w:r w:rsidR="00195AC0" w:rsidRPr="009D04DD">
        <w:t xml:space="preserve"> Lupin </w:t>
      </w:r>
      <w:r w:rsidR="00195AC0">
        <w:t xml:space="preserve">and </w:t>
      </w:r>
      <w:proofErr w:type="spellStart"/>
      <w:r w:rsidR="00195AC0" w:rsidRPr="009D04DD">
        <w:t>Ardix</w:t>
      </w:r>
      <w:proofErr w:type="spellEnd"/>
      <w:r w:rsidR="00195AC0" w:rsidRPr="009D04DD">
        <w:t xml:space="preserve"> </w:t>
      </w:r>
      <w:proofErr w:type="spellStart"/>
      <w:r w:rsidR="00195AC0" w:rsidRPr="009D04DD">
        <w:t>Lurasidone</w:t>
      </w:r>
      <w:proofErr w:type="spellEnd"/>
      <w:r w:rsidR="00195AC0" w:rsidRPr="009D04DD">
        <w:t xml:space="preserve"> </w:t>
      </w:r>
      <w:r w:rsidR="00195AC0">
        <w:t>brands</w:t>
      </w:r>
    </w:p>
    <w:p w14:paraId="0524DD13" w14:textId="7943D754" w:rsidR="00CD5A06" w:rsidRDefault="009D04DD" w:rsidP="00195AC0">
      <w:pPr>
        <w:pStyle w:val="ListParagraph"/>
        <w:numPr>
          <w:ilvl w:val="0"/>
          <w:numId w:val="30"/>
        </w:numPr>
        <w:spacing w:before="120" w:after="120"/>
      </w:pPr>
      <w:r w:rsidRPr="009D04DD">
        <w:t>Metformin (</w:t>
      </w:r>
      <w:proofErr w:type="spellStart"/>
      <w:r w:rsidRPr="009D04DD">
        <w:t>Medsurge</w:t>
      </w:r>
      <w:proofErr w:type="spellEnd"/>
      <w:r w:rsidRPr="009D04DD">
        <w:t>)</w:t>
      </w:r>
      <w:r>
        <w:t xml:space="preserve"> brand of </w:t>
      </w:r>
      <w:r w:rsidR="00195AC0">
        <w:t>m</w:t>
      </w:r>
      <w:r w:rsidR="00CD5A06">
        <w:t xml:space="preserve">etformin </w:t>
      </w:r>
      <w:r w:rsidR="00195AC0">
        <w:t>o</w:t>
      </w:r>
      <w:r w:rsidR="00CD5A06">
        <w:t xml:space="preserve">ral, </w:t>
      </w:r>
      <w:r w:rsidR="00195AC0">
        <w:t>t</w:t>
      </w:r>
      <w:r w:rsidR="00CD5A06" w:rsidRPr="007652C2">
        <w:t>ablet prolonged release containing metformin hydrochloride 500 mg</w:t>
      </w:r>
    </w:p>
    <w:p w14:paraId="273D3ED9" w14:textId="47DB6D19" w:rsidR="00087024" w:rsidRPr="00087024" w:rsidRDefault="009D04DD" w:rsidP="00087024">
      <w:pPr>
        <w:pStyle w:val="ListParagraph"/>
        <w:numPr>
          <w:ilvl w:val="0"/>
          <w:numId w:val="30"/>
        </w:numPr>
        <w:spacing w:before="120" w:after="120"/>
        <w:rPr>
          <w:i/>
        </w:rPr>
      </w:pPr>
      <w:r w:rsidRPr="009D04DD">
        <w:t xml:space="preserve">Ritalin LA </w:t>
      </w:r>
      <w:r>
        <w:t xml:space="preserve">brand of </w:t>
      </w:r>
      <w:r w:rsidR="00195AC0">
        <w:t>m</w:t>
      </w:r>
      <w:r w:rsidR="00CD5A06">
        <w:t xml:space="preserve">ethylphenidate </w:t>
      </w:r>
      <w:r w:rsidR="00087024">
        <w:t>o</w:t>
      </w:r>
      <w:r w:rsidR="00CD5A06">
        <w:t xml:space="preserve">ral, </w:t>
      </w:r>
      <w:r w:rsidR="00087024">
        <w:t>c</w:t>
      </w:r>
      <w:r w:rsidR="00CD5A06" w:rsidRPr="007652C2">
        <w:t>apsule containing methylphenidate hydrochloride 60 mg modified release</w:t>
      </w:r>
    </w:p>
    <w:p w14:paraId="73A0D682" w14:textId="77777777" w:rsidR="00087024" w:rsidRDefault="00087024" w:rsidP="00087024">
      <w:pPr>
        <w:pStyle w:val="ListParagraph"/>
        <w:numPr>
          <w:ilvl w:val="0"/>
          <w:numId w:val="30"/>
        </w:numPr>
        <w:spacing w:before="120" w:after="120"/>
      </w:pPr>
      <w:r>
        <w:t>Nitrofurantoin oral:</w:t>
      </w:r>
    </w:p>
    <w:p w14:paraId="7C522498" w14:textId="7C757C7C" w:rsidR="00087024" w:rsidRDefault="00087024" w:rsidP="00087024">
      <w:pPr>
        <w:pStyle w:val="ListParagraph"/>
        <w:numPr>
          <w:ilvl w:val="1"/>
          <w:numId w:val="30"/>
        </w:numPr>
        <w:spacing w:before="120" w:after="120"/>
      </w:pPr>
      <w:r w:rsidRPr="002F6E01">
        <w:t>Capsule 100 mg</w:t>
      </w:r>
      <w:r>
        <w:t xml:space="preserve">: </w:t>
      </w:r>
      <w:r w:rsidRPr="00CD5A06">
        <w:t>APO-Nitrofurantoin</w:t>
      </w:r>
      <w:r w:rsidR="00614A44">
        <w:t xml:space="preserve"> and </w:t>
      </w:r>
      <w:proofErr w:type="spellStart"/>
      <w:r w:rsidR="00614A44">
        <w:t>Macrodantin</w:t>
      </w:r>
      <w:proofErr w:type="spellEnd"/>
      <w:r>
        <w:t xml:space="preserve"> brand</w:t>
      </w:r>
      <w:r w:rsidR="00614A44">
        <w:t>s</w:t>
      </w:r>
    </w:p>
    <w:p w14:paraId="2FBD1FFA" w14:textId="38DF5B66" w:rsidR="00087024" w:rsidRPr="00087024" w:rsidRDefault="00087024" w:rsidP="00087024">
      <w:pPr>
        <w:pStyle w:val="ListParagraph"/>
        <w:numPr>
          <w:ilvl w:val="1"/>
          <w:numId w:val="30"/>
        </w:numPr>
        <w:spacing w:before="120" w:after="120"/>
      </w:pPr>
      <w:r w:rsidRPr="002F6E01">
        <w:t>Capsule 50 mg</w:t>
      </w:r>
      <w:r>
        <w:t xml:space="preserve">: </w:t>
      </w:r>
      <w:r w:rsidRPr="00CD5A06">
        <w:t>APO-Nitrofurantoin</w:t>
      </w:r>
      <w:r>
        <w:t xml:space="preserve"> </w:t>
      </w:r>
      <w:r w:rsidR="00614A44">
        <w:t xml:space="preserve">and </w:t>
      </w:r>
      <w:proofErr w:type="spellStart"/>
      <w:r w:rsidR="00614A44">
        <w:t>Macrodantin</w:t>
      </w:r>
      <w:proofErr w:type="spellEnd"/>
      <w:r w:rsidR="00614A44">
        <w:t xml:space="preserve"> </w:t>
      </w:r>
      <w:r>
        <w:t>brand</w:t>
      </w:r>
      <w:r w:rsidR="00614A44">
        <w:t>s</w:t>
      </w:r>
    </w:p>
    <w:p w14:paraId="12026519" w14:textId="66848086" w:rsidR="00087024" w:rsidRPr="00195AC0" w:rsidRDefault="00614A44" w:rsidP="00087024">
      <w:pPr>
        <w:pStyle w:val="ListParagraph"/>
        <w:numPr>
          <w:ilvl w:val="0"/>
          <w:numId w:val="30"/>
        </w:numPr>
        <w:spacing w:before="120" w:after="120"/>
        <w:rPr>
          <w:i/>
        </w:rPr>
      </w:pPr>
      <w:r>
        <w:t xml:space="preserve">Ventolin </w:t>
      </w:r>
      <w:r w:rsidRPr="009D04DD">
        <w:t xml:space="preserve">CFC-Free with dose counter </w:t>
      </w:r>
      <w:r>
        <w:t xml:space="preserve">and </w:t>
      </w:r>
      <w:proofErr w:type="spellStart"/>
      <w:r w:rsidR="00087024" w:rsidRPr="009D04DD">
        <w:t>Zempreon</w:t>
      </w:r>
      <w:proofErr w:type="spellEnd"/>
      <w:r w:rsidR="00087024" w:rsidRPr="009D04DD">
        <w:t xml:space="preserve"> CFC-Free with dose counter </w:t>
      </w:r>
      <w:r w:rsidR="00087024">
        <w:t>brand</w:t>
      </w:r>
      <w:r w:rsidR="006F113A">
        <w:t>s</w:t>
      </w:r>
      <w:r w:rsidR="00087024">
        <w:t xml:space="preserve"> of s</w:t>
      </w:r>
      <w:r w:rsidR="00087024" w:rsidRPr="007652C2">
        <w:t xml:space="preserve">albutamol </w:t>
      </w:r>
      <w:r w:rsidR="00087024">
        <w:t>i</w:t>
      </w:r>
      <w:r w:rsidR="00087024" w:rsidRPr="007652C2">
        <w:t xml:space="preserve">nhalation by </w:t>
      </w:r>
      <w:r w:rsidR="00087024">
        <w:t>m</w:t>
      </w:r>
      <w:r w:rsidR="00087024" w:rsidRPr="007652C2">
        <w:t xml:space="preserve">outh, </w:t>
      </w:r>
      <w:r w:rsidR="00087024">
        <w:t>p</w:t>
      </w:r>
      <w:r w:rsidR="00087024" w:rsidRPr="007652C2">
        <w:t xml:space="preserve">ressurised inhalation 100 micrograms as </w:t>
      </w:r>
      <w:proofErr w:type="spellStart"/>
      <w:r w:rsidR="00087024" w:rsidRPr="007652C2">
        <w:t>sulfate</w:t>
      </w:r>
      <w:proofErr w:type="spellEnd"/>
      <w:r w:rsidR="00087024" w:rsidRPr="007652C2">
        <w:t xml:space="preserve"> per dose with dose counter 200 doses CFC free formulation</w:t>
      </w:r>
      <w:r w:rsidR="00087024">
        <w:t>.</w:t>
      </w:r>
    </w:p>
    <w:p w14:paraId="39BCB3D1" w14:textId="663C1AB1" w:rsidR="008A7404" w:rsidRPr="00195AC0" w:rsidRDefault="00195AC0" w:rsidP="00195AC0">
      <w:pPr>
        <w:spacing w:before="120" w:after="120"/>
        <w:rPr>
          <w:i/>
        </w:rPr>
      </w:pPr>
      <w:r>
        <w:rPr>
          <w:i/>
        </w:rPr>
        <w:br/>
      </w:r>
      <w:r w:rsidR="008A7404" w:rsidRPr="00195AC0">
        <w:rPr>
          <w:i/>
        </w:rPr>
        <w:t>Basis for amendments</w:t>
      </w:r>
    </w:p>
    <w:p w14:paraId="174B2DC9" w14:textId="77777777" w:rsidR="00E56AA0" w:rsidRPr="00BF1CA0" w:rsidRDefault="003F0712" w:rsidP="00FF169C">
      <w:pPr>
        <w:keepNext/>
        <w:keepLines/>
        <w:spacing w:after="120"/>
      </w:pPr>
      <w:r w:rsidRPr="00BF1CA0">
        <w:t xml:space="preserve">Subsection 33(3) of the </w:t>
      </w:r>
      <w:r w:rsidRPr="00BF1CA0">
        <w:rPr>
          <w:i/>
        </w:rPr>
        <w:t>Acts Interpretation Act 1901</w:t>
      </w:r>
      <w:r w:rsidRPr="00BF1CA0">
        <w:t xml:space="preserve"> is relied upon to vary</w:t>
      </w:r>
      <w:r w:rsidR="008A7404" w:rsidRPr="00BF1CA0">
        <w:t xml:space="preserve"> or revoke</w:t>
      </w:r>
      <w:r w:rsidRPr="00BF1CA0">
        <w:t xml:space="preserve"> the determination made under subsection </w:t>
      </w:r>
      <w:proofErr w:type="gramStart"/>
      <w:r w:rsidRPr="00BF1CA0">
        <w:t>99ADB(</w:t>
      </w:r>
      <w:proofErr w:type="gramEnd"/>
      <w:r w:rsidRPr="00BF1CA0">
        <w:t>4) for</w:t>
      </w:r>
      <w:r w:rsidR="008A7404" w:rsidRPr="00BF1CA0">
        <w:t xml:space="preserve"> the medicines affected by this amending instrument</w:t>
      </w:r>
      <w:r w:rsidRPr="00BF1CA0">
        <w:t xml:space="preserve">. </w:t>
      </w:r>
    </w:p>
    <w:p w14:paraId="2DAAB8E4" w14:textId="77777777" w:rsidR="00017E2D" w:rsidRPr="00BF1CA0" w:rsidRDefault="00391FA2" w:rsidP="00E31CC0">
      <w:pPr>
        <w:rPr>
          <w:b/>
          <w:szCs w:val="24"/>
        </w:rPr>
      </w:pPr>
      <w:r w:rsidRPr="00BF1CA0">
        <w:rPr>
          <w:b/>
          <w:szCs w:val="24"/>
        </w:rPr>
        <w:t>Consultation</w:t>
      </w:r>
    </w:p>
    <w:p w14:paraId="2139EEDE" w14:textId="764CF057" w:rsidR="00440D18" w:rsidRPr="00552572" w:rsidRDefault="0042423B" w:rsidP="00D43B0A">
      <w:pPr>
        <w:spacing w:before="120" w:after="120"/>
        <w:rPr>
          <w:color w:val="FF0000"/>
          <w:szCs w:val="24"/>
        </w:rPr>
      </w:pPr>
      <w:r w:rsidRPr="00BF1CA0">
        <w:rPr>
          <w:szCs w:val="24"/>
        </w:rPr>
        <w:t xml:space="preserve">This instrument affects companies that are responsible persons for all brands of all pharmaceutical items containing </w:t>
      </w:r>
      <w:proofErr w:type="spellStart"/>
      <w:r w:rsidR="002A02F4" w:rsidRPr="002A02F4">
        <w:rPr>
          <w:szCs w:val="24"/>
        </w:rPr>
        <w:t>zoledronic</w:t>
      </w:r>
      <w:proofErr w:type="spellEnd"/>
      <w:r w:rsidR="002A02F4" w:rsidRPr="002A02F4">
        <w:rPr>
          <w:szCs w:val="24"/>
        </w:rPr>
        <w:t xml:space="preserve"> acid, </w:t>
      </w:r>
      <w:proofErr w:type="spellStart"/>
      <w:r w:rsidR="002A02F4" w:rsidRPr="002A02F4">
        <w:rPr>
          <w:szCs w:val="24"/>
        </w:rPr>
        <w:t>epirubicin</w:t>
      </w:r>
      <w:proofErr w:type="spellEnd"/>
      <w:r w:rsidR="002A02F4" w:rsidRPr="002A02F4">
        <w:rPr>
          <w:szCs w:val="24"/>
        </w:rPr>
        <w:t xml:space="preserve"> and </w:t>
      </w:r>
      <w:r w:rsidR="00824B99" w:rsidRPr="002A02F4">
        <w:rPr>
          <w:szCs w:val="24"/>
        </w:rPr>
        <w:t>etop</w:t>
      </w:r>
      <w:r w:rsidR="00824B99">
        <w:rPr>
          <w:szCs w:val="24"/>
        </w:rPr>
        <w:t>o</w:t>
      </w:r>
      <w:r w:rsidR="00824B99" w:rsidRPr="002A02F4">
        <w:rPr>
          <w:szCs w:val="24"/>
        </w:rPr>
        <w:t>side</w:t>
      </w:r>
      <w:r w:rsidR="002A02F4">
        <w:rPr>
          <w:szCs w:val="24"/>
        </w:rPr>
        <w:t>.</w:t>
      </w:r>
      <w:r w:rsidR="002A02F4" w:rsidRPr="00BF1CA0">
        <w:rPr>
          <w:szCs w:val="24"/>
        </w:rPr>
        <w:t xml:space="preserve"> </w:t>
      </w:r>
    </w:p>
    <w:p w14:paraId="7B4E5004" w14:textId="021E6623" w:rsidR="009424B9" w:rsidRPr="00BF1CA0" w:rsidRDefault="00440D18" w:rsidP="0042423B">
      <w:pPr>
        <w:spacing w:after="120"/>
        <w:rPr>
          <w:szCs w:val="24"/>
        </w:rPr>
      </w:pPr>
      <w:r w:rsidRPr="00BF1CA0">
        <w:rPr>
          <w:szCs w:val="24"/>
        </w:rPr>
        <w:t xml:space="preserve">All of the affected </w:t>
      </w:r>
      <w:r w:rsidR="009424B9">
        <w:rPr>
          <w:szCs w:val="24"/>
        </w:rPr>
        <w:t>responsible persons</w:t>
      </w:r>
      <w:r w:rsidR="009424B9" w:rsidRPr="00BF1CA0">
        <w:rPr>
          <w:szCs w:val="24"/>
        </w:rPr>
        <w:t xml:space="preserve"> </w:t>
      </w:r>
      <w:r w:rsidRPr="00BF1CA0">
        <w:rPr>
          <w:szCs w:val="24"/>
        </w:rPr>
        <w:t xml:space="preserve">were consulted about the amendments. </w:t>
      </w:r>
      <w:r w:rsidR="009424B9">
        <w:rPr>
          <w:szCs w:val="24"/>
          <w:lang w:val="en-US"/>
        </w:rPr>
        <w:t>While some responsible p</w:t>
      </w:r>
      <w:r w:rsidR="009424B9" w:rsidRPr="009424B9">
        <w:rPr>
          <w:szCs w:val="24"/>
          <w:lang w:val="en-US"/>
        </w:rPr>
        <w:t xml:space="preserve">ersons requested clarification of </w:t>
      </w:r>
      <w:r w:rsidR="009424B9">
        <w:rPr>
          <w:szCs w:val="24"/>
          <w:lang w:val="en-US"/>
        </w:rPr>
        <w:t>the impact of this instrument</w:t>
      </w:r>
      <w:r w:rsidR="009424B9" w:rsidRPr="009424B9">
        <w:rPr>
          <w:szCs w:val="24"/>
          <w:lang w:val="en-US"/>
        </w:rPr>
        <w:t xml:space="preserve">, </w:t>
      </w:r>
      <w:r w:rsidR="009424B9">
        <w:rPr>
          <w:szCs w:val="24"/>
          <w:lang w:val="en-US"/>
        </w:rPr>
        <w:t>all concerns raised have been addressed.</w:t>
      </w:r>
      <w:r w:rsidR="00853747">
        <w:rPr>
          <w:szCs w:val="24"/>
          <w:lang w:val="en-US"/>
        </w:rPr>
        <w:t xml:space="preserve"> </w:t>
      </w:r>
      <w:r w:rsidR="009424B9">
        <w:rPr>
          <w:szCs w:val="24"/>
        </w:rPr>
        <w:t>No additional consultation with experts was undertaken, as consultation with affected responsible persons drew on the knowledge of persons with relevant expertise.</w:t>
      </w:r>
    </w:p>
    <w:p w14:paraId="7AB53698" w14:textId="10CF65F1" w:rsidR="00185C7F" w:rsidRDefault="002A3381" w:rsidP="00FF169C">
      <w:pPr>
        <w:spacing w:after="120"/>
        <w:rPr>
          <w:i/>
        </w:rPr>
      </w:pPr>
      <w:r w:rsidRPr="00BF1CA0">
        <w:rPr>
          <w:szCs w:val="24"/>
        </w:rPr>
        <w:t>This instrument commences on the day after it is registered on th</w:t>
      </w:r>
      <w:r w:rsidR="00C43E16" w:rsidRPr="00BF1CA0">
        <w:rPr>
          <w:szCs w:val="24"/>
        </w:rPr>
        <w:t>e Federal Register of Legislation</w:t>
      </w:r>
      <w:r w:rsidR="003F11C4" w:rsidRPr="00BF1CA0">
        <w:rPr>
          <w:szCs w:val="24"/>
        </w:rPr>
        <w:t xml:space="preserve">. </w:t>
      </w:r>
      <w:r w:rsidRPr="00BF1CA0">
        <w:t xml:space="preserve">This instrument is a legislative instrument for the purposes of the </w:t>
      </w:r>
      <w:r w:rsidR="00C43E16" w:rsidRPr="00BF1CA0">
        <w:rPr>
          <w:i/>
        </w:rPr>
        <w:t>Legislation</w:t>
      </w:r>
      <w:r w:rsidR="00E31CC0" w:rsidRPr="00BF1CA0">
        <w:rPr>
          <w:i/>
        </w:rPr>
        <w:t> </w:t>
      </w:r>
      <w:r w:rsidRPr="00BF1CA0">
        <w:rPr>
          <w:i/>
        </w:rPr>
        <w:t>Act</w:t>
      </w:r>
      <w:r w:rsidR="00E31CC0" w:rsidRPr="00BF1CA0">
        <w:rPr>
          <w:i/>
        </w:rPr>
        <w:t> </w:t>
      </w:r>
      <w:r w:rsidRPr="00BF1CA0">
        <w:rPr>
          <w:i/>
        </w:rPr>
        <w:t>2003.</w:t>
      </w:r>
    </w:p>
    <w:p w14:paraId="14FC53AB" w14:textId="77777777" w:rsidR="00185C7F" w:rsidRDefault="00185C7F" w:rsidP="00FF169C">
      <w:pPr>
        <w:spacing w:after="120"/>
        <w:rPr>
          <w:i/>
        </w:rPr>
      </w:pPr>
      <w:r>
        <w:rPr>
          <w:i/>
        </w:rPr>
        <w:br w:type="page"/>
      </w:r>
    </w:p>
    <w:p w14:paraId="2F2270B5" w14:textId="77777777" w:rsidR="009B7B48" w:rsidRPr="000D3A43" w:rsidRDefault="00185C7F" w:rsidP="00FF169C">
      <w:pPr>
        <w:spacing w:after="120"/>
        <w:rPr>
          <w:i/>
        </w:rPr>
      </w:pPr>
      <w:r>
        <w:rPr>
          <w:noProof/>
          <w:szCs w:val="24"/>
        </w:rPr>
        <w:lastRenderedPageBreak/>
        <mc:AlternateContent>
          <mc:Choice Requires="wps">
            <w:drawing>
              <wp:anchor distT="0" distB="0" distL="114300" distR="114300" simplePos="0" relativeHeight="251659776" behindDoc="0" locked="0" layoutInCell="1" allowOverlap="1" wp14:anchorId="574AA253" wp14:editId="65422A6F">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14:paraId="5648CDCA" w14:textId="77777777" w:rsidR="006B4542" w:rsidRPr="00953EC8" w:rsidRDefault="006B4542" w:rsidP="00CC1263">
                            <w:pPr>
                              <w:spacing w:before="60" w:after="60"/>
                              <w:jc w:val="center"/>
                              <w:rPr>
                                <w:b/>
                                <w:szCs w:val="24"/>
                              </w:rPr>
                            </w:pPr>
                            <w:r w:rsidRPr="00953EC8">
                              <w:rPr>
                                <w:b/>
                                <w:szCs w:val="24"/>
                              </w:rPr>
                              <w:t>Statement of Compatibility with Human Rights</w:t>
                            </w:r>
                          </w:p>
                          <w:p w14:paraId="420B924D" w14:textId="77777777"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14:paraId="50F87E98" w14:textId="5D3326E6" w:rsidR="006B4542" w:rsidRPr="00953EC8" w:rsidRDefault="006B4542" w:rsidP="00CC1263">
                            <w:pPr>
                              <w:spacing w:before="60" w:after="60"/>
                              <w:jc w:val="center"/>
                              <w:rPr>
                                <w:b/>
                                <w:i/>
                                <w:szCs w:val="24"/>
                              </w:rPr>
                            </w:pPr>
                            <w:r w:rsidRPr="00953EC8">
                              <w:rPr>
                                <w:b/>
                                <w:i/>
                                <w:szCs w:val="24"/>
                              </w:rPr>
                              <w:t>National Health (Wei</w:t>
                            </w:r>
                            <w:r>
                              <w:rPr>
                                <w:b/>
                                <w:i/>
                                <w:szCs w:val="24"/>
                              </w:rPr>
                              <w:t xml:space="preserve">ghted average disclosed price – </w:t>
                            </w:r>
                            <w:r w:rsidR="00552572">
                              <w:rPr>
                                <w:b/>
                                <w:i/>
                                <w:szCs w:val="24"/>
                              </w:rPr>
                              <w:t>October</w:t>
                            </w:r>
                            <w:r w:rsidR="0011547D">
                              <w:rPr>
                                <w:b/>
                                <w:i/>
                                <w:szCs w:val="24"/>
                              </w:rPr>
                              <w:t xml:space="preserve"> 2020</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0011547D">
                              <w:rPr>
                                <w:b/>
                                <w:i/>
                                <w:szCs w:val="24"/>
                              </w:rPr>
                              <w:t>2020</w:t>
                            </w:r>
                          </w:p>
                          <w:p w14:paraId="681D7943" w14:textId="77777777"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4DC1FCB2" w14:textId="77777777" w:rsidR="006B4542" w:rsidRPr="00953EC8" w:rsidRDefault="006B4542" w:rsidP="00CC1263">
                            <w:pPr>
                              <w:spacing w:before="60" w:after="60"/>
                              <w:jc w:val="both"/>
                              <w:rPr>
                                <w:b/>
                                <w:szCs w:val="24"/>
                              </w:rPr>
                            </w:pPr>
                            <w:r w:rsidRPr="00953EC8">
                              <w:rPr>
                                <w:b/>
                                <w:szCs w:val="24"/>
                              </w:rPr>
                              <w:t>Overview of the Legislative Instrument</w:t>
                            </w:r>
                          </w:p>
                          <w:p w14:paraId="26080E16" w14:textId="4623DDDA" w:rsidR="006B4542" w:rsidRDefault="006B4542" w:rsidP="00CC1263">
                            <w:pPr>
                              <w:spacing w:before="60" w:after="120"/>
                              <w:rPr>
                                <w:szCs w:val="24"/>
                              </w:rPr>
                            </w:pPr>
                            <w:r w:rsidRPr="00953EC8">
                              <w:rPr>
                                <w:szCs w:val="24"/>
                              </w:rPr>
                              <w:t>This</w:t>
                            </w:r>
                            <w:r>
                              <w:rPr>
                                <w:szCs w:val="24"/>
                              </w:rPr>
                              <w:t xml:space="preserve"> instrument amends the </w:t>
                            </w:r>
                            <w:r w:rsidR="002A02F4" w:rsidRPr="002A02F4">
                              <w:rPr>
                                <w:i/>
                                <w:szCs w:val="24"/>
                              </w:rPr>
                              <w:t>National Health (Weighted average disclosed price – October</w:t>
                            </w:r>
                            <w:r w:rsidR="00087024">
                              <w:rPr>
                                <w:i/>
                                <w:szCs w:val="24"/>
                              </w:rPr>
                              <w:t> </w:t>
                            </w:r>
                            <w:r w:rsidR="002A02F4" w:rsidRPr="002A02F4">
                              <w:rPr>
                                <w:i/>
                                <w:szCs w:val="24"/>
                              </w:rPr>
                              <w:t xml:space="preserve">2020 reduction day) Determination 2020 </w:t>
                            </w:r>
                            <w:r w:rsidRPr="002A4FEE">
                              <w:rPr>
                                <w:szCs w:val="24"/>
                              </w:rPr>
                              <w:t>(the Principal Instrum</w:t>
                            </w:r>
                            <w:r w:rsidR="00C27CBD">
                              <w:rPr>
                                <w:szCs w:val="24"/>
                              </w:rPr>
                              <w:t xml:space="preserve">ent) to: </w:t>
                            </w:r>
                            <w:r w:rsidR="003F6987">
                              <w:rPr>
                                <w:szCs w:val="24"/>
                              </w:rPr>
                              <w:t xml:space="preserve">a) amend prices of brands of pharmaceutical items which continue to have a price reduction on reduction day, </w:t>
                            </w:r>
                            <w:r w:rsidR="003F6987" w:rsidRPr="00BF1CA0">
                              <w:rPr>
                                <w:szCs w:val="24"/>
                              </w:rPr>
                              <w:t>b</w:t>
                            </w:r>
                            <w:r w:rsidR="004644B7" w:rsidRPr="003F6987">
                              <w:rPr>
                                <w:szCs w:val="24"/>
                              </w:rPr>
                              <w:t xml:space="preserve">) remove brands of pharmaceutical items which will no longer have a price reduction on reduction day, </w:t>
                            </w:r>
                            <w:r w:rsidR="00E31CC0" w:rsidRPr="003F6987">
                              <w:rPr>
                                <w:szCs w:val="24"/>
                              </w:rPr>
                              <w:t xml:space="preserve">and </w:t>
                            </w:r>
                            <w:r w:rsidR="003F6987">
                              <w:rPr>
                                <w:szCs w:val="24"/>
                              </w:rPr>
                              <w:t>c</w:t>
                            </w:r>
                            <w:r w:rsidR="00C27CBD" w:rsidRPr="003F6987">
                              <w:rPr>
                                <w:szCs w:val="24"/>
                              </w:rPr>
                              <w:t>)</w:t>
                            </w:r>
                            <w:r w:rsidR="006E787F" w:rsidRPr="003F6987">
                              <w:rPr>
                                <w:szCs w:val="24"/>
                              </w:rPr>
                              <w:t xml:space="preserve"> insert prices for new brand</w:t>
                            </w:r>
                            <w:r w:rsidR="003F6987">
                              <w:rPr>
                                <w:szCs w:val="24"/>
                              </w:rPr>
                              <w:t>s</w:t>
                            </w:r>
                            <w:r w:rsidR="006E787F" w:rsidRPr="003F6987">
                              <w:rPr>
                                <w:szCs w:val="24"/>
                              </w:rPr>
                              <w:t xml:space="preserve"> of new pharmaceutical item</w:t>
                            </w:r>
                            <w:r w:rsidR="003F6987">
                              <w:rPr>
                                <w:szCs w:val="24"/>
                              </w:rPr>
                              <w:t>s</w:t>
                            </w:r>
                            <w:r w:rsidR="006E787F" w:rsidRPr="003F6987">
                              <w:rPr>
                                <w:szCs w:val="24"/>
                              </w:rPr>
                              <w:t>.</w:t>
                            </w:r>
                          </w:p>
                          <w:p w14:paraId="1E11182B" w14:textId="77777777"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10D8E99D" w14:textId="77777777"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14:paraId="6C86E427" w14:textId="366E5616"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2A02F4">
                              <w:rPr>
                                <w:szCs w:val="24"/>
                              </w:rPr>
                              <w:t xml:space="preserve">October </w:t>
                            </w:r>
                            <w:r w:rsidR="0011547D">
                              <w:rPr>
                                <w:szCs w:val="24"/>
                              </w:rPr>
                              <w:t xml:space="preserve">2020 </w:t>
                            </w:r>
                            <w:r w:rsidRPr="00154759">
                              <w:rPr>
                                <w:szCs w:val="24"/>
                              </w:rPr>
                              <w:t>under the statutory provisions for price disclosure</w:t>
                            </w:r>
                            <w:r>
                              <w:rPr>
                                <w:szCs w:val="24"/>
                              </w:rPr>
                              <w:t>.</w:t>
                            </w:r>
                          </w:p>
                          <w:p w14:paraId="0DEBAE3F" w14:textId="77777777" w:rsidR="006B4542" w:rsidRPr="00953EC8" w:rsidRDefault="006B4542" w:rsidP="00CC1263">
                            <w:pPr>
                              <w:spacing w:before="60" w:after="60"/>
                              <w:rPr>
                                <w:b/>
                                <w:szCs w:val="24"/>
                              </w:rPr>
                            </w:pPr>
                            <w:r w:rsidRPr="00953EC8">
                              <w:rPr>
                                <w:b/>
                                <w:szCs w:val="24"/>
                              </w:rPr>
                              <w:t>Human rights implications</w:t>
                            </w:r>
                          </w:p>
                          <w:p w14:paraId="258866F4" w14:textId="77777777"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7CE25DBA" w14:textId="77777777"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14:paraId="1332A687" w14:textId="77777777"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192B498F" w14:textId="77777777" w:rsidR="006B4542" w:rsidRPr="00953EC8" w:rsidRDefault="006B4542" w:rsidP="00CC1263">
                            <w:pPr>
                              <w:spacing w:before="60" w:after="60"/>
                              <w:rPr>
                                <w:b/>
                                <w:szCs w:val="24"/>
                              </w:rPr>
                            </w:pPr>
                            <w:r w:rsidRPr="00953EC8">
                              <w:rPr>
                                <w:b/>
                                <w:szCs w:val="24"/>
                              </w:rPr>
                              <w:t>Conclusion</w:t>
                            </w:r>
                          </w:p>
                          <w:p w14:paraId="2CB1B57D" w14:textId="77777777"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14:paraId="7590A192" w14:textId="77777777" w:rsidR="00B0263E" w:rsidRDefault="00B0263E" w:rsidP="00712852">
                            <w:pPr>
                              <w:widowControl w:val="0"/>
                              <w:tabs>
                                <w:tab w:val="left" w:pos="3119"/>
                              </w:tabs>
                              <w:spacing w:line="300" w:lineRule="atLeast"/>
                              <w:jc w:val="center"/>
                              <w:rPr>
                                <w:b/>
                                <w:szCs w:val="24"/>
                              </w:rPr>
                            </w:pPr>
                            <w:r>
                              <w:rPr>
                                <w:b/>
                                <w:szCs w:val="24"/>
                              </w:rPr>
                              <w:t>Thea Connolly</w:t>
                            </w:r>
                            <w:r w:rsidR="006B4542" w:rsidRPr="00953EC8">
                              <w:rPr>
                                <w:b/>
                                <w:szCs w:val="24"/>
                              </w:rPr>
                              <w:br/>
                              <w:t>Assistant Secretary</w:t>
                            </w:r>
                          </w:p>
                          <w:p w14:paraId="388C3B47" w14:textId="3E030C79" w:rsidR="006B4542" w:rsidRPr="00953EC8" w:rsidRDefault="00B0263E" w:rsidP="00712852">
                            <w:pPr>
                              <w:widowControl w:val="0"/>
                              <w:tabs>
                                <w:tab w:val="left" w:pos="3119"/>
                              </w:tabs>
                              <w:spacing w:line="300" w:lineRule="atLeast"/>
                              <w:jc w:val="center"/>
                              <w:rPr>
                                <w:b/>
                                <w:szCs w:val="24"/>
                              </w:rPr>
                            </w:pPr>
                            <w:r>
                              <w:rPr>
                                <w:b/>
                                <w:szCs w:val="24"/>
                              </w:rPr>
                              <w:t>Pricing and PBS Policy Branch</w:t>
                            </w:r>
                            <w:r w:rsidR="006B4542" w:rsidRPr="00953EC8">
                              <w:rPr>
                                <w:b/>
                                <w:szCs w:val="24"/>
                              </w:rPr>
                              <w:br/>
                            </w:r>
                            <w:r w:rsidR="006B4542">
                              <w:rPr>
                                <w:b/>
                                <w:szCs w:val="24"/>
                              </w:rPr>
                              <w:t>Technology Assessment and Access</w:t>
                            </w:r>
                            <w:r w:rsidR="006B4542" w:rsidRPr="00953EC8">
                              <w:rPr>
                                <w:b/>
                                <w:szCs w:val="24"/>
                              </w:rPr>
                              <w:t xml:space="preserve"> D</w:t>
                            </w:r>
                            <w:bookmarkStart w:id="0" w:name="_GoBack"/>
                            <w:bookmarkEnd w:id="0"/>
                            <w:r w:rsidR="006B4542" w:rsidRPr="00953EC8">
                              <w:rPr>
                                <w:b/>
                                <w:szCs w:val="24"/>
                              </w:rPr>
                              <w:t>ivision</w:t>
                            </w:r>
                            <w:r w:rsidR="006B4542"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A253"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14:paraId="5648CDCA" w14:textId="77777777" w:rsidR="006B4542" w:rsidRPr="00953EC8" w:rsidRDefault="006B4542" w:rsidP="00CC1263">
                      <w:pPr>
                        <w:spacing w:before="60" w:after="60"/>
                        <w:jc w:val="center"/>
                        <w:rPr>
                          <w:b/>
                          <w:szCs w:val="24"/>
                        </w:rPr>
                      </w:pPr>
                      <w:r w:rsidRPr="00953EC8">
                        <w:rPr>
                          <w:b/>
                          <w:szCs w:val="24"/>
                        </w:rPr>
                        <w:t>Statement of Compatibility with Human Rights</w:t>
                      </w:r>
                    </w:p>
                    <w:p w14:paraId="420B924D" w14:textId="77777777"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14:paraId="50F87E98" w14:textId="5D3326E6" w:rsidR="006B4542" w:rsidRPr="00953EC8" w:rsidRDefault="006B4542" w:rsidP="00CC1263">
                      <w:pPr>
                        <w:spacing w:before="60" w:after="60"/>
                        <w:jc w:val="center"/>
                        <w:rPr>
                          <w:b/>
                          <w:i/>
                          <w:szCs w:val="24"/>
                        </w:rPr>
                      </w:pPr>
                      <w:r w:rsidRPr="00953EC8">
                        <w:rPr>
                          <w:b/>
                          <w:i/>
                          <w:szCs w:val="24"/>
                        </w:rPr>
                        <w:t>National Health (Wei</w:t>
                      </w:r>
                      <w:r>
                        <w:rPr>
                          <w:b/>
                          <w:i/>
                          <w:szCs w:val="24"/>
                        </w:rPr>
                        <w:t xml:space="preserve">ghted average disclosed price – </w:t>
                      </w:r>
                      <w:r w:rsidR="00552572">
                        <w:rPr>
                          <w:b/>
                          <w:i/>
                          <w:szCs w:val="24"/>
                        </w:rPr>
                        <w:t>October</w:t>
                      </w:r>
                      <w:r w:rsidR="0011547D">
                        <w:rPr>
                          <w:b/>
                          <w:i/>
                          <w:szCs w:val="24"/>
                        </w:rPr>
                        <w:t xml:space="preserve"> 2020</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0011547D">
                        <w:rPr>
                          <w:b/>
                          <w:i/>
                          <w:szCs w:val="24"/>
                        </w:rPr>
                        <w:t>2020</w:t>
                      </w:r>
                    </w:p>
                    <w:p w14:paraId="681D7943" w14:textId="77777777"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4DC1FCB2" w14:textId="77777777" w:rsidR="006B4542" w:rsidRPr="00953EC8" w:rsidRDefault="006B4542" w:rsidP="00CC1263">
                      <w:pPr>
                        <w:spacing w:before="60" w:after="60"/>
                        <w:jc w:val="both"/>
                        <w:rPr>
                          <w:b/>
                          <w:szCs w:val="24"/>
                        </w:rPr>
                      </w:pPr>
                      <w:r w:rsidRPr="00953EC8">
                        <w:rPr>
                          <w:b/>
                          <w:szCs w:val="24"/>
                        </w:rPr>
                        <w:t>Overview of the Legislative Instrument</w:t>
                      </w:r>
                    </w:p>
                    <w:p w14:paraId="26080E16" w14:textId="4623DDDA" w:rsidR="006B4542" w:rsidRDefault="006B4542" w:rsidP="00CC1263">
                      <w:pPr>
                        <w:spacing w:before="60" w:after="120"/>
                        <w:rPr>
                          <w:szCs w:val="24"/>
                        </w:rPr>
                      </w:pPr>
                      <w:r w:rsidRPr="00953EC8">
                        <w:rPr>
                          <w:szCs w:val="24"/>
                        </w:rPr>
                        <w:t>This</w:t>
                      </w:r>
                      <w:r>
                        <w:rPr>
                          <w:szCs w:val="24"/>
                        </w:rPr>
                        <w:t xml:space="preserve"> instrument amends the </w:t>
                      </w:r>
                      <w:r w:rsidR="002A02F4" w:rsidRPr="002A02F4">
                        <w:rPr>
                          <w:i/>
                          <w:szCs w:val="24"/>
                        </w:rPr>
                        <w:t>National Health (Weighted average disclosed price – October</w:t>
                      </w:r>
                      <w:r w:rsidR="00087024">
                        <w:rPr>
                          <w:i/>
                          <w:szCs w:val="24"/>
                        </w:rPr>
                        <w:t> </w:t>
                      </w:r>
                      <w:r w:rsidR="002A02F4" w:rsidRPr="002A02F4">
                        <w:rPr>
                          <w:i/>
                          <w:szCs w:val="24"/>
                        </w:rPr>
                        <w:t xml:space="preserve">2020 reduction day) Determination 2020 </w:t>
                      </w:r>
                      <w:r w:rsidRPr="002A4FEE">
                        <w:rPr>
                          <w:szCs w:val="24"/>
                        </w:rPr>
                        <w:t>(the Principal Instrum</w:t>
                      </w:r>
                      <w:r w:rsidR="00C27CBD">
                        <w:rPr>
                          <w:szCs w:val="24"/>
                        </w:rPr>
                        <w:t xml:space="preserve">ent) to: </w:t>
                      </w:r>
                      <w:r w:rsidR="003F6987">
                        <w:rPr>
                          <w:szCs w:val="24"/>
                        </w:rPr>
                        <w:t xml:space="preserve">a) amend prices of brands of pharmaceutical items which continue to have a price reduction on reduction day, </w:t>
                      </w:r>
                      <w:r w:rsidR="003F6987" w:rsidRPr="00BF1CA0">
                        <w:rPr>
                          <w:szCs w:val="24"/>
                        </w:rPr>
                        <w:t>b</w:t>
                      </w:r>
                      <w:r w:rsidR="004644B7" w:rsidRPr="003F6987">
                        <w:rPr>
                          <w:szCs w:val="24"/>
                        </w:rPr>
                        <w:t xml:space="preserve">) remove brands of pharmaceutical items which will no longer have a price reduction on reduction day, </w:t>
                      </w:r>
                      <w:r w:rsidR="00E31CC0" w:rsidRPr="003F6987">
                        <w:rPr>
                          <w:szCs w:val="24"/>
                        </w:rPr>
                        <w:t xml:space="preserve">and </w:t>
                      </w:r>
                      <w:r w:rsidR="003F6987">
                        <w:rPr>
                          <w:szCs w:val="24"/>
                        </w:rPr>
                        <w:t>c</w:t>
                      </w:r>
                      <w:r w:rsidR="00C27CBD" w:rsidRPr="003F6987">
                        <w:rPr>
                          <w:szCs w:val="24"/>
                        </w:rPr>
                        <w:t>)</w:t>
                      </w:r>
                      <w:r w:rsidR="006E787F" w:rsidRPr="003F6987">
                        <w:rPr>
                          <w:szCs w:val="24"/>
                        </w:rPr>
                        <w:t xml:space="preserve"> insert prices for new brand</w:t>
                      </w:r>
                      <w:r w:rsidR="003F6987">
                        <w:rPr>
                          <w:szCs w:val="24"/>
                        </w:rPr>
                        <w:t>s</w:t>
                      </w:r>
                      <w:r w:rsidR="006E787F" w:rsidRPr="003F6987">
                        <w:rPr>
                          <w:szCs w:val="24"/>
                        </w:rPr>
                        <w:t xml:space="preserve"> of new pharmaceutical item</w:t>
                      </w:r>
                      <w:r w:rsidR="003F6987">
                        <w:rPr>
                          <w:szCs w:val="24"/>
                        </w:rPr>
                        <w:t>s</w:t>
                      </w:r>
                      <w:r w:rsidR="006E787F" w:rsidRPr="003F6987">
                        <w:rPr>
                          <w:szCs w:val="24"/>
                        </w:rPr>
                        <w:t>.</w:t>
                      </w:r>
                    </w:p>
                    <w:p w14:paraId="1E11182B" w14:textId="77777777"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14:paraId="10D8E99D" w14:textId="77777777"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revenue, incentives and volume data collected from </w:t>
                      </w:r>
                      <w:r>
                        <w:rPr>
                          <w:szCs w:val="24"/>
                        </w:rPr>
                        <w:t>Responsible Person</w:t>
                      </w:r>
                      <w:r w:rsidRPr="00953EC8">
                        <w:rPr>
                          <w:szCs w:val="24"/>
                        </w:rPr>
                        <w:t>s (drug companies) and occurs in accordance with the Act and the Regulations.</w:t>
                      </w:r>
                    </w:p>
                    <w:p w14:paraId="6C86E427" w14:textId="366E5616"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w:t>
                      </w:r>
                      <w:r w:rsidR="002A02F4">
                        <w:rPr>
                          <w:szCs w:val="24"/>
                        </w:rPr>
                        <w:t xml:space="preserve">October </w:t>
                      </w:r>
                      <w:r w:rsidR="0011547D">
                        <w:rPr>
                          <w:szCs w:val="24"/>
                        </w:rPr>
                        <w:t xml:space="preserve">2020 </w:t>
                      </w:r>
                      <w:r w:rsidRPr="00154759">
                        <w:rPr>
                          <w:szCs w:val="24"/>
                        </w:rPr>
                        <w:t>under the statutory provisions for price disclosure</w:t>
                      </w:r>
                      <w:r>
                        <w:rPr>
                          <w:szCs w:val="24"/>
                        </w:rPr>
                        <w:t>.</w:t>
                      </w:r>
                    </w:p>
                    <w:p w14:paraId="0DEBAE3F" w14:textId="77777777" w:rsidR="006B4542" w:rsidRPr="00953EC8" w:rsidRDefault="006B4542" w:rsidP="00CC1263">
                      <w:pPr>
                        <w:spacing w:before="60" w:after="60"/>
                        <w:rPr>
                          <w:b/>
                          <w:szCs w:val="24"/>
                        </w:rPr>
                      </w:pPr>
                      <w:r w:rsidRPr="00953EC8">
                        <w:rPr>
                          <w:b/>
                          <w:szCs w:val="24"/>
                        </w:rPr>
                        <w:t>Human rights implications</w:t>
                      </w:r>
                    </w:p>
                    <w:p w14:paraId="258866F4" w14:textId="77777777"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7CE25DBA" w14:textId="77777777"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14:paraId="1332A687" w14:textId="77777777"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14:paraId="192B498F" w14:textId="77777777" w:rsidR="006B4542" w:rsidRPr="00953EC8" w:rsidRDefault="006B4542" w:rsidP="00CC1263">
                      <w:pPr>
                        <w:spacing w:before="60" w:after="60"/>
                        <w:rPr>
                          <w:b/>
                          <w:szCs w:val="24"/>
                        </w:rPr>
                      </w:pPr>
                      <w:r w:rsidRPr="00953EC8">
                        <w:rPr>
                          <w:b/>
                          <w:szCs w:val="24"/>
                        </w:rPr>
                        <w:t>Conclusion</w:t>
                      </w:r>
                    </w:p>
                    <w:p w14:paraId="2CB1B57D" w14:textId="77777777"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14:paraId="7590A192" w14:textId="77777777" w:rsidR="00B0263E" w:rsidRDefault="00B0263E" w:rsidP="00712852">
                      <w:pPr>
                        <w:widowControl w:val="0"/>
                        <w:tabs>
                          <w:tab w:val="left" w:pos="3119"/>
                        </w:tabs>
                        <w:spacing w:line="300" w:lineRule="atLeast"/>
                        <w:jc w:val="center"/>
                        <w:rPr>
                          <w:b/>
                          <w:szCs w:val="24"/>
                        </w:rPr>
                      </w:pPr>
                      <w:r>
                        <w:rPr>
                          <w:b/>
                          <w:szCs w:val="24"/>
                        </w:rPr>
                        <w:t>Thea Connolly</w:t>
                      </w:r>
                      <w:r w:rsidR="006B4542" w:rsidRPr="00953EC8">
                        <w:rPr>
                          <w:b/>
                          <w:szCs w:val="24"/>
                        </w:rPr>
                        <w:br/>
                        <w:t>Assistant Secretary</w:t>
                      </w:r>
                    </w:p>
                    <w:p w14:paraId="388C3B47" w14:textId="3E030C79" w:rsidR="006B4542" w:rsidRPr="00953EC8" w:rsidRDefault="00B0263E" w:rsidP="00712852">
                      <w:pPr>
                        <w:widowControl w:val="0"/>
                        <w:tabs>
                          <w:tab w:val="left" w:pos="3119"/>
                        </w:tabs>
                        <w:spacing w:line="300" w:lineRule="atLeast"/>
                        <w:jc w:val="center"/>
                        <w:rPr>
                          <w:b/>
                          <w:szCs w:val="24"/>
                        </w:rPr>
                      </w:pPr>
                      <w:r>
                        <w:rPr>
                          <w:b/>
                          <w:szCs w:val="24"/>
                        </w:rPr>
                        <w:t>Pricing and PBS Policy Branch</w:t>
                      </w:r>
                      <w:r w:rsidR="006B4542" w:rsidRPr="00953EC8">
                        <w:rPr>
                          <w:b/>
                          <w:szCs w:val="24"/>
                        </w:rPr>
                        <w:br/>
                      </w:r>
                      <w:r w:rsidR="006B4542">
                        <w:rPr>
                          <w:b/>
                          <w:szCs w:val="24"/>
                        </w:rPr>
                        <w:t>Technology Assessment and Access</w:t>
                      </w:r>
                      <w:r w:rsidR="006B4542" w:rsidRPr="00953EC8">
                        <w:rPr>
                          <w:b/>
                          <w:szCs w:val="24"/>
                        </w:rPr>
                        <w:t xml:space="preserve"> D</w:t>
                      </w:r>
                      <w:bookmarkStart w:id="1" w:name="_GoBack"/>
                      <w:bookmarkEnd w:id="1"/>
                      <w:r w:rsidR="006B4542" w:rsidRPr="00953EC8">
                        <w:rPr>
                          <w:b/>
                          <w:szCs w:val="24"/>
                        </w:rPr>
                        <w:t>ivision</w:t>
                      </w:r>
                      <w:r w:rsidR="006B4542" w:rsidRPr="00953EC8">
                        <w:rPr>
                          <w:b/>
                          <w:szCs w:val="24"/>
                        </w:rPr>
                        <w:br/>
                        <w:t>Department of Health</w:t>
                      </w:r>
                    </w:p>
                  </w:txbxContent>
                </v:textbox>
              </v:rect>
            </w:pict>
          </mc:Fallback>
        </mc:AlternateContent>
      </w:r>
    </w:p>
    <w:sectPr w:rsidR="009B7B48" w:rsidRPr="000D3A43" w:rsidSect="001C2567">
      <w:headerReference w:type="default" r:id="rId8"/>
      <w:footerReference w:type="even" r:id="rId9"/>
      <w:footerReference w:type="default" r:id="rId10"/>
      <w:footerReference w:type="first" r:id="rId11"/>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F6E9" w14:textId="77777777" w:rsidR="006B4542" w:rsidRDefault="006B4542">
      <w:r>
        <w:separator/>
      </w:r>
    </w:p>
  </w:endnote>
  <w:endnote w:type="continuationSeparator" w:id="0">
    <w:p w14:paraId="3572F5A7" w14:textId="77777777" w:rsidR="006B4542" w:rsidRDefault="006B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FF17" w14:textId="77777777"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23C589" w14:textId="77777777" w:rsidR="006B4542" w:rsidRDefault="006B4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49EC" w14:textId="77777777" w:rsidR="006B4542" w:rsidRDefault="006B4542" w:rsidP="00B724AB">
    <w:pPr>
      <w:pStyle w:val="Footer"/>
      <w:framePr w:wrap="around" w:vAnchor="text" w:hAnchor="margin" w:xAlign="center" w:y="1"/>
      <w:rPr>
        <w:rStyle w:val="PageNumber"/>
      </w:rPr>
    </w:pPr>
  </w:p>
  <w:p w14:paraId="1A37C6EB" w14:textId="77777777" w:rsidR="006B4542" w:rsidRDefault="006B4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D0D6" w14:textId="77777777" w:rsidR="006B4542" w:rsidRDefault="006B454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B28B" w14:textId="77777777" w:rsidR="006B4542" w:rsidRDefault="006B4542">
      <w:r>
        <w:separator/>
      </w:r>
    </w:p>
  </w:footnote>
  <w:footnote w:type="continuationSeparator" w:id="0">
    <w:p w14:paraId="1B2313A5" w14:textId="77777777" w:rsidR="006B4542" w:rsidRDefault="006B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A6" w14:textId="7A6431BD" w:rsidR="006B4542" w:rsidRDefault="006B4542">
    <w:pPr>
      <w:pStyle w:val="Header"/>
      <w:jc w:val="center"/>
      <w:rPr>
        <w:noProof/>
      </w:rPr>
    </w:pPr>
    <w:r>
      <w:fldChar w:fldCharType="begin"/>
    </w:r>
    <w:r>
      <w:instrText xml:space="preserve"> PAGE   \* MERGEFORMAT </w:instrText>
    </w:r>
    <w:r>
      <w:fldChar w:fldCharType="separate"/>
    </w:r>
    <w:r w:rsidR="00B0263E">
      <w:rPr>
        <w:noProof/>
      </w:rPr>
      <w:t>3</w:t>
    </w:r>
    <w:r>
      <w:rPr>
        <w:noProof/>
      </w:rPr>
      <w:fldChar w:fldCharType="end"/>
    </w:r>
  </w:p>
  <w:p w14:paraId="55EB19CA" w14:textId="77777777" w:rsidR="006B4542" w:rsidRDefault="006B4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E6C8B"/>
    <w:multiLevelType w:val="hybridMultilevel"/>
    <w:tmpl w:val="BDF8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C2A13"/>
    <w:multiLevelType w:val="hybridMultilevel"/>
    <w:tmpl w:val="AA7495C6"/>
    <w:lvl w:ilvl="0" w:tplc="0C090001">
      <w:start w:val="1"/>
      <w:numFmt w:val="bullet"/>
      <w:lvlText w:val=""/>
      <w:lvlJc w:val="left"/>
      <w:pPr>
        <w:ind w:left="360" w:hanging="360"/>
      </w:pPr>
      <w:rPr>
        <w:rFonts w:ascii="Symbol" w:hAnsi="Symbol" w:hint="default"/>
        <w:i w:val="0"/>
      </w:rPr>
    </w:lvl>
    <w:lvl w:ilvl="1" w:tplc="0C090001">
      <w:start w:val="1"/>
      <w:numFmt w:val="bullet"/>
      <w:lvlText w:val=""/>
      <w:lvlJc w:val="left"/>
      <w:pPr>
        <w:ind w:left="785" w:hanging="360"/>
      </w:pPr>
      <w:rPr>
        <w:rFonts w:ascii="Symbol" w:hAnsi="Symbol" w:hint="default"/>
      </w:rPr>
    </w:lvl>
    <w:lvl w:ilvl="2" w:tplc="0C090003">
      <w:start w:val="1"/>
      <w:numFmt w:val="bullet"/>
      <w:lvlText w:val="o"/>
      <w:lvlJc w:val="left"/>
      <w:pPr>
        <w:ind w:left="747" w:hanging="180"/>
      </w:pPr>
      <w:rPr>
        <w:rFonts w:ascii="Courier New" w:hAnsi="Courier New" w:cs="Courier New" w:hint="default"/>
      </w:rPr>
    </w:lvl>
    <w:lvl w:ilvl="3" w:tplc="0C09000F">
      <w:start w:val="1"/>
      <w:numFmt w:val="decimal"/>
      <w:lvlText w:val="%4."/>
      <w:lvlJc w:val="left"/>
      <w:pPr>
        <w:ind w:left="2520" w:hanging="360"/>
      </w:pPr>
    </w:lvl>
    <w:lvl w:ilvl="4" w:tplc="91B2C4BC">
      <w:numFmt w:val="bullet"/>
      <w:lvlText w:val="•"/>
      <w:lvlJc w:val="left"/>
      <w:pPr>
        <w:ind w:left="3450" w:hanging="570"/>
      </w:pPr>
      <w:rPr>
        <w:rFonts w:ascii="Times New Roman" w:eastAsia="Times New Roman" w:hAnsi="Times New Roman" w:cs="Times New Roman"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15:restartNumberingAfterBreak="0">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DA61426"/>
    <w:multiLevelType w:val="hybridMultilevel"/>
    <w:tmpl w:val="40AE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363093"/>
    <w:multiLevelType w:val="hybridMultilevel"/>
    <w:tmpl w:val="543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14DFA"/>
    <w:multiLevelType w:val="hybridMultilevel"/>
    <w:tmpl w:val="08364A00"/>
    <w:lvl w:ilvl="0" w:tplc="C302BA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069" w:hanging="360"/>
      </w:pPr>
      <w:rPr>
        <w:rFonts w:ascii="Courier New" w:hAnsi="Courier New" w:cs="Courier New" w:hint="default"/>
      </w:rPr>
    </w:lvl>
    <w:lvl w:ilvl="2" w:tplc="0C090003">
      <w:start w:val="1"/>
      <w:numFmt w:val="bullet"/>
      <w:lvlText w:val="o"/>
      <w:lvlJc w:val="left"/>
      <w:pPr>
        <w:ind w:left="1068" w:hanging="360"/>
      </w:pPr>
      <w:rPr>
        <w:rFonts w:ascii="Courier New" w:hAnsi="Courier New" w:cs="Courier New" w:hint="default"/>
      </w:rPr>
    </w:lvl>
    <w:lvl w:ilvl="3" w:tplc="0C090001">
      <w:start w:val="1"/>
      <w:numFmt w:val="bullet"/>
      <w:lvlText w:val=""/>
      <w:lvlJc w:val="left"/>
      <w:pPr>
        <w:ind w:left="1635"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0"/>
  </w:num>
  <w:num w:numId="3">
    <w:abstractNumId w:val="28"/>
  </w:num>
  <w:num w:numId="4">
    <w:abstractNumId w:val="19"/>
  </w:num>
  <w:num w:numId="5">
    <w:abstractNumId w:val="11"/>
  </w:num>
  <w:num w:numId="6">
    <w:abstractNumId w:val="4"/>
  </w:num>
  <w:num w:numId="7">
    <w:abstractNumId w:val="11"/>
  </w:num>
  <w:num w:numId="8">
    <w:abstractNumId w:val="5"/>
  </w:num>
  <w:num w:numId="9">
    <w:abstractNumId w:val="20"/>
  </w:num>
  <w:num w:numId="10">
    <w:abstractNumId w:val="0"/>
  </w:num>
  <w:num w:numId="11">
    <w:abstractNumId w:val="29"/>
  </w:num>
  <w:num w:numId="12">
    <w:abstractNumId w:val="7"/>
  </w:num>
  <w:num w:numId="13">
    <w:abstractNumId w:val="10"/>
  </w:num>
  <w:num w:numId="14">
    <w:abstractNumId w:val="17"/>
  </w:num>
  <w:num w:numId="15">
    <w:abstractNumId w:val="21"/>
  </w:num>
  <w:num w:numId="16">
    <w:abstractNumId w:val="18"/>
  </w:num>
  <w:num w:numId="17">
    <w:abstractNumId w:val="12"/>
  </w:num>
  <w:num w:numId="18">
    <w:abstractNumId w:val="16"/>
  </w:num>
  <w:num w:numId="19">
    <w:abstractNumId w:val="1"/>
  </w:num>
  <w:num w:numId="20">
    <w:abstractNumId w:val="22"/>
  </w:num>
  <w:num w:numId="21">
    <w:abstractNumId w:val="14"/>
  </w:num>
  <w:num w:numId="22">
    <w:abstractNumId w:val="25"/>
  </w:num>
  <w:num w:numId="23">
    <w:abstractNumId w:val="13"/>
  </w:num>
  <w:num w:numId="24">
    <w:abstractNumId w:val="15"/>
  </w:num>
  <w:num w:numId="25">
    <w:abstractNumId w:val="23"/>
  </w:num>
  <w:num w:numId="26">
    <w:abstractNumId w:val="9"/>
  </w:num>
  <w:num w:numId="27">
    <w:abstractNumId w:val="26"/>
  </w:num>
  <w:num w:numId="28">
    <w:abstractNumId w:val="6"/>
  </w:num>
  <w:num w:numId="29">
    <w:abstractNumId w:val="31"/>
  </w:num>
  <w:num w:numId="30">
    <w:abstractNumId w:val="27"/>
  </w:num>
  <w:num w:numId="31">
    <w:abstractNumId w:val="2"/>
  </w:num>
  <w:num w:numId="32">
    <w:abstractNumId w:val="8"/>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6EAC"/>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21B9"/>
    <w:rsid w:val="00053ED9"/>
    <w:rsid w:val="0005652C"/>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87024"/>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4411"/>
    <w:rsid w:val="000E77CA"/>
    <w:rsid w:val="000E7ECF"/>
    <w:rsid w:val="000F0AAE"/>
    <w:rsid w:val="000F2BEB"/>
    <w:rsid w:val="000F318E"/>
    <w:rsid w:val="000F32DF"/>
    <w:rsid w:val="000F32EA"/>
    <w:rsid w:val="000F42B6"/>
    <w:rsid w:val="000F4F4D"/>
    <w:rsid w:val="00100DB2"/>
    <w:rsid w:val="00101367"/>
    <w:rsid w:val="001055A9"/>
    <w:rsid w:val="00110005"/>
    <w:rsid w:val="001109AF"/>
    <w:rsid w:val="00112C74"/>
    <w:rsid w:val="00113168"/>
    <w:rsid w:val="00114969"/>
    <w:rsid w:val="00115060"/>
    <w:rsid w:val="0011547D"/>
    <w:rsid w:val="00117054"/>
    <w:rsid w:val="00117173"/>
    <w:rsid w:val="00117F23"/>
    <w:rsid w:val="001213EF"/>
    <w:rsid w:val="0012155E"/>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5AC0"/>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11AF"/>
    <w:rsid w:val="001C2567"/>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2AFC"/>
    <w:rsid w:val="001F35B1"/>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91C4C"/>
    <w:rsid w:val="002932D0"/>
    <w:rsid w:val="0029379A"/>
    <w:rsid w:val="002937D3"/>
    <w:rsid w:val="00297880"/>
    <w:rsid w:val="002A02F4"/>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688"/>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03E"/>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3CD3"/>
    <w:rsid w:val="003C70A8"/>
    <w:rsid w:val="003C7D91"/>
    <w:rsid w:val="003C7F4F"/>
    <w:rsid w:val="003D038E"/>
    <w:rsid w:val="003D0D69"/>
    <w:rsid w:val="003D23DF"/>
    <w:rsid w:val="003D2D5B"/>
    <w:rsid w:val="003D3580"/>
    <w:rsid w:val="003E156A"/>
    <w:rsid w:val="003E2B1F"/>
    <w:rsid w:val="003E360A"/>
    <w:rsid w:val="003E3BE5"/>
    <w:rsid w:val="003E40F9"/>
    <w:rsid w:val="003E5E35"/>
    <w:rsid w:val="003E74BC"/>
    <w:rsid w:val="003E7F5A"/>
    <w:rsid w:val="003F0712"/>
    <w:rsid w:val="003F11C4"/>
    <w:rsid w:val="003F67B6"/>
    <w:rsid w:val="003F6987"/>
    <w:rsid w:val="003F70CA"/>
    <w:rsid w:val="00400544"/>
    <w:rsid w:val="004021DB"/>
    <w:rsid w:val="00402D41"/>
    <w:rsid w:val="00404B93"/>
    <w:rsid w:val="0040727B"/>
    <w:rsid w:val="00407476"/>
    <w:rsid w:val="00412104"/>
    <w:rsid w:val="004167F4"/>
    <w:rsid w:val="00416E05"/>
    <w:rsid w:val="00417435"/>
    <w:rsid w:val="0042225F"/>
    <w:rsid w:val="00422C70"/>
    <w:rsid w:val="0042423B"/>
    <w:rsid w:val="0043162F"/>
    <w:rsid w:val="00432F89"/>
    <w:rsid w:val="00433BDD"/>
    <w:rsid w:val="004369CF"/>
    <w:rsid w:val="00436D92"/>
    <w:rsid w:val="00440D18"/>
    <w:rsid w:val="004410E3"/>
    <w:rsid w:val="0044245A"/>
    <w:rsid w:val="004442BE"/>
    <w:rsid w:val="00444D1E"/>
    <w:rsid w:val="00445768"/>
    <w:rsid w:val="004457BE"/>
    <w:rsid w:val="00446AE8"/>
    <w:rsid w:val="004517A7"/>
    <w:rsid w:val="00452908"/>
    <w:rsid w:val="00455199"/>
    <w:rsid w:val="00461D3E"/>
    <w:rsid w:val="00461D70"/>
    <w:rsid w:val="00462D4C"/>
    <w:rsid w:val="004644B7"/>
    <w:rsid w:val="00466422"/>
    <w:rsid w:val="00467181"/>
    <w:rsid w:val="00470C37"/>
    <w:rsid w:val="00476451"/>
    <w:rsid w:val="00476719"/>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48D5"/>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5889"/>
    <w:rsid w:val="004F6C20"/>
    <w:rsid w:val="004F7E62"/>
    <w:rsid w:val="00501FF3"/>
    <w:rsid w:val="00502428"/>
    <w:rsid w:val="00504027"/>
    <w:rsid w:val="0051150B"/>
    <w:rsid w:val="005117B5"/>
    <w:rsid w:val="005133AC"/>
    <w:rsid w:val="00514971"/>
    <w:rsid w:val="00514E1F"/>
    <w:rsid w:val="005165BC"/>
    <w:rsid w:val="00516BD5"/>
    <w:rsid w:val="00516F30"/>
    <w:rsid w:val="00520D5C"/>
    <w:rsid w:val="00521B79"/>
    <w:rsid w:val="00521FF5"/>
    <w:rsid w:val="00525909"/>
    <w:rsid w:val="0052622A"/>
    <w:rsid w:val="00526B69"/>
    <w:rsid w:val="005279B2"/>
    <w:rsid w:val="005300B4"/>
    <w:rsid w:val="005303C6"/>
    <w:rsid w:val="00531A01"/>
    <w:rsid w:val="005326C2"/>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572"/>
    <w:rsid w:val="00552B53"/>
    <w:rsid w:val="00556FE3"/>
    <w:rsid w:val="00557216"/>
    <w:rsid w:val="005573CE"/>
    <w:rsid w:val="005631A5"/>
    <w:rsid w:val="00563952"/>
    <w:rsid w:val="005639EC"/>
    <w:rsid w:val="005657FE"/>
    <w:rsid w:val="00566592"/>
    <w:rsid w:val="00566F77"/>
    <w:rsid w:val="00567BD8"/>
    <w:rsid w:val="00570562"/>
    <w:rsid w:val="00573402"/>
    <w:rsid w:val="0057589D"/>
    <w:rsid w:val="00577A98"/>
    <w:rsid w:val="00577E89"/>
    <w:rsid w:val="00580346"/>
    <w:rsid w:val="00584687"/>
    <w:rsid w:val="005846DC"/>
    <w:rsid w:val="00585162"/>
    <w:rsid w:val="00585580"/>
    <w:rsid w:val="005865A8"/>
    <w:rsid w:val="00592C1D"/>
    <w:rsid w:val="00597C33"/>
    <w:rsid w:val="005A1883"/>
    <w:rsid w:val="005A3E8E"/>
    <w:rsid w:val="005B0755"/>
    <w:rsid w:val="005B26BB"/>
    <w:rsid w:val="005B291E"/>
    <w:rsid w:val="005B356B"/>
    <w:rsid w:val="005B3D51"/>
    <w:rsid w:val="005B4834"/>
    <w:rsid w:val="005B5C28"/>
    <w:rsid w:val="005B70AE"/>
    <w:rsid w:val="005B7E10"/>
    <w:rsid w:val="005C0214"/>
    <w:rsid w:val="005C1408"/>
    <w:rsid w:val="005C238A"/>
    <w:rsid w:val="005C2F0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5CFB"/>
    <w:rsid w:val="005F6DF0"/>
    <w:rsid w:val="006002D6"/>
    <w:rsid w:val="0060160F"/>
    <w:rsid w:val="00603008"/>
    <w:rsid w:val="00604758"/>
    <w:rsid w:val="00606640"/>
    <w:rsid w:val="00611CA2"/>
    <w:rsid w:val="00613E69"/>
    <w:rsid w:val="00614A44"/>
    <w:rsid w:val="006227CB"/>
    <w:rsid w:val="00624FB6"/>
    <w:rsid w:val="00627CEF"/>
    <w:rsid w:val="0063047E"/>
    <w:rsid w:val="0063363F"/>
    <w:rsid w:val="0063481B"/>
    <w:rsid w:val="00635B55"/>
    <w:rsid w:val="0063799E"/>
    <w:rsid w:val="006417FE"/>
    <w:rsid w:val="0064191F"/>
    <w:rsid w:val="00641D3B"/>
    <w:rsid w:val="006434BF"/>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2F46"/>
    <w:rsid w:val="006A44E9"/>
    <w:rsid w:val="006A49E6"/>
    <w:rsid w:val="006A64A5"/>
    <w:rsid w:val="006A6F67"/>
    <w:rsid w:val="006A71D3"/>
    <w:rsid w:val="006A7275"/>
    <w:rsid w:val="006A730D"/>
    <w:rsid w:val="006B021D"/>
    <w:rsid w:val="006B06FB"/>
    <w:rsid w:val="006B3CEF"/>
    <w:rsid w:val="006B4542"/>
    <w:rsid w:val="006B4605"/>
    <w:rsid w:val="006C0612"/>
    <w:rsid w:val="006C09D1"/>
    <w:rsid w:val="006C1726"/>
    <w:rsid w:val="006C1B70"/>
    <w:rsid w:val="006C3639"/>
    <w:rsid w:val="006C3D3B"/>
    <w:rsid w:val="006C5355"/>
    <w:rsid w:val="006C5EFF"/>
    <w:rsid w:val="006C6C65"/>
    <w:rsid w:val="006D0A45"/>
    <w:rsid w:val="006D0D71"/>
    <w:rsid w:val="006D130B"/>
    <w:rsid w:val="006D1D99"/>
    <w:rsid w:val="006D3606"/>
    <w:rsid w:val="006D596A"/>
    <w:rsid w:val="006D7995"/>
    <w:rsid w:val="006E0215"/>
    <w:rsid w:val="006E0E2D"/>
    <w:rsid w:val="006E241E"/>
    <w:rsid w:val="006E6200"/>
    <w:rsid w:val="006E66A6"/>
    <w:rsid w:val="006E736A"/>
    <w:rsid w:val="006E787F"/>
    <w:rsid w:val="006E7DF3"/>
    <w:rsid w:val="006F113A"/>
    <w:rsid w:val="006F1BD2"/>
    <w:rsid w:val="006F24EF"/>
    <w:rsid w:val="006F29C9"/>
    <w:rsid w:val="006F2C20"/>
    <w:rsid w:val="006F44C7"/>
    <w:rsid w:val="006F53DF"/>
    <w:rsid w:val="006F7378"/>
    <w:rsid w:val="006F7497"/>
    <w:rsid w:val="007005DD"/>
    <w:rsid w:val="0070332B"/>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5389"/>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60AC"/>
    <w:rsid w:val="007873EF"/>
    <w:rsid w:val="00787702"/>
    <w:rsid w:val="00787A82"/>
    <w:rsid w:val="00791976"/>
    <w:rsid w:val="0079228D"/>
    <w:rsid w:val="007926B3"/>
    <w:rsid w:val="0079301E"/>
    <w:rsid w:val="0079788F"/>
    <w:rsid w:val="007A0448"/>
    <w:rsid w:val="007A0EB9"/>
    <w:rsid w:val="007A46CD"/>
    <w:rsid w:val="007A52B3"/>
    <w:rsid w:val="007A78F4"/>
    <w:rsid w:val="007B12BE"/>
    <w:rsid w:val="007B1E98"/>
    <w:rsid w:val="007B439E"/>
    <w:rsid w:val="007B4E55"/>
    <w:rsid w:val="007B6546"/>
    <w:rsid w:val="007B78E3"/>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4B99"/>
    <w:rsid w:val="00825F42"/>
    <w:rsid w:val="008275DE"/>
    <w:rsid w:val="008300D2"/>
    <w:rsid w:val="00830826"/>
    <w:rsid w:val="00830D58"/>
    <w:rsid w:val="00832B66"/>
    <w:rsid w:val="008342D3"/>
    <w:rsid w:val="008362FE"/>
    <w:rsid w:val="00841E89"/>
    <w:rsid w:val="008436F8"/>
    <w:rsid w:val="00843BFA"/>
    <w:rsid w:val="00847A2B"/>
    <w:rsid w:val="00851687"/>
    <w:rsid w:val="0085268C"/>
    <w:rsid w:val="0085295A"/>
    <w:rsid w:val="00852D10"/>
    <w:rsid w:val="00852D22"/>
    <w:rsid w:val="008531B0"/>
    <w:rsid w:val="00853747"/>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A0001"/>
    <w:rsid w:val="008A112C"/>
    <w:rsid w:val="008A1380"/>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0CEE"/>
    <w:rsid w:val="008F1093"/>
    <w:rsid w:val="008F1711"/>
    <w:rsid w:val="008F6E10"/>
    <w:rsid w:val="0090175F"/>
    <w:rsid w:val="00907D1B"/>
    <w:rsid w:val="009104B4"/>
    <w:rsid w:val="00911A04"/>
    <w:rsid w:val="00912AAA"/>
    <w:rsid w:val="00915A9A"/>
    <w:rsid w:val="009209FF"/>
    <w:rsid w:val="00923B09"/>
    <w:rsid w:val="009249E0"/>
    <w:rsid w:val="00926313"/>
    <w:rsid w:val="00930BF8"/>
    <w:rsid w:val="0093307D"/>
    <w:rsid w:val="00933408"/>
    <w:rsid w:val="0093362A"/>
    <w:rsid w:val="00933C60"/>
    <w:rsid w:val="00936731"/>
    <w:rsid w:val="00937139"/>
    <w:rsid w:val="00937909"/>
    <w:rsid w:val="00937CEB"/>
    <w:rsid w:val="009424B9"/>
    <w:rsid w:val="009449F6"/>
    <w:rsid w:val="0095306A"/>
    <w:rsid w:val="00953EC8"/>
    <w:rsid w:val="00954194"/>
    <w:rsid w:val="0095439D"/>
    <w:rsid w:val="009559F2"/>
    <w:rsid w:val="00957BA7"/>
    <w:rsid w:val="00961A99"/>
    <w:rsid w:val="00961C0B"/>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2D3"/>
    <w:rsid w:val="009A193D"/>
    <w:rsid w:val="009A605A"/>
    <w:rsid w:val="009A66CA"/>
    <w:rsid w:val="009B06CE"/>
    <w:rsid w:val="009B11A9"/>
    <w:rsid w:val="009B1648"/>
    <w:rsid w:val="009B294A"/>
    <w:rsid w:val="009B683B"/>
    <w:rsid w:val="009B78FD"/>
    <w:rsid w:val="009B7B48"/>
    <w:rsid w:val="009C0136"/>
    <w:rsid w:val="009C0925"/>
    <w:rsid w:val="009C43CA"/>
    <w:rsid w:val="009C7A4C"/>
    <w:rsid w:val="009D04DD"/>
    <w:rsid w:val="009D09F3"/>
    <w:rsid w:val="009D35F8"/>
    <w:rsid w:val="009D3B4C"/>
    <w:rsid w:val="009D456E"/>
    <w:rsid w:val="009D736B"/>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2159"/>
    <w:rsid w:val="00AA30A8"/>
    <w:rsid w:val="00AA5847"/>
    <w:rsid w:val="00AA5DF7"/>
    <w:rsid w:val="00AA684A"/>
    <w:rsid w:val="00AA7FF1"/>
    <w:rsid w:val="00AB0625"/>
    <w:rsid w:val="00AB1A2A"/>
    <w:rsid w:val="00AB260C"/>
    <w:rsid w:val="00AB27A5"/>
    <w:rsid w:val="00AB442E"/>
    <w:rsid w:val="00AB5DA0"/>
    <w:rsid w:val="00AB7898"/>
    <w:rsid w:val="00AB79F3"/>
    <w:rsid w:val="00AB7BCF"/>
    <w:rsid w:val="00AC069B"/>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2B93"/>
    <w:rsid w:val="00AF36B1"/>
    <w:rsid w:val="00AF3808"/>
    <w:rsid w:val="00AF736B"/>
    <w:rsid w:val="00AF7F33"/>
    <w:rsid w:val="00B015C5"/>
    <w:rsid w:val="00B0263E"/>
    <w:rsid w:val="00B02750"/>
    <w:rsid w:val="00B0329B"/>
    <w:rsid w:val="00B03AE4"/>
    <w:rsid w:val="00B04683"/>
    <w:rsid w:val="00B0511B"/>
    <w:rsid w:val="00B05A86"/>
    <w:rsid w:val="00B05AEB"/>
    <w:rsid w:val="00B06776"/>
    <w:rsid w:val="00B1060D"/>
    <w:rsid w:val="00B12A20"/>
    <w:rsid w:val="00B135F0"/>
    <w:rsid w:val="00B14CA3"/>
    <w:rsid w:val="00B173E6"/>
    <w:rsid w:val="00B179D5"/>
    <w:rsid w:val="00B17B3C"/>
    <w:rsid w:val="00B20631"/>
    <w:rsid w:val="00B20FE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53A8"/>
    <w:rsid w:val="00B75856"/>
    <w:rsid w:val="00B7646E"/>
    <w:rsid w:val="00B80FB7"/>
    <w:rsid w:val="00B81591"/>
    <w:rsid w:val="00B85A31"/>
    <w:rsid w:val="00B8754C"/>
    <w:rsid w:val="00B87A9B"/>
    <w:rsid w:val="00B87F63"/>
    <w:rsid w:val="00B91C19"/>
    <w:rsid w:val="00B953D5"/>
    <w:rsid w:val="00B9643E"/>
    <w:rsid w:val="00B96FE8"/>
    <w:rsid w:val="00BA417F"/>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1CA0"/>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27CBD"/>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414"/>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099"/>
    <w:rsid w:val="00CB1310"/>
    <w:rsid w:val="00CB15EB"/>
    <w:rsid w:val="00CB189A"/>
    <w:rsid w:val="00CB1D4A"/>
    <w:rsid w:val="00CB2F27"/>
    <w:rsid w:val="00CB3A5D"/>
    <w:rsid w:val="00CB3E2A"/>
    <w:rsid w:val="00CB564C"/>
    <w:rsid w:val="00CB7318"/>
    <w:rsid w:val="00CC0026"/>
    <w:rsid w:val="00CC041D"/>
    <w:rsid w:val="00CC1204"/>
    <w:rsid w:val="00CC1263"/>
    <w:rsid w:val="00CC2265"/>
    <w:rsid w:val="00CC63AD"/>
    <w:rsid w:val="00CD0B26"/>
    <w:rsid w:val="00CD2650"/>
    <w:rsid w:val="00CD2BA3"/>
    <w:rsid w:val="00CD430A"/>
    <w:rsid w:val="00CD5A06"/>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09CC"/>
    <w:rsid w:val="00D42AF3"/>
    <w:rsid w:val="00D43B0A"/>
    <w:rsid w:val="00D43E33"/>
    <w:rsid w:val="00D44B09"/>
    <w:rsid w:val="00D45419"/>
    <w:rsid w:val="00D4585D"/>
    <w:rsid w:val="00D4627E"/>
    <w:rsid w:val="00D46DFC"/>
    <w:rsid w:val="00D51EAA"/>
    <w:rsid w:val="00D55AC9"/>
    <w:rsid w:val="00D57360"/>
    <w:rsid w:val="00D5753D"/>
    <w:rsid w:val="00D71AE8"/>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1F41"/>
    <w:rsid w:val="00DC2D5A"/>
    <w:rsid w:val="00DC716E"/>
    <w:rsid w:val="00DC7C3B"/>
    <w:rsid w:val="00DD06D3"/>
    <w:rsid w:val="00DD4549"/>
    <w:rsid w:val="00DD77F2"/>
    <w:rsid w:val="00DE0530"/>
    <w:rsid w:val="00DE5644"/>
    <w:rsid w:val="00DE5DD6"/>
    <w:rsid w:val="00DE60B7"/>
    <w:rsid w:val="00DE68E1"/>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AAD"/>
    <w:rsid w:val="00E25E8A"/>
    <w:rsid w:val="00E27B87"/>
    <w:rsid w:val="00E30CC9"/>
    <w:rsid w:val="00E31CC0"/>
    <w:rsid w:val="00E33DCF"/>
    <w:rsid w:val="00E345B0"/>
    <w:rsid w:val="00E35E8C"/>
    <w:rsid w:val="00E36540"/>
    <w:rsid w:val="00E367F4"/>
    <w:rsid w:val="00E43AE3"/>
    <w:rsid w:val="00E44A06"/>
    <w:rsid w:val="00E46894"/>
    <w:rsid w:val="00E47A8E"/>
    <w:rsid w:val="00E5044D"/>
    <w:rsid w:val="00E50503"/>
    <w:rsid w:val="00E55ABB"/>
    <w:rsid w:val="00E56AA0"/>
    <w:rsid w:val="00E63FC8"/>
    <w:rsid w:val="00E70B41"/>
    <w:rsid w:val="00E7146E"/>
    <w:rsid w:val="00E72D6D"/>
    <w:rsid w:val="00E733BA"/>
    <w:rsid w:val="00E74F9A"/>
    <w:rsid w:val="00E7634F"/>
    <w:rsid w:val="00E76D0B"/>
    <w:rsid w:val="00E835C9"/>
    <w:rsid w:val="00E838D7"/>
    <w:rsid w:val="00E83FBB"/>
    <w:rsid w:val="00E85C6C"/>
    <w:rsid w:val="00E8666C"/>
    <w:rsid w:val="00E86EA2"/>
    <w:rsid w:val="00E91F5F"/>
    <w:rsid w:val="00EA095F"/>
    <w:rsid w:val="00EA37F5"/>
    <w:rsid w:val="00EA4D0A"/>
    <w:rsid w:val="00EA735A"/>
    <w:rsid w:val="00EB08CC"/>
    <w:rsid w:val="00EB33FB"/>
    <w:rsid w:val="00EB3CDD"/>
    <w:rsid w:val="00EB5595"/>
    <w:rsid w:val="00EC04C1"/>
    <w:rsid w:val="00EC40D3"/>
    <w:rsid w:val="00EC440A"/>
    <w:rsid w:val="00EC47AF"/>
    <w:rsid w:val="00EC5578"/>
    <w:rsid w:val="00EC55AD"/>
    <w:rsid w:val="00EC6858"/>
    <w:rsid w:val="00EC747F"/>
    <w:rsid w:val="00EC7684"/>
    <w:rsid w:val="00ED2D8B"/>
    <w:rsid w:val="00ED4AA3"/>
    <w:rsid w:val="00ED5AE0"/>
    <w:rsid w:val="00ED5F4E"/>
    <w:rsid w:val="00EE2344"/>
    <w:rsid w:val="00EE272D"/>
    <w:rsid w:val="00EE4D2C"/>
    <w:rsid w:val="00EE503A"/>
    <w:rsid w:val="00EE55C0"/>
    <w:rsid w:val="00EE6575"/>
    <w:rsid w:val="00EE7D2C"/>
    <w:rsid w:val="00EF0278"/>
    <w:rsid w:val="00EF4331"/>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37C0"/>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2CDE"/>
    <w:rsid w:val="00F545EA"/>
    <w:rsid w:val="00F606FE"/>
    <w:rsid w:val="00F62428"/>
    <w:rsid w:val="00F62682"/>
    <w:rsid w:val="00F6468C"/>
    <w:rsid w:val="00F64B80"/>
    <w:rsid w:val="00F66024"/>
    <w:rsid w:val="00F663AB"/>
    <w:rsid w:val="00F66C2D"/>
    <w:rsid w:val="00F66FAF"/>
    <w:rsid w:val="00F679A7"/>
    <w:rsid w:val="00F71374"/>
    <w:rsid w:val="00F74FF2"/>
    <w:rsid w:val="00F7512A"/>
    <w:rsid w:val="00F77178"/>
    <w:rsid w:val="00F8442C"/>
    <w:rsid w:val="00F873E6"/>
    <w:rsid w:val="00F90F13"/>
    <w:rsid w:val="00F9503A"/>
    <w:rsid w:val="00F9539D"/>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601F"/>
    <w:rsid w:val="00FF093A"/>
    <w:rsid w:val="00FF169C"/>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98D17"/>
  <w15:docId w15:val="{15408C5A-3959-48B5-8F68-F9B3488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72"/>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 w:type="paragraph" w:styleId="Revision">
    <w:name w:val="Revision"/>
    <w:hidden/>
    <w:uiPriority w:val="99"/>
    <w:semiHidden/>
    <w:rsid w:val="00AB06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657996331">
      <w:bodyDiv w:val="1"/>
      <w:marLeft w:val="0"/>
      <w:marRight w:val="0"/>
      <w:marTop w:val="0"/>
      <w:marBottom w:val="0"/>
      <w:divBdr>
        <w:top w:val="none" w:sz="0" w:space="0" w:color="auto"/>
        <w:left w:val="none" w:sz="0" w:space="0" w:color="auto"/>
        <w:bottom w:val="none" w:sz="0" w:space="0" w:color="auto"/>
        <w:right w:val="none" w:sz="0" w:space="0" w:color="auto"/>
      </w:divBdr>
      <w:divsChild>
        <w:div w:id="81488224">
          <w:marLeft w:val="0"/>
          <w:marRight w:val="0"/>
          <w:marTop w:val="0"/>
          <w:marBottom w:val="0"/>
          <w:divBdr>
            <w:top w:val="none" w:sz="0" w:space="0" w:color="auto"/>
            <w:left w:val="none" w:sz="0" w:space="0" w:color="auto"/>
            <w:bottom w:val="none" w:sz="0" w:space="0" w:color="auto"/>
            <w:right w:val="none" w:sz="0" w:space="0" w:color="auto"/>
          </w:divBdr>
          <w:divsChild>
            <w:div w:id="483157613">
              <w:marLeft w:val="0"/>
              <w:marRight w:val="0"/>
              <w:marTop w:val="0"/>
              <w:marBottom w:val="0"/>
              <w:divBdr>
                <w:top w:val="none" w:sz="0" w:space="0" w:color="auto"/>
                <w:left w:val="none" w:sz="0" w:space="0" w:color="auto"/>
                <w:bottom w:val="none" w:sz="0" w:space="0" w:color="auto"/>
                <w:right w:val="none" w:sz="0" w:space="0" w:color="auto"/>
              </w:divBdr>
              <w:divsChild>
                <w:div w:id="188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3883">
      <w:bodyDiv w:val="1"/>
      <w:marLeft w:val="0"/>
      <w:marRight w:val="0"/>
      <w:marTop w:val="0"/>
      <w:marBottom w:val="0"/>
      <w:divBdr>
        <w:top w:val="none" w:sz="0" w:space="0" w:color="auto"/>
        <w:left w:val="none" w:sz="0" w:space="0" w:color="auto"/>
        <w:bottom w:val="none" w:sz="0" w:space="0" w:color="auto"/>
        <w:right w:val="none" w:sz="0" w:space="0" w:color="auto"/>
      </w:divBdr>
      <w:divsChild>
        <w:div w:id="2084982758">
          <w:marLeft w:val="0"/>
          <w:marRight w:val="0"/>
          <w:marTop w:val="0"/>
          <w:marBottom w:val="0"/>
          <w:divBdr>
            <w:top w:val="none" w:sz="0" w:space="0" w:color="auto"/>
            <w:left w:val="none" w:sz="0" w:space="0" w:color="auto"/>
            <w:bottom w:val="none" w:sz="0" w:space="0" w:color="auto"/>
            <w:right w:val="none" w:sz="0" w:space="0" w:color="auto"/>
          </w:divBdr>
          <w:divsChild>
            <w:div w:id="416483869">
              <w:marLeft w:val="0"/>
              <w:marRight w:val="0"/>
              <w:marTop w:val="0"/>
              <w:marBottom w:val="0"/>
              <w:divBdr>
                <w:top w:val="none" w:sz="0" w:space="0" w:color="auto"/>
                <w:left w:val="none" w:sz="0" w:space="0" w:color="auto"/>
                <w:bottom w:val="none" w:sz="0" w:space="0" w:color="auto"/>
                <w:right w:val="none" w:sz="0" w:space="0" w:color="auto"/>
              </w:divBdr>
              <w:divsChild>
                <w:div w:id="1961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2911">
      <w:bodyDiv w:val="1"/>
      <w:marLeft w:val="0"/>
      <w:marRight w:val="0"/>
      <w:marTop w:val="0"/>
      <w:marBottom w:val="0"/>
      <w:divBdr>
        <w:top w:val="none" w:sz="0" w:space="0" w:color="auto"/>
        <w:left w:val="none" w:sz="0" w:space="0" w:color="auto"/>
        <w:bottom w:val="none" w:sz="0" w:space="0" w:color="auto"/>
        <w:right w:val="none" w:sz="0" w:space="0" w:color="auto"/>
      </w:divBdr>
    </w:div>
    <w:div w:id="1550458811">
      <w:bodyDiv w:val="1"/>
      <w:marLeft w:val="0"/>
      <w:marRight w:val="0"/>
      <w:marTop w:val="0"/>
      <w:marBottom w:val="0"/>
      <w:divBdr>
        <w:top w:val="none" w:sz="0" w:space="0" w:color="auto"/>
        <w:left w:val="none" w:sz="0" w:space="0" w:color="auto"/>
        <w:bottom w:val="none" w:sz="0" w:space="0" w:color="auto"/>
        <w:right w:val="none" w:sz="0" w:space="0" w:color="auto"/>
      </w:divBdr>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B5BC-2BC6-415E-8B52-F980340D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Michelle Tran</cp:lastModifiedBy>
  <cp:revision>3</cp:revision>
  <cp:lastPrinted>2019-08-06T07:00:00Z</cp:lastPrinted>
  <dcterms:created xsi:type="dcterms:W3CDTF">2020-09-09T07:14:00Z</dcterms:created>
  <dcterms:modified xsi:type="dcterms:W3CDTF">2020-09-09T07:15:00Z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