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F177E" w14:textId="56293916" w:rsidR="0043460B" w:rsidRPr="00C6069C" w:rsidRDefault="0043460B" w:rsidP="00C6069C">
      <w:pPr>
        <w:spacing w:after="160" w:line="256" w:lineRule="auto"/>
        <w:jc w:val="center"/>
        <w:rPr>
          <w:rFonts w:ascii="Times New Roman" w:eastAsiaTheme="minorHAnsi" w:hAnsi="Times New Roman"/>
          <w:b/>
          <w:sz w:val="28"/>
          <w:szCs w:val="28"/>
          <w:lang w:bidi="ar-SA"/>
        </w:rPr>
      </w:pPr>
      <w:r w:rsidRPr="00C6069C">
        <w:rPr>
          <w:rFonts w:ascii="Times New Roman" w:eastAsiaTheme="minorHAnsi" w:hAnsi="Times New Roman"/>
          <w:b/>
          <w:sz w:val="28"/>
          <w:szCs w:val="28"/>
          <w:lang w:bidi="ar-SA"/>
        </w:rPr>
        <w:t>EXPLANATORY STATEMENT</w:t>
      </w:r>
    </w:p>
    <w:p w14:paraId="1A2509BA" w14:textId="77777777" w:rsidR="0043460B" w:rsidRPr="00D16B66" w:rsidRDefault="0043460B" w:rsidP="0023385F">
      <w:pPr>
        <w:spacing w:after="120"/>
        <w:jc w:val="center"/>
        <w:rPr>
          <w:rFonts w:ascii="Times New Roman" w:hAnsi="Times New Roman"/>
          <w:sz w:val="22"/>
          <w:szCs w:val="22"/>
        </w:rPr>
      </w:pPr>
      <w:r w:rsidRPr="00790F1B">
        <w:rPr>
          <w:rFonts w:ascii="Times New Roman" w:hAnsi="Times New Roman"/>
          <w:sz w:val="22"/>
        </w:rPr>
        <w:t>Approved by the Australian Communications and Media Authority</w:t>
      </w:r>
    </w:p>
    <w:p w14:paraId="637C4A04" w14:textId="459550DD" w:rsidR="001E2B87" w:rsidRPr="0023385F" w:rsidRDefault="001E2B87" w:rsidP="0023385F">
      <w:pPr>
        <w:spacing w:after="120"/>
        <w:jc w:val="center"/>
        <w:rPr>
          <w:rFonts w:ascii="Times New Roman" w:hAnsi="Times New Roman"/>
          <w:i/>
          <w:sz w:val="22"/>
        </w:rPr>
      </w:pPr>
      <w:bookmarkStart w:id="0" w:name="_Hlk530410236"/>
      <w:r w:rsidRPr="0023385F">
        <w:rPr>
          <w:rFonts w:ascii="Times New Roman" w:hAnsi="Times New Roman"/>
          <w:i/>
          <w:sz w:val="22"/>
        </w:rPr>
        <w:t>Radiocommunications (</w:t>
      </w:r>
      <w:r w:rsidR="00705728">
        <w:rPr>
          <w:rFonts w:ascii="Times New Roman" w:hAnsi="Times New Roman"/>
          <w:i/>
          <w:sz w:val="22"/>
        </w:rPr>
        <w:t>Spectrum</w:t>
      </w:r>
      <w:r w:rsidRPr="0023385F">
        <w:rPr>
          <w:rFonts w:ascii="Times New Roman" w:hAnsi="Times New Roman"/>
          <w:i/>
          <w:sz w:val="22"/>
        </w:rPr>
        <w:t xml:space="preserve"> Licence Tax</w:t>
      </w:r>
      <w:r>
        <w:rPr>
          <w:rFonts w:ascii="Times New Roman" w:hAnsi="Times New Roman"/>
          <w:i/>
          <w:sz w:val="22"/>
        </w:rPr>
        <w:t>)</w:t>
      </w:r>
      <w:r w:rsidRPr="0023385F">
        <w:rPr>
          <w:rFonts w:ascii="Times New Roman" w:hAnsi="Times New Roman"/>
          <w:i/>
          <w:sz w:val="22"/>
        </w:rPr>
        <w:t xml:space="preserve"> Act </w:t>
      </w:r>
      <w:r w:rsidR="00705728">
        <w:rPr>
          <w:rFonts w:ascii="Times New Roman" w:hAnsi="Times New Roman"/>
          <w:i/>
          <w:sz w:val="22"/>
        </w:rPr>
        <w:t>1997</w:t>
      </w:r>
      <w:r w:rsidRPr="0023385F">
        <w:rPr>
          <w:rFonts w:ascii="Times New Roman" w:hAnsi="Times New Roman"/>
          <w:i/>
          <w:sz w:val="22"/>
        </w:rPr>
        <w:t xml:space="preserve"> </w:t>
      </w:r>
    </w:p>
    <w:p w14:paraId="19F2ECF4" w14:textId="5D958F63" w:rsidR="0043460B" w:rsidRPr="0023385F" w:rsidRDefault="0043460B" w:rsidP="0023385F">
      <w:pPr>
        <w:spacing w:after="120"/>
        <w:jc w:val="center"/>
        <w:rPr>
          <w:rFonts w:ascii="Times New Roman" w:hAnsi="Times New Roman"/>
          <w:b/>
          <w:i/>
          <w:sz w:val="22"/>
        </w:rPr>
      </w:pPr>
      <w:r w:rsidRPr="0023385F">
        <w:rPr>
          <w:rFonts w:ascii="Times New Roman" w:hAnsi="Times New Roman"/>
          <w:b/>
          <w:i/>
          <w:sz w:val="22"/>
        </w:rPr>
        <w:t>Radiocommunications (</w:t>
      </w:r>
      <w:r w:rsidR="003A19F9">
        <w:rPr>
          <w:rFonts w:ascii="Times New Roman" w:hAnsi="Times New Roman"/>
          <w:b/>
          <w:i/>
          <w:sz w:val="22"/>
        </w:rPr>
        <w:t xml:space="preserve">Spectrum </w:t>
      </w:r>
      <w:r w:rsidRPr="0023385F">
        <w:rPr>
          <w:rFonts w:ascii="Times New Roman" w:hAnsi="Times New Roman"/>
          <w:b/>
          <w:i/>
          <w:sz w:val="22"/>
        </w:rPr>
        <w:t>Licence</w:t>
      </w:r>
      <w:r w:rsidR="00EC5A73" w:rsidRPr="0023385F">
        <w:rPr>
          <w:rFonts w:ascii="Times New Roman" w:hAnsi="Times New Roman"/>
          <w:b/>
          <w:i/>
          <w:sz w:val="22"/>
        </w:rPr>
        <w:t xml:space="preserve"> Tax</w:t>
      </w:r>
      <w:r w:rsidRPr="0023385F">
        <w:rPr>
          <w:rFonts w:ascii="Times New Roman" w:hAnsi="Times New Roman"/>
          <w:b/>
          <w:i/>
          <w:sz w:val="22"/>
        </w:rPr>
        <w:t xml:space="preserve">) Amendment Determination </w:t>
      </w:r>
      <w:r w:rsidR="00157667" w:rsidRPr="0023385F">
        <w:rPr>
          <w:rFonts w:ascii="Times New Roman" w:hAnsi="Times New Roman"/>
          <w:b/>
          <w:i/>
          <w:sz w:val="22"/>
        </w:rPr>
        <w:t>20</w:t>
      </w:r>
      <w:r w:rsidR="00157667">
        <w:rPr>
          <w:rFonts w:ascii="Times New Roman" w:hAnsi="Times New Roman"/>
          <w:b/>
          <w:i/>
          <w:sz w:val="22"/>
        </w:rPr>
        <w:t>20</w:t>
      </w:r>
      <w:r w:rsidR="00157667" w:rsidRPr="0023385F">
        <w:rPr>
          <w:rFonts w:ascii="Times New Roman" w:hAnsi="Times New Roman"/>
          <w:b/>
          <w:i/>
          <w:sz w:val="22"/>
        </w:rPr>
        <w:t xml:space="preserve"> </w:t>
      </w:r>
      <w:r w:rsidRPr="0023385F">
        <w:rPr>
          <w:rFonts w:ascii="Times New Roman" w:hAnsi="Times New Roman"/>
          <w:b/>
          <w:i/>
          <w:sz w:val="22"/>
        </w:rPr>
        <w:t>(No.</w:t>
      </w:r>
      <w:r w:rsidR="003A19F9">
        <w:rPr>
          <w:rFonts w:ascii="Times New Roman" w:hAnsi="Times New Roman"/>
          <w:b/>
          <w:i/>
          <w:sz w:val="22"/>
        </w:rPr>
        <w:t>1</w:t>
      </w:r>
      <w:r w:rsidRPr="0023385F">
        <w:rPr>
          <w:rFonts w:ascii="Times New Roman" w:hAnsi="Times New Roman"/>
          <w:b/>
          <w:i/>
          <w:sz w:val="22"/>
        </w:rPr>
        <w:t>)</w:t>
      </w:r>
      <w:bookmarkEnd w:id="0"/>
    </w:p>
    <w:p w14:paraId="1AB271CB" w14:textId="77777777" w:rsidR="0043460B" w:rsidRPr="0023385F" w:rsidRDefault="0043460B" w:rsidP="0023385F">
      <w:pPr>
        <w:spacing w:before="280" w:after="120"/>
        <w:rPr>
          <w:rFonts w:ascii="Times New Roman" w:hAnsi="Times New Roman"/>
          <w:b/>
          <w:sz w:val="22"/>
          <w:szCs w:val="22"/>
        </w:rPr>
      </w:pPr>
      <w:r w:rsidRPr="0023385F">
        <w:rPr>
          <w:rFonts w:ascii="Times New Roman" w:hAnsi="Times New Roman"/>
          <w:b/>
          <w:sz w:val="22"/>
          <w:szCs w:val="22"/>
        </w:rPr>
        <w:t>Authority</w:t>
      </w:r>
    </w:p>
    <w:p w14:paraId="0649AC1B" w14:textId="3C93C80D" w:rsidR="00EC0ECD" w:rsidRDefault="0043460B" w:rsidP="00431B30">
      <w:pPr>
        <w:rPr>
          <w:rFonts w:ascii="Times New Roman" w:hAnsi="Times New Roman"/>
          <w:sz w:val="22"/>
          <w:szCs w:val="22"/>
        </w:rPr>
      </w:pPr>
      <w:r w:rsidRPr="0023385F">
        <w:rPr>
          <w:rFonts w:ascii="Times New Roman" w:hAnsi="Times New Roman"/>
          <w:sz w:val="22"/>
          <w:szCs w:val="22"/>
        </w:rPr>
        <w:t>The Australian Communications and Media Authority (</w:t>
      </w:r>
      <w:r w:rsidRPr="0023385F">
        <w:rPr>
          <w:rFonts w:ascii="Times New Roman" w:hAnsi="Times New Roman"/>
          <w:b/>
          <w:sz w:val="22"/>
          <w:szCs w:val="22"/>
        </w:rPr>
        <w:t>the ACMA</w:t>
      </w:r>
      <w:r w:rsidRPr="0023385F">
        <w:rPr>
          <w:rFonts w:ascii="Times New Roman" w:hAnsi="Times New Roman"/>
          <w:sz w:val="22"/>
          <w:szCs w:val="22"/>
        </w:rPr>
        <w:t xml:space="preserve">) has made the </w:t>
      </w:r>
      <w:r w:rsidRPr="0023385F">
        <w:rPr>
          <w:rFonts w:ascii="Times New Roman" w:hAnsi="Times New Roman"/>
          <w:i/>
          <w:sz w:val="22"/>
          <w:szCs w:val="22"/>
        </w:rPr>
        <w:t>Radiocommunications (</w:t>
      </w:r>
      <w:r w:rsidR="00C46359">
        <w:rPr>
          <w:rFonts w:ascii="Times New Roman" w:hAnsi="Times New Roman"/>
          <w:i/>
          <w:sz w:val="22"/>
          <w:szCs w:val="22"/>
        </w:rPr>
        <w:t>Spectrum</w:t>
      </w:r>
      <w:r w:rsidRPr="0023385F">
        <w:rPr>
          <w:rFonts w:ascii="Times New Roman" w:hAnsi="Times New Roman"/>
          <w:i/>
          <w:sz w:val="22"/>
          <w:szCs w:val="22"/>
        </w:rPr>
        <w:t xml:space="preserve"> Licence Tax)</w:t>
      </w:r>
      <w:r w:rsidR="00B60F24" w:rsidRPr="0023385F">
        <w:rPr>
          <w:rFonts w:ascii="Times New Roman" w:hAnsi="Times New Roman"/>
          <w:i/>
          <w:sz w:val="22"/>
          <w:szCs w:val="22"/>
        </w:rPr>
        <w:t xml:space="preserve"> Amendment</w:t>
      </w:r>
      <w:r w:rsidRPr="0023385F">
        <w:rPr>
          <w:rFonts w:ascii="Times New Roman" w:hAnsi="Times New Roman"/>
          <w:i/>
          <w:sz w:val="22"/>
          <w:szCs w:val="22"/>
        </w:rPr>
        <w:t xml:space="preserve"> Determination </w:t>
      </w:r>
      <w:r w:rsidR="00157667" w:rsidRPr="0023385F">
        <w:rPr>
          <w:rFonts w:ascii="Times New Roman" w:hAnsi="Times New Roman"/>
          <w:i/>
          <w:sz w:val="22"/>
          <w:szCs w:val="22"/>
        </w:rPr>
        <w:t>20</w:t>
      </w:r>
      <w:r w:rsidR="00157667">
        <w:rPr>
          <w:rFonts w:ascii="Times New Roman" w:hAnsi="Times New Roman"/>
          <w:i/>
          <w:sz w:val="22"/>
          <w:szCs w:val="22"/>
        </w:rPr>
        <w:t xml:space="preserve">20 </w:t>
      </w:r>
      <w:r w:rsidR="00B60F24" w:rsidRPr="0023385F">
        <w:rPr>
          <w:rFonts w:ascii="Times New Roman" w:hAnsi="Times New Roman"/>
          <w:i/>
          <w:sz w:val="22"/>
          <w:szCs w:val="22"/>
        </w:rPr>
        <w:t xml:space="preserve">(No. </w:t>
      </w:r>
      <w:r w:rsidR="00C46359">
        <w:rPr>
          <w:rFonts w:ascii="Times New Roman" w:hAnsi="Times New Roman"/>
          <w:i/>
          <w:sz w:val="22"/>
          <w:szCs w:val="22"/>
        </w:rPr>
        <w:t>1</w:t>
      </w:r>
      <w:r w:rsidR="00B60F24" w:rsidRPr="0023385F">
        <w:rPr>
          <w:rFonts w:ascii="Times New Roman" w:hAnsi="Times New Roman"/>
          <w:i/>
          <w:sz w:val="22"/>
          <w:szCs w:val="22"/>
        </w:rPr>
        <w:t>)</w:t>
      </w:r>
      <w:r w:rsidRPr="0023385F">
        <w:rPr>
          <w:rFonts w:ascii="Times New Roman" w:hAnsi="Times New Roman"/>
          <w:i/>
          <w:sz w:val="22"/>
          <w:szCs w:val="22"/>
        </w:rPr>
        <w:t xml:space="preserve"> </w:t>
      </w:r>
      <w:r w:rsidRPr="0023385F">
        <w:rPr>
          <w:rFonts w:ascii="Times New Roman" w:hAnsi="Times New Roman"/>
          <w:sz w:val="22"/>
          <w:szCs w:val="22"/>
        </w:rPr>
        <w:t>(</w:t>
      </w:r>
      <w:r w:rsidRPr="0023385F">
        <w:rPr>
          <w:rFonts w:ascii="Times New Roman" w:hAnsi="Times New Roman"/>
          <w:b/>
          <w:sz w:val="22"/>
          <w:szCs w:val="22"/>
        </w:rPr>
        <w:t xml:space="preserve">the </w:t>
      </w:r>
      <w:r w:rsidR="00527BA0" w:rsidRPr="0023385F">
        <w:rPr>
          <w:rFonts w:ascii="Times New Roman" w:hAnsi="Times New Roman"/>
          <w:b/>
          <w:sz w:val="22"/>
          <w:szCs w:val="22"/>
        </w:rPr>
        <w:t>Amendment Determination</w:t>
      </w:r>
      <w:r w:rsidRPr="0023385F">
        <w:rPr>
          <w:rFonts w:ascii="Times New Roman" w:hAnsi="Times New Roman"/>
          <w:sz w:val="22"/>
          <w:szCs w:val="22"/>
        </w:rPr>
        <w:t>) under subsection 7</w:t>
      </w:r>
      <w:r w:rsidR="00675A5C">
        <w:rPr>
          <w:rFonts w:ascii="Times New Roman" w:hAnsi="Times New Roman"/>
          <w:sz w:val="22"/>
          <w:szCs w:val="22"/>
        </w:rPr>
        <w:t>(1)</w:t>
      </w:r>
      <w:r w:rsidRPr="0023385F">
        <w:rPr>
          <w:rFonts w:ascii="Times New Roman" w:hAnsi="Times New Roman"/>
          <w:sz w:val="22"/>
          <w:szCs w:val="22"/>
        </w:rPr>
        <w:t xml:space="preserve"> of the </w:t>
      </w:r>
      <w:r w:rsidRPr="0023385F">
        <w:rPr>
          <w:rFonts w:ascii="Times New Roman" w:hAnsi="Times New Roman"/>
          <w:i/>
          <w:sz w:val="22"/>
          <w:szCs w:val="22"/>
        </w:rPr>
        <w:t>Radiocommunications (</w:t>
      </w:r>
      <w:r w:rsidR="003A19F9">
        <w:rPr>
          <w:rFonts w:ascii="Times New Roman" w:hAnsi="Times New Roman"/>
          <w:i/>
          <w:sz w:val="22"/>
          <w:szCs w:val="22"/>
        </w:rPr>
        <w:t xml:space="preserve">Spectrum </w:t>
      </w:r>
      <w:r w:rsidRPr="0023385F">
        <w:rPr>
          <w:rFonts w:ascii="Times New Roman" w:hAnsi="Times New Roman"/>
          <w:i/>
          <w:sz w:val="22"/>
          <w:szCs w:val="22"/>
        </w:rPr>
        <w:t>Licence Tax</w:t>
      </w:r>
      <w:r w:rsidR="00100E1A" w:rsidRPr="0023385F">
        <w:rPr>
          <w:rFonts w:ascii="Times New Roman" w:hAnsi="Times New Roman"/>
          <w:i/>
          <w:sz w:val="22"/>
          <w:szCs w:val="22"/>
        </w:rPr>
        <w:t>)</w:t>
      </w:r>
      <w:r w:rsidRPr="0023385F">
        <w:rPr>
          <w:rFonts w:ascii="Times New Roman" w:hAnsi="Times New Roman"/>
          <w:i/>
          <w:sz w:val="22"/>
          <w:szCs w:val="22"/>
        </w:rPr>
        <w:t xml:space="preserve"> Act 19</w:t>
      </w:r>
      <w:r w:rsidR="003A19F9">
        <w:rPr>
          <w:rFonts w:ascii="Times New Roman" w:hAnsi="Times New Roman"/>
          <w:i/>
          <w:sz w:val="22"/>
          <w:szCs w:val="22"/>
        </w:rPr>
        <w:t>97</w:t>
      </w:r>
      <w:r w:rsidR="005E1EFE" w:rsidRPr="0023385F">
        <w:rPr>
          <w:rFonts w:ascii="Times New Roman" w:hAnsi="Times New Roman"/>
          <w:i/>
          <w:sz w:val="22"/>
          <w:szCs w:val="22"/>
        </w:rPr>
        <w:t xml:space="preserve"> </w:t>
      </w:r>
      <w:r w:rsidR="00083D41" w:rsidRPr="0023385F">
        <w:rPr>
          <w:rFonts w:ascii="Times New Roman" w:hAnsi="Times New Roman"/>
          <w:sz w:val="22"/>
          <w:szCs w:val="22"/>
        </w:rPr>
        <w:t>(</w:t>
      </w:r>
      <w:r w:rsidR="00083D41" w:rsidRPr="0023385F">
        <w:rPr>
          <w:rFonts w:ascii="Times New Roman" w:hAnsi="Times New Roman"/>
          <w:b/>
          <w:sz w:val="22"/>
          <w:szCs w:val="22"/>
        </w:rPr>
        <w:t>the Tax Act</w:t>
      </w:r>
      <w:r w:rsidR="00083D41" w:rsidRPr="0023385F">
        <w:rPr>
          <w:rFonts w:ascii="Times New Roman" w:hAnsi="Times New Roman"/>
          <w:sz w:val="22"/>
          <w:szCs w:val="22"/>
        </w:rPr>
        <w:t xml:space="preserve">) </w:t>
      </w:r>
      <w:r w:rsidR="005E1EFE" w:rsidRPr="0023385F">
        <w:rPr>
          <w:rFonts w:ascii="Times New Roman" w:hAnsi="Times New Roman"/>
          <w:sz w:val="22"/>
          <w:szCs w:val="22"/>
        </w:rPr>
        <w:t xml:space="preserve">and subsection 33(3) of the </w:t>
      </w:r>
      <w:r w:rsidR="00C214A9" w:rsidRPr="0023385F">
        <w:rPr>
          <w:rFonts w:ascii="Times New Roman" w:hAnsi="Times New Roman"/>
          <w:i/>
          <w:sz w:val="22"/>
          <w:szCs w:val="22"/>
        </w:rPr>
        <w:t xml:space="preserve">Acts Interpretation Act 1901 </w:t>
      </w:r>
      <w:r w:rsidR="00C214A9" w:rsidRPr="0023385F">
        <w:rPr>
          <w:rFonts w:ascii="Times New Roman" w:hAnsi="Times New Roman"/>
          <w:sz w:val="22"/>
          <w:szCs w:val="22"/>
        </w:rPr>
        <w:t>(</w:t>
      </w:r>
      <w:r w:rsidR="00C214A9" w:rsidRPr="0023385F">
        <w:rPr>
          <w:rFonts w:ascii="Times New Roman" w:hAnsi="Times New Roman"/>
          <w:b/>
          <w:sz w:val="22"/>
          <w:szCs w:val="22"/>
        </w:rPr>
        <w:t>the AIA</w:t>
      </w:r>
      <w:r w:rsidR="00C214A9" w:rsidRPr="0023385F">
        <w:rPr>
          <w:rFonts w:ascii="Times New Roman" w:hAnsi="Times New Roman"/>
          <w:sz w:val="22"/>
          <w:szCs w:val="22"/>
        </w:rPr>
        <w:t>)</w:t>
      </w:r>
      <w:r w:rsidR="00083D41" w:rsidRPr="0023385F">
        <w:rPr>
          <w:rFonts w:ascii="Times New Roman" w:hAnsi="Times New Roman"/>
          <w:sz w:val="22"/>
          <w:szCs w:val="22"/>
        </w:rPr>
        <w:t xml:space="preserve">. </w:t>
      </w:r>
    </w:p>
    <w:p w14:paraId="0AAF9CD1" w14:textId="5F03333F" w:rsidR="00F50910" w:rsidRPr="0023385F" w:rsidRDefault="00083D41" w:rsidP="00C6069C">
      <w:pPr>
        <w:spacing w:before="120" w:after="120"/>
        <w:rPr>
          <w:rFonts w:ascii="Times New Roman" w:hAnsi="Times New Roman"/>
          <w:sz w:val="22"/>
          <w:szCs w:val="22"/>
        </w:rPr>
      </w:pPr>
      <w:r w:rsidRPr="0023385F">
        <w:rPr>
          <w:rFonts w:ascii="Times New Roman" w:hAnsi="Times New Roman"/>
          <w:sz w:val="22"/>
          <w:szCs w:val="22"/>
        </w:rPr>
        <w:t>Subsection 7</w:t>
      </w:r>
      <w:r w:rsidR="003A19F9">
        <w:rPr>
          <w:rFonts w:ascii="Times New Roman" w:hAnsi="Times New Roman"/>
          <w:sz w:val="22"/>
          <w:szCs w:val="22"/>
        </w:rPr>
        <w:t>(1)</w:t>
      </w:r>
      <w:r w:rsidRPr="0023385F">
        <w:rPr>
          <w:rFonts w:ascii="Times New Roman" w:hAnsi="Times New Roman"/>
          <w:sz w:val="22"/>
          <w:szCs w:val="22"/>
        </w:rPr>
        <w:t xml:space="preserve"> of the Tax Act</w:t>
      </w:r>
      <w:r w:rsidR="00AD242C" w:rsidRPr="0023385F">
        <w:rPr>
          <w:rFonts w:ascii="Times New Roman" w:hAnsi="Times New Roman"/>
          <w:sz w:val="22"/>
          <w:szCs w:val="22"/>
        </w:rPr>
        <w:t xml:space="preserve"> </w:t>
      </w:r>
      <w:r w:rsidR="00F50910" w:rsidRPr="0023385F">
        <w:rPr>
          <w:rFonts w:ascii="Times New Roman" w:hAnsi="Times New Roman"/>
          <w:sz w:val="22"/>
          <w:szCs w:val="22"/>
        </w:rPr>
        <w:t>provides that the</w:t>
      </w:r>
      <w:r w:rsidR="00F74FCB">
        <w:rPr>
          <w:rFonts w:ascii="Times New Roman" w:hAnsi="Times New Roman"/>
          <w:sz w:val="22"/>
          <w:szCs w:val="22"/>
        </w:rPr>
        <w:t xml:space="preserve"> amount of tax imposed in relation to a spectrum licence is the amount ascertained in accordance with a written determination made by the ACMA</w:t>
      </w:r>
      <w:r w:rsidR="00675A5C" w:rsidRPr="00431B30">
        <w:rPr>
          <w:rFonts w:ascii="Times New Roman" w:hAnsi="Times New Roman"/>
          <w:sz w:val="22"/>
          <w:szCs w:val="22"/>
        </w:rPr>
        <w:t>.</w:t>
      </w:r>
      <w:r w:rsidR="00EC0ECD">
        <w:rPr>
          <w:rFonts w:ascii="Times New Roman" w:hAnsi="Times New Roman"/>
          <w:sz w:val="22"/>
          <w:szCs w:val="22"/>
        </w:rPr>
        <w:t xml:space="preserve"> </w:t>
      </w:r>
      <w:r w:rsidR="00F50910" w:rsidRPr="0023385F">
        <w:rPr>
          <w:rFonts w:ascii="Times New Roman" w:hAnsi="Times New Roman"/>
          <w:sz w:val="22"/>
          <w:szCs w:val="22"/>
        </w:rPr>
        <w:t xml:space="preserve">Subsection 33(3) of the </w:t>
      </w:r>
      <w:r w:rsidR="0037389A" w:rsidRPr="0023385F">
        <w:rPr>
          <w:rFonts w:ascii="Times New Roman" w:hAnsi="Times New Roman"/>
          <w:sz w:val="22"/>
          <w:szCs w:val="22"/>
        </w:rPr>
        <w:t xml:space="preserve">AIA </w:t>
      </w:r>
      <w:r w:rsidR="00F50910" w:rsidRPr="0023385F">
        <w:rPr>
          <w:rFonts w:ascii="Times New Roman" w:hAnsi="Times New Roman"/>
          <w:sz w:val="22"/>
          <w:szCs w:val="22"/>
        </w:rPr>
        <w:t>provides that when an Act confers a power to make an instrument, that power shall, unless the contrary intention appears, be construed as including a power exercisable in a like manner and subject to like conditions, to amend that instrument.</w:t>
      </w:r>
    </w:p>
    <w:p w14:paraId="0571B304" w14:textId="77777777" w:rsidR="0043460B" w:rsidRPr="0023385F" w:rsidRDefault="0043460B" w:rsidP="0023385F">
      <w:pPr>
        <w:spacing w:after="120"/>
        <w:rPr>
          <w:rFonts w:ascii="Times New Roman" w:hAnsi="Times New Roman"/>
          <w:b/>
          <w:sz w:val="22"/>
          <w:szCs w:val="22"/>
        </w:rPr>
      </w:pPr>
      <w:r w:rsidRPr="0023385F">
        <w:rPr>
          <w:rFonts w:ascii="Times New Roman" w:hAnsi="Times New Roman"/>
          <w:b/>
          <w:sz w:val="22"/>
          <w:szCs w:val="22"/>
        </w:rPr>
        <w:t>Purpose and operation of the instrument</w:t>
      </w:r>
    </w:p>
    <w:p w14:paraId="47F2FA0E" w14:textId="6A515A79" w:rsidR="007D4982" w:rsidRDefault="0043460B" w:rsidP="00C6069C">
      <w:pPr>
        <w:spacing w:after="120"/>
        <w:rPr>
          <w:rFonts w:ascii="Times New Roman" w:hAnsi="Times New Roman"/>
          <w:sz w:val="22"/>
          <w:szCs w:val="22"/>
        </w:rPr>
      </w:pPr>
      <w:r w:rsidRPr="0023385F">
        <w:rPr>
          <w:rFonts w:ascii="Times New Roman" w:hAnsi="Times New Roman"/>
          <w:sz w:val="22"/>
          <w:szCs w:val="22"/>
        </w:rPr>
        <w:t xml:space="preserve">The </w:t>
      </w:r>
      <w:r w:rsidR="00A13843" w:rsidRPr="0023385F">
        <w:rPr>
          <w:rFonts w:ascii="Times New Roman" w:hAnsi="Times New Roman"/>
          <w:sz w:val="22"/>
          <w:szCs w:val="22"/>
        </w:rPr>
        <w:t xml:space="preserve">Amendment Determination </w:t>
      </w:r>
      <w:r w:rsidR="00005362" w:rsidRPr="0023385F">
        <w:rPr>
          <w:rFonts w:ascii="Times New Roman" w:hAnsi="Times New Roman"/>
          <w:sz w:val="22"/>
          <w:szCs w:val="22"/>
        </w:rPr>
        <w:t xml:space="preserve">amends the </w:t>
      </w:r>
      <w:r w:rsidR="00005362" w:rsidRPr="0023385F">
        <w:rPr>
          <w:rFonts w:ascii="Times New Roman" w:hAnsi="Times New Roman"/>
          <w:i/>
          <w:sz w:val="22"/>
          <w:szCs w:val="22"/>
        </w:rPr>
        <w:t>Radiocommunications (</w:t>
      </w:r>
      <w:r w:rsidR="003A19F9">
        <w:rPr>
          <w:rFonts w:ascii="Times New Roman" w:hAnsi="Times New Roman"/>
          <w:i/>
          <w:sz w:val="22"/>
          <w:szCs w:val="22"/>
        </w:rPr>
        <w:t xml:space="preserve">Spectrum </w:t>
      </w:r>
      <w:r w:rsidR="00005362" w:rsidRPr="0023385F">
        <w:rPr>
          <w:rFonts w:ascii="Times New Roman" w:hAnsi="Times New Roman"/>
          <w:i/>
          <w:sz w:val="22"/>
          <w:szCs w:val="22"/>
        </w:rPr>
        <w:t xml:space="preserve">Licence Tax) Determination </w:t>
      </w:r>
      <w:r w:rsidR="007D4982" w:rsidRPr="00431B30">
        <w:rPr>
          <w:rFonts w:ascii="Times New Roman" w:hAnsi="Times New Roman"/>
          <w:i/>
          <w:sz w:val="22"/>
          <w:szCs w:val="22"/>
        </w:rPr>
        <w:t>2014</w:t>
      </w:r>
      <w:r w:rsidR="007D4982" w:rsidRPr="0023385F">
        <w:rPr>
          <w:rFonts w:ascii="Times New Roman" w:hAnsi="Times New Roman"/>
          <w:i/>
          <w:sz w:val="22"/>
          <w:szCs w:val="22"/>
        </w:rPr>
        <w:t xml:space="preserve"> </w:t>
      </w:r>
      <w:r w:rsidR="00005362" w:rsidRPr="0023385F">
        <w:rPr>
          <w:rFonts w:ascii="Times New Roman" w:hAnsi="Times New Roman"/>
          <w:sz w:val="22"/>
          <w:szCs w:val="22"/>
        </w:rPr>
        <w:t>(</w:t>
      </w:r>
      <w:r w:rsidR="00005362" w:rsidRPr="0023385F">
        <w:rPr>
          <w:rFonts w:ascii="Times New Roman" w:hAnsi="Times New Roman"/>
          <w:b/>
          <w:sz w:val="22"/>
          <w:szCs w:val="22"/>
        </w:rPr>
        <w:t>the Tax Determination</w:t>
      </w:r>
      <w:r w:rsidR="00005362" w:rsidRPr="0023385F">
        <w:rPr>
          <w:rFonts w:ascii="Times New Roman" w:hAnsi="Times New Roman"/>
          <w:sz w:val="22"/>
          <w:szCs w:val="22"/>
        </w:rPr>
        <w:t>)</w:t>
      </w:r>
      <w:r w:rsidR="007D4982">
        <w:rPr>
          <w:rFonts w:ascii="Times New Roman" w:hAnsi="Times New Roman"/>
          <w:sz w:val="22"/>
          <w:szCs w:val="22"/>
        </w:rPr>
        <w:t xml:space="preserve">. </w:t>
      </w:r>
      <w:r w:rsidR="007D4982" w:rsidRPr="007D4982">
        <w:rPr>
          <w:rFonts w:ascii="Times New Roman" w:hAnsi="Times New Roman"/>
          <w:sz w:val="22"/>
          <w:szCs w:val="22"/>
        </w:rPr>
        <w:t xml:space="preserve">The Tax Determination determines the amount of tax imposed by the Tax Act on the initial holding date for a spectrum licence, and on </w:t>
      </w:r>
      <w:r w:rsidR="00F94945">
        <w:rPr>
          <w:rFonts w:ascii="Times New Roman" w:hAnsi="Times New Roman"/>
          <w:sz w:val="22"/>
          <w:szCs w:val="22"/>
        </w:rPr>
        <w:t>each</w:t>
      </w:r>
      <w:r w:rsidR="007D4982" w:rsidRPr="007D4982">
        <w:rPr>
          <w:rFonts w:ascii="Times New Roman" w:hAnsi="Times New Roman"/>
          <w:sz w:val="22"/>
          <w:szCs w:val="22"/>
        </w:rPr>
        <w:t xml:space="preserve"> anniversary of that date. The Tax Determination determines different rates of tax in relation to different classes of spectrum licence.</w:t>
      </w:r>
    </w:p>
    <w:p w14:paraId="409E543C" w14:textId="23CADDBF" w:rsidR="00157667" w:rsidRDefault="00157667" w:rsidP="00C6069C">
      <w:pPr>
        <w:spacing w:after="120"/>
        <w:rPr>
          <w:rFonts w:ascii="Times New Roman" w:hAnsi="Times New Roman"/>
          <w:sz w:val="22"/>
          <w:szCs w:val="22"/>
        </w:rPr>
      </w:pPr>
      <w:bookmarkStart w:id="1" w:name="_Hlk39592044"/>
      <w:r>
        <w:rPr>
          <w:rFonts w:ascii="Times New Roman" w:hAnsi="Times New Roman"/>
          <w:sz w:val="22"/>
          <w:szCs w:val="22"/>
        </w:rPr>
        <w:t xml:space="preserve">The Amendment Determination </w:t>
      </w:r>
      <w:r w:rsidRPr="0023385F">
        <w:rPr>
          <w:rFonts w:ascii="Times New Roman" w:hAnsi="Times New Roman"/>
          <w:sz w:val="22"/>
          <w:szCs w:val="22"/>
        </w:rPr>
        <w:t xml:space="preserve">amends the Tax Determination </w:t>
      </w:r>
      <w:r w:rsidR="007E3927">
        <w:rPr>
          <w:rFonts w:ascii="Times New Roman" w:hAnsi="Times New Roman"/>
          <w:sz w:val="22"/>
          <w:szCs w:val="22"/>
        </w:rPr>
        <w:t xml:space="preserve">to implement </w:t>
      </w:r>
      <w:r w:rsidRPr="00157667">
        <w:rPr>
          <w:rFonts w:ascii="Times New Roman" w:hAnsi="Times New Roman"/>
          <w:sz w:val="22"/>
          <w:szCs w:val="22"/>
        </w:rPr>
        <w:t xml:space="preserve">the </w:t>
      </w:r>
      <w:r w:rsidRPr="003D789F">
        <w:rPr>
          <w:rFonts w:ascii="Times New Roman" w:hAnsi="Times New Roman"/>
          <w:i/>
          <w:iCs/>
          <w:sz w:val="22"/>
          <w:szCs w:val="22"/>
        </w:rPr>
        <w:t>Australian Communications and Media Authority (Modifications to Apparatus and Spectrum Licences Taxes) Direction 2020</w:t>
      </w:r>
      <w:r w:rsidRPr="00157667">
        <w:rPr>
          <w:rFonts w:ascii="Times New Roman" w:hAnsi="Times New Roman"/>
          <w:sz w:val="22"/>
          <w:szCs w:val="22"/>
        </w:rPr>
        <w:t xml:space="preserve"> </w:t>
      </w:r>
      <w:r>
        <w:rPr>
          <w:rFonts w:ascii="Times New Roman" w:hAnsi="Times New Roman"/>
          <w:sz w:val="22"/>
          <w:szCs w:val="22"/>
        </w:rPr>
        <w:t>(</w:t>
      </w:r>
      <w:r w:rsidRPr="00B30D3B">
        <w:rPr>
          <w:rFonts w:ascii="Times New Roman" w:hAnsi="Times New Roman"/>
          <w:b/>
          <w:bCs/>
          <w:sz w:val="22"/>
          <w:szCs w:val="22"/>
        </w:rPr>
        <w:t>the Direction</w:t>
      </w:r>
      <w:r>
        <w:rPr>
          <w:rFonts w:ascii="Times New Roman" w:hAnsi="Times New Roman"/>
          <w:sz w:val="22"/>
          <w:szCs w:val="22"/>
        </w:rPr>
        <w:t>)</w:t>
      </w:r>
      <w:r w:rsidRPr="00157667">
        <w:rPr>
          <w:rFonts w:ascii="Times New Roman" w:hAnsi="Times New Roman"/>
          <w:sz w:val="22"/>
          <w:szCs w:val="22"/>
        </w:rPr>
        <w:t xml:space="preserve">, </w:t>
      </w:r>
      <w:r>
        <w:rPr>
          <w:rFonts w:ascii="Times New Roman" w:hAnsi="Times New Roman"/>
          <w:sz w:val="22"/>
          <w:szCs w:val="22"/>
        </w:rPr>
        <w:t xml:space="preserve">which </w:t>
      </w:r>
      <w:r w:rsidRPr="00157667">
        <w:rPr>
          <w:rFonts w:ascii="Times New Roman" w:hAnsi="Times New Roman"/>
          <w:sz w:val="22"/>
          <w:szCs w:val="22"/>
        </w:rPr>
        <w:t>direct</w:t>
      </w:r>
      <w:r>
        <w:rPr>
          <w:rFonts w:ascii="Times New Roman" w:hAnsi="Times New Roman"/>
          <w:sz w:val="22"/>
          <w:szCs w:val="22"/>
        </w:rPr>
        <w:t>s</w:t>
      </w:r>
      <w:r w:rsidRPr="00157667">
        <w:rPr>
          <w:rFonts w:ascii="Times New Roman" w:hAnsi="Times New Roman"/>
          <w:sz w:val="22"/>
          <w:szCs w:val="22"/>
        </w:rPr>
        <w:t xml:space="preserve"> the ACMA to </w:t>
      </w:r>
      <w:r w:rsidR="00BD2918">
        <w:rPr>
          <w:rFonts w:ascii="Times New Roman" w:hAnsi="Times New Roman"/>
          <w:sz w:val="22"/>
          <w:szCs w:val="22"/>
        </w:rPr>
        <w:t>change</w:t>
      </w:r>
      <w:r w:rsidRPr="00157667">
        <w:rPr>
          <w:rFonts w:ascii="Times New Roman" w:hAnsi="Times New Roman"/>
          <w:sz w:val="22"/>
          <w:szCs w:val="22"/>
        </w:rPr>
        <w:t xml:space="preserve"> the </w:t>
      </w:r>
      <w:r w:rsidR="00BD2918">
        <w:rPr>
          <w:rFonts w:ascii="Times New Roman" w:hAnsi="Times New Roman"/>
          <w:sz w:val="22"/>
          <w:szCs w:val="22"/>
        </w:rPr>
        <w:t>taxation</w:t>
      </w:r>
      <w:r w:rsidRPr="00157667">
        <w:rPr>
          <w:rFonts w:ascii="Times New Roman" w:hAnsi="Times New Roman"/>
          <w:sz w:val="22"/>
          <w:szCs w:val="22"/>
        </w:rPr>
        <w:t xml:space="preserve"> arrangements </w:t>
      </w:r>
      <w:r w:rsidR="00BD2918">
        <w:rPr>
          <w:rFonts w:ascii="Times New Roman" w:hAnsi="Times New Roman"/>
          <w:sz w:val="22"/>
          <w:szCs w:val="22"/>
        </w:rPr>
        <w:t>in relation to revenue collected</w:t>
      </w:r>
      <w:r w:rsidRPr="00157667">
        <w:rPr>
          <w:rFonts w:ascii="Times New Roman" w:hAnsi="Times New Roman"/>
          <w:sz w:val="22"/>
          <w:szCs w:val="22"/>
        </w:rPr>
        <w:t xml:space="preserve"> for the </w:t>
      </w:r>
      <w:r w:rsidR="002662A2">
        <w:rPr>
          <w:rFonts w:ascii="Times New Roman" w:hAnsi="Times New Roman"/>
          <w:sz w:val="22"/>
          <w:szCs w:val="22"/>
        </w:rPr>
        <w:t>e</w:t>
      </w:r>
      <w:r w:rsidRPr="00157667">
        <w:rPr>
          <w:rFonts w:ascii="Times New Roman" w:hAnsi="Times New Roman"/>
          <w:sz w:val="22"/>
          <w:szCs w:val="22"/>
        </w:rPr>
        <w:t xml:space="preserve">nhanced Electromagnetic </w:t>
      </w:r>
      <w:r w:rsidR="00C91D7A">
        <w:rPr>
          <w:rFonts w:ascii="Times New Roman" w:hAnsi="Times New Roman"/>
          <w:sz w:val="22"/>
          <w:szCs w:val="22"/>
        </w:rPr>
        <w:t xml:space="preserve">Energy </w:t>
      </w:r>
      <w:r w:rsidRPr="00157667">
        <w:rPr>
          <w:rFonts w:ascii="Times New Roman" w:hAnsi="Times New Roman"/>
          <w:sz w:val="22"/>
          <w:szCs w:val="22"/>
        </w:rPr>
        <w:t>(</w:t>
      </w:r>
      <w:r w:rsidRPr="00C6069C">
        <w:rPr>
          <w:rFonts w:ascii="Times New Roman" w:hAnsi="Times New Roman"/>
          <w:b/>
          <w:sz w:val="22"/>
          <w:szCs w:val="22"/>
        </w:rPr>
        <w:t>EME</w:t>
      </w:r>
      <w:r w:rsidRPr="00157667">
        <w:rPr>
          <w:rFonts w:ascii="Times New Roman" w:hAnsi="Times New Roman"/>
          <w:sz w:val="22"/>
          <w:szCs w:val="22"/>
        </w:rPr>
        <w:t>) Program</w:t>
      </w:r>
      <w:r w:rsidR="00A1153F">
        <w:rPr>
          <w:rFonts w:ascii="Times New Roman" w:hAnsi="Times New Roman"/>
          <w:sz w:val="22"/>
          <w:szCs w:val="22"/>
        </w:rPr>
        <w:t xml:space="preserve"> (</w:t>
      </w:r>
      <w:r w:rsidRPr="00C6069C">
        <w:rPr>
          <w:rFonts w:ascii="Times New Roman" w:hAnsi="Times New Roman"/>
          <w:b/>
          <w:sz w:val="22"/>
          <w:szCs w:val="22"/>
        </w:rPr>
        <w:t xml:space="preserve">EME </w:t>
      </w:r>
      <w:r w:rsidR="00A1153F" w:rsidRPr="00C6069C">
        <w:rPr>
          <w:rFonts w:ascii="Times New Roman" w:hAnsi="Times New Roman"/>
          <w:b/>
          <w:bCs/>
          <w:sz w:val="22"/>
          <w:szCs w:val="22"/>
        </w:rPr>
        <w:t>Program</w:t>
      </w:r>
      <w:r w:rsidR="00A1153F">
        <w:rPr>
          <w:rFonts w:ascii="Times New Roman" w:hAnsi="Times New Roman"/>
          <w:sz w:val="22"/>
          <w:szCs w:val="22"/>
        </w:rPr>
        <w:t>)</w:t>
      </w:r>
      <w:r w:rsidRPr="00157667">
        <w:rPr>
          <w:rFonts w:ascii="Times New Roman" w:hAnsi="Times New Roman"/>
          <w:sz w:val="22"/>
          <w:szCs w:val="22"/>
        </w:rPr>
        <w:t>.</w:t>
      </w:r>
      <w:r>
        <w:rPr>
          <w:rFonts w:ascii="Times New Roman" w:hAnsi="Times New Roman"/>
          <w:sz w:val="22"/>
          <w:szCs w:val="22"/>
        </w:rPr>
        <w:t xml:space="preserve"> </w:t>
      </w:r>
      <w:r w:rsidR="007D2993">
        <w:rPr>
          <w:rFonts w:ascii="Times New Roman" w:hAnsi="Times New Roman"/>
          <w:sz w:val="22"/>
          <w:szCs w:val="22"/>
        </w:rPr>
        <w:t>As a result of the G</w:t>
      </w:r>
      <w:r w:rsidR="00745ADB">
        <w:rPr>
          <w:rFonts w:ascii="Times New Roman" w:hAnsi="Times New Roman"/>
          <w:sz w:val="22"/>
          <w:szCs w:val="22"/>
        </w:rPr>
        <w:t>overnment’s changes</w:t>
      </w:r>
      <w:r w:rsidRPr="00157667">
        <w:rPr>
          <w:rFonts w:ascii="Times New Roman" w:hAnsi="Times New Roman"/>
          <w:sz w:val="22"/>
          <w:szCs w:val="22"/>
        </w:rPr>
        <w:t xml:space="preserve">, the EME Program </w:t>
      </w:r>
      <w:r w:rsidR="007D2993">
        <w:rPr>
          <w:rFonts w:ascii="Times New Roman" w:hAnsi="Times New Roman"/>
          <w:sz w:val="22"/>
          <w:szCs w:val="22"/>
        </w:rPr>
        <w:t>requires the collection</w:t>
      </w:r>
      <w:r w:rsidR="00745ADB">
        <w:rPr>
          <w:rFonts w:ascii="Times New Roman" w:hAnsi="Times New Roman"/>
          <w:sz w:val="22"/>
          <w:szCs w:val="22"/>
        </w:rPr>
        <w:t xml:space="preserve"> of</w:t>
      </w:r>
      <w:r w:rsidRPr="00157667">
        <w:rPr>
          <w:rFonts w:ascii="Times New Roman" w:hAnsi="Times New Roman"/>
          <w:sz w:val="22"/>
          <w:szCs w:val="22"/>
        </w:rPr>
        <w:t xml:space="preserve"> revenue of $2.6m </w:t>
      </w:r>
      <w:r w:rsidR="00745ADB">
        <w:rPr>
          <w:rFonts w:ascii="Times New Roman" w:hAnsi="Times New Roman"/>
          <w:sz w:val="22"/>
          <w:szCs w:val="22"/>
        </w:rPr>
        <w:t>p.a.</w:t>
      </w:r>
      <w:r w:rsidRPr="00157667">
        <w:rPr>
          <w:rFonts w:ascii="Times New Roman" w:hAnsi="Times New Roman"/>
          <w:sz w:val="22"/>
          <w:szCs w:val="22"/>
        </w:rPr>
        <w:t xml:space="preserve"> over the next three financial years (2020-21 to 2022-23) and $1.9m p.a. (indexed for inflation) from 2023-24 onwards.</w:t>
      </w:r>
    </w:p>
    <w:p w14:paraId="76D4150B" w14:textId="001DAE87" w:rsidR="00157667" w:rsidRPr="00157667" w:rsidRDefault="00157667" w:rsidP="00157667">
      <w:pPr>
        <w:spacing w:after="40"/>
        <w:rPr>
          <w:rFonts w:ascii="Times New Roman" w:hAnsi="Times New Roman"/>
          <w:sz w:val="22"/>
          <w:szCs w:val="22"/>
        </w:rPr>
      </w:pPr>
      <w:r>
        <w:rPr>
          <w:rFonts w:ascii="Times New Roman" w:hAnsi="Times New Roman"/>
          <w:sz w:val="22"/>
          <w:szCs w:val="22"/>
        </w:rPr>
        <w:t>T</w:t>
      </w:r>
      <w:r w:rsidRPr="00157667">
        <w:rPr>
          <w:rFonts w:ascii="Times New Roman" w:hAnsi="Times New Roman"/>
          <w:sz w:val="22"/>
          <w:szCs w:val="22"/>
        </w:rPr>
        <w:t>he Direction</w:t>
      </w:r>
      <w:r>
        <w:rPr>
          <w:rFonts w:ascii="Times New Roman" w:hAnsi="Times New Roman"/>
          <w:sz w:val="22"/>
          <w:szCs w:val="22"/>
        </w:rPr>
        <w:t xml:space="preserve"> </w:t>
      </w:r>
      <w:r w:rsidRPr="00157667">
        <w:rPr>
          <w:rFonts w:ascii="Times New Roman" w:hAnsi="Times New Roman"/>
          <w:sz w:val="22"/>
          <w:szCs w:val="22"/>
        </w:rPr>
        <w:t xml:space="preserve">instructs the ACMA to: </w:t>
      </w:r>
    </w:p>
    <w:p w14:paraId="04E83731" w14:textId="44DE3F78" w:rsidR="00A32FE7" w:rsidRDefault="00157667" w:rsidP="00A32FE7">
      <w:pPr>
        <w:pStyle w:val="ListParagraph"/>
        <w:numPr>
          <w:ilvl w:val="0"/>
          <w:numId w:val="11"/>
        </w:numPr>
        <w:spacing w:after="40"/>
        <w:rPr>
          <w:rFonts w:ascii="Times New Roman" w:hAnsi="Times New Roman"/>
        </w:rPr>
      </w:pPr>
      <w:r w:rsidRPr="00A32FE7">
        <w:rPr>
          <w:rFonts w:ascii="Times New Roman" w:hAnsi="Times New Roman"/>
        </w:rPr>
        <w:t xml:space="preserve">reduce </w:t>
      </w:r>
      <w:r w:rsidR="005C64DB">
        <w:rPr>
          <w:rFonts w:ascii="Times New Roman" w:hAnsi="Times New Roman"/>
        </w:rPr>
        <w:t xml:space="preserve">most </w:t>
      </w:r>
      <w:r w:rsidRPr="004A1882">
        <w:rPr>
          <w:rFonts w:ascii="Times New Roman" w:hAnsi="Times New Roman"/>
        </w:rPr>
        <w:t>apparatus licence taxes</w:t>
      </w:r>
      <w:r w:rsidR="005C64DB">
        <w:rPr>
          <w:rFonts w:ascii="Times New Roman" w:hAnsi="Times New Roman"/>
        </w:rPr>
        <w:t xml:space="preserve"> (both transmitter licence taxes and receiver licence taxes)</w:t>
      </w:r>
      <w:r w:rsidRPr="004A1882">
        <w:rPr>
          <w:rFonts w:ascii="Times New Roman" w:hAnsi="Times New Roman"/>
        </w:rPr>
        <w:t xml:space="preserve"> by 0.8 per cent</w:t>
      </w:r>
      <w:r w:rsidR="00745ADB" w:rsidRPr="00821D5C">
        <w:rPr>
          <w:rFonts w:ascii="Times New Roman" w:hAnsi="Times New Roman"/>
        </w:rPr>
        <w:t xml:space="preserve"> (reflecting the amount collected </w:t>
      </w:r>
      <w:r w:rsidR="00825BCD" w:rsidRPr="006D285B">
        <w:rPr>
          <w:rFonts w:ascii="Times New Roman" w:hAnsi="Times New Roman"/>
        </w:rPr>
        <w:t>by th</w:t>
      </w:r>
      <w:r w:rsidR="00825BCD" w:rsidRPr="00A32FE7">
        <w:rPr>
          <w:rFonts w:ascii="Times New Roman" w:hAnsi="Times New Roman"/>
        </w:rPr>
        <w:t>ese taxes which the Government directed toward the EME Program</w:t>
      </w:r>
      <w:r w:rsidRPr="00A32FE7">
        <w:rPr>
          <w:rFonts w:ascii="Times New Roman" w:hAnsi="Times New Roman"/>
        </w:rPr>
        <w:t xml:space="preserve">); and </w:t>
      </w:r>
    </w:p>
    <w:p w14:paraId="5FFEE92C" w14:textId="37F22A39" w:rsidR="007E3927" w:rsidRPr="004A1882" w:rsidRDefault="00157667" w:rsidP="00C6069C">
      <w:pPr>
        <w:pStyle w:val="ListParagraph"/>
        <w:numPr>
          <w:ilvl w:val="0"/>
          <w:numId w:val="11"/>
        </w:numPr>
        <w:spacing w:after="120" w:line="257" w:lineRule="auto"/>
        <w:ind w:left="1077"/>
        <w:rPr>
          <w:rFonts w:ascii="Times New Roman" w:hAnsi="Times New Roman"/>
        </w:rPr>
      </w:pPr>
      <w:r w:rsidRPr="00A32FE7">
        <w:rPr>
          <w:rFonts w:ascii="Times New Roman" w:hAnsi="Times New Roman"/>
        </w:rPr>
        <w:t xml:space="preserve">recover the </w:t>
      </w:r>
      <w:r w:rsidR="00825BCD" w:rsidRPr="004071DB">
        <w:rPr>
          <w:rFonts w:ascii="Times New Roman" w:hAnsi="Times New Roman"/>
        </w:rPr>
        <w:t xml:space="preserve">EME </w:t>
      </w:r>
      <w:r w:rsidR="00825BCD" w:rsidRPr="00A32FE7">
        <w:rPr>
          <w:rFonts w:ascii="Times New Roman" w:hAnsi="Times New Roman"/>
        </w:rPr>
        <w:t>P</w:t>
      </w:r>
      <w:r w:rsidRPr="00A32FE7">
        <w:rPr>
          <w:rFonts w:ascii="Times New Roman" w:hAnsi="Times New Roman"/>
        </w:rPr>
        <w:t>rogram</w:t>
      </w:r>
      <w:r w:rsidR="00825BCD" w:rsidRPr="004071DB">
        <w:rPr>
          <w:rFonts w:ascii="Times New Roman" w:hAnsi="Times New Roman"/>
        </w:rPr>
        <w:t>’s</w:t>
      </w:r>
      <w:r w:rsidRPr="00A32FE7">
        <w:rPr>
          <w:rFonts w:ascii="Times New Roman" w:hAnsi="Times New Roman"/>
        </w:rPr>
        <w:t xml:space="preserve"> costs from </w:t>
      </w:r>
      <w:r w:rsidR="00825BCD" w:rsidRPr="004071DB">
        <w:rPr>
          <w:rFonts w:ascii="Times New Roman" w:hAnsi="Times New Roman"/>
        </w:rPr>
        <w:t xml:space="preserve">the tax imposed on </w:t>
      </w:r>
      <w:r w:rsidRPr="00A32FE7">
        <w:rPr>
          <w:rFonts w:ascii="Times New Roman" w:hAnsi="Times New Roman"/>
        </w:rPr>
        <w:t xml:space="preserve">spectrum licences, </w:t>
      </w:r>
      <w:r w:rsidR="004071DB">
        <w:rPr>
          <w:rFonts w:ascii="Times New Roman" w:hAnsi="Times New Roman"/>
        </w:rPr>
        <w:t>subject to some exceptions.</w:t>
      </w:r>
      <w:bookmarkEnd w:id="1"/>
    </w:p>
    <w:p w14:paraId="13CDE8F0" w14:textId="74BDFF3F" w:rsidR="003A19F9" w:rsidRDefault="003A19F9" w:rsidP="004071DB">
      <w:pPr>
        <w:spacing w:after="120"/>
        <w:rPr>
          <w:rFonts w:ascii="Times New Roman" w:hAnsi="Times New Roman"/>
          <w:sz w:val="22"/>
          <w:szCs w:val="22"/>
        </w:rPr>
      </w:pPr>
      <w:r>
        <w:rPr>
          <w:rFonts w:ascii="Times New Roman" w:hAnsi="Times New Roman"/>
          <w:sz w:val="22"/>
          <w:szCs w:val="22"/>
        </w:rPr>
        <w:t xml:space="preserve">The </w:t>
      </w:r>
      <w:r w:rsidRPr="00431B30">
        <w:rPr>
          <w:rFonts w:ascii="Times New Roman" w:hAnsi="Times New Roman"/>
          <w:i/>
          <w:iCs/>
          <w:sz w:val="22"/>
          <w:szCs w:val="22"/>
        </w:rPr>
        <w:t>Radiocommunications (Transmitter Licence Tax) Amendment Determination 2020 (No.2)</w:t>
      </w:r>
      <w:r>
        <w:rPr>
          <w:rFonts w:ascii="Times New Roman" w:hAnsi="Times New Roman"/>
          <w:sz w:val="22"/>
          <w:szCs w:val="22"/>
        </w:rPr>
        <w:t xml:space="preserve"> and the </w:t>
      </w:r>
      <w:r w:rsidRPr="00431B30">
        <w:rPr>
          <w:rFonts w:ascii="Times New Roman" w:hAnsi="Times New Roman"/>
          <w:i/>
          <w:iCs/>
          <w:sz w:val="22"/>
          <w:szCs w:val="22"/>
        </w:rPr>
        <w:t>Radiocommunications (Receiver Licence Tax) Amendment Determination 2020 (No.2)</w:t>
      </w:r>
      <w:r>
        <w:rPr>
          <w:rFonts w:ascii="Times New Roman" w:hAnsi="Times New Roman"/>
          <w:sz w:val="22"/>
          <w:szCs w:val="22"/>
        </w:rPr>
        <w:t xml:space="preserve"> </w:t>
      </w:r>
      <w:r w:rsidR="007D4982">
        <w:rPr>
          <w:rFonts w:ascii="Times New Roman" w:hAnsi="Times New Roman"/>
          <w:sz w:val="22"/>
          <w:szCs w:val="22"/>
        </w:rPr>
        <w:t xml:space="preserve">commenced on 1 July 2020 </w:t>
      </w:r>
      <w:r>
        <w:rPr>
          <w:rFonts w:ascii="Times New Roman" w:hAnsi="Times New Roman"/>
          <w:sz w:val="22"/>
          <w:szCs w:val="22"/>
        </w:rPr>
        <w:t>and reduced most apparatus licence</w:t>
      </w:r>
      <w:r w:rsidR="00EB5BFD">
        <w:rPr>
          <w:rFonts w:ascii="Times New Roman" w:hAnsi="Times New Roman"/>
          <w:sz w:val="22"/>
          <w:szCs w:val="22"/>
        </w:rPr>
        <w:t xml:space="preserve"> taxe</w:t>
      </w:r>
      <w:r>
        <w:rPr>
          <w:rFonts w:ascii="Times New Roman" w:hAnsi="Times New Roman"/>
          <w:sz w:val="22"/>
          <w:szCs w:val="22"/>
        </w:rPr>
        <w:t xml:space="preserve">s by 0.8 per cent. </w:t>
      </w:r>
    </w:p>
    <w:p w14:paraId="63907304" w14:textId="45112AC2" w:rsidR="007D4982" w:rsidRDefault="007D4982" w:rsidP="004071DB">
      <w:pPr>
        <w:spacing w:after="120"/>
        <w:rPr>
          <w:rFonts w:ascii="Times New Roman" w:hAnsi="Times New Roman"/>
          <w:sz w:val="22"/>
          <w:szCs w:val="22"/>
        </w:rPr>
      </w:pPr>
      <w:r w:rsidRPr="007D4982">
        <w:rPr>
          <w:rFonts w:ascii="Times New Roman" w:hAnsi="Times New Roman"/>
          <w:sz w:val="22"/>
          <w:szCs w:val="22"/>
        </w:rPr>
        <w:t>The Amendment Determination introduces a</w:t>
      </w:r>
      <w:r w:rsidR="00E55F9E">
        <w:rPr>
          <w:rFonts w:ascii="Times New Roman" w:hAnsi="Times New Roman"/>
          <w:sz w:val="22"/>
          <w:szCs w:val="22"/>
        </w:rPr>
        <w:t>n</w:t>
      </w:r>
      <w:r w:rsidRPr="007D4982">
        <w:rPr>
          <w:rFonts w:ascii="Times New Roman" w:hAnsi="Times New Roman"/>
          <w:sz w:val="22"/>
          <w:szCs w:val="22"/>
        </w:rPr>
        <w:t xml:space="preserve"> </w:t>
      </w:r>
      <w:r w:rsidR="00EB5BFD">
        <w:rPr>
          <w:rFonts w:ascii="Times New Roman" w:hAnsi="Times New Roman"/>
          <w:sz w:val="22"/>
          <w:szCs w:val="22"/>
        </w:rPr>
        <w:t>‘</w:t>
      </w:r>
      <w:r w:rsidRPr="007D4982">
        <w:rPr>
          <w:rFonts w:ascii="Times New Roman" w:hAnsi="Times New Roman"/>
          <w:sz w:val="22"/>
          <w:szCs w:val="22"/>
        </w:rPr>
        <w:t>EME component</w:t>
      </w:r>
      <w:r w:rsidR="00EB5BFD">
        <w:rPr>
          <w:rFonts w:ascii="Times New Roman" w:hAnsi="Times New Roman"/>
          <w:sz w:val="22"/>
          <w:szCs w:val="22"/>
        </w:rPr>
        <w:t>’</w:t>
      </w:r>
      <w:r w:rsidRPr="007D4982">
        <w:rPr>
          <w:rFonts w:ascii="Times New Roman" w:hAnsi="Times New Roman"/>
          <w:sz w:val="22"/>
          <w:szCs w:val="22"/>
        </w:rPr>
        <w:t xml:space="preserve"> </w:t>
      </w:r>
      <w:r w:rsidR="00402F40">
        <w:rPr>
          <w:rFonts w:ascii="Times New Roman" w:hAnsi="Times New Roman"/>
          <w:sz w:val="22"/>
          <w:szCs w:val="22"/>
        </w:rPr>
        <w:t>to</w:t>
      </w:r>
      <w:r w:rsidR="00402F40" w:rsidRPr="007D4982">
        <w:rPr>
          <w:rFonts w:ascii="Times New Roman" w:hAnsi="Times New Roman"/>
          <w:sz w:val="22"/>
          <w:szCs w:val="22"/>
        </w:rPr>
        <w:t xml:space="preserve"> </w:t>
      </w:r>
      <w:r w:rsidRPr="007D4982">
        <w:rPr>
          <w:rFonts w:ascii="Times New Roman" w:hAnsi="Times New Roman"/>
          <w:sz w:val="22"/>
          <w:szCs w:val="22"/>
        </w:rPr>
        <w:t>the spectrum licence tax</w:t>
      </w:r>
      <w:r w:rsidR="00EB5BFD">
        <w:rPr>
          <w:rFonts w:ascii="Times New Roman" w:hAnsi="Times New Roman"/>
          <w:sz w:val="22"/>
          <w:szCs w:val="22"/>
        </w:rPr>
        <w:t>,</w:t>
      </w:r>
      <w:r>
        <w:rPr>
          <w:rFonts w:ascii="Times New Roman" w:hAnsi="Times New Roman"/>
          <w:sz w:val="22"/>
          <w:szCs w:val="22"/>
        </w:rPr>
        <w:t xml:space="preserve"> consistent with the Direction. </w:t>
      </w:r>
      <w:r w:rsidR="00267D5A">
        <w:rPr>
          <w:rFonts w:ascii="Times New Roman" w:hAnsi="Times New Roman"/>
          <w:sz w:val="22"/>
          <w:szCs w:val="22"/>
        </w:rPr>
        <w:t>The EME component only applies to ‘designated spectrum licences’</w:t>
      </w:r>
      <w:r w:rsidR="00402F40">
        <w:rPr>
          <w:rFonts w:ascii="Times New Roman" w:hAnsi="Times New Roman"/>
          <w:sz w:val="22"/>
          <w:szCs w:val="22"/>
        </w:rPr>
        <w:t>, as defined in the Direction</w:t>
      </w:r>
      <w:r w:rsidR="00267D5A">
        <w:rPr>
          <w:rFonts w:ascii="Times New Roman" w:hAnsi="Times New Roman"/>
          <w:sz w:val="22"/>
          <w:szCs w:val="22"/>
        </w:rPr>
        <w:t>. Th</w:t>
      </w:r>
      <w:r w:rsidR="00784078">
        <w:rPr>
          <w:rFonts w:ascii="Times New Roman" w:hAnsi="Times New Roman"/>
          <w:sz w:val="22"/>
          <w:szCs w:val="22"/>
        </w:rPr>
        <w:t>e definition</w:t>
      </w:r>
      <w:r w:rsidR="00267D5A">
        <w:rPr>
          <w:rFonts w:ascii="Times New Roman" w:hAnsi="Times New Roman"/>
          <w:sz w:val="22"/>
          <w:szCs w:val="22"/>
        </w:rPr>
        <w:t xml:space="preserve"> excludes </w:t>
      </w:r>
      <w:r w:rsidR="004777E2">
        <w:rPr>
          <w:rFonts w:ascii="Times New Roman" w:hAnsi="Times New Roman"/>
          <w:sz w:val="22"/>
          <w:szCs w:val="22"/>
        </w:rPr>
        <w:t xml:space="preserve">spectrum </w:t>
      </w:r>
      <w:r w:rsidR="00267D5A">
        <w:rPr>
          <w:rFonts w:ascii="Times New Roman" w:hAnsi="Times New Roman"/>
          <w:sz w:val="22"/>
          <w:szCs w:val="22"/>
        </w:rPr>
        <w:t>licence</w:t>
      </w:r>
      <w:r w:rsidR="004777E2">
        <w:rPr>
          <w:rFonts w:ascii="Times New Roman" w:hAnsi="Times New Roman"/>
          <w:sz w:val="22"/>
          <w:szCs w:val="22"/>
        </w:rPr>
        <w:t>s</w:t>
      </w:r>
      <w:r w:rsidR="00267D5A">
        <w:rPr>
          <w:rFonts w:ascii="Times New Roman" w:hAnsi="Times New Roman"/>
          <w:sz w:val="22"/>
          <w:szCs w:val="22"/>
        </w:rPr>
        <w:t xml:space="preserve"> </w:t>
      </w:r>
      <w:r w:rsidR="00EB5BFD">
        <w:rPr>
          <w:rFonts w:ascii="Times New Roman" w:hAnsi="Times New Roman"/>
          <w:sz w:val="22"/>
          <w:szCs w:val="22"/>
        </w:rPr>
        <w:t xml:space="preserve">required to be </w:t>
      </w:r>
      <w:r w:rsidR="00267D5A">
        <w:rPr>
          <w:rFonts w:ascii="Times New Roman" w:hAnsi="Times New Roman"/>
          <w:sz w:val="22"/>
          <w:szCs w:val="22"/>
        </w:rPr>
        <w:t xml:space="preserve">used for rail </w:t>
      </w:r>
      <w:r w:rsidR="00267D5A" w:rsidRPr="00267D5A">
        <w:rPr>
          <w:rFonts w:ascii="Times New Roman" w:hAnsi="Times New Roman"/>
          <w:sz w:val="22"/>
          <w:szCs w:val="22"/>
        </w:rPr>
        <w:t xml:space="preserve">safety or television outside broadcast services, and </w:t>
      </w:r>
      <w:r w:rsidR="004777E2">
        <w:rPr>
          <w:rFonts w:ascii="Times New Roman" w:hAnsi="Times New Roman"/>
          <w:sz w:val="22"/>
          <w:szCs w:val="22"/>
        </w:rPr>
        <w:t xml:space="preserve">spectrum licences </w:t>
      </w:r>
      <w:r w:rsidR="00267D5A" w:rsidRPr="00267D5A">
        <w:rPr>
          <w:rFonts w:ascii="Times New Roman" w:hAnsi="Times New Roman"/>
          <w:sz w:val="22"/>
          <w:szCs w:val="22"/>
        </w:rPr>
        <w:t>held by Commonwealth departments and agencies.</w:t>
      </w:r>
    </w:p>
    <w:p w14:paraId="34722291" w14:textId="74A7B962" w:rsidR="0043460B" w:rsidRPr="0023385F" w:rsidRDefault="0043460B" w:rsidP="00C6069C">
      <w:pPr>
        <w:spacing w:after="120"/>
        <w:rPr>
          <w:rFonts w:ascii="Times New Roman" w:hAnsi="Times New Roman"/>
          <w:sz w:val="22"/>
          <w:szCs w:val="22"/>
        </w:rPr>
      </w:pPr>
      <w:r w:rsidRPr="0023385F">
        <w:rPr>
          <w:rFonts w:ascii="Times New Roman" w:hAnsi="Times New Roman"/>
          <w:sz w:val="22"/>
          <w:szCs w:val="22"/>
        </w:rPr>
        <w:t xml:space="preserve">A provision-by-provision description of the </w:t>
      </w:r>
      <w:r w:rsidR="00D62409" w:rsidRPr="0023385F">
        <w:rPr>
          <w:rFonts w:ascii="Times New Roman" w:hAnsi="Times New Roman"/>
          <w:sz w:val="22"/>
          <w:szCs w:val="22"/>
        </w:rPr>
        <w:t xml:space="preserve">Amendment Determination </w:t>
      </w:r>
      <w:r w:rsidRPr="0023385F">
        <w:rPr>
          <w:rFonts w:ascii="Times New Roman" w:hAnsi="Times New Roman"/>
          <w:sz w:val="22"/>
          <w:szCs w:val="22"/>
        </w:rPr>
        <w:t xml:space="preserve">is set out in the notes at </w:t>
      </w:r>
      <w:r w:rsidRPr="0023385F">
        <w:rPr>
          <w:rFonts w:ascii="Times New Roman" w:hAnsi="Times New Roman"/>
          <w:b/>
          <w:sz w:val="22"/>
          <w:szCs w:val="22"/>
        </w:rPr>
        <w:t>Attachment A</w:t>
      </w:r>
      <w:r w:rsidRPr="0023385F">
        <w:rPr>
          <w:rFonts w:ascii="Times New Roman" w:hAnsi="Times New Roman"/>
          <w:sz w:val="22"/>
          <w:szCs w:val="22"/>
        </w:rPr>
        <w:t>.</w:t>
      </w:r>
    </w:p>
    <w:p w14:paraId="19A4E573" w14:textId="157AD889" w:rsidR="0043460B" w:rsidRPr="0023385F" w:rsidRDefault="0043460B" w:rsidP="00C6069C">
      <w:pPr>
        <w:spacing w:after="120"/>
        <w:rPr>
          <w:rFonts w:ascii="Times New Roman" w:hAnsi="Times New Roman"/>
          <w:sz w:val="22"/>
          <w:szCs w:val="22"/>
        </w:rPr>
      </w:pPr>
      <w:r w:rsidRPr="0023385F">
        <w:rPr>
          <w:rFonts w:ascii="Times New Roman" w:hAnsi="Times New Roman"/>
          <w:sz w:val="22"/>
          <w:szCs w:val="22"/>
        </w:rPr>
        <w:t xml:space="preserve">The </w:t>
      </w:r>
      <w:r w:rsidR="00100171">
        <w:rPr>
          <w:rFonts w:ascii="Times New Roman" w:hAnsi="Times New Roman"/>
          <w:sz w:val="22"/>
          <w:szCs w:val="22"/>
        </w:rPr>
        <w:t>Amendment Determination</w:t>
      </w:r>
      <w:r w:rsidRPr="0023385F">
        <w:rPr>
          <w:rFonts w:ascii="Times New Roman" w:hAnsi="Times New Roman"/>
          <w:sz w:val="22"/>
          <w:szCs w:val="22"/>
        </w:rPr>
        <w:t xml:space="preserve"> is a</w:t>
      </w:r>
      <w:r w:rsidR="0068070A" w:rsidRPr="0023385F">
        <w:rPr>
          <w:rFonts w:ascii="Times New Roman" w:hAnsi="Times New Roman"/>
          <w:sz w:val="22"/>
          <w:szCs w:val="22"/>
        </w:rPr>
        <w:t xml:space="preserve"> disallowable</w:t>
      </w:r>
      <w:r w:rsidRPr="0023385F">
        <w:rPr>
          <w:rFonts w:ascii="Times New Roman" w:hAnsi="Times New Roman"/>
          <w:sz w:val="22"/>
          <w:szCs w:val="22"/>
        </w:rPr>
        <w:t xml:space="preserve"> legislative instrument for the purposes of the </w:t>
      </w:r>
      <w:r w:rsidRPr="0023385F">
        <w:rPr>
          <w:rFonts w:ascii="Times New Roman" w:hAnsi="Times New Roman"/>
          <w:i/>
          <w:sz w:val="22"/>
          <w:szCs w:val="22"/>
        </w:rPr>
        <w:t xml:space="preserve">Legislation Act 2003 </w:t>
      </w:r>
      <w:r w:rsidRPr="0023385F">
        <w:rPr>
          <w:rFonts w:ascii="Times New Roman" w:hAnsi="Times New Roman"/>
          <w:sz w:val="22"/>
          <w:szCs w:val="22"/>
        </w:rPr>
        <w:t>(</w:t>
      </w:r>
      <w:r w:rsidRPr="0023385F">
        <w:rPr>
          <w:rFonts w:ascii="Times New Roman" w:hAnsi="Times New Roman"/>
          <w:b/>
          <w:sz w:val="22"/>
          <w:szCs w:val="22"/>
        </w:rPr>
        <w:t>the LA</w:t>
      </w:r>
      <w:r w:rsidRPr="0023385F">
        <w:rPr>
          <w:rFonts w:ascii="Times New Roman" w:hAnsi="Times New Roman"/>
          <w:sz w:val="22"/>
          <w:szCs w:val="22"/>
        </w:rPr>
        <w:t xml:space="preserve">). </w:t>
      </w:r>
    </w:p>
    <w:p w14:paraId="66033F45" w14:textId="77777777" w:rsidR="0043460B" w:rsidRPr="0023385F" w:rsidRDefault="0043460B" w:rsidP="00431B30">
      <w:pPr>
        <w:keepNext/>
        <w:spacing w:after="120"/>
        <w:rPr>
          <w:rFonts w:ascii="Times New Roman" w:hAnsi="Times New Roman"/>
          <w:b/>
          <w:sz w:val="22"/>
          <w:szCs w:val="22"/>
        </w:rPr>
      </w:pPr>
      <w:r w:rsidRPr="0023385F">
        <w:rPr>
          <w:rFonts w:ascii="Times New Roman" w:hAnsi="Times New Roman"/>
          <w:b/>
          <w:sz w:val="22"/>
          <w:szCs w:val="22"/>
        </w:rPr>
        <w:lastRenderedPageBreak/>
        <w:t>Documents incorporated by reference</w:t>
      </w:r>
    </w:p>
    <w:p w14:paraId="53CBFD6C" w14:textId="18E564A9" w:rsidR="003565DC" w:rsidRDefault="001E2B87" w:rsidP="00C6069C">
      <w:pPr>
        <w:spacing w:after="120"/>
        <w:rPr>
          <w:rFonts w:ascii="Times New Roman" w:hAnsi="Times New Roman"/>
          <w:sz w:val="22"/>
          <w:szCs w:val="22"/>
        </w:rPr>
      </w:pPr>
      <w:r w:rsidRPr="001E1810">
        <w:rPr>
          <w:rFonts w:ascii="Times New Roman" w:hAnsi="Times New Roman"/>
          <w:sz w:val="22"/>
          <w:szCs w:val="22"/>
        </w:rPr>
        <w:t xml:space="preserve">The </w:t>
      </w:r>
      <w:r>
        <w:rPr>
          <w:rFonts w:ascii="Times New Roman" w:hAnsi="Times New Roman"/>
          <w:sz w:val="22"/>
          <w:szCs w:val="22"/>
        </w:rPr>
        <w:t>Amendment Determination</w:t>
      </w:r>
      <w:r w:rsidRPr="001E1810">
        <w:rPr>
          <w:rFonts w:ascii="Times New Roman" w:hAnsi="Times New Roman"/>
          <w:sz w:val="22"/>
          <w:szCs w:val="22"/>
        </w:rPr>
        <w:t xml:space="preserve"> </w:t>
      </w:r>
      <w:r w:rsidR="00A7698D">
        <w:rPr>
          <w:rFonts w:ascii="Times New Roman" w:hAnsi="Times New Roman"/>
          <w:sz w:val="22"/>
          <w:szCs w:val="22"/>
        </w:rPr>
        <w:t xml:space="preserve">incorporates </w:t>
      </w:r>
      <w:r w:rsidR="00F066EE">
        <w:rPr>
          <w:rFonts w:ascii="Times New Roman" w:hAnsi="Times New Roman"/>
          <w:sz w:val="22"/>
          <w:szCs w:val="22"/>
        </w:rPr>
        <w:t xml:space="preserve">the </w:t>
      </w:r>
      <w:r w:rsidR="00F066EE">
        <w:rPr>
          <w:rFonts w:ascii="Times New Roman" w:hAnsi="Times New Roman"/>
          <w:i/>
          <w:iCs/>
          <w:sz w:val="22"/>
          <w:szCs w:val="22"/>
        </w:rPr>
        <w:t xml:space="preserve">Public Service Act 1999 </w:t>
      </w:r>
      <w:r w:rsidR="00F066EE">
        <w:rPr>
          <w:rFonts w:ascii="Times New Roman" w:hAnsi="Times New Roman"/>
          <w:sz w:val="22"/>
          <w:szCs w:val="22"/>
        </w:rPr>
        <w:t>by reference</w:t>
      </w:r>
      <w:r w:rsidR="005E4016">
        <w:rPr>
          <w:rFonts w:ascii="Times New Roman" w:hAnsi="Times New Roman"/>
          <w:sz w:val="22"/>
          <w:szCs w:val="22"/>
        </w:rPr>
        <w:t xml:space="preserve">, </w:t>
      </w:r>
      <w:r w:rsidR="00CB25BB">
        <w:rPr>
          <w:rFonts w:ascii="Times New Roman" w:hAnsi="Times New Roman"/>
          <w:sz w:val="22"/>
          <w:szCs w:val="22"/>
        </w:rPr>
        <w:t xml:space="preserve">in accordance with section 10 of the </w:t>
      </w:r>
      <w:r w:rsidR="00CB25BB">
        <w:rPr>
          <w:rFonts w:ascii="Times New Roman" w:hAnsi="Times New Roman"/>
          <w:i/>
          <w:iCs/>
          <w:sz w:val="22"/>
          <w:szCs w:val="22"/>
        </w:rPr>
        <w:t xml:space="preserve">Acts Interpretation Act 1901 </w:t>
      </w:r>
      <w:r w:rsidR="00CB25BB">
        <w:rPr>
          <w:rFonts w:ascii="Times New Roman" w:hAnsi="Times New Roman"/>
          <w:sz w:val="22"/>
          <w:szCs w:val="22"/>
        </w:rPr>
        <w:t>and subsection 13(1) of the LA</w:t>
      </w:r>
      <w:r>
        <w:rPr>
          <w:rFonts w:ascii="Times New Roman" w:hAnsi="Times New Roman"/>
          <w:sz w:val="22"/>
          <w:szCs w:val="22"/>
        </w:rPr>
        <w:t>.</w:t>
      </w:r>
      <w:r w:rsidR="00CB25BB">
        <w:rPr>
          <w:rFonts w:ascii="Times New Roman" w:hAnsi="Times New Roman"/>
          <w:sz w:val="22"/>
          <w:szCs w:val="22"/>
        </w:rPr>
        <w:t xml:space="preserve"> </w:t>
      </w:r>
      <w:r w:rsidR="00FD73AB">
        <w:rPr>
          <w:rFonts w:ascii="Times New Roman" w:hAnsi="Times New Roman"/>
          <w:sz w:val="22"/>
          <w:szCs w:val="22"/>
        </w:rPr>
        <w:t xml:space="preserve">The </w:t>
      </w:r>
      <w:r w:rsidR="00FD73AB">
        <w:rPr>
          <w:rFonts w:ascii="Times New Roman" w:hAnsi="Times New Roman"/>
          <w:i/>
          <w:iCs/>
          <w:sz w:val="22"/>
          <w:szCs w:val="22"/>
        </w:rPr>
        <w:t xml:space="preserve">Public Service Act 1999 </w:t>
      </w:r>
      <w:r w:rsidR="00FD73AB">
        <w:rPr>
          <w:rFonts w:ascii="Times New Roman" w:hAnsi="Times New Roman"/>
          <w:sz w:val="22"/>
          <w:szCs w:val="22"/>
        </w:rPr>
        <w:t>may be obtained from the Federal Register of Legislation (</w:t>
      </w:r>
      <w:hyperlink r:id="rId12" w:history="1">
        <w:r w:rsidR="00FD73AB" w:rsidRPr="001313AC">
          <w:rPr>
            <w:rStyle w:val="Hyperlink"/>
            <w:rFonts w:ascii="Times New Roman" w:hAnsi="Times New Roman"/>
            <w:sz w:val="22"/>
            <w:szCs w:val="22"/>
          </w:rPr>
          <w:t>www.legislation.gov.au</w:t>
        </w:r>
      </w:hyperlink>
      <w:r w:rsidR="00FD73AB">
        <w:rPr>
          <w:rFonts w:ascii="Times New Roman" w:hAnsi="Times New Roman"/>
          <w:sz w:val="22"/>
          <w:szCs w:val="22"/>
        </w:rPr>
        <w:t xml:space="preserve">). </w:t>
      </w:r>
    </w:p>
    <w:p w14:paraId="3C6C58D1" w14:textId="77777777" w:rsidR="0043460B" w:rsidRPr="0023385F" w:rsidRDefault="0043460B" w:rsidP="00C6069C">
      <w:pPr>
        <w:keepNext/>
        <w:spacing w:after="120"/>
        <w:rPr>
          <w:rFonts w:ascii="Times New Roman" w:hAnsi="Times New Roman"/>
          <w:b/>
          <w:sz w:val="22"/>
          <w:szCs w:val="22"/>
        </w:rPr>
      </w:pPr>
      <w:r w:rsidRPr="0023385F">
        <w:rPr>
          <w:rFonts w:ascii="Times New Roman" w:hAnsi="Times New Roman"/>
          <w:b/>
          <w:sz w:val="22"/>
          <w:szCs w:val="22"/>
        </w:rPr>
        <w:t>Consultation</w:t>
      </w:r>
    </w:p>
    <w:p w14:paraId="36AC4247" w14:textId="2A5BDDBA" w:rsidR="00B2090B" w:rsidRDefault="0043460B" w:rsidP="00C6069C">
      <w:pPr>
        <w:spacing w:after="120"/>
        <w:rPr>
          <w:rFonts w:ascii="Times New Roman" w:hAnsi="Times New Roman"/>
          <w:sz w:val="22"/>
          <w:szCs w:val="22"/>
        </w:rPr>
      </w:pPr>
      <w:r w:rsidRPr="0023385F">
        <w:rPr>
          <w:rFonts w:ascii="Times New Roman" w:hAnsi="Times New Roman"/>
          <w:sz w:val="22"/>
          <w:szCs w:val="22"/>
        </w:rPr>
        <w:t xml:space="preserve">Before the </w:t>
      </w:r>
      <w:r w:rsidR="00100171">
        <w:rPr>
          <w:rFonts w:ascii="Times New Roman" w:hAnsi="Times New Roman"/>
          <w:sz w:val="22"/>
          <w:szCs w:val="22"/>
        </w:rPr>
        <w:t>Amendment Determination</w:t>
      </w:r>
      <w:r w:rsidRPr="0023385F">
        <w:rPr>
          <w:rFonts w:ascii="Times New Roman" w:hAnsi="Times New Roman"/>
          <w:sz w:val="22"/>
          <w:szCs w:val="22"/>
        </w:rPr>
        <w:t xml:space="preserve"> was made, the ACMA was satisfied that consultation was undertaken to the extent appropriate and reasonably practicable, in accordance with section 17 of the LA.</w:t>
      </w:r>
    </w:p>
    <w:p w14:paraId="0DFE1D61" w14:textId="54C8CA84" w:rsidR="001F75C1" w:rsidRDefault="001F75C1" w:rsidP="001F75C1">
      <w:pPr>
        <w:spacing w:after="120"/>
        <w:rPr>
          <w:rFonts w:ascii="Times New Roman" w:hAnsi="Times New Roman"/>
          <w:sz w:val="22"/>
          <w:szCs w:val="22"/>
        </w:rPr>
      </w:pPr>
      <w:bookmarkStart w:id="2" w:name="_Hlk39592077"/>
      <w:r>
        <w:rPr>
          <w:rFonts w:ascii="Times New Roman" w:hAnsi="Times New Roman"/>
          <w:sz w:val="22"/>
          <w:szCs w:val="22"/>
        </w:rPr>
        <w:t>The ACMA</w:t>
      </w:r>
      <w:r w:rsidR="007934AC">
        <w:rPr>
          <w:rFonts w:ascii="Times New Roman" w:hAnsi="Times New Roman"/>
          <w:sz w:val="22"/>
          <w:szCs w:val="22"/>
        </w:rPr>
        <w:t xml:space="preserve"> published a consultation </w:t>
      </w:r>
      <w:r w:rsidR="002962B4">
        <w:rPr>
          <w:rFonts w:ascii="Times New Roman" w:hAnsi="Times New Roman"/>
          <w:sz w:val="22"/>
          <w:szCs w:val="22"/>
        </w:rPr>
        <w:t>paper that set out its proposed method for apportioning the recover</w:t>
      </w:r>
      <w:r w:rsidR="005C72EE">
        <w:rPr>
          <w:rFonts w:ascii="Times New Roman" w:hAnsi="Times New Roman"/>
          <w:sz w:val="22"/>
          <w:szCs w:val="22"/>
        </w:rPr>
        <w:t>y</w:t>
      </w:r>
      <w:r w:rsidR="002962B4">
        <w:rPr>
          <w:rFonts w:ascii="Times New Roman" w:hAnsi="Times New Roman"/>
          <w:sz w:val="22"/>
          <w:szCs w:val="22"/>
        </w:rPr>
        <w:t xml:space="preserve"> of the </w:t>
      </w:r>
      <w:r w:rsidR="009D3FD5">
        <w:rPr>
          <w:rFonts w:ascii="Times New Roman" w:hAnsi="Times New Roman"/>
          <w:sz w:val="22"/>
          <w:szCs w:val="22"/>
        </w:rPr>
        <w:t xml:space="preserve">EME component among designated spectrum licences on 15 July 2020, and called for responses by 14 August 2020. </w:t>
      </w:r>
      <w:r w:rsidR="000B6D17">
        <w:rPr>
          <w:rFonts w:ascii="Times New Roman" w:hAnsi="Times New Roman"/>
          <w:sz w:val="22"/>
          <w:szCs w:val="22"/>
        </w:rPr>
        <w:t>The ACMA also specifically</w:t>
      </w:r>
      <w:r>
        <w:rPr>
          <w:rFonts w:ascii="Times New Roman" w:hAnsi="Times New Roman"/>
          <w:sz w:val="22"/>
          <w:szCs w:val="22"/>
        </w:rPr>
        <w:t xml:space="preserve"> consulted with spectrum licensees in August 2020 and </w:t>
      </w:r>
      <w:r w:rsidR="004777E2">
        <w:rPr>
          <w:rFonts w:ascii="Times New Roman" w:hAnsi="Times New Roman"/>
          <w:sz w:val="22"/>
          <w:szCs w:val="22"/>
        </w:rPr>
        <w:t xml:space="preserve">answered </w:t>
      </w:r>
      <w:r>
        <w:rPr>
          <w:rFonts w:ascii="Times New Roman" w:hAnsi="Times New Roman"/>
          <w:sz w:val="22"/>
          <w:szCs w:val="22"/>
        </w:rPr>
        <w:t>questions from the Australasian Railway Association (</w:t>
      </w:r>
      <w:r w:rsidRPr="00431B30">
        <w:rPr>
          <w:rFonts w:ascii="Times New Roman" w:hAnsi="Times New Roman"/>
          <w:b/>
          <w:bCs/>
          <w:sz w:val="22"/>
          <w:szCs w:val="22"/>
        </w:rPr>
        <w:t>ARA</w:t>
      </w:r>
      <w:r>
        <w:rPr>
          <w:rFonts w:ascii="Times New Roman" w:hAnsi="Times New Roman"/>
          <w:sz w:val="22"/>
          <w:szCs w:val="22"/>
        </w:rPr>
        <w:t xml:space="preserve">) and Telstra clarifying the proposed method for calculating the new EME component. The ACMA </w:t>
      </w:r>
      <w:r w:rsidR="00705728">
        <w:rPr>
          <w:rFonts w:ascii="Times New Roman" w:hAnsi="Times New Roman"/>
          <w:sz w:val="22"/>
          <w:szCs w:val="22"/>
        </w:rPr>
        <w:t xml:space="preserve">also </w:t>
      </w:r>
      <w:r>
        <w:rPr>
          <w:rFonts w:ascii="Times New Roman" w:hAnsi="Times New Roman"/>
          <w:sz w:val="22"/>
          <w:szCs w:val="22"/>
        </w:rPr>
        <w:t>received</w:t>
      </w:r>
      <w:r w:rsidR="00220FB1">
        <w:rPr>
          <w:rFonts w:ascii="Times New Roman" w:hAnsi="Times New Roman"/>
          <w:sz w:val="22"/>
          <w:szCs w:val="22"/>
        </w:rPr>
        <w:t xml:space="preserve"> </w:t>
      </w:r>
      <w:r w:rsidR="00C03808">
        <w:rPr>
          <w:rFonts w:ascii="Times New Roman" w:hAnsi="Times New Roman"/>
          <w:sz w:val="22"/>
          <w:szCs w:val="22"/>
        </w:rPr>
        <w:t xml:space="preserve">a </w:t>
      </w:r>
      <w:r>
        <w:rPr>
          <w:rFonts w:ascii="Times New Roman" w:hAnsi="Times New Roman"/>
          <w:sz w:val="22"/>
          <w:szCs w:val="22"/>
        </w:rPr>
        <w:t xml:space="preserve">submission from the Australian Mobile Telecommunications Association </w:t>
      </w:r>
      <w:r w:rsidRPr="00220FB1">
        <w:rPr>
          <w:rFonts w:ascii="Times New Roman" w:hAnsi="Times New Roman"/>
          <w:sz w:val="22"/>
          <w:szCs w:val="22"/>
        </w:rPr>
        <w:t>(</w:t>
      </w:r>
      <w:r w:rsidRPr="00191B56">
        <w:rPr>
          <w:rFonts w:ascii="Times New Roman" w:hAnsi="Times New Roman"/>
          <w:b/>
          <w:bCs/>
          <w:sz w:val="22"/>
          <w:szCs w:val="22"/>
        </w:rPr>
        <w:t>AMTA</w:t>
      </w:r>
      <w:r w:rsidRPr="00191B56">
        <w:rPr>
          <w:rFonts w:ascii="Times New Roman" w:hAnsi="Times New Roman"/>
          <w:sz w:val="22"/>
          <w:szCs w:val="22"/>
        </w:rPr>
        <w:t>)</w:t>
      </w:r>
      <w:r w:rsidR="00191B56">
        <w:rPr>
          <w:rFonts w:ascii="Times New Roman" w:hAnsi="Times New Roman"/>
          <w:sz w:val="22"/>
          <w:szCs w:val="22"/>
        </w:rPr>
        <w:t xml:space="preserve"> </w:t>
      </w:r>
      <w:r w:rsidR="00C03808">
        <w:rPr>
          <w:rFonts w:ascii="Times New Roman" w:hAnsi="Times New Roman"/>
          <w:sz w:val="22"/>
          <w:szCs w:val="22"/>
        </w:rPr>
        <w:t xml:space="preserve">that </w:t>
      </w:r>
      <w:r w:rsidR="00191B56">
        <w:rPr>
          <w:rFonts w:ascii="Times New Roman" w:hAnsi="Times New Roman"/>
          <w:sz w:val="22"/>
          <w:szCs w:val="22"/>
        </w:rPr>
        <w:t>Telstra</w:t>
      </w:r>
      <w:r w:rsidR="00C03808">
        <w:rPr>
          <w:rFonts w:ascii="Times New Roman" w:hAnsi="Times New Roman"/>
          <w:sz w:val="22"/>
          <w:szCs w:val="22"/>
        </w:rPr>
        <w:t xml:space="preserve"> endorsed</w:t>
      </w:r>
      <w:r>
        <w:rPr>
          <w:rFonts w:ascii="Times New Roman" w:hAnsi="Times New Roman"/>
          <w:sz w:val="22"/>
          <w:szCs w:val="22"/>
        </w:rPr>
        <w:t xml:space="preserve">. </w:t>
      </w:r>
      <w:r w:rsidR="00860C09">
        <w:rPr>
          <w:rFonts w:ascii="Times New Roman" w:hAnsi="Times New Roman"/>
          <w:sz w:val="22"/>
          <w:szCs w:val="22"/>
        </w:rPr>
        <w:t xml:space="preserve">AMTA </w:t>
      </w:r>
      <w:r w:rsidR="007A01F6">
        <w:rPr>
          <w:rFonts w:ascii="Times New Roman" w:hAnsi="Times New Roman"/>
          <w:sz w:val="22"/>
          <w:szCs w:val="22"/>
        </w:rPr>
        <w:t>did not suggest any changes to</w:t>
      </w:r>
      <w:r>
        <w:rPr>
          <w:rFonts w:ascii="Times New Roman" w:hAnsi="Times New Roman"/>
          <w:sz w:val="22"/>
          <w:szCs w:val="22"/>
        </w:rPr>
        <w:t xml:space="preserve"> the proposed method but sought further detail about the EME Program and how the funds would be spent. </w:t>
      </w:r>
      <w:r w:rsidR="00191B56">
        <w:rPr>
          <w:rFonts w:ascii="Times New Roman" w:hAnsi="Times New Roman"/>
          <w:sz w:val="22"/>
          <w:szCs w:val="22"/>
        </w:rPr>
        <w:t xml:space="preserve">The ACMA referred these requests to the Department of Infrastructure, Transport, Regional Development, and Communications. </w:t>
      </w:r>
    </w:p>
    <w:bookmarkEnd w:id="2"/>
    <w:p w14:paraId="1BFF87E8" w14:textId="77777777" w:rsidR="0043460B" w:rsidRPr="0023385F" w:rsidRDefault="0043460B" w:rsidP="0023385F">
      <w:pPr>
        <w:spacing w:after="120"/>
        <w:rPr>
          <w:rFonts w:ascii="Times New Roman" w:hAnsi="Times New Roman"/>
          <w:b/>
          <w:sz w:val="22"/>
          <w:szCs w:val="22"/>
        </w:rPr>
      </w:pPr>
      <w:r w:rsidRPr="0023385F">
        <w:rPr>
          <w:rFonts w:ascii="Times New Roman" w:hAnsi="Times New Roman"/>
          <w:b/>
          <w:sz w:val="22"/>
          <w:szCs w:val="22"/>
        </w:rPr>
        <w:t>Regulatory impact assessment</w:t>
      </w:r>
    </w:p>
    <w:p w14:paraId="4C2DF537" w14:textId="28CEA0FB" w:rsidR="007E3927" w:rsidRDefault="0043460B" w:rsidP="00C6069C">
      <w:pPr>
        <w:spacing w:after="120"/>
        <w:rPr>
          <w:rFonts w:ascii="Times New Roman" w:hAnsi="Times New Roman"/>
          <w:sz w:val="22"/>
          <w:szCs w:val="22"/>
        </w:rPr>
      </w:pPr>
      <w:bookmarkStart w:id="3" w:name="_Hlk39592092"/>
      <w:r w:rsidRPr="0023385F">
        <w:rPr>
          <w:rFonts w:ascii="Times New Roman" w:hAnsi="Times New Roman"/>
          <w:sz w:val="22"/>
          <w:szCs w:val="22"/>
        </w:rPr>
        <w:t>The Office of Best Practice Regulation (</w:t>
      </w:r>
      <w:r w:rsidRPr="00C6069C">
        <w:rPr>
          <w:rFonts w:ascii="Times New Roman" w:hAnsi="Times New Roman"/>
          <w:b/>
          <w:sz w:val="22"/>
          <w:szCs w:val="22"/>
        </w:rPr>
        <w:t>OBPR</w:t>
      </w:r>
      <w:r w:rsidRPr="0023385F">
        <w:rPr>
          <w:rFonts w:ascii="Times New Roman" w:hAnsi="Times New Roman"/>
          <w:sz w:val="22"/>
          <w:szCs w:val="22"/>
        </w:rPr>
        <w:t>) has</w:t>
      </w:r>
      <w:r w:rsidR="007E3927">
        <w:rPr>
          <w:rFonts w:ascii="Times New Roman" w:hAnsi="Times New Roman"/>
          <w:sz w:val="22"/>
          <w:szCs w:val="22"/>
        </w:rPr>
        <w:t xml:space="preserve"> advised that </w:t>
      </w:r>
      <w:r w:rsidR="008F7A69">
        <w:rPr>
          <w:rFonts w:ascii="Times New Roman" w:hAnsi="Times New Roman"/>
          <w:sz w:val="22"/>
          <w:szCs w:val="22"/>
        </w:rPr>
        <w:t>these amendments</w:t>
      </w:r>
      <w:r w:rsidRPr="0023385F">
        <w:rPr>
          <w:rFonts w:ascii="Times New Roman" w:hAnsi="Times New Roman"/>
          <w:sz w:val="22"/>
          <w:szCs w:val="22"/>
        </w:rPr>
        <w:t xml:space="preserve"> </w:t>
      </w:r>
      <w:r w:rsidR="007E3927" w:rsidRPr="007E3927">
        <w:rPr>
          <w:rFonts w:ascii="Times New Roman" w:hAnsi="Times New Roman"/>
          <w:sz w:val="22"/>
          <w:szCs w:val="22"/>
        </w:rPr>
        <w:t xml:space="preserve">would not give rise to a regulatory change </w:t>
      </w:r>
      <w:r w:rsidR="008F7A69">
        <w:rPr>
          <w:rFonts w:ascii="Times New Roman" w:hAnsi="Times New Roman"/>
          <w:sz w:val="22"/>
          <w:szCs w:val="22"/>
        </w:rPr>
        <w:t>and t</w:t>
      </w:r>
      <w:r w:rsidR="007E3927" w:rsidRPr="007E3927">
        <w:rPr>
          <w:rFonts w:ascii="Times New Roman" w:hAnsi="Times New Roman"/>
          <w:sz w:val="22"/>
          <w:szCs w:val="22"/>
        </w:rPr>
        <w:t>herefore</w:t>
      </w:r>
      <w:r w:rsidR="00B144FC" w:rsidRPr="00B144FC">
        <w:rPr>
          <w:rFonts w:ascii="Times New Roman" w:hAnsi="Times New Roman"/>
          <w:sz w:val="22"/>
          <w:szCs w:val="22"/>
        </w:rPr>
        <w:t xml:space="preserve"> </w:t>
      </w:r>
      <w:r w:rsidR="00B144FC" w:rsidRPr="001E1810">
        <w:rPr>
          <w:rFonts w:ascii="Times New Roman" w:hAnsi="Times New Roman"/>
          <w:sz w:val="22"/>
          <w:szCs w:val="22"/>
        </w:rPr>
        <w:t>formed the opinion that no regulatory impact analysis is required</w:t>
      </w:r>
      <w:r w:rsidR="008F7A69" w:rsidRPr="008F7A69">
        <w:rPr>
          <w:rFonts w:ascii="Times New Roman" w:hAnsi="Times New Roman"/>
          <w:sz w:val="22"/>
          <w:szCs w:val="22"/>
        </w:rPr>
        <w:t xml:space="preserve"> </w:t>
      </w:r>
      <w:r w:rsidR="008F7A69" w:rsidRPr="007E3927">
        <w:rPr>
          <w:rFonts w:ascii="Times New Roman" w:hAnsi="Times New Roman"/>
          <w:sz w:val="22"/>
          <w:szCs w:val="22"/>
        </w:rPr>
        <w:t>(OBPR reference: 25404).</w:t>
      </w:r>
    </w:p>
    <w:bookmarkEnd w:id="3"/>
    <w:p w14:paraId="62CB593B" w14:textId="77777777" w:rsidR="0043460B" w:rsidRPr="001E2B87" w:rsidRDefault="0043460B" w:rsidP="0023385F">
      <w:pPr>
        <w:spacing w:after="120"/>
        <w:rPr>
          <w:rFonts w:ascii="Times New Roman" w:hAnsi="Times New Roman"/>
          <w:b/>
          <w:sz w:val="22"/>
          <w:szCs w:val="22"/>
        </w:rPr>
      </w:pPr>
      <w:r w:rsidRPr="001E2B87">
        <w:rPr>
          <w:rFonts w:ascii="Times New Roman" w:hAnsi="Times New Roman"/>
          <w:b/>
          <w:sz w:val="22"/>
          <w:szCs w:val="22"/>
        </w:rPr>
        <w:t>Statement of compatibility with human rights</w:t>
      </w:r>
    </w:p>
    <w:p w14:paraId="58EAC28A" w14:textId="77777777" w:rsidR="00CC282C" w:rsidRDefault="0043460B" w:rsidP="002A1DDB">
      <w:pPr>
        <w:spacing w:after="120"/>
        <w:jc w:val="both"/>
        <w:rPr>
          <w:rFonts w:ascii="Times New Roman" w:hAnsi="Times New Roman"/>
          <w:sz w:val="22"/>
          <w:szCs w:val="22"/>
        </w:rPr>
      </w:pPr>
      <w:r w:rsidRPr="001E2B87">
        <w:rPr>
          <w:rFonts w:ascii="Times New Roman" w:hAnsi="Times New Roman"/>
          <w:sz w:val="22"/>
          <w:szCs w:val="22"/>
        </w:rPr>
        <w:t xml:space="preserve">Subsection 9(1) of the </w:t>
      </w:r>
      <w:r w:rsidRPr="001E2B87">
        <w:rPr>
          <w:rFonts w:ascii="Times New Roman" w:hAnsi="Times New Roman"/>
          <w:i/>
          <w:sz w:val="22"/>
          <w:szCs w:val="22"/>
        </w:rPr>
        <w:t>Human Rights (Parliamentary Scrutiny) Act 2011</w:t>
      </w:r>
      <w:r w:rsidRPr="001E2B87">
        <w:rPr>
          <w:rFonts w:ascii="Times New Roman" w:hAnsi="Times New Roman"/>
          <w:sz w:val="22"/>
          <w:szCs w:val="22"/>
        </w:rPr>
        <w:t xml:space="preserve"> requires a rule maker in relation to a legislative instrument to which section 42 (disallowance) of the </w:t>
      </w:r>
      <w:r w:rsidR="00261CC0" w:rsidRPr="001E2B87">
        <w:rPr>
          <w:rFonts w:ascii="Times New Roman" w:hAnsi="Times New Roman"/>
          <w:sz w:val="22"/>
          <w:szCs w:val="22"/>
        </w:rPr>
        <w:t>LA</w:t>
      </w:r>
      <w:r w:rsidRPr="001E2B87">
        <w:rPr>
          <w:rFonts w:ascii="Times New Roman" w:hAnsi="Times New Roman"/>
          <w:sz w:val="22"/>
          <w:szCs w:val="22"/>
        </w:rPr>
        <w:t xml:space="preserve"> applies, to cause a statement of compatibility with human rights to be prepared in respect of that legislative instrument.</w:t>
      </w:r>
    </w:p>
    <w:p w14:paraId="2E2B290A" w14:textId="1BD36B97" w:rsidR="0043460B" w:rsidRPr="001E2B87" w:rsidRDefault="006D3466" w:rsidP="00C6069C">
      <w:pPr>
        <w:spacing w:after="120"/>
        <w:jc w:val="both"/>
        <w:rPr>
          <w:rFonts w:ascii="Times New Roman" w:hAnsi="Times New Roman"/>
          <w:sz w:val="22"/>
          <w:szCs w:val="22"/>
        </w:rPr>
      </w:pPr>
      <w:r w:rsidRPr="001E2B87">
        <w:rPr>
          <w:rFonts w:ascii="Times New Roman" w:hAnsi="Times New Roman"/>
          <w:sz w:val="22"/>
          <w:szCs w:val="22"/>
        </w:rPr>
        <w:t xml:space="preserve">This statement has been prepared in </w:t>
      </w:r>
      <w:r w:rsidR="00805633" w:rsidRPr="001E2B87">
        <w:rPr>
          <w:rFonts w:ascii="Times New Roman" w:hAnsi="Times New Roman"/>
          <w:sz w:val="22"/>
          <w:szCs w:val="22"/>
        </w:rPr>
        <w:t>accordance with that requirement</w:t>
      </w:r>
      <w:r w:rsidR="00D90B41" w:rsidRPr="001E2B87">
        <w:rPr>
          <w:rFonts w:ascii="Times New Roman" w:hAnsi="Times New Roman"/>
          <w:sz w:val="22"/>
          <w:szCs w:val="22"/>
        </w:rPr>
        <w:t>.</w:t>
      </w:r>
    </w:p>
    <w:p w14:paraId="56978278" w14:textId="22FC6CA6" w:rsidR="00F623B2" w:rsidRPr="001E2B87" w:rsidRDefault="00F623B2" w:rsidP="00C6069C">
      <w:pPr>
        <w:spacing w:after="120"/>
        <w:jc w:val="both"/>
        <w:rPr>
          <w:rFonts w:ascii="Times New Roman" w:hAnsi="Times New Roman"/>
          <w:b/>
          <w:i/>
          <w:sz w:val="22"/>
          <w:szCs w:val="22"/>
        </w:rPr>
      </w:pPr>
      <w:r w:rsidRPr="001E2B87">
        <w:rPr>
          <w:rFonts w:ascii="Times New Roman" w:hAnsi="Times New Roman"/>
          <w:b/>
          <w:i/>
          <w:sz w:val="22"/>
          <w:szCs w:val="22"/>
        </w:rPr>
        <w:t>Overview of the instrument</w:t>
      </w:r>
    </w:p>
    <w:p w14:paraId="78322662" w14:textId="2DECC110" w:rsidR="0049684A" w:rsidRDefault="00661DA0" w:rsidP="002A1DDB">
      <w:pPr>
        <w:spacing w:after="120"/>
        <w:jc w:val="both"/>
        <w:rPr>
          <w:rFonts w:ascii="Times New Roman" w:hAnsi="Times New Roman"/>
          <w:sz w:val="22"/>
          <w:szCs w:val="22"/>
        </w:rPr>
      </w:pPr>
      <w:bookmarkStart w:id="4" w:name="_Hlk39592171"/>
      <w:r>
        <w:rPr>
          <w:rFonts w:ascii="Times New Roman" w:hAnsi="Times New Roman"/>
          <w:sz w:val="22"/>
          <w:szCs w:val="22"/>
        </w:rPr>
        <w:t xml:space="preserve">The </w:t>
      </w:r>
      <w:r w:rsidR="0049684A">
        <w:rPr>
          <w:rFonts w:ascii="Times New Roman" w:hAnsi="Times New Roman"/>
          <w:sz w:val="22"/>
          <w:szCs w:val="22"/>
        </w:rPr>
        <w:t xml:space="preserve">Amendment </w:t>
      </w:r>
      <w:r>
        <w:rPr>
          <w:rFonts w:ascii="Times New Roman" w:hAnsi="Times New Roman"/>
          <w:sz w:val="22"/>
          <w:szCs w:val="22"/>
        </w:rPr>
        <w:t xml:space="preserve">Determination </w:t>
      </w:r>
      <w:r w:rsidR="0049684A">
        <w:rPr>
          <w:rFonts w:ascii="Times New Roman" w:hAnsi="Times New Roman"/>
          <w:sz w:val="22"/>
          <w:szCs w:val="22"/>
        </w:rPr>
        <w:t xml:space="preserve">introduces the new EME component of the </w:t>
      </w:r>
      <w:r w:rsidR="00815A87">
        <w:rPr>
          <w:rFonts w:ascii="Times New Roman" w:hAnsi="Times New Roman"/>
          <w:sz w:val="22"/>
          <w:szCs w:val="22"/>
        </w:rPr>
        <w:t>spectrum licence tax imposed on</w:t>
      </w:r>
      <w:r w:rsidR="00267D5A">
        <w:rPr>
          <w:rFonts w:ascii="Times New Roman" w:hAnsi="Times New Roman"/>
          <w:sz w:val="22"/>
          <w:szCs w:val="22"/>
        </w:rPr>
        <w:t xml:space="preserve"> ‘designated spectrum licences’ </w:t>
      </w:r>
      <w:r w:rsidR="0049684A">
        <w:rPr>
          <w:rFonts w:ascii="Times New Roman" w:hAnsi="Times New Roman"/>
          <w:sz w:val="22"/>
          <w:szCs w:val="22"/>
        </w:rPr>
        <w:t>to recover the costs of the EME Program. T</w:t>
      </w:r>
      <w:r w:rsidR="0049684A" w:rsidRPr="0049684A">
        <w:rPr>
          <w:rFonts w:ascii="Times New Roman" w:hAnsi="Times New Roman"/>
          <w:sz w:val="22"/>
          <w:szCs w:val="22"/>
        </w:rPr>
        <w:t xml:space="preserve">he </w:t>
      </w:r>
      <w:r w:rsidR="00815A87">
        <w:rPr>
          <w:rFonts w:ascii="Times New Roman" w:hAnsi="Times New Roman"/>
          <w:sz w:val="22"/>
          <w:szCs w:val="22"/>
        </w:rPr>
        <w:t>Minister has direct</w:t>
      </w:r>
      <w:r w:rsidR="00705728">
        <w:rPr>
          <w:rFonts w:ascii="Times New Roman" w:hAnsi="Times New Roman"/>
          <w:sz w:val="22"/>
          <w:szCs w:val="22"/>
        </w:rPr>
        <w:t>ed</w:t>
      </w:r>
      <w:r w:rsidR="00815A87">
        <w:rPr>
          <w:rFonts w:ascii="Times New Roman" w:hAnsi="Times New Roman"/>
          <w:sz w:val="22"/>
          <w:szCs w:val="22"/>
        </w:rPr>
        <w:t xml:space="preserve"> that the ACMA </w:t>
      </w:r>
      <w:r w:rsidR="00F84ACB">
        <w:rPr>
          <w:rFonts w:ascii="Times New Roman" w:hAnsi="Times New Roman"/>
          <w:sz w:val="22"/>
          <w:szCs w:val="22"/>
        </w:rPr>
        <w:t xml:space="preserve">increase the amount of spectrum licence tax imposed on </w:t>
      </w:r>
      <w:r w:rsidR="00056486">
        <w:rPr>
          <w:rFonts w:ascii="Times New Roman" w:hAnsi="Times New Roman"/>
          <w:sz w:val="22"/>
          <w:szCs w:val="22"/>
        </w:rPr>
        <w:t xml:space="preserve">all </w:t>
      </w:r>
      <w:r w:rsidR="00F84ACB">
        <w:rPr>
          <w:rFonts w:ascii="Times New Roman" w:hAnsi="Times New Roman"/>
          <w:sz w:val="22"/>
          <w:szCs w:val="22"/>
        </w:rPr>
        <w:t xml:space="preserve">these licences </w:t>
      </w:r>
      <w:r w:rsidR="00056486">
        <w:rPr>
          <w:rFonts w:ascii="Times New Roman" w:hAnsi="Times New Roman"/>
          <w:sz w:val="22"/>
          <w:szCs w:val="22"/>
        </w:rPr>
        <w:t xml:space="preserve">in aggregate </w:t>
      </w:r>
      <w:r w:rsidR="00F84ACB">
        <w:rPr>
          <w:rFonts w:ascii="Times New Roman" w:hAnsi="Times New Roman"/>
          <w:sz w:val="22"/>
          <w:szCs w:val="22"/>
        </w:rPr>
        <w:t>by</w:t>
      </w:r>
      <w:r w:rsidR="0049684A" w:rsidRPr="0049684A">
        <w:rPr>
          <w:rFonts w:ascii="Times New Roman" w:hAnsi="Times New Roman"/>
          <w:sz w:val="22"/>
          <w:szCs w:val="22"/>
        </w:rPr>
        <w:t xml:space="preserve"> $2.6m p.a. </w:t>
      </w:r>
      <w:r w:rsidR="00F84ACB">
        <w:rPr>
          <w:rFonts w:ascii="Times New Roman" w:hAnsi="Times New Roman"/>
          <w:sz w:val="22"/>
          <w:szCs w:val="22"/>
        </w:rPr>
        <w:t>for</w:t>
      </w:r>
      <w:r w:rsidR="00F84ACB" w:rsidRPr="0049684A">
        <w:rPr>
          <w:rFonts w:ascii="Times New Roman" w:hAnsi="Times New Roman"/>
          <w:sz w:val="22"/>
          <w:szCs w:val="22"/>
        </w:rPr>
        <w:t xml:space="preserve"> </w:t>
      </w:r>
      <w:r w:rsidR="0049684A" w:rsidRPr="0049684A">
        <w:rPr>
          <w:rFonts w:ascii="Times New Roman" w:hAnsi="Times New Roman"/>
          <w:sz w:val="22"/>
          <w:szCs w:val="22"/>
        </w:rPr>
        <w:t>the next three financial years (2020-21 to 2022-23)</w:t>
      </w:r>
      <w:r w:rsidR="00F84ACB">
        <w:rPr>
          <w:rFonts w:ascii="Times New Roman" w:hAnsi="Times New Roman"/>
          <w:sz w:val="22"/>
          <w:szCs w:val="22"/>
        </w:rPr>
        <w:t>,</w:t>
      </w:r>
      <w:r w:rsidR="0049684A" w:rsidRPr="0049684A">
        <w:rPr>
          <w:rFonts w:ascii="Times New Roman" w:hAnsi="Times New Roman"/>
          <w:sz w:val="22"/>
          <w:szCs w:val="22"/>
        </w:rPr>
        <w:t xml:space="preserve"> and </w:t>
      </w:r>
      <w:r w:rsidR="00F84ACB">
        <w:rPr>
          <w:rFonts w:ascii="Times New Roman" w:hAnsi="Times New Roman"/>
          <w:sz w:val="22"/>
          <w:szCs w:val="22"/>
        </w:rPr>
        <w:t xml:space="preserve">by </w:t>
      </w:r>
      <w:r w:rsidR="0049684A" w:rsidRPr="0049684A">
        <w:rPr>
          <w:rFonts w:ascii="Times New Roman" w:hAnsi="Times New Roman"/>
          <w:sz w:val="22"/>
          <w:szCs w:val="22"/>
        </w:rPr>
        <w:t>$1.9m p.a. (indexed for inflation) from 2023-24 onwards.</w:t>
      </w:r>
      <w:r w:rsidR="0049684A">
        <w:rPr>
          <w:rFonts w:ascii="Times New Roman" w:hAnsi="Times New Roman"/>
          <w:sz w:val="22"/>
          <w:szCs w:val="22"/>
        </w:rPr>
        <w:t xml:space="preserve"> </w:t>
      </w:r>
    </w:p>
    <w:bookmarkEnd w:id="4"/>
    <w:p w14:paraId="5982DBCE" w14:textId="220539FB" w:rsidR="00CC105F" w:rsidRPr="001E2B87" w:rsidRDefault="00CC105F" w:rsidP="00C6069C">
      <w:pPr>
        <w:spacing w:after="120"/>
        <w:rPr>
          <w:rFonts w:ascii="Times New Roman" w:hAnsi="Times New Roman"/>
          <w:b/>
          <w:i/>
          <w:sz w:val="22"/>
          <w:szCs w:val="22"/>
        </w:rPr>
      </w:pPr>
      <w:r w:rsidRPr="001E2B87">
        <w:rPr>
          <w:rFonts w:ascii="Times New Roman" w:hAnsi="Times New Roman"/>
          <w:b/>
          <w:i/>
          <w:sz w:val="22"/>
          <w:szCs w:val="22"/>
        </w:rPr>
        <w:t>Human rights implications</w:t>
      </w:r>
    </w:p>
    <w:p w14:paraId="48D24118" w14:textId="556B19EE" w:rsidR="0043460B" w:rsidRPr="001E2B87" w:rsidRDefault="0043460B" w:rsidP="00C6069C">
      <w:pPr>
        <w:spacing w:after="120"/>
        <w:rPr>
          <w:rFonts w:ascii="Times New Roman" w:hAnsi="Times New Roman"/>
          <w:sz w:val="22"/>
          <w:szCs w:val="22"/>
        </w:rPr>
      </w:pPr>
      <w:r w:rsidRPr="001E2B87">
        <w:rPr>
          <w:rFonts w:ascii="Times New Roman" w:hAnsi="Times New Roman"/>
          <w:sz w:val="22"/>
          <w:szCs w:val="22"/>
        </w:rPr>
        <w:t xml:space="preserve">The ACMA has assessed whether the </w:t>
      </w:r>
      <w:r w:rsidR="001D0847" w:rsidRPr="001E2B87">
        <w:rPr>
          <w:rFonts w:ascii="Times New Roman" w:hAnsi="Times New Roman"/>
          <w:sz w:val="22"/>
          <w:szCs w:val="22"/>
        </w:rPr>
        <w:t>Amendment Determination</w:t>
      </w:r>
      <w:r w:rsidRPr="001E2B87">
        <w:rPr>
          <w:rFonts w:ascii="Times New Roman" w:hAnsi="Times New Roman"/>
          <w:sz w:val="22"/>
          <w:szCs w:val="22"/>
        </w:rPr>
        <w:t xml:space="preserve"> is compatible with human rights, being the rights and freedoms recognised or declared by the international instruments listed in subsection 3(1) of the</w:t>
      </w:r>
      <w:r w:rsidRPr="001E2B87">
        <w:rPr>
          <w:rFonts w:ascii="Times New Roman" w:hAnsi="Times New Roman"/>
          <w:i/>
          <w:sz w:val="22"/>
          <w:szCs w:val="22"/>
        </w:rPr>
        <w:t xml:space="preserve"> Human Rights (Parliamentary Scrutiny) Act 2011 </w:t>
      </w:r>
      <w:r w:rsidRPr="001E2B87">
        <w:rPr>
          <w:rFonts w:ascii="Times New Roman" w:hAnsi="Times New Roman"/>
          <w:sz w:val="22"/>
          <w:szCs w:val="22"/>
        </w:rPr>
        <w:t xml:space="preserve">as they apply to Australia. </w:t>
      </w:r>
    </w:p>
    <w:p w14:paraId="4518151A" w14:textId="041EFAED" w:rsidR="0043460B" w:rsidRPr="001E2B87" w:rsidRDefault="0043460B" w:rsidP="00C6069C">
      <w:pPr>
        <w:spacing w:after="120"/>
        <w:rPr>
          <w:rFonts w:ascii="Times New Roman" w:hAnsi="Times New Roman"/>
          <w:sz w:val="22"/>
          <w:szCs w:val="22"/>
        </w:rPr>
      </w:pPr>
      <w:r w:rsidRPr="001E2B87">
        <w:rPr>
          <w:rFonts w:ascii="Times New Roman" w:hAnsi="Times New Roman"/>
          <w:sz w:val="22"/>
          <w:szCs w:val="22"/>
        </w:rPr>
        <w:t xml:space="preserve">Having considered the likely impact of the </w:t>
      </w:r>
      <w:r w:rsidR="00E15EEF" w:rsidRPr="001E2B87">
        <w:rPr>
          <w:rFonts w:ascii="Times New Roman" w:hAnsi="Times New Roman"/>
          <w:sz w:val="22"/>
          <w:szCs w:val="22"/>
        </w:rPr>
        <w:t>Amendment Determination</w:t>
      </w:r>
      <w:r w:rsidRPr="001E2B87">
        <w:rPr>
          <w:rFonts w:ascii="Times New Roman" w:hAnsi="Times New Roman"/>
          <w:sz w:val="22"/>
          <w:szCs w:val="22"/>
        </w:rPr>
        <w:t xml:space="preserve"> and the nature of the applicable rights and freedoms, the ACMA has formed the view that the instrument does not engage any of those rights or freedoms.  </w:t>
      </w:r>
    </w:p>
    <w:p w14:paraId="6B100139" w14:textId="77777777" w:rsidR="00F623B2" w:rsidRPr="001E2B87" w:rsidRDefault="00F623B2" w:rsidP="00F623B2">
      <w:pPr>
        <w:pStyle w:val="PlainText"/>
        <w:spacing w:after="200" w:line="276" w:lineRule="auto"/>
        <w:rPr>
          <w:rFonts w:ascii="Times New Roman" w:hAnsi="Times New Roman" w:cs="Times New Roman"/>
          <w:b/>
          <w:i/>
          <w:snapToGrid w:val="0"/>
          <w:color w:val="000000" w:themeColor="text1"/>
          <w:sz w:val="22"/>
          <w:szCs w:val="22"/>
        </w:rPr>
      </w:pPr>
      <w:r w:rsidRPr="001E2B87">
        <w:rPr>
          <w:rFonts w:ascii="Times New Roman" w:hAnsi="Times New Roman" w:cs="Times New Roman"/>
          <w:b/>
          <w:i/>
          <w:snapToGrid w:val="0"/>
          <w:color w:val="000000" w:themeColor="text1"/>
          <w:sz w:val="22"/>
          <w:szCs w:val="22"/>
        </w:rPr>
        <w:t>Conclusion</w:t>
      </w:r>
    </w:p>
    <w:p w14:paraId="04A93983" w14:textId="307FC0F8" w:rsidR="00F623B2" w:rsidRPr="001E2B87" w:rsidRDefault="00F623B2" w:rsidP="00C6069C">
      <w:pPr>
        <w:pStyle w:val="PlainText"/>
        <w:spacing w:after="200" w:line="276" w:lineRule="auto"/>
        <w:rPr>
          <w:rFonts w:ascii="Times New Roman" w:hAnsi="Times New Roman"/>
          <w:sz w:val="22"/>
          <w:szCs w:val="22"/>
        </w:rPr>
      </w:pPr>
      <w:r w:rsidRPr="001E2B87">
        <w:rPr>
          <w:rFonts w:ascii="Times New Roman" w:hAnsi="Times New Roman" w:cs="Times New Roman"/>
          <w:snapToGrid w:val="0"/>
          <w:color w:val="000000" w:themeColor="text1"/>
          <w:sz w:val="22"/>
          <w:szCs w:val="22"/>
        </w:rPr>
        <w:t xml:space="preserve">The </w:t>
      </w:r>
      <w:r w:rsidR="00184892" w:rsidRPr="001E2B87">
        <w:rPr>
          <w:rFonts w:ascii="Times New Roman" w:hAnsi="Times New Roman" w:cs="Times New Roman"/>
          <w:snapToGrid w:val="0"/>
          <w:color w:val="000000" w:themeColor="text1"/>
          <w:sz w:val="22"/>
          <w:szCs w:val="22"/>
        </w:rPr>
        <w:t>Amendment Determination</w:t>
      </w:r>
      <w:r w:rsidRPr="001E2B87">
        <w:rPr>
          <w:rFonts w:ascii="Times New Roman" w:hAnsi="Times New Roman" w:cs="Times New Roman"/>
          <w:snapToGrid w:val="0"/>
          <w:color w:val="000000" w:themeColor="text1"/>
          <w:sz w:val="22"/>
          <w:szCs w:val="22"/>
        </w:rPr>
        <w:t xml:space="preserve"> is compatible with human rights and freedoms as it does not raise any human rights issues.</w:t>
      </w:r>
    </w:p>
    <w:p w14:paraId="76B97065" w14:textId="77777777" w:rsidR="0043460B" w:rsidRPr="001E2B87" w:rsidRDefault="0043460B" w:rsidP="0043460B">
      <w:pPr>
        <w:rPr>
          <w:rFonts w:ascii="Times New Roman" w:hAnsi="Times New Roman"/>
          <w:b/>
          <w:sz w:val="22"/>
          <w:szCs w:val="22"/>
        </w:rPr>
      </w:pPr>
      <w:r w:rsidRPr="001E2B87">
        <w:rPr>
          <w:rFonts w:ascii="Times New Roman" w:hAnsi="Times New Roman"/>
          <w:b/>
          <w:sz w:val="22"/>
          <w:szCs w:val="22"/>
        </w:rPr>
        <w:br w:type="page"/>
      </w:r>
    </w:p>
    <w:p w14:paraId="4319CCC0" w14:textId="0E2CE179" w:rsidR="0043460B" w:rsidRPr="00C6069C" w:rsidRDefault="0043460B" w:rsidP="00C6069C">
      <w:pPr>
        <w:spacing w:after="120"/>
        <w:jc w:val="right"/>
        <w:rPr>
          <w:rFonts w:ascii="Times New Roman" w:hAnsi="Times New Roman"/>
          <w:b/>
          <w:sz w:val="28"/>
          <w:szCs w:val="28"/>
        </w:rPr>
      </w:pPr>
      <w:r w:rsidRPr="00C6069C">
        <w:rPr>
          <w:rFonts w:ascii="Times New Roman" w:hAnsi="Times New Roman"/>
          <w:b/>
          <w:sz w:val="28"/>
          <w:szCs w:val="28"/>
        </w:rPr>
        <w:lastRenderedPageBreak/>
        <w:t>Attachment A</w:t>
      </w:r>
    </w:p>
    <w:p w14:paraId="151E2884" w14:textId="40ECCCF8" w:rsidR="0043460B" w:rsidRPr="00C6069C" w:rsidRDefault="0043460B" w:rsidP="00C6069C">
      <w:pPr>
        <w:spacing w:after="120"/>
        <w:jc w:val="center"/>
        <w:rPr>
          <w:rFonts w:ascii="Times New Roman" w:hAnsi="Times New Roman"/>
          <w:b/>
          <w:sz w:val="28"/>
          <w:szCs w:val="28"/>
        </w:rPr>
      </w:pPr>
      <w:r w:rsidRPr="00C6069C">
        <w:rPr>
          <w:rFonts w:ascii="Times New Roman" w:hAnsi="Times New Roman"/>
          <w:b/>
          <w:sz w:val="28"/>
          <w:szCs w:val="28"/>
        </w:rPr>
        <w:t xml:space="preserve">Notes to the </w:t>
      </w:r>
      <w:r w:rsidR="008904A5" w:rsidRPr="00C6069C">
        <w:rPr>
          <w:rFonts w:ascii="Times New Roman" w:hAnsi="Times New Roman"/>
          <w:b/>
          <w:i/>
          <w:sz w:val="28"/>
          <w:szCs w:val="28"/>
        </w:rPr>
        <w:t>Radiocommunications (</w:t>
      </w:r>
      <w:r w:rsidR="004777E2">
        <w:rPr>
          <w:rFonts w:ascii="Times New Roman" w:hAnsi="Times New Roman"/>
          <w:b/>
          <w:i/>
          <w:sz w:val="28"/>
          <w:szCs w:val="28"/>
        </w:rPr>
        <w:t xml:space="preserve">Spectrum </w:t>
      </w:r>
      <w:r w:rsidR="008904A5" w:rsidRPr="00C6069C">
        <w:rPr>
          <w:rFonts w:ascii="Times New Roman" w:hAnsi="Times New Roman"/>
          <w:b/>
          <w:i/>
          <w:sz w:val="28"/>
          <w:szCs w:val="28"/>
        </w:rPr>
        <w:t>Licence</w:t>
      </w:r>
      <w:r w:rsidR="00732CFB" w:rsidRPr="00C6069C">
        <w:rPr>
          <w:rFonts w:ascii="Times New Roman" w:hAnsi="Times New Roman"/>
          <w:b/>
          <w:i/>
          <w:sz w:val="28"/>
          <w:szCs w:val="28"/>
        </w:rPr>
        <w:t xml:space="preserve"> Tax</w:t>
      </w:r>
      <w:r w:rsidR="008904A5" w:rsidRPr="00C6069C">
        <w:rPr>
          <w:rFonts w:ascii="Times New Roman" w:hAnsi="Times New Roman"/>
          <w:b/>
          <w:i/>
          <w:sz w:val="28"/>
          <w:szCs w:val="28"/>
        </w:rPr>
        <w:t xml:space="preserve">) Amendment Determination </w:t>
      </w:r>
      <w:r w:rsidR="00802722" w:rsidRPr="00C6069C">
        <w:rPr>
          <w:rFonts w:ascii="Times New Roman" w:hAnsi="Times New Roman"/>
          <w:b/>
          <w:i/>
          <w:sz w:val="28"/>
          <w:szCs w:val="28"/>
        </w:rPr>
        <w:t xml:space="preserve">2020 </w:t>
      </w:r>
      <w:r w:rsidR="008904A5" w:rsidRPr="00C6069C">
        <w:rPr>
          <w:rFonts w:ascii="Times New Roman" w:hAnsi="Times New Roman"/>
          <w:b/>
          <w:i/>
          <w:sz w:val="28"/>
          <w:szCs w:val="28"/>
        </w:rPr>
        <w:t>(No.</w:t>
      </w:r>
      <w:r w:rsidR="004777E2">
        <w:rPr>
          <w:rFonts w:ascii="Times New Roman" w:hAnsi="Times New Roman"/>
          <w:b/>
          <w:i/>
          <w:sz w:val="28"/>
          <w:szCs w:val="28"/>
        </w:rPr>
        <w:t>1</w:t>
      </w:r>
      <w:r w:rsidR="008904A5" w:rsidRPr="00C6069C">
        <w:rPr>
          <w:rFonts w:ascii="Times New Roman" w:hAnsi="Times New Roman"/>
          <w:b/>
          <w:i/>
          <w:sz w:val="28"/>
          <w:szCs w:val="28"/>
        </w:rPr>
        <w:t>)</w:t>
      </w:r>
    </w:p>
    <w:p w14:paraId="4104FB56" w14:textId="77777777" w:rsidR="0043460B" w:rsidRPr="00311390" w:rsidRDefault="0043460B" w:rsidP="0023385F">
      <w:pPr>
        <w:spacing w:after="120"/>
        <w:rPr>
          <w:rFonts w:ascii="Times New Roman" w:hAnsi="Times New Roman"/>
          <w:b/>
          <w:sz w:val="22"/>
          <w:szCs w:val="22"/>
        </w:rPr>
      </w:pPr>
      <w:r w:rsidRPr="00311390">
        <w:rPr>
          <w:rFonts w:ascii="Times New Roman" w:hAnsi="Times New Roman"/>
          <w:b/>
          <w:sz w:val="22"/>
          <w:szCs w:val="22"/>
        </w:rPr>
        <w:t>Section 1</w:t>
      </w:r>
      <w:r w:rsidRPr="00311390">
        <w:rPr>
          <w:rFonts w:ascii="Times New Roman" w:hAnsi="Times New Roman"/>
          <w:b/>
          <w:sz w:val="22"/>
          <w:szCs w:val="22"/>
        </w:rPr>
        <w:tab/>
        <w:t>Name</w:t>
      </w:r>
    </w:p>
    <w:p w14:paraId="772AF299" w14:textId="699AE264" w:rsidR="0043460B" w:rsidRPr="0023385F" w:rsidRDefault="0043460B" w:rsidP="0043460B">
      <w:pPr>
        <w:rPr>
          <w:rFonts w:ascii="Times New Roman" w:hAnsi="Times New Roman"/>
          <w:sz w:val="22"/>
          <w:szCs w:val="22"/>
        </w:rPr>
      </w:pPr>
      <w:r w:rsidRPr="0023385F">
        <w:rPr>
          <w:rFonts w:ascii="Times New Roman" w:hAnsi="Times New Roman"/>
          <w:sz w:val="22"/>
          <w:szCs w:val="22"/>
        </w:rPr>
        <w:t xml:space="preserve">This section provides for the </w:t>
      </w:r>
      <w:r w:rsidR="00821D5C">
        <w:rPr>
          <w:rFonts w:ascii="Times New Roman" w:hAnsi="Times New Roman"/>
          <w:sz w:val="22"/>
          <w:szCs w:val="22"/>
        </w:rPr>
        <w:t>Amendment Determination</w:t>
      </w:r>
      <w:r w:rsidR="00821D5C" w:rsidRPr="0023385F">
        <w:rPr>
          <w:rFonts w:ascii="Times New Roman" w:hAnsi="Times New Roman"/>
          <w:sz w:val="22"/>
          <w:szCs w:val="22"/>
        </w:rPr>
        <w:t xml:space="preserve"> </w:t>
      </w:r>
      <w:r w:rsidRPr="0023385F">
        <w:rPr>
          <w:rFonts w:ascii="Times New Roman" w:hAnsi="Times New Roman"/>
          <w:sz w:val="22"/>
          <w:szCs w:val="22"/>
        </w:rPr>
        <w:t xml:space="preserve">to be cited as the </w:t>
      </w:r>
      <w:r w:rsidR="00732CFB" w:rsidRPr="0023385F">
        <w:rPr>
          <w:rFonts w:ascii="Times New Roman" w:hAnsi="Times New Roman"/>
          <w:i/>
          <w:sz w:val="22"/>
          <w:szCs w:val="22"/>
        </w:rPr>
        <w:t>Radiocommunications (</w:t>
      </w:r>
      <w:r w:rsidR="00267D5A">
        <w:rPr>
          <w:rFonts w:ascii="Times New Roman" w:hAnsi="Times New Roman"/>
          <w:i/>
          <w:sz w:val="22"/>
          <w:szCs w:val="22"/>
        </w:rPr>
        <w:t xml:space="preserve">Spectrum </w:t>
      </w:r>
      <w:r w:rsidR="00732CFB" w:rsidRPr="0023385F">
        <w:rPr>
          <w:rFonts w:ascii="Times New Roman" w:hAnsi="Times New Roman"/>
          <w:i/>
          <w:sz w:val="22"/>
          <w:szCs w:val="22"/>
        </w:rPr>
        <w:t>Licence</w:t>
      </w:r>
      <w:r w:rsidR="00732CFB" w:rsidRPr="001E2B87">
        <w:rPr>
          <w:rFonts w:ascii="Times New Roman" w:hAnsi="Times New Roman"/>
          <w:i/>
          <w:sz w:val="22"/>
          <w:szCs w:val="22"/>
        </w:rPr>
        <w:t xml:space="preserve"> Tax</w:t>
      </w:r>
      <w:r w:rsidR="00732CFB" w:rsidRPr="0023385F">
        <w:rPr>
          <w:rFonts w:ascii="Times New Roman" w:hAnsi="Times New Roman"/>
          <w:i/>
          <w:sz w:val="22"/>
          <w:szCs w:val="22"/>
        </w:rPr>
        <w:t xml:space="preserve">) </w:t>
      </w:r>
      <w:r w:rsidR="008442A3" w:rsidRPr="0023385F">
        <w:rPr>
          <w:rFonts w:ascii="Times New Roman" w:hAnsi="Times New Roman"/>
          <w:i/>
          <w:sz w:val="22"/>
          <w:szCs w:val="22"/>
        </w:rPr>
        <w:t xml:space="preserve">Amendment Determination </w:t>
      </w:r>
      <w:r w:rsidR="00802722" w:rsidRPr="0023385F">
        <w:rPr>
          <w:rFonts w:ascii="Times New Roman" w:hAnsi="Times New Roman"/>
          <w:i/>
          <w:sz w:val="22"/>
          <w:szCs w:val="22"/>
        </w:rPr>
        <w:t>20</w:t>
      </w:r>
      <w:r w:rsidR="00802722">
        <w:rPr>
          <w:rFonts w:ascii="Times New Roman" w:hAnsi="Times New Roman"/>
          <w:i/>
          <w:sz w:val="22"/>
          <w:szCs w:val="22"/>
        </w:rPr>
        <w:t xml:space="preserve">20 </w:t>
      </w:r>
      <w:r w:rsidR="008442A3" w:rsidRPr="0023385F">
        <w:rPr>
          <w:rFonts w:ascii="Times New Roman" w:hAnsi="Times New Roman"/>
          <w:i/>
          <w:sz w:val="22"/>
          <w:szCs w:val="22"/>
        </w:rPr>
        <w:t>(No.</w:t>
      </w:r>
      <w:r w:rsidR="008442A3" w:rsidRPr="001E2B87">
        <w:rPr>
          <w:rFonts w:ascii="Times New Roman" w:hAnsi="Times New Roman"/>
          <w:i/>
          <w:sz w:val="22"/>
          <w:szCs w:val="22"/>
        </w:rPr>
        <w:t xml:space="preserve"> </w:t>
      </w:r>
      <w:r w:rsidR="00267D5A">
        <w:rPr>
          <w:rFonts w:ascii="Times New Roman" w:hAnsi="Times New Roman"/>
          <w:i/>
          <w:sz w:val="22"/>
          <w:szCs w:val="22"/>
        </w:rPr>
        <w:t>1</w:t>
      </w:r>
      <w:r w:rsidR="008442A3" w:rsidRPr="0023385F">
        <w:rPr>
          <w:rFonts w:ascii="Times New Roman" w:hAnsi="Times New Roman"/>
          <w:i/>
          <w:sz w:val="22"/>
          <w:szCs w:val="22"/>
        </w:rPr>
        <w:t>).</w:t>
      </w:r>
      <w:r w:rsidR="008442A3" w:rsidRPr="001E2B87">
        <w:rPr>
          <w:rFonts w:ascii="Times New Roman" w:hAnsi="Times New Roman"/>
          <w:i/>
          <w:sz w:val="22"/>
          <w:szCs w:val="22"/>
        </w:rPr>
        <w:t xml:space="preserve"> </w:t>
      </w:r>
    </w:p>
    <w:p w14:paraId="45A9C80D" w14:textId="778285AB" w:rsidR="0043460B" w:rsidRPr="0023385F" w:rsidRDefault="0043460B" w:rsidP="00C6069C">
      <w:pPr>
        <w:spacing w:before="120" w:after="120"/>
        <w:rPr>
          <w:rFonts w:ascii="Times New Roman" w:hAnsi="Times New Roman"/>
          <w:b/>
          <w:sz w:val="22"/>
          <w:szCs w:val="22"/>
        </w:rPr>
      </w:pPr>
      <w:r w:rsidRPr="0023385F">
        <w:rPr>
          <w:rFonts w:ascii="Times New Roman" w:hAnsi="Times New Roman"/>
          <w:b/>
          <w:sz w:val="22"/>
          <w:szCs w:val="22"/>
        </w:rPr>
        <w:t>Section 2</w:t>
      </w:r>
      <w:r w:rsidRPr="0023385F">
        <w:rPr>
          <w:rFonts w:ascii="Times New Roman" w:hAnsi="Times New Roman"/>
          <w:b/>
          <w:sz w:val="22"/>
          <w:szCs w:val="22"/>
        </w:rPr>
        <w:tab/>
        <w:t>Commencement</w:t>
      </w:r>
    </w:p>
    <w:p w14:paraId="62B56185" w14:textId="79C51822" w:rsidR="0043460B" w:rsidRPr="001E2B87" w:rsidRDefault="0043460B" w:rsidP="00431B30">
      <w:pPr>
        <w:rPr>
          <w:rFonts w:ascii="Times New Roman" w:hAnsi="Times New Roman"/>
          <w:sz w:val="22"/>
          <w:szCs w:val="22"/>
        </w:rPr>
      </w:pPr>
      <w:r w:rsidRPr="0023385F">
        <w:rPr>
          <w:rFonts w:ascii="Times New Roman" w:hAnsi="Times New Roman"/>
          <w:sz w:val="22"/>
          <w:szCs w:val="22"/>
        </w:rPr>
        <w:t xml:space="preserve">This section provides </w:t>
      </w:r>
      <w:r w:rsidR="008904A5" w:rsidRPr="0023385F">
        <w:rPr>
          <w:rFonts w:ascii="Times New Roman" w:hAnsi="Times New Roman"/>
          <w:sz w:val="22"/>
          <w:szCs w:val="22"/>
        </w:rPr>
        <w:t xml:space="preserve">that </w:t>
      </w:r>
      <w:r w:rsidR="00B13953" w:rsidRPr="0023385F">
        <w:rPr>
          <w:rFonts w:ascii="Times New Roman" w:hAnsi="Times New Roman"/>
          <w:sz w:val="22"/>
          <w:szCs w:val="22"/>
        </w:rPr>
        <w:t xml:space="preserve">the </w:t>
      </w:r>
      <w:r w:rsidR="00734B2B" w:rsidRPr="0023385F">
        <w:rPr>
          <w:rFonts w:ascii="Times New Roman" w:hAnsi="Times New Roman"/>
          <w:sz w:val="22"/>
          <w:szCs w:val="22"/>
        </w:rPr>
        <w:t xml:space="preserve">Amendment Determination </w:t>
      </w:r>
      <w:r w:rsidR="00B13953" w:rsidRPr="001E2B87">
        <w:rPr>
          <w:rFonts w:ascii="Times New Roman" w:hAnsi="Times New Roman"/>
          <w:sz w:val="22"/>
          <w:szCs w:val="22"/>
        </w:rPr>
        <w:t xml:space="preserve">commences </w:t>
      </w:r>
      <w:r w:rsidR="008C6F94" w:rsidRPr="001E2B87">
        <w:rPr>
          <w:rFonts w:ascii="Times New Roman" w:hAnsi="Times New Roman"/>
          <w:sz w:val="22"/>
          <w:szCs w:val="22"/>
        </w:rPr>
        <w:t>at</w:t>
      </w:r>
      <w:r w:rsidR="008C6F94" w:rsidRPr="0023385F">
        <w:rPr>
          <w:rFonts w:ascii="Times New Roman" w:hAnsi="Times New Roman"/>
          <w:sz w:val="22"/>
          <w:szCs w:val="22"/>
        </w:rPr>
        <w:t xml:space="preserve"> the </w:t>
      </w:r>
      <w:r w:rsidR="008C6F94" w:rsidRPr="001E2B87">
        <w:rPr>
          <w:rFonts w:ascii="Times New Roman" w:hAnsi="Times New Roman"/>
          <w:sz w:val="22"/>
          <w:szCs w:val="22"/>
        </w:rPr>
        <w:t>start</w:t>
      </w:r>
      <w:r w:rsidR="008C6F94" w:rsidRPr="0023385F">
        <w:rPr>
          <w:rFonts w:ascii="Times New Roman" w:hAnsi="Times New Roman"/>
          <w:sz w:val="22"/>
          <w:szCs w:val="22"/>
        </w:rPr>
        <w:t xml:space="preserve"> of </w:t>
      </w:r>
      <w:r w:rsidR="00267D5A" w:rsidRPr="00267D5A">
        <w:rPr>
          <w:rFonts w:ascii="Times New Roman" w:hAnsi="Times New Roman"/>
          <w:sz w:val="22"/>
          <w:szCs w:val="22"/>
        </w:rPr>
        <w:t>the day after the day it is registered on the Federal Register of Legislation.</w:t>
      </w:r>
      <w:r w:rsidR="00F1383F">
        <w:rPr>
          <w:rFonts w:ascii="Times New Roman" w:hAnsi="Times New Roman"/>
          <w:sz w:val="22"/>
          <w:szCs w:val="22"/>
        </w:rPr>
        <w:t xml:space="preserve"> The </w:t>
      </w:r>
      <w:r w:rsidR="006A4563">
        <w:rPr>
          <w:rFonts w:ascii="Times New Roman" w:hAnsi="Times New Roman"/>
          <w:sz w:val="22"/>
          <w:szCs w:val="22"/>
        </w:rPr>
        <w:t>Amendment Determination</w:t>
      </w:r>
      <w:r w:rsidR="008C6F94" w:rsidRPr="001E2B87">
        <w:rPr>
          <w:rFonts w:ascii="Times New Roman" w:hAnsi="Times New Roman"/>
          <w:sz w:val="22"/>
          <w:szCs w:val="22"/>
        </w:rPr>
        <w:t xml:space="preserve"> can be accessed </w:t>
      </w:r>
      <w:r w:rsidR="00672981">
        <w:rPr>
          <w:rFonts w:ascii="Times New Roman" w:hAnsi="Times New Roman"/>
          <w:sz w:val="22"/>
          <w:szCs w:val="22"/>
        </w:rPr>
        <w:t>free of charge on</w:t>
      </w:r>
      <w:bookmarkStart w:id="5" w:name="_Hlk39592266"/>
      <w:r w:rsidR="00B144FC">
        <w:rPr>
          <w:rFonts w:ascii="Times New Roman" w:hAnsi="Times New Roman"/>
          <w:sz w:val="22"/>
          <w:szCs w:val="22"/>
        </w:rPr>
        <w:t xml:space="preserve"> the Federal Register of Legislation </w:t>
      </w:r>
      <w:bookmarkEnd w:id="5"/>
      <w:r w:rsidR="008C6F94" w:rsidRPr="001E2B87">
        <w:rPr>
          <w:rFonts w:ascii="Times New Roman" w:hAnsi="Times New Roman"/>
          <w:sz w:val="22"/>
          <w:szCs w:val="22"/>
        </w:rPr>
        <w:t xml:space="preserve">at </w:t>
      </w:r>
      <w:hyperlink r:id="rId13" w:history="1">
        <w:r w:rsidR="00980DAE" w:rsidRPr="007F111E">
          <w:rPr>
            <w:rStyle w:val="Hyperlink"/>
            <w:rFonts w:ascii="Times New Roman" w:hAnsi="Times New Roman"/>
            <w:sz w:val="22"/>
            <w:szCs w:val="22"/>
          </w:rPr>
          <w:t>www.legislation.gov.au</w:t>
        </w:r>
      </w:hyperlink>
      <w:r w:rsidR="008904A5" w:rsidRPr="001E2B87">
        <w:rPr>
          <w:rFonts w:ascii="Times New Roman" w:hAnsi="Times New Roman"/>
          <w:sz w:val="22"/>
          <w:szCs w:val="22"/>
        </w:rPr>
        <w:t>.</w:t>
      </w:r>
      <w:r w:rsidR="00980DAE">
        <w:rPr>
          <w:rFonts w:ascii="Times New Roman" w:hAnsi="Times New Roman"/>
          <w:sz w:val="22"/>
          <w:szCs w:val="22"/>
        </w:rPr>
        <w:t xml:space="preserve"> </w:t>
      </w:r>
    </w:p>
    <w:p w14:paraId="636B19D5" w14:textId="20A3CDDE" w:rsidR="0043460B" w:rsidRPr="0023385F" w:rsidRDefault="0043460B" w:rsidP="00C6069C">
      <w:pPr>
        <w:spacing w:before="120" w:after="120"/>
        <w:rPr>
          <w:rFonts w:ascii="Times New Roman" w:hAnsi="Times New Roman"/>
          <w:b/>
          <w:sz w:val="22"/>
          <w:szCs w:val="22"/>
        </w:rPr>
      </w:pPr>
      <w:r w:rsidRPr="0023385F">
        <w:rPr>
          <w:rFonts w:ascii="Times New Roman" w:hAnsi="Times New Roman"/>
          <w:b/>
          <w:sz w:val="22"/>
          <w:szCs w:val="22"/>
        </w:rPr>
        <w:t>Section 3</w:t>
      </w:r>
      <w:r w:rsidRPr="0023385F">
        <w:rPr>
          <w:rFonts w:ascii="Times New Roman" w:hAnsi="Times New Roman"/>
          <w:b/>
          <w:sz w:val="22"/>
          <w:szCs w:val="22"/>
        </w:rPr>
        <w:tab/>
        <w:t>Authority</w:t>
      </w:r>
    </w:p>
    <w:p w14:paraId="1ECAFD83" w14:textId="7803289F" w:rsidR="0043460B" w:rsidRPr="0023385F" w:rsidRDefault="008904A5" w:rsidP="0043460B">
      <w:pPr>
        <w:rPr>
          <w:rFonts w:ascii="Times New Roman" w:hAnsi="Times New Roman"/>
          <w:sz w:val="22"/>
          <w:szCs w:val="22"/>
        </w:rPr>
      </w:pPr>
      <w:r w:rsidRPr="0023385F">
        <w:rPr>
          <w:rFonts w:ascii="Times New Roman" w:hAnsi="Times New Roman"/>
          <w:sz w:val="22"/>
          <w:szCs w:val="22"/>
        </w:rPr>
        <w:t xml:space="preserve">Section 3 provides that the Amendment Determination is made under subsection 7(1) of the </w:t>
      </w:r>
      <w:r w:rsidR="00272558" w:rsidRPr="001E2B87">
        <w:rPr>
          <w:rFonts w:ascii="Times New Roman" w:hAnsi="Times New Roman"/>
          <w:sz w:val="22"/>
          <w:szCs w:val="22"/>
        </w:rPr>
        <w:t>Tax Act.</w:t>
      </w:r>
    </w:p>
    <w:p w14:paraId="6C6C4B1A" w14:textId="5152B5BC" w:rsidR="0043460B" w:rsidRPr="0023385F" w:rsidRDefault="0043460B" w:rsidP="00C6069C">
      <w:pPr>
        <w:spacing w:before="120" w:after="120"/>
        <w:rPr>
          <w:rFonts w:ascii="Times New Roman" w:hAnsi="Times New Roman"/>
          <w:b/>
          <w:sz w:val="22"/>
          <w:szCs w:val="22"/>
        </w:rPr>
      </w:pPr>
      <w:r w:rsidRPr="0023385F">
        <w:rPr>
          <w:rFonts w:ascii="Times New Roman" w:hAnsi="Times New Roman"/>
          <w:b/>
          <w:sz w:val="22"/>
          <w:szCs w:val="22"/>
        </w:rPr>
        <w:t>Section 4</w:t>
      </w:r>
      <w:r w:rsidRPr="0023385F">
        <w:rPr>
          <w:rFonts w:ascii="Times New Roman" w:hAnsi="Times New Roman"/>
          <w:b/>
          <w:sz w:val="22"/>
          <w:szCs w:val="22"/>
        </w:rPr>
        <w:tab/>
      </w:r>
      <w:r w:rsidR="008904A5" w:rsidRPr="0023385F">
        <w:rPr>
          <w:rFonts w:ascii="Times New Roman" w:hAnsi="Times New Roman"/>
          <w:b/>
          <w:sz w:val="22"/>
          <w:szCs w:val="22"/>
        </w:rPr>
        <w:t>Amendments</w:t>
      </w:r>
    </w:p>
    <w:p w14:paraId="46FFE732" w14:textId="23A143F6" w:rsidR="0043460B" w:rsidRPr="0023385F" w:rsidRDefault="008904A5" w:rsidP="00C6069C">
      <w:pPr>
        <w:rPr>
          <w:rFonts w:ascii="Times New Roman" w:hAnsi="Times New Roman"/>
          <w:sz w:val="22"/>
          <w:szCs w:val="22"/>
        </w:rPr>
      </w:pPr>
      <w:r w:rsidRPr="0023385F">
        <w:rPr>
          <w:rFonts w:ascii="Times New Roman" w:hAnsi="Times New Roman"/>
          <w:sz w:val="22"/>
          <w:szCs w:val="22"/>
        </w:rPr>
        <w:t xml:space="preserve">Section 4 provides that Schedule 1 </w:t>
      </w:r>
      <w:r w:rsidR="000B330B">
        <w:rPr>
          <w:rFonts w:ascii="Times New Roman" w:hAnsi="Times New Roman"/>
          <w:sz w:val="22"/>
          <w:szCs w:val="22"/>
        </w:rPr>
        <w:t>to</w:t>
      </w:r>
      <w:r w:rsidRPr="0023385F">
        <w:rPr>
          <w:rFonts w:ascii="Times New Roman" w:hAnsi="Times New Roman"/>
          <w:sz w:val="22"/>
          <w:szCs w:val="22"/>
        </w:rPr>
        <w:t xml:space="preserve"> the Amendment Determination amends the </w:t>
      </w:r>
      <w:r w:rsidR="00272558" w:rsidRPr="001E2B87">
        <w:rPr>
          <w:rFonts w:ascii="Times New Roman" w:hAnsi="Times New Roman"/>
          <w:sz w:val="22"/>
          <w:szCs w:val="22"/>
        </w:rPr>
        <w:t xml:space="preserve">Tax </w:t>
      </w:r>
      <w:r w:rsidRPr="0023385F">
        <w:rPr>
          <w:rFonts w:ascii="Times New Roman" w:hAnsi="Times New Roman"/>
          <w:sz w:val="22"/>
          <w:szCs w:val="22"/>
        </w:rPr>
        <w:t xml:space="preserve">Determination.  </w:t>
      </w:r>
    </w:p>
    <w:p w14:paraId="44FCC0A9" w14:textId="6F95F0CC" w:rsidR="000D11DD" w:rsidRPr="0023385F" w:rsidRDefault="000D11DD" w:rsidP="000D11DD">
      <w:pPr>
        <w:pStyle w:val="Heading2"/>
        <w:rPr>
          <w:rFonts w:ascii="Times New Roman" w:hAnsi="Times New Roman" w:cs="Times New Roman"/>
          <w:b w:val="0"/>
          <w:sz w:val="22"/>
          <w:szCs w:val="22"/>
        </w:rPr>
      </w:pPr>
      <w:r w:rsidRPr="0023385F">
        <w:rPr>
          <w:rFonts w:ascii="Times New Roman" w:hAnsi="Times New Roman" w:cs="Times New Roman"/>
          <w:i w:val="0"/>
          <w:sz w:val="22"/>
          <w:szCs w:val="22"/>
        </w:rPr>
        <w:t>Schedule 1</w:t>
      </w:r>
      <w:r w:rsidRPr="0023385F">
        <w:rPr>
          <w:rFonts w:ascii="Times New Roman" w:hAnsi="Times New Roman" w:cs="Times New Roman"/>
          <w:i w:val="0"/>
          <w:sz w:val="22"/>
          <w:szCs w:val="22"/>
        </w:rPr>
        <w:tab/>
        <w:t>Amendments</w:t>
      </w:r>
      <w:r w:rsidRPr="0023385F">
        <w:rPr>
          <w:rFonts w:ascii="Times New Roman" w:hAnsi="Times New Roman" w:cs="Times New Roman"/>
          <w:sz w:val="22"/>
          <w:szCs w:val="22"/>
        </w:rPr>
        <w:t xml:space="preserve"> </w:t>
      </w:r>
    </w:p>
    <w:p w14:paraId="2F77FE65" w14:textId="77777777" w:rsidR="000D11DD" w:rsidRPr="0023385F" w:rsidRDefault="000D11DD" w:rsidP="000D11DD">
      <w:pPr>
        <w:pStyle w:val="Heading3"/>
        <w:rPr>
          <w:rFonts w:ascii="Times New Roman" w:hAnsi="Times New Roman" w:cs="Times New Roman"/>
          <w:sz w:val="22"/>
          <w:szCs w:val="22"/>
        </w:rPr>
      </w:pPr>
      <w:r w:rsidRPr="0023385F">
        <w:rPr>
          <w:rFonts w:ascii="Times New Roman" w:hAnsi="Times New Roman" w:cs="Times New Roman"/>
          <w:sz w:val="22"/>
          <w:szCs w:val="22"/>
        </w:rPr>
        <w:t>Item 1</w:t>
      </w:r>
    </w:p>
    <w:p w14:paraId="638D14D3" w14:textId="64A5C390" w:rsidR="006A68C7" w:rsidRDefault="000D11DD" w:rsidP="000D11DD">
      <w:pPr>
        <w:rPr>
          <w:rFonts w:ascii="Times New Roman" w:hAnsi="Times New Roman"/>
          <w:sz w:val="22"/>
          <w:szCs w:val="22"/>
        </w:rPr>
      </w:pPr>
      <w:r w:rsidRPr="0023385F">
        <w:rPr>
          <w:rFonts w:ascii="Times New Roman" w:hAnsi="Times New Roman"/>
          <w:sz w:val="22"/>
          <w:szCs w:val="22"/>
        </w:rPr>
        <w:t xml:space="preserve">Item 1 </w:t>
      </w:r>
      <w:r w:rsidR="006A68C7">
        <w:rPr>
          <w:rFonts w:ascii="Times New Roman" w:hAnsi="Times New Roman"/>
          <w:sz w:val="22"/>
          <w:szCs w:val="22"/>
        </w:rPr>
        <w:t>inserts the definition of ‘</w:t>
      </w:r>
      <w:r w:rsidR="00BC272E">
        <w:rPr>
          <w:rFonts w:ascii="Times New Roman" w:hAnsi="Times New Roman"/>
          <w:sz w:val="22"/>
          <w:szCs w:val="22"/>
        </w:rPr>
        <w:t>D</w:t>
      </w:r>
      <w:r w:rsidR="006A68C7">
        <w:rPr>
          <w:rFonts w:ascii="Times New Roman" w:hAnsi="Times New Roman"/>
          <w:sz w:val="22"/>
          <w:szCs w:val="22"/>
        </w:rPr>
        <w:t xml:space="preserve">esignated </w:t>
      </w:r>
      <w:r w:rsidR="00BC272E">
        <w:rPr>
          <w:rFonts w:ascii="Times New Roman" w:hAnsi="Times New Roman"/>
          <w:sz w:val="22"/>
          <w:szCs w:val="22"/>
        </w:rPr>
        <w:t>S</w:t>
      </w:r>
      <w:r w:rsidR="006A68C7">
        <w:rPr>
          <w:rFonts w:ascii="Times New Roman" w:hAnsi="Times New Roman"/>
          <w:sz w:val="22"/>
          <w:szCs w:val="22"/>
        </w:rPr>
        <w:t xml:space="preserve">pectrum </w:t>
      </w:r>
      <w:r w:rsidR="00BC272E">
        <w:rPr>
          <w:rFonts w:ascii="Times New Roman" w:hAnsi="Times New Roman"/>
          <w:sz w:val="22"/>
          <w:szCs w:val="22"/>
        </w:rPr>
        <w:t>L</w:t>
      </w:r>
      <w:r w:rsidR="006A68C7">
        <w:rPr>
          <w:rFonts w:ascii="Times New Roman" w:hAnsi="Times New Roman"/>
          <w:sz w:val="22"/>
          <w:szCs w:val="22"/>
        </w:rPr>
        <w:t xml:space="preserve">icence’ to include spectrum licences except for </w:t>
      </w:r>
      <w:r w:rsidR="005C0546">
        <w:rPr>
          <w:rFonts w:ascii="Times New Roman" w:hAnsi="Times New Roman"/>
          <w:sz w:val="22"/>
          <w:szCs w:val="22"/>
        </w:rPr>
        <w:t xml:space="preserve">those held by </w:t>
      </w:r>
      <w:r w:rsidR="006A68C7">
        <w:rPr>
          <w:rFonts w:ascii="Times New Roman" w:hAnsi="Times New Roman"/>
          <w:sz w:val="22"/>
          <w:szCs w:val="22"/>
        </w:rPr>
        <w:t xml:space="preserve">Commonwealth departments and agencies, spectrum licences </w:t>
      </w:r>
      <w:r w:rsidR="00654596">
        <w:rPr>
          <w:rFonts w:ascii="Times New Roman" w:hAnsi="Times New Roman"/>
          <w:sz w:val="22"/>
          <w:szCs w:val="22"/>
        </w:rPr>
        <w:t xml:space="preserve">required to be </w:t>
      </w:r>
      <w:r w:rsidR="006A68C7">
        <w:rPr>
          <w:rFonts w:ascii="Times New Roman" w:hAnsi="Times New Roman"/>
          <w:sz w:val="22"/>
          <w:szCs w:val="22"/>
        </w:rPr>
        <w:t xml:space="preserve">used for television outside broadcast service, and spectrum licences </w:t>
      </w:r>
      <w:r w:rsidR="00654596">
        <w:rPr>
          <w:rFonts w:ascii="Times New Roman" w:hAnsi="Times New Roman"/>
          <w:sz w:val="22"/>
          <w:szCs w:val="22"/>
        </w:rPr>
        <w:t xml:space="preserve">required to be </w:t>
      </w:r>
      <w:r w:rsidR="006A68C7">
        <w:rPr>
          <w:rFonts w:ascii="Times New Roman" w:hAnsi="Times New Roman"/>
          <w:sz w:val="22"/>
          <w:szCs w:val="22"/>
        </w:rPr>
        <w:t xml:space="preserve">used for rail safety. Item </w:t>
      </w:r>
      <w:r w:rsidR="009206B9">
        <w:rPr>
          <w:rFonts w:ascii="Times New Roman" w:hAnsi="Times New Roman"/>
          <w:sz w:val="22"/>
          <w:szCs w:val="22"/>
        </w:rPr>
        <w:t xml:space="preserve">1 </w:t>
      </w:r>
      <w:r w:rsidR="006A68C7">
        <w:rPr>
          <w:rFonts w:ascii="Times New Roman" w:hAnsi="Times New Roman"/>
          <w:sz w:val="22"/>
          <w:szCs w:val="22"/>
        </w:rPr>
        <w:t xml:space="preserve">also inserts definitions for </w:t>
      </w:r>
      <w:r w:rsidR="00FC1D51">
        <w:rPr>
          <w:rFonts w:ascii="Times New Roman" w:hAnsi="Times New Roman"/>
          <w:sz w:val="22"/>
          <w:szCs w:val="22"/>
        </w:rPr>
        <w:t xml:space="preserve">the </w:t>
      </w:r>
      <w:r w:rsidR="006A68C7">
        <w:rPr>
          <w:rFonts w:ascii="Times New Roman" w:hAnsi="Times New Roman"/>
          <w:sz w:val="22"/>
          <w:szCs w:val="22"/>
        </w:rPr>
        <w:t xml:space="preserve">‘EME Component’ and </w:t>
      </w:r>
      <w:r w:rsidR="00FC1D51">
        <w:rPr>
          <w:rFonts w:ascii="Times New Roman" w:hAnsi="Times New Roman"/>
          <w:sz w:val="22"/>
          <w:szCs w:val="22"/>
        </w:rPr>
        <w:t xml:space="preserve">the </w:t>
      </w:r>
      <w:r w:rsidR="006A68C7">
        <w:rPr>
          <w:rFonts w:ascii="Times New Roman" w:hAnsi="Times New Roman"/>
          <w:sz w:val="22"/>
          <w:szCs w:val="22"/>
        </w:rPr>
        <w:t xml:space="preserve">‘Main Component’ of the spectrum licence tax. </w:t>
      </w:r>
    </w:p>
    <w:p w14:paraId="574C405D" w14:textId="09F3E719" w:rsidR="000D11DD" w:rsidRPr="0023385F" w:rsidRDefault="000D11DD" w:rsidP="000D11DD">
      <w:pPr>
        <w:pStyle w:val="Heading3"/>
        <w:rPr>
          <w:rFonts w:ascii="Times New Roman" w:hAnsi="Times New Roman" w:cs="Times New Roman"/>
          <w:sz w:val="22"/>
          <w:szCs w:val="22"/>
        </w:rPr>
      </w:pPr>
      <w:r w:rsidRPr="0023385F">
        <w:rPr>
          <w:rFonts w:ascii="Times New Roman" w:hAnsi="Times New Roman" w:cs="Times New Roman"/>
          <w:sz w:val="22"/>
          <w:szCs w:val="22"/>
        </w:rPr>
        <w:t xml:space="preserve">Item </w:t>
      </w:r>
      <w:r w:rsidR="00757891" w:rsidRPr="001E2B87">
        <w:rPr>
          <w:rFonts w:ascii="Times New Roman" w:hAnsi="Times New Roman" w:cs="Times New Roman"/>
          <w:sz w:val="22"/>
          <w:szCs w:val="22"/>
        </w:rPr>
        <w:t>2</w:t>
      </w:r>
    </w:p>
    <w:p w14:paraId="02313DB6" w14:textId="54806B58" w:rsidR="006A68C7" w:rsidRDefault="000D11DD" w:rsidP="003D789F">
      <w:pPr>
        <w:rPr>
          <w:rFonts w:ascii="Times New Roman" w:hAnsi="Times New Roman"/>
          <w:sz w:val="22"/>
          <w:szCs w:val="22"/>
        </w:rPr>
      </w:pPr>
      <w:r w:rsidRPr="003D789F">
        <w:rPr>
          <w:rFonts w:ascii="Times New Roman" w:hAnsi="Times New Roman"/>
          <w:sz w:val="22"/>
          <w:szCs w:val="22"/>
        </w:rPr>
        <w:t xml:space="preserve">Item </w:t>
      </w:r>
      <w:r w:rsidR="000F0090" w:rsidRPr="003D789F">
        <w:rPr>
          <w:rFonts w:ascii="Times New Roman" w:hAnsi="Times New Roman"/>
          <w:sz w:val="22"/>
          <w:szCs w:val="22"/>
        </w:rPr>
        <w:t>2</w:t>
      </w:r>
      <w:r w:rsidRPr="003D789F">
        <w:rPr>
          <w:rFonts w:ascii="Times New Roman" w:hAnsi="Times New Roman"/>
          <w:sz w:val="22"/>
          <w:szCs w:val="22"/>
        </w:rPr>
        <w:t xml:space="preserve"> </w:t>
      </w:r>
      <w:r w:rsidR="006A68C7">
        <w:rPr>
          <w:rFonts w:ascii="Times New Roman" w:hAnsi="Times New Roman"/>
          <w:sz w:val="22"/>
          <w:szCs w:val="22"/>
        </w:rPr>
        <w:t>repeals section</w:t>
      </w:r>
      <w:r w:rsidR="000422C1">
        <w:rPr>
          <w:rFonts w:ascii="Times New Roman" w:hAnsi="Times New Roman"/>
          <w:sz w:val="22"/>
          <w:szCs w:val="22"/>
        </w:rPr>
        <w:t xml:space="preserve"> 5 of the</w:t>
      </w:r>
      <w:r w:rsidR="008214DA">
        <w:rPr>
          <w:rFonts w:ascii="Times New Roman" w:hAnsi="Times New Roman"/>
          <w:sz w:val="22"/>
          <w:szCs w:val="22"/>
        </w:rPr>
        <w:t xml:space="preserve"> Tax</w:t>
      </w:r>
      <w:r w:rsidR="000422C1">
        <w:rPr>
          <w:rFonts w:ascii="Times New Roman" w:hAnsi="Times New Roman"/>
          <w:sz w:val="22"/>
          <w:szCs w:val="22"/>
        </w:rPr>
        <w:t xml:space="preserve"> Determination</w:t>
      </w:r>
      <w:r w:rsidR="006A68C7">
        <w:rPr>
          <w:rFonts w:ascii="Times New Roman" w:hAnsi="Times New Roman"/>
          <w:sz w:val="22"/>
          <w:szCs w:val="22"/>
        </w:rPr>
        <w:t xml:space="preserve"> </w:t>
      </w:r>
      <w:r w:rsidR="000422C1">
        <w:rPr>
          <w:rFonts w:ascii="Times New Roman" w:hAnsi="Times New Roman"/>
          <w:sz w:val="22"/>
          <w:szCs w:val="22"/>
        </w:rPr>
        <w:t>(</w:t>
      </w:r>
      <w:r w:rsidR="006A68C7">
        <w:rPr>
          <w:rFonts w:ascii="Times New Roman" w:hAnsi="Times New Roman"/>
          <w:sz w:val="22"/>
          <w:szCs w:val="22"/>
        </w:rPr>
        <w:t>‘</w:t>
      </w:r>
      <w:r w:rsidR="00004F27">
        <w:rPr>
          <w:rFonts w:ascii="Times New Roman" w:hAnsi="Times New Roman"/>
          <w:sz w:val="22"/>
          <w:szCs w:val="22"/>
        </w:rPr>
        <w:t xml:space="preserve">Working </w:t>
      </w:r>
      <w:r w:rsidR="006A68C7">
        <w:rPr>
          <w:rFonts w:ascii="Times New Roman" w:hAnsi="Times New Roman"/>
          <w:sz w:val="22"/>
          <w:szCs w:val="22"/>
        </w:rPr>
        <w:t>out spectrum licence tax’</w:t>
      </w:r>
      <w:r w:rsidR="000422C1">
        <w:rPr>
          <w:rFonts w:ascii="Times New Roman" w:hAnsi="Times New Roman"/>
          <w:sz w:val="22"/>
          <w:szCs w:val="22"/>
        </w:rPr>
        <w:t>)</w:t>
      </w:r>
      <w:r w:rsidR="006A68C7">
        <w:rPr>
          <w:rFonts w:ascii="Times New Roman" w:hAnsi="Times New Roman"/>
          <w:sz w:val="22"/>
          <w:szCs w:val="22"/>
        </w:rPr>
        <w:t xml:space="preserve"> and substitutes </w:t>
      </w:r>
      <w:r w:rsidR="000422C1">
        <w:rPr>
          <w:rFonts w:ascii="Times New Roman" w:hAnsi="Times New Roman"/>
          <w:sz w:val="22"/>
          <w:szCs w:val="22"/>
        </w:rPr>
        <w:t>new text</w:t>
      </w:r>
      <w:r w:rsidR="006A68C7">
        <w:rPr>
          <w:rFonts w:ascii="Times New Roman" w:hAnsi="Times New Roman"/>
          <w:sz w:val="22"/>
          <w:szCs w:val="22"/>
        </w:rPr>
        <w:t xml:space="preserve"> to include the EME component in the calculation for designated spectrum licences.</w:t>
      </w:r>
    </w:p>
    <w:p w14:paraId="076EB232" w14:textId="4C99C99A" w:rsidR="0091126D" w:rsidRPr="0023385F" w:rsidRDefault="0091126D" w:rsidP="003D789F">
      <w:pPr>
        <w:pStyle w:val="Heading3"/>
        <w:rPr>
          <w:rFonts w:ascii="Times New Roman" w:hAnsi="Times New Roman" w:cs="Times New Roman"/>
          <w:sz w:val="22"/>
          <w:szCs w:val="22"/>
        </w:rPr>
      </w:pPr>
      <w:r w:rsidRPr="0023385F">
        <w:rPr>
          <w:rFonts w:ascii="Times New Roman" w:hAnsi="Times New Roman" w:cs="Times New Roman"/>
          <w:sz w:val="22"/>
          <w:szCs w:val="22"/>
        </w:rPr>
        <w:t xml:space="preserve">Item </w:t>
      </w:r>
      <w:r w:rsidRPr="001E2B87">
        <w:rPr>
          <w:rFonts w:ascii="Times New Roman" w:hAnsi="Times New Roman" w:cs="Times New Roman"/>
          <w:sz w:val="22"/>
          <w:szCs w:val="22"/>
        </w:rPr>
        <w:t>3</w:t>
      </w:r>
    </w:p>
    <w:p w14:paraId="2E4FA817" w14:textId="258A866D" w:rsidR="006E356B" w:rsidRPr="001E2B87" w:rsidRDefault="0091126D" w:rsidP="006E356B">
      <w:pPr>
        <w:pStyle w:val="ACMABodyText"/>
        <w:spacing w:before="0" w:after="0" w:line="240" w:lineRule="auto"/>
        <w:rPr>
          <w:sz w:val="22"/>
          <w:szCs w:val="22"/>
        </w:rPr>
      </w:pPr>
      <w:r w:rsidRPr="001E2B87">
        <w:rPr>
          <w:sz w:val="22"/>
          <w:szCs w:val="22"/>
          <w:lang w:eastAsia="en-AU"/>
        </w:rPr>
        <w:t xml:space="preserve">Item 3 </w:t>
      </w:r>
      <w:r w:rsidR="00F05DD7">
        <w:rPr>
          <w:sz w:val="22"/>
          <w:szCs w:val="22"/>
          <w:lang w:eastAsia="en-AU"/>
        </w:rPr>
        <w:t>amends the heading to Schedule 1</w:t>
      </w:r>
      <w:r w:rsidR="008214DA">
        <w:rPr>
          <w:sz w:val="22"/>
          <w:szCs w:val="22"/>
          <w:lang w:eastAsia="en-AU"/>
        </w:rPr>
        <w:t xml:space="preserve"> to the Tax Determination</w:t>
      </w:r>
      <w:r w:rsidR="005C0546">
        <w:rPr>
          <w:sz w:val="22"/>
          <w:szCs w:val="22"/>
          <w:lang w:eastAsia="en-AU"/>
        </w:rPr>
        <w:t xml:space="preserve"> by o</w:t>
      </w:r>
      <w:r w:rsidR="005C0546" w:rsidRPr="005C0546">
        <w:rPr>
          <w:sz w:val="22"/>
          <w:szCs w:val="22"/>
          <w:lang w:eastAsia="en-AU"/>
        </w:rPr>
        <w:t>mit</w:t>
      </w:r>
      <w:r w:rsidR="005C0546">
        <w:rPr>
          <w:sz w:val="22"/>
          <w:szCs w:val="22"/>
          <w:lang w:eastAsia="en-AU"/>
        </w:rPr>
        <w:t>ting</w:t>
      </w:r>
      <w:r w:rsidR="005C0546" w:rsidRPr="005C0546">
        <w:rPr>
          <w:sz w:val="22"/>
          <w:szCs w:val="22"/>
          <w:lang w:eastAsia="en-AU"/>
        </w:rPr>
        <w:t xml:space="preserve"> ‘(section 5)’</w:t>
      </w:r>
      <w:r w:rsidR="005C0546">
        <w:rPr>
          <w:sz w:val="22"/>
          <w:szCs w:val="22"/>
          <w:lang w:eastAsia="en-AU"/>
        </w:rPr>
        <w:t xml:space="preserve"> and</w:t>
      </w:r>
      <w:r w:rsidR="005C0546" w:rsidRPr="005C0546">
        <w:rPr>
          <w:sz w:val="22"/>
          <w:szCs w:val="22"/>
          <w:lang w:eastAsia="en-AU"/>
        </w:rPr>
        <w:t xml:space="preserve"> substitut</w:t>
      </w:r>
      <w:r w:rsidR="005C0546">
        <w:rPr>
          <w:sz w:val="22"/>
          <w:szCs w:val="22"/>
          <w:lang w:eastAsia="en-AU"/>
        </w:rPr>
        <w:t xml:space="preserve">ing </w:t>
      </w:r>
      <w:r w:rsidR="00791E4E">
        <w:rPr>
          <w:sz w:val="22"/>
          <w:szCs w:val="22"/>
          <w:lang w:eastAsia="en-AU"/>
        </w:rPr>
        <w:t xml:space="preserve">it </w:t>
      </w:r>
      <w:r w:rsidR="005C0546">
        <w:rPr>
          <w:sz w:val="22"/>
          <w:szCs w:val="22"/>
          <w:lang w:eastAsia="en-AU"/>
        </w:rPr>
        <w:t>with</w:t>
      </w:r>
      <w:r w:rsidR="005C0546" w:rsidRPr="005C0546">
        <w:rPr>
          <w:sz w:val="22"/>
          <w:szCs w:val="22"/>
          <w:lang w:eastAsia="en-AU"/>
        </w:rPr>
        <w:t xml:space="preserve"> ‘(section 2)’.</w:t>
      </w:r>
    </w:p>
    <w:p w14:paraId="0837FE3C" w14:textId="0922644E" w:rsidR="000D11DD" w:rsidRPr="001E2B87" w:rsidRDefault="000D11DD" w:rsidP="000D11DD">
      <w:pPr>
        <w:pStyle w:val="Heading3"/>
        <w:rPr>
          <w:rFonts w:ascii="Times New Roman" w:hAnsi="Times New Roman" w:cs="Times New Roman"/>
          <w:sz w:val="22"/>
          <w:szCs w:val="22"/>
        </w:rPr>
      </w:pPr>
      <w:r w:rsidRPr="001E2B87">
        <w:rPr>
          <w:rFonts w:ascii="Times New Roman" w:hAnsi="Times New Roman" w:cs="Times New Roman"/>
          <w:sz w:val="22"/>
          <w:szCs w:val="22"/>
        </w:rPr>
        <w:t>Item 4</w:t>
      </w:r>
    </w:p>
    <w:p w14:paraId="6A1521D7" w14:textId="0E95407D" w:rsidR="002318A8" w:rsidRPr="0023385F" w:rsidRDefault="00497145">
      <w:pPr>
        <w:rPr>
          <w:rFonts w:ascii="Times New Roman" w:hAnsi="Times New Roman"/>
          <w:sz w:val="22"/>
          <w:szCs w:val="22"/>
        </w:rPr>
      </w:pPr>
      <w:r w:rsidRPr="0023385F">
        <w:rPr>
          <w:rFonts w:ascii="Times New Roman" w:hAnsi="Times New Roman"/>
          <w:sz w:val="22"/>
          <w:szCs w:val="22"/>
        </w:rPr>
        <w:t xml:space="preserve">Item 4 </w:t>
      </w:r>
      <w:r w:rsidR="00EC25F5">
        <w:rPr>
          <w:rFonts w:ascii="Times New Roman" w:hAnsi="Times New Roman"/>
          <w:sz w:val="22"/>
          <w:szCs w:val="22"/>
        </w:rPr>
        <w:t>omits</w:t>
      </w:r>
      <w:r w:rsidR="00EC25F5" w:rsidRPr="0023385F">
        <w:rPr>
          <w:rFonts w:ascii="Times New Roman" w:hAnsi="Times New Roman"/>
          <w:sz w:val="22"/>
          <w:szCs w:val="22"/>
        </w:rPr>
        <w:t xml:space="preserve"> </w:t>
      </w:r>
      <w:r w:rsidR="00337CF6">
        <w:rPr>
          <w:rFonts w:ascii="Times New Roman" w:hAnsi="Times New Roman"/>
          <w:sz w:val="22"/>
          <w:szCs w:val="22"/>
        </w:rPr>
        <w:t xml:space="preserve">all </w:t>
      </w:r>
      <w:r w:rsidR="00EC25F5">
        <w:rPr>
          <w:rFonts w:ascii="Times New Roman" w:hAnsi="Times New Roman"/>
          <w:sz w:val="22"/>
          <w:szCs w:val="22"/>
        </w:rPr>
        <w:t xml:space="preserve">occurrences of the words ‘spectrum licence tax’ </w:t>
      </w:r>
      <w:r w:rsidR="00337CF6">
        <w:rPr>
          <w:rFonts w:ascii="Times New Roman" w:hAnsi="Times New Roman"/>
          <w:sz w:val="22"/>
          <w:szCs w:val="22"/>
        </w:rPr>
        <w:t xml:space="preserve">in </w:t>
      </w:r>
      <w:r w:rsidR="00DA5D88">
        <w:rPr>
          <w:rFonts w:ascii="Times New Roman" w:hAnsi="Times New Roman"/>
          <w:sz w:val="22"/>
          <w:szCs w:val="22"/>
        </w:rPr>
        <w:t xml:space="preserve">Schedule 1 </w:t>
      </w:r>
      <w:r w:rsidR="00EC25F5">
        <w:rPr>
          <w:rFonts w:ascii="Times New Roman" w:hAnsi="Times New Roman"/>
          <w:sz w:val="22"/>
          <w:szCs w:val="22"/>
        </w:rPr>
        <w:t xml:space="preserve">and substitutes ‘the Main Component’ </w:t>
      </w:r>
      <w:r w:rsidR="00DA5D88">
        <w:rPr>
          <w:rFonts w:ascii="Times New Roman" w:hAnsi="Times New Roman"/>
          <w:sz w:val="22"/>
          <w:szCs w:val="22"/>
        </w:rPr>
        <w:t>in each place.</w:t>
      </w:r>
      <w:r w:rsidR="00EC25F5">
        <w:rPr>
          <w:rFonts w:ascii="Times New Roman" w:hAnsi="Times New Roman"/>
          <w:sz w:val="22"/>
          <w:szCs w:val="22"/>
        </w:rPr>
        <w:t xml:space="preserve"> </w:t>
      </w:r>
    </w:p>
    <w:p w14:paraId="5D581177" w14:textId="68F1F5E0" w:rsidR="00497145" w:rsidRPr="0023385F" w:rsidRDefault="00497145" w:rsidP="00497145">
      <w:pPr>
        <w:pStyle w:val="Heading3"/>
        <w:rPr>
          <w:rFonts w:ascii="Times New Roman" w:hAnsi="Times New Roman" w:cs="Times New Roman"/>
          <w:sz w:val="22"/>
          <w:szCs w:val="22"/>
        </w:rPr>
      </w:pPr>
      <w:r w:rsidRPr="0023385F">
        <w:rPr>
          <w:rFonts w:ascii="Times New Roman" w:hAnsi="Times New Roman" w:cs="Times New Roman"/>
          <w:sz w:val="22"/>
          <w:szCs w:val="22"/>
        </w:rPr>
        <w:t>Item 5</w:t>
      </w:r>
    </w:p>
    <w:p w14:paraId="70550B14" w14:textId="3E10AD0B" w:rsidR="009D16E9" w:rsidRPr="00311390" w:rsidRDefault="00497145" w:rsidP="009D16E9">
      <w:pPr>
        <w:rPr>
          <w:rFonts w:ascii="Times New Roman" w:hAnsi="Times New Roman"/>
          <w:sz w:val="22"/>
          <w:szCs w:val="22"/>
        </w:rPr>
      </w:pPr>
      <w:r w:rsidRPr="0023385F">
        <w:rPr>
          <w:rFonts w:ascii="Times New Roman" w:hAnsi="Times New Roman"/>
          <w:sz w:val="22"/>
          <w:szCs w:val="22"/>
        </w:rPr>
        <w:t xml:space="preserve">Item 5 </w:t>
      </w:r>
      <w:r w:rsidR="006A68C7">
        <w:rPr>
          <w:rFonts w:ascii="Times New Roman" w:hAnsi="Times New Roman"/>
          <w:sz w:val="22"/>
          <w:szCs w:val="22"/>
        </w:rPr>
        <w:t xml:space="preserve">corrects </w:t>
      </w:r>
      <w:r w:rsidR="0000724F">
        <w:rPr>
          <w:rFonts w:ascii="Times New Roman" w:hAnsi="Times New Roman"/>
          <w:sz w:val="22"/>
          <w:szCs w:val="22"/>
        </w:rPr>
        <w:t>a typographical error</w:t>
      </w:r>
      <w:r w:rsidR="006A68C7">
        <w:rPr>
          <w:rFonts w:ascii="Times New Roman" w:hAnsi="Times New Roman"/>
          <w:sz w:val="22"/>
          <w:szCs w:val="22"/>
        </w:rPr>
        <w:t xml:space="preserve"> in </w:t>
      </w:r>
      <w:r w:rsidR="00EC25F5">
        <w:rPr>
          <w:rFonts w:ascii="Times New Roman" w:hAnsi="Times New Roman"/>
          <w:sz w:val="22"/>
          <w:szCs w:val="22"/>
        </w:rPr>
        <w:t>Table 1</w:t>
      </w:r>
      <w:r w:rsidR="008214DA">
        <w:rPr>
          <w:rFonts w:ascii="Times New Roman" w:hAnsi="Times New Roman"/>
          <w:sz w:val="22"/>
          <w:szCs w:val="22"/>
        </w:rPr>
        <w:t xml:space="preserve"> of Schedule 1 to the Tax Determination</w:t>
      </w:r>
      <w:r w:rsidR="00DA5D88">
        <w:rPr>
          <w:rFonts w:ascii="Times New Roman" w:hAnsi="Times New Roman"/>
          <w:sz w:val="22"/>
          <w:szCs w:val="22"/>
        </w:rPr>
        <w:t>.</w:t>
      </w:r>
    </w:p>
    <w:p w14:paraId="14029118" w14:textId="10B6E2A2" w:rsidR="00575A55" w:rsidRPr="0023385F" w:rsidRDefault="00575A55" w:rsidP="00575A55">
      <w:pPr>
        <w:pStyle w:val="Heading3"/>
        <w:rPr>
          <w:rFonts w:ascii="Times New Roman" w:hAnsi="Times New Roman" w:cs="Times New Roman"/>
          <w:sz w:val="22"/>
          <w:szCs w:val="22"/>
        </w:rPr>
      </w:pPr>
      <w:bookmarkStart w:id="6" w:name="OLE_LINK7"/>
      <w:r w:rsidRPr="0023385F">
        <w:rPr>
          <w:rFonts w:ascii="Times New Roman" w:hAnsi="Times New Roman" w:cs="Times New Roman"/>
          <w:sz w:val="22"/>
          <w:szCs w:val="22"/>
        </w:rPr>
        <w:t>Item 6</w:t>
      </w:r>
    </w:p>
    <w:bookmarkEnd w:id="6"/>
    <w:p w14:paraId="4184F6CC" w14:textId="350FDE7A" w:rsidR="00575A55" w:rsidRPr="00311390" w:rsidRDefault="00575A55" w:rsidP="00575A55">
      <w:pPr>
        <w:rPr>
          <w:rFonts w:ascii="Times New Roman" w:hAnsi="Times New Roman"/>
          <w:sz w:val="22"/>
          <w:szCs w:val="22"/>
        </w:rPr>
      </w:pPr>
      <w:r w:rsidRPr="0023385F">
        <w:rPr>
          <w:rFonts w:ascii="Times New Roman" w:hAnsi="Times New Roman"/>
          <w:sz w:val="22"/>
          <w:szCs w:val="22"/>
        </w:rPr>
        <w:t xml:space="preserve">Item 6 </w:t>
      </w:r>
      <w:r w:rsidR="00EC25F5">
        <w:rPr>
          <w:rFonts w:ascii="Times New Roman" w:hAnsi="Times New Roman"/>
          <w:sz w:val="22"/>
          <w:szCs w:val="22"/>
        </w:rPr>
        <w:t>o</w:t>
      </w:r>
      <w:r w:rsidR="00EC25F5" w:rsidRPr="00EC25F5">
        <w:rPr>
          <w:rFonts w:ascii="Times New Roman" w:hAnsi="Times New Roman"/>
          <w:sz w:val="22"/>
          <w:szCs w:val="22"/>
        </w:rPr>
        <w:t>mit</w:t>
      </w:r>
      <w:r w:rsidR="00EC25F5">
        <w:rPr>
          <w:rFonts w:ascii="Times New Roman" w:hAnsi="Times New Roman"/>
          <w:sz w:val="22"/>
          <w:szCs w:val="22"/>
        </w:rPr>
        <w:t>s</w:t>
      </w:r>
      <w:r w:rsidR="00EC25F5" w:rsidRPr="00EC25F5">
        <w:rPr>
          <w:rFonts w:ascii="Times New Roman" w:hAnsi="Times New Roman"/>
          <w:sz w:val="22"/>
          <w:szCs w:val="22"/>
        </w:rPr>
        <w:t xml:space="preserve"> </w:t>
      </w:r>
      <w:r w:rsidR="005C366E">
        <w:rPr>
          <w:rFonts w:ascii="Times New Roman" w:hAnsi="Times New Roman"/>
          <w:sz w:val="22"/>
          <w:szCs w:val="22"/>
        </w:rPr>
        <w:t xml:space="preserve">the word </w:t>
      </w:r>
      <w:r w:rsidR="00EC25F5" w:rsidRPr="00EC25F5">
        <w:rPr>
          <w:rFonts w:ascii="Times New Roman" w:hAnsi="Times New Roman"/>
          <w:sz w:val="22"/>
          <w:szCs w:val="22"/>
        </w:rPr>
        <w:t>‘payable’</w:t>
      </w:r>
      <w:r w:rsidR="005C366E">
        <w:rPr>
          <w:rFonts w:ascii="Times New Roman" w:hAnsi="Times New Roman"/>
          <w:sz w:val="22"/>
          <w:szCs w:val="22"/>
        </w:rPr>
        <w:t xml:space="preserve"> from Step 3 of Part 2 </w:t>
      </w:r>
      <w:r w:rsidR="00996317">
        <w:rPr>
          <w:rFonts w:ascii="Times New Roman" w:hAnsi="Times New Roman"/>
          <w:sz w:val="22"/>
          <w:szCs w:val="22"/>
        </w:rPr>
        <w:t xml:space="preserve">of </w:t>
      </w:r>
      <w:r w:rsidR="005C366E">
        <w:rPr>
          <w:rFonts w:ascii="Times New Roman" w:hAnsi="Times New Roman"/>
          <w:sz w:val="22"/>
          <w:szCs w:val="22"/>
        </w:rPr>
        <w:t>Schedule 1</w:t>
      </w:r>
      <w:r w:rsidR="00996317">
        <w:rPr>
          <w:rFonts w:ascii="Times New Roman" w:hAnsi="Times New Roman"/>
          <w:sz w:val="22"/>
          <w:szCs w:val="22"/>
        </w:rPr>
        <w:t xml:space="preserve"> to the Tax Determination</w:t>
      </w:r>
      <w:r w:rsidR="00EC25F5" w:rsidRPr="00EC25F5">
        <w:rPr>
          <w:rFonts w:ascii="Times New Roman" w:hAnsi="Times New Roman"/>
          <w:sz w:val="22"/>
          <w:szCs w:val="22"/>
        </w:rPr>
        <w:t>.</w:t>
      </w:r>
      <w:r w:rsidR="00996317">
        <w:rPr>
          <w:rFonts w:ascii="Times New Roman" w:hAnsi="Times New Roman"/>
          <w:sz w:val="22"/>
          <w:szCs w:val="22"/>
        </w:rPr>
        <w:t xml:space="preserve"> This is a consequential change to the introduction of Schedule 2 to the Tax Determination.</w:t>
      </w:r>
    </w:p>
    <w:p w14:paraId="6590E11B" w14:textId="21AA9DB0" w:rsidR="00A92DD0" w:rsidRPr="0023385F" w:rsidRDefault="00A92DD0" w:rsidP="00A92DD0">
      <w:pPr>
        <w:pStyle w:val="Heading3"/>
        <w:rPr>
          <w:rFonts w:ascii="Times New Roman" w:hAnsi="Times New Roman" w:cs="Times New Roman"/>
          <w:sz w:val="22"/>
          <w:szCs w:val="22"/>
        </w:rPr>
      </w:pPr>
      <w:r w:rsidRPr="0023385F">
        <w:rPr>
          <w:rFonts w:ascii="Times New Roman" w:hAnsi="Times New Roman" w:cs="Times New Roman"/>
          <w:sz w:val="22"/>
          <w:szCs w:val="22"/>
        </w:rPr>
        <w:t>Item 7</w:t>
      </w:r>
    </w:p>
    <w:p w14:paraId="60BCBAA2" w14:textId="562537CA" w:rsidR="00B127A1" w:rsidRDefault="00A92DD0" w:rsidP="00AD24E3">
      <w:pPr>
        <w:rPr>
          <w:rFonts w:ascii="Times New Roman" w:hAnsi="Times New Roman"/>
          <w:sz w:val="22"/>
          <w:szCs w:val="22"/>
        </w:rPr>
      </w:pPr>
      <w:r w:rsidRPr="0023385F">
        <w:rPr>
          <w:rFonts w:ascii="Times New Roman" w:hAnsi="Times New Roman"/>
          <w:sz w:val="22"/>
          <w:szCs w:val="22"/>
        </w:rPr>
        <w:t xml:space="preserve">Item 7 </w:t>
      </w:r>
      <w:r w:rsidR="00EC25F5">
        <w:rPr>
          <w:rFonts w:ascii="Times New Roman" w:hAnsi="Times New Roman"/>
          <w:sz w:val="22"/>
          <w:szCs w:val="22"/>
        </w:rPr>
        <w:t xml:space="preserve">inserts </w:t>
      </w:r>
      <w:r w:rsidR="00B127A1">
        <w:rPr>
          <w:rFonts w:ascii="Times New Roman" w:hAnsi="Times New Roman"/>
          <w:sz w:val="22"/>
          <w:szCs w:val="22"/>
        </w:rPr>
        <w:t xml:space="preserve">a </w:t>
      </w:r>
      <w:r w:rsidR="00EC25F5">
        <w:rPr>
          <w:rFonts w:ascii="Times New Roman" w:hAnsi="Times New Roman"/>
          <w:sz w:val="22"/>
          <w:szCs w:val="22"/>
        </w:rPr>
        <w:t xml:space="preserve">new Schedule 2 </w:t>
      </w:r>
      <w:r w:rsidR="00B127A1">
        <w:rPr>
          <w:rFonts w:ascii="Times New Roman" w:hAnsi="Times New Roman"/>
          <w:sz w:val="22"/>
          <w:szCs w:val="22"/>
        </w:rPr>
        <w:t>to the Tax Determination, titled ‘</w:t>
      </w:r>
      <w:r w:rsidR="00EC25F5">
        <w:rPr>
          <w:rFonts w:ascii="Times New Roman" w:hAnsi="Times New Roman"/>
          <w:sz w:val="22"/>
          <w:szCs w:val="22"/>
        </w:rPr>
        <w:t>Working out the EME Component’.</w:t>
      </w:r>
    </w:p>
    <w:p w14:paraId="5705B01A" w14:textId="580FA1DF" w:rsidR="00F00BAE" w:rsidRDefault="008E006A" w:rsidP="008E006A">
      <w:pPr>
        <w:spacing w:before="120"/>
        <w:rPr>
          <w:rFonts w:ascii="Times New Roman" w:hAnsi="Times New Roman"/>
          <w:sz w:val="22"/>
          <w:szCs w:val="22"/>
        </w:rPr>
      </w:pPr>
      <w:r>
        <w:rPr>
          <w:rFonts w:ascii="Times New Roman" w:hAnsi="Times New Roman"/>
          <w:sz w:val="22"/>
          <w:szCs w:val="22"/>
        </w:rPr>
        <w:t xml:space="preserve">The Direction requires the ACMA to amend the Tax Determination to include an amount attributable to the </w:t>
      </w:r>
      <w:r w:rsidR="00C13F51">
        <w:rPr>
          <w:rFonts w:ascii="Times New Roman" w:hAnsi="Times New Roman"/>
          <w:sz w:val="22"/>
          <w:szCs w:val="22"/>
        </w:rPr>
        <w:t>new EME component of</w:t>
      </w:r>
      <w:r w:rsidR="00F222CD">
        <w:rPr>
          <w:rFonts w:ascii="Times New Roman" w:hAnsi="Times New Roman"/>
          <w:sz w:val="22"/>
          <w:szCs w:val="22"/>
        </w:rPr>
        <w:t xml:space="preserve"> no greater than </w:t>
      </w:r>
      <w:r w:rsidR="000E01FE">
        <w:rPr>
          <w:rFonts w:ascii="Times New Roman" w:hAnsi="Times New Roman"/>
          <w:sz w:val="22"/>
          <w:szCs w:val="22"/>
        </w:rPr>
        <w:t xml:space="preserve">$2.6 million p.a. for the next three financial years, and </w:t>
      </w:r>
      <w:r w:rsidR="000E01FE">
        <w:rPr>
          <w:rFonts w:ascii="Times New Roman" w:hAnsi="Times New Roman"/>
          <w:sz w:val="22"/>
          <w:szCs w:val="22"/>
        </w:rPr>
        <w:lastRenderedPageBreak/>
        <w:t>for $1.9 million p.a. thereafter</w:t>
      </w:r>
      <w:r w:rsidR="00D258F2">
        <w:rPr>
          <w:rFonts w:ascii="Times New Roman" w:hAnsi="Times New Roman"/>
          <w:sz w:val="22"/>
          <w:szCs w:val="22"/>
        </w:rPr>
        <w:t xml:space="preserve"> (</w:t>
      </w:r>
      <w:r w:rsidR="00D258F2" w:rsidRPr="00191B56">
        <w:rPr>
          <w:rFonts w:ascii="Times New Roman" w:hAnsi="Times New Roman"/>
          <w:b/>
          <w:bCs/>
          <w:sz w:val="22"/>
          <w:szCs w:val="22"/>
        </w:rPr>
        <w:t>Combined Spectrum Tax EME Component</w:t>
      </w:r>
      <w:r w:rsidR="00D258F2">
        <w:rPr>
          <w:rFonts w:ascii="Times New Roman" w:hAnsi="Times New Roman"/>
          <w:sz w:val="22"/>
          <w:szCs w:val="22"/>
        </w:rPr>
        <w:t>)</w:t>
      </w:r>
      <w:r w:rsidR="000E01FE">
        <w:rPr>
          <w:rFonts w:ascii="Times New Roman" w:hAnsi="Times New Roman"/>
          <w:sz w:val="22"/>
          <w:szCs w:val="22"/>
        </w:rPr>
        <w:t>, and to apportion that amount</w:t>
      </w:r>
      <w:r w:rsidR="00AF4D95">
        <w:rPr>
          <w:rFonts w:ascii="Times New Roman" w:hAnsi="Times New Roman"/>
          <w:sz w:val="22"/>
          <w:szCs w:val="22"/>
        </w:rPr>
        <w:t xml:space="preserve"> between the taxes to be imposed in respect of all Designated Spectrum Licences.</w:t>
      </w:r>
      <w:r w:rsidR="004971F5">
        <w:rPr>
          <w:rFonts w:ascii="Times New Roman" w:hAnsi="Times New Roman"/>
          <w:sz w:val="22"/>
          <w:szCs w:val="22"/>
        </w:rPr>
        <w:t xml:space="preserve"> The Direction provides that these amendments must discretely designate, in a clear and unambiguous way, the component of spectrum licence tax which represents the increase in that tax arising from the implementation of the Direction, and label the component ‘EME Component’.</w:t>
      </w:r>
    </w:p>
    <w:p w14:paraId="0EE64231" w14:textId="09D2EC05" w:rsidR="004971F5" w:rsidRDefault="004971F5" w:rsidP="00191B56">
      <w:pPr>
        <w:spacing w:before="120"/>
        <w:rPr>
          <w:rFonts w:ascii="Times New Roman" w:hAnsi="Times New Roman"/>
          <w:sz w:val="22"/>
          <w:szCs w:val="22"/>
        </w:rPr>
      </w:pPr>
      <w:r>
        <w:rPr>
          <w:rFonts w:ascii="Times New Roman" w:hAnsi="Times New Roman"/>
          <w:sz w:val="22"/>
          <w:szCs w:val="22"/>
        </w:rPr>
        <w:t xml:space="preserve">The component of spectrum licence tax </w:t>
      </w:r>
      <w:r w:rsidR="00FB063E">
        <w:rPr>
          <w:rFonts w:ascii="Times New Roman" w:hAnsi="Times New Roman"/>
          <w:sz w:val="22"/>
          <w:szCs w:val="22"/>
        </w:rPr>
        <w:t>calculated in accordance with new Schedule 2 to the Tax Determination is the ‘EME Component’.</w:t>
      </w:r>
    </w:p>
    <w:p w14:paraId="1967C19E" w14:textId="0160A86B" w:rsidR="00AD24E3" w:rsidRDefault="00B127A1" w:rsidP="00C13F51">
      <w:pPr>
        <w:spacing w:before="120"/>
        <w:rPr>
          <w:rFonts w:ascii="Times New Roman" w:hAnsi="Times New Roman"/>
          <w:sz w:val="22"/>
          <w:szCs w:val="22"/>
        </w:rPr>
      </w:pPr>
      <w:r>
        <w:rPr>
          <w:rFonts w:ascii="Times New Roman" w:hAnsi="Times New Roman"/>
          <w:sz w:val="22"/>
          <w:szCs w:val="22"/>
        </w:rPr>
        <w:t xml:space="preserve">Part 1 of new </w:t>
      </w:r>
      <w:r w:rsidR="00EC25F5">
        <w:rPr>
          <w:rFonts w:ascii="Times New Roman" w:hAnsi="Times New Roman"/>
          <w:sz w:val="22"/>
          <w:szCs w:val="22"/>
        </w:rPr>
        <w:t xml:space="preserve">Schedule 2 </w:t>
      </w:r>
      <w:r w:rsidR="00F00BAE">
        <w:rPr>
          <w:rFonts w:ascii="Times New Roman" w:hAnsi="Times New Roman"/>
          <w:sz w:val="22"/>
          <w:szCs w:val="22"/>
        </w:rPr>
        <w:t>sets out the definitions for the Schedule</w:t>
      </w:r>
      <w:r w:rsidR="00FB063E">
        <w:rPr>
          <w:rFonts w:ascii="Times New Roman" w:hAnsi="Times New Roman"/>
          <w:sz w:val="22"/>
          <w:szCs w:val="22"/>
        </w:rPr>
        <w:t xml:space="preserve"> </w:t>
      </w:r>
    </w:p>
    <w:p w14:paraId="112BD5EE" w14:textId="3853554C" w:rsidR="00D258F2" w:rsidRDefault="00D258F2" w:rsidP="00C13F51">
      <w:pPr>
        <w:spacing w:before="120"/>
        <w:rPr>
          <w:rFonts w:ascii="Times New Roman" w:hAnsi="Times New Roman"/>
          <w:sz w:val="22"/>
          <w:szCs w:val="22"/>
        </w:rPr>
      </w:pPr>
      <w:r>
        <w:rPr>
          <w:rFonts w:ascii="Times New Roman" w:hAnsi="Times New Roman"/>
          <w:sz w:val="22"/>
          <w:szCs w:val="22"/>
        </w:rPr>
        <w:t xml:space="preserve">Part 2 of new Schedule 2 sets out how the </w:t>
      </w:r>
      <w:r w:rsidR="00004F27">
        <w:rPr>
          <w:rFonts w:ascii="Times New Roman" w:hAnsi="Times New Roman"/>
          <w:sz w:val="22"/>
          <w:szCs w:val="22"/>
        </w:rPr>
        <w:t xml:space="preserve">Combined Spectrum Tax EME Component for a financial year is to be apportioned between Designated Spectrum Licences. </w:t>
      </w:r>
      <w:r w:rsidR="005A4917">
        <w:rPr>
          <w:rFonts w:ascii="Times New Roman" w:hAnsi="Times New Roman"/>
          <w:sz w:val="22"/>
          <w:szCs w:val="22"/>
        </w:rPr>
        <w:t xml:space="preserve">In effect, it sets out a formula that relies on the ‘Main Component’ of </w:t>
      </w:r>
      <w:r w:rsidR="00951E97">
        <w:rPr>
          <w:rFonts w:ascii="Times New Roman" w:hAnsi="Times New Roman"/>
          <w:sz w:val="22"/>
          <w:szCs w:val="22"/>
        </w:rPr>
        <w:t xml:space="preserve">spectrum licence </w:t>
      </w:r>
      <w:r w:rsidR="005A4917">
        <w:rPr>
          <w:rFonts w:ascii="Times New Roman" w:hAnsi="Times New Roman"/>
          <w:sz w:val="22"/>
          <w:szCs w:val="22"/>
        </w:rPr>
        <w:t xml:space="preserve">tax </w:t>
      </w:r>
      <w:r w:rsidR="00951E97">
        <w:rPr>
          <w:rFonts w:ascii="Times New Roman" w:hAnsi="Times New Roman"/>
          <w:sz w:val="22"/>
          <w:szCs w:val="22"/>
        </w:rPr>
        <w:t>payable by the licensees of these licences, which is the amount calculated by reference to Schedule 1 to the Tax Determination.</w:t>
      </w:r>
      <w:r w:rsidR="00AF0693">
        <w:rPr>
          <w:rFonts w:ascii="Times New Roman" w:hAnsi="Times New Roman"/>
          <w:sz w:val="22"/>
          <w:szCs w:val="22"/>
        </w:rPr>
        <w:t xml:space="preserve"> Under Schedule 1, the Main Component is worked out by reference to the amount of spectrum authorised by a spectrum licence, and the population of the geographic area covered by the spectrum licence.</w:t>
      </w:r>
    </w:p>
    <w:p w14:paraId="16F07DC4" w14:textId="375BEC72" w:rsidR="00951E97" w:rsidRDefault="00951E97" w:rsidP="00C13F51">
      <w:pPr>
        <w:spacing w:before="120"/>
        <w:rPr>
          <w:rFonts w:ascii="Times New Roman" w:hAnsi="Times New Roman"/>
          <w:sz w:val="22"/>
          <w:szCs w:val="22"/>
        </w:rPr>
      </w:pPr>
      <w:r>
        <w:rPr>
          <w:rFonts w:ascii="Times New Roman" w:hAnsi="Times New Roman"/>
          <w:sz w:val="22"/>
          <w:szCs w:val="22"/>
        </w:rPr>
        <w:t xml:space="preserve">Each Designated Spectrum Licence will have an amount worked out in accordance with Schedule 1 (its Main Component). </w:t>
      </w:r>
      <w:r w:rsidR="00756695">
        <w:rPr>
          <w:rFonts w:ascii="Times New Roman" w:hAnsi="Times New Roman"/>
          <w:sz w:val="22"/>
          <w:szCs w:val="22"/>
        </w:rPr>
        <w:t>Under Schedule 2, to work out the EME Component for a Designated Spectrum Licence, first work out the total of the Main Components</w:t>
      </w:r>
      <w:r w:rsidR="006C19C1">
        <w:rPr>
          <w:rFonts w:ascii="Times New Roman" w:hAnsi="Times New Roman"/>
          <w:sz w:val="22"/>
          <w:szCs w:val="22"/>
        </w:rPr>
        <w:t xml:space="preserve"> worked out for all Designated Spectrum </w:t>
      </w:r>
      <w:r w:rsidR="00BC49AA">
        <w:rPr>
          <w:rFonts w:ascii="Times New Roman" w:hAnsi="Times New Roman"/>
          <w:sz w:val="22"/>
          <w:szCs w:val="22"/>
        </w:rPr>
        <w:t>Licences (</w:t>
      </w:r>
      <w:r w:rsidR="00BC49AA" w:rsidRPr="00191B56">
        <w:rPr>
          <w:rFonts w:ascii="Times New Roman" w:hAnsi="Times New Roman"/>
          <w:b/>
          <w:bCs/>
          <w:sz w:val="22"/>
          <w:szCs w:val="22"/>
        </w:rPr>
        <w:t>Total Main Component</w:t>
      </w:r>
      <w:r w:rsidR="00BC49AA">
        <w:rPr>
          <w:rFonts w:ascii="Times New Roman" w:hAnsi="Times New Roman"/>
          <w:sz w:val="22"/>
          <w:szCs w:val="22"/>
        </w:rPr>
        <w:t xml:space="preserve">). </w:t>
      </w:r>
      <w:r w:rsidR="00D17D8A">
        <w:rPr>
          <w:rFonts w:ascii="Times New Roman" w:hAnsi="Times New Roman"/>
          <w:sz w:val="22"/>
          <w:szCs w:val="22"/>
        </w:rPr>
        <w:t xml:space="preserve">For a particular Designated Spectrum Licence, </w:t>
      </w:r>
      <w:r w:rsidR="00AD2515">
        <w:rPr>
          <w:rFonts w:ascii="Times New Roman" w:hAnsi="Times New Roman"/>
          <w:sz w:val="22"/>
          <w:szCs w:val="22"/>
        </w:rPr>
        <w:t xml:space="preserve">the quotient obtained from dividing its Main Component by the Total Main Component is the proportion of </w:t>
      </w:r>
      <w:r w:rsidR="00687144">
        <w:rPr>
          <w:rFonts w:ascii="Times New Roman" w:hAnsi="Times New Roman"/>
          <w:sz w:val="22"/>
          <w:szCs w:val="22"/>
        </w:rPr>
        <w:t xml:space="preserve">Combined Spectrum Tax EME Component to be apportioned to the licence. </w:t>
      </w:r>
    </w:p>
    <w:p w14:paraId="5C8AA54C" w14:textId="20CB5B29" w:rsidR="00687144" w:rsidRDefault="00687144" w:rsidP="00191B56">
      <w:pPr>
        <w:spacing w:before="120"/>
        <w:rPr>
          <w:rFonts w:ascii="Times New Roman" w:hAnsi="Times New Roman"/>
          <w:sz w:val="22"/>
          <w:szCs w:val="22"/>
        </w:rPr>
      </w:pPr>
      <w:r>
        <w:rPr>
          <w:rFonts w:ascii="Times New Roman" w:hAnsi="Times New Roman"/>
          <w:sz w:val="22"/>
          <w:szCs w:val="22"/>
        </w:rPr>
        <w:t xml:space="preserve">Accordingly, this proportion is then multiplied by the Combined Spectrum Tax EME Component </w:t>
      </w:r>
      <w:r w:rsidR="00126007">
        <w:rPr>
          <w:rFonts w:ascii="Times New Roman" w:hAnsi="Times New Roman"/>
          <w:sz w:val="22"/>
          <w:szCs w:val="22"/>
        </w:rPr>
        <w:t>to calculate the EME Component for the licence.</w:t>
      </w:r>
      <w:r w:rsidR="001B2D83">
        <w:rPr>
          <w:rFonts w:ascii="Times New Roman" w:hAnsi="Times New Roman"/>
          <w:sz w:val="22"/>
          <w:szCs w:val="22"/>
        </w:rPr>
        <w:t xml:space="preserve"> This number is rounded down to the nearest whole dollar</w:t>
      </w:r>
      <w:r w:rsidR="00E42DF7">
        <w:rPr>
          <w:rFonts w:ascii="Times New Roman" w:hAnsi="Times New Roman"/>
          <w:sz w:val="22"/>
          <w:szCs w:val="22"/>
        </w:rPr>
        <w:t>.</w:t>
      </w:r>
    </w:p>
    <w:p w14:paraId="1DB4E96F" w14:textId="0E75A889" w:rsidR="00C360AB" w:rsidRDefault="00C360AB" w:rsidP="00191B56">
      <w:pPr>
        <w:spacing w:before="120"/>
        <w:rPr>
          <w:rFonts w:ascii="Times New Roman" w:hAnsi="Times New Roman"/>
          <w:sz w:val="22"/>
          <w:szCs w:val="22"/>
        </w:rPr>
      </w:pPr>
      <w:r>
        <w:rPr>
          <w:rFonts w:ascii="Times New Roman" w:hAnsi="Times New Roman"/>
          <w:sz w:val="22"/>
          <w:szCs w:val="22"/>
        </w:rPr>
        <w:t xml:space="preserve">The example below illustrates how </w:t>
      </w:r>
      <w:r w:rsidR="00E60195">
        <w:rPr>
          <w:rFonts w:ascii="Times New Roman" w:hAnsi="Times New Roman"/>
          <w:sz w:val="22"/>
          <w:szCs w:val="22"/>
        </w:rPr>
        <w:t xml:space="preserve">the updated spectrum licence tax calculation works. </w:t>
      </w:r>
    </w:p>
    <w:p w14:paraId="405860F1" w14:textId="17596B89" w:rsidR="0043456D" w:rsidRDefault="0043456D" w:rsidP="0043456D">
      <w:pPr>
        <w:spacing w:before="120"/>
        <w:ind w:left="720"/>
        <w:rPr>
          <w:rFonts w:ascii="Times New Roman" w:hAnsi="Times New Roman"/>
          <w:sz w:val="22"/>
          <w:szCs w:val="22"/>
        </w:rPr>
      </w:pPr>
      <w:r>
        <w:rPr>
          <w:rFonts w:ascii="Times New Roman" w:hAnsi="Times New Roman"/>
          <w:sz w:val="22"/>
          <w:szCs w:val="22"/>
        </w:rPr>
        <w:t>For a particular financial year, there are a total of four spectrum licences issued. Three are Designated Spectrum Licences, and one is not a Designated Spectrum Licence</w:t>
      </w:r>
      <w:r w:rsidR="00CA36EB">
        <w:rPr>
          <w:rFonts w:ascii="Times New Roman" w:hAnsi="Times New Roman"/>
          <w:sz w:val="22"/>
          <w:szCs w:val="22"/>
        </w:rPr>
        <w:t xml:space="preserve"> (</w:t>
      </w:r>
      <w:r w:rsidR="00CA36EB" w:rsidRPr="00191B56">
        <w:rPr>
          <w:rFonts w:ascii="Times New Roman" w:hAnsi="Times New Roman"/>
          <w:b/>
          <w:bCs/>
          <w:sz w:val="22"/>
          <w:szCs w:val="22"/>
        </w:rPr>
        <w:t>Fourth Licence</w:t>
      </w:r>
      <w:r w:rsidR="00CA36EB">
        <w:rPr>
          <w:rFonts w:ascii="Times New Roman" w:hAnsi="Times New Roman"/>
          <w:sz w:val="22"/>
          <w:szCs w:val="22"/>
        </w:rPr>
        <w:t>)</w:t>
      </w:r>
      <w:r>
        <w:rPr>
          <w:rFonts w:ascii="Times New Roman" w:hAnsi="Times New Roman"/>
          <w:sz w:val="22"/>
          <w:szCs w:val="22"/>
        </w:rPr>
        <w:t>.</w:t>
      </w:r>
      <w:r w:rsidR="001A17DD">
        <w:rPr>
          <w:rFonts w:ascii="Times New Roman" w:hAnsi="Times New Roman"/>
          <w:sz w:val="22"/>
          <w:szCs w:val="22"/>
        </w:rPr>
        <w:t xml:space="preserve"> These are listed in column 1 of the table below.</w:t>
      </w:r>
    </w:p>
    <w:p w14:paraId="1CB208A9" w14:textId="39E173B0" w:rsidR="0043456D" w:rsidRDefault="0043456D" w:rsidP="0043456D">
      <w:pPr>
        <w:spacing w:before="120"/>
        <w:ind w:left="720"/>
        <w:rPr>
          <w:rFonts w:ascii="Times New Roman" w:hAnsi="Times New Roman"/>
          <w:sz w:val="22"/>
          <w:szCs w:val="22"/>
        </w:rPr>
      </w:pPr>
      <w:r>
        <w:rPr>
          <w:rFonts w:ascii="Times New Roman" w:hAnsi="Times New Roman"/>
          <w:sz w:val="22"/>
          <w:szCs w:val="22"/>
        </w:rPr>
        <w:t xml:space="preserve">Say the Main Component for each spectrum licence, calculated in accordance with </w:t>
      </w:r>
      <w:r w:rsidR="001B2D83">
        <w:rPr>
          <w:rFonts w:ascii="Times New Roman" w:hAnsi="Times New Roman"/>
          <w:sz w:val="22"/>
          <w:szCs w:val="22"/>
        </w:rPr>
        <w:t xml:space="preserve">Schedule 1, is the amount set out in column 2 </w:t>
      </w:r>
      <w:r w:rsidR="001A17DD">
        <w:rPr>
          <w:rFonts w:ascii="Times New Roman" w:hAnsi="Times New Roman"/>
          <w:sz w:val="22"/>
          <w:szCs w:val="22"/>
        </w:rPr>
        <w:t xml:space="preserve">of the table below </w:t>
      </w:r>
      <w:r w:rsidR="001B2D83">
        <w:rPr>
          <w:rFonts w:ascii="Times New Roman" w:hAnsi="Times New Roman"/>
          <w:sz w:val="22"/>
          <w:szCs w:val="22"/>
        </w:rPr>
        <w:t>for the licence.</w:t>
      </w:r>
    </w:p>
    <w:p w14:paraId="401540A6" w14:textId="7A9B0C0D" w:rsidR="00CA36EB" w:rsidRDefault="000B43EF">
      <w:pPr>
        <w:spacing w:before="120"/>
        <w:ind w:left="720"/>
        <w:rPr>
          <w:rFonts w:ascii="Times New Roman" w:hAnsi="Times New Roman"/>
          <w:sz w:val="22"/>
          <w:szCs w:val="22"/>
        </w:rPr>
      </w:pPr>
      <w:r>
        <w:rPr>
          <w:rFonts w:ascii="Times New Roman" w:hAnsi="Times New Roman"/>
          <w:sz w:val="22"/>
          <w:szCs w:val="22"/>
        </w:rPr>
        <w:t>The total of the Main Component for the three Designated Spectrum Licences is $370,000. Th</w:t>
      </w:r>
      <w:r w:rsidR="00E47E62">
        <w:rPr>
          <w:rFonts w:ascii="Times New Roman" w:hAnsi="Times New Roman"/>
          <w:sz w:val="22"/>
          <w:szCs w:val="22"/>
        </w:rPr>
        <w:t>is does</w:t>
      </w:r>
      <w:r w:rsidR="00421EE1">
        <w:rPr>
          <w:rFonts w:ascii="Times New Roman" w:hAnsi="Times New Roman"/>
          <w:sz w:val="22"/>
          <w:szCs w:val="22"/>
        </w:rPr>
        <w:t xml:space="preserve"> not include the Main Component for the Fourth Licence.</w:t>
      </w:r>
    </w:p>
    <w:p w14:paraId="4379F9F1" w14:textId="4149D128" w:rsidR="008E1226" w:rsidRDefault="00421EE1" w:rsidP="0043456D">
      <w:pPr>
        <w:spacing w:before="120"/>
        <w:ind w:left="720"/>
        <w:rPr>
          <w:rFonts w:ascii="Times New Roman" w:hAnsi="Times New Roman"/>
          <w:sz w:val="22"/>
          <w:szCs w:val="22"/>
        </w:rPr>
      </w:pPr>
      <w:r>
        <w:rPr>
          <w:rFonts w:ascii="Times New Roman" w:hAnsi="Times New Roman"/>
          <w:sz w:val="22"/>
          <w:szCs w:val="22"/>
        </w:rPr>
        <w:t>For Designated Spectrum</w:t>
      </w:r>
      <w:r w:rsidR="00EC25F5" w:rsidRPr="00191B56">
        <w:rPr>
          <w:rFonts w:ascii="Times New Roman" w:hAnsi="Times New Roman"/>
          <w:sz w:val="22"/>
          <w:szCs w:val="22"/>
        </w:rPr>
        <w:t xml:space="preserve"> Licence 1</w:t>
      </w:r>
      <w:r>
        <w:rPr>
          <w:rFonts w:ascii="Times New Roman" w:hAnsi="Times New Roman"/>
          <w:sz w:val="22"/>
          <w:szCs w:val="22"/>
        </w:rPr>
        <w:t>,</w:t>
      </w:r>
      <w:r w:rsidR="00EC25F5" w:rsidRPr="00191B56">
        <w:rPr>
          <w:rFonts w:ascii="Times New Roman" w:hAnsi="Times New Roman"/>
          <w:sz w:val="22"/>
          <w:szCs w:val="22"/>
        </w:rPr>
        <w:t xml:space="preserve"> </w:t>
      </w:r>
      <w:r>
        <w:rPr>
          <w:rFonts w:ascii="Times New Roman" w:hAnsi="Times New Roman"/>
          <w:sz w:val="22"/>
          <w:szCs w:val="22"/>
        </w:rPr>
        <w:t>its Main Component</w:t>
      </w:r>
      <w:r w:rsidR="00EC25F5" w:rsidRPr="00191B56">
        <w:rPr>
          <w:rFonts w:ascii="Times New Roman" w:hAnsi="Times New Roman"/>
          <w:sz w:val="22"/>
          <w:szCs w:val="22"/>
        </w:rPr>
        <w:t xml:space="preserve"> is $120,000. </w:t>
      </w:r>
      <w:r>
        <w:rPr>
          <w:rFonts w:ascii="Times New Roman" w:hAnsi="Times New Roman"/>
          <w:sz w:val="22"/>
          <w:szCs w:val="22"/>
        </w:rPr>
        <w:t xml:space="preserve">Accordingly, the proportion </w:t>
      </w:r>
      <w:r w:rsidR="008E1226">
        <w:rPr>
          <w:rFonts w:ascii="Times New Roman" w:hAnsi="Times New Roman"/>
          <w:sz w:val="22"/>
          <w:szCs w:val="22"/>
        </w:rPr>
        <w:t>of its Main Component of the total of the Main Component for the three Designated Spectrum Licences is $120,000 divided by $370,000, or about 32.4%</w:t>
      </w:r>
      <w:r w:rsidR="00EC25F5" w:rsidRPr="00191B56">
        <w:rPr>
          <w:rFonts w:ascii="Times New Roman" w:hAnsi="Times New Roman"/>
          <w:sz w:val="22"/>
          <w:szCs w:val="22"/>
        </w:rPr>
        <w:t xml:space="preserve">. </w:t>
      </w:r>
    </w:p>
    <w:p w14:paraId="550D8327" w14:textId="3ACAF8EE" w:rsidR="00EC25F5" w:rsidRDefault="008E1226" w:rsidP="00191B56">
      <w:pPr>
        <w:spacing w:before="120" w:after="120"/>
        <w:ind w:left="720"/>
        <w:rPr>
          <w:rFonts w:ascii="Times New Roman" w:hAnsi="Times New Roman"/>
          <w:sz w:val="22"/>
          <w:szCs w:val="22"/>
        </w:rPr>
      </w:pPr>
      <w:r>
        <w:rPr>
          <w:rFonts w:ascii="Times New Roman" w:hAnsi="Times New Roman"/>
          <w:sz w:val="22"/>
          <w:szCs w:val="22"/>
        </w:rPr>
        <w:t>If t</w:t>
      </w:r>
      <w:r w:rsidR="00EC25F5" w:rsidRPr="00191B56">
        <w:rPr>
          <w:rFonts w:ascii="Times New Roman" w:hAnsi="Times New Roman"/>
          <w:sz w:val="22"/>
          <w:szCs w:val="22"/>
        </w:rPr>
        <w:t xml:space="preserve">he </w:t>
      </w:r>
      <w:r w:rsidR="00E9742B">
        <w:rPr>
          <w:rFonts w:ascii="Times New Roman" w:hAnsi="Times New Roman"/>
          <w:sz w:val="22"/>
          <w:szCs w:val="22"/>
        </w:rPr>
        <w:t xml:space="preserve">Combined Spectrum Tax EME Component </w:t>
      </w:r>
      <w:r w:rsidR="00EC25F5" w:rsidRPr="00191B56">
        <w:rPr>
          <w:rFonts w:ascii="Times New Roman" w:hAnsi="Times New Roman"/>
          <w:sz w:val="22"/>
          <w:szCs w:val="22"/>
        </w:rPr>
        <w:t>is $2.6 million</w:t>
      </w:r>
      <w:r w:rsidR="00FA1C79">
        <w:rPr>
          <w:rFonts w:ascii="Times New Roman" w:hAnsi="Times New Roman"/>
          <w:sz w:val="22"/>
          <w:szCs w:val="22"/>
        </w:rPr>
        <w:t xml:space="preserve">, then for Designated Spectrum Licence 1, the EME Component is obtained by multiplying $2.6 million by 32.4%, which results in </w:t>
      </w:r>
      <w:r w:rsidR="00155AD0">
        <w:rPr>
          <w:rFonts w:ascii="Times New Roman" w:hAnsi="Times New Roman"/>
          <w:sz w:val="22"/>
          <w:szCs w:val="22"/>
        </w:rPr>
        <w:t>$843,243</w:t>
      </w:r>
      <w:r w:rsidR="009B5E33">
        <w:rPr>
          <w:rFonts w:ascii="Times New Roman" w:hAnsi="Times New Roman"/>
          <w:sz w:val="22"/>
          <w:szCs w:val="22"/>
        </w:rPr>
        <w:t>.24. Rounded down to the nearest dollar, this amount</w:t>
      </w:r>
      <w:r w:rsidR="004275E8">
        <w:rPr>
          <w:rFonts w:ascii="Times New Roman" w:hAnsi="Times New Roman"/>
          <w:sz w:val="22"/>
          <w:szCs w:val="22"/>
        </w:rPr>
        <w:t xml:space="preserve"> (in column 4)</w:t>
      </w:r>
      <w:r w:rsidR="009B5E33">
        <w:rPr>
          <w:rFonts w:ascii="Times New Roman" w:hAnsi="Times New Roman"/>
          <w:sz w:val="22"/>
          <w:szCs w:val="22"/>
        </w:rPr>
        <w:t xml:space="preserve"> is added on to the Main Component to obtain the total spectrum licence tax payable for Designated Spectrum Licence 1, namely, </w:t>
      </w:r>
      <w:r w:rsidR="00E0393F">
        <w:rPr>
          <w:rFonts w:ascii="Times New Roman" w:hAnsi="Times New Roman"/>
          <w:sz w:val="22"/>
          <w:szCs w:val="22"/>
        </w:rPr>
        <w:t>$963,243</w:t>
      </w:r>
      <w:r w:rsidR="004275E8">
        <w:rPr>
          <w:rFonts w:ascii="Times New Roman" w:hAnsi="Times New Roman"/>
          <w:sz w:val="22"/>
          <w:szCs w:val="22"/>
        </w:rPr>
        <w:t xml:space="preserve"> (in column 5)</w:t>
      </w:r>
      <w:r w:rsidR="00E0393F">
        <w:rPr>
          <w:rFonts w:ascii="Times New Roman" w:hAnsi="Times New Roman"/>
          <w:sz w:val="22"/>
          <w:szCs w:val="22"/>
        </w:rPr>
        <w:t>.</w:t>
      </w:r>
    </w:p>
    <w:tbl>
      <w:tblPr>
        <w:tblStyle w:val="TableGrid"/>
        <w:tblW w:w="0" w:type="auto"/>
        <w:tblInd w:w="720" w:type="dxa"/>
        <w:tblLook w:val="04A0" w:firstRow="1" w:lastRow="0" w:firstColumn="1" w:lastColumn="0" w:noHBand="0" w:noVBand="1"/>
      </w:tblPr>
      <w:tblGrid>
        <w:gridCol w:w="2110"/>
        <w:gridCol w:w="1341"/>
        <w:gridCol w:w="1615"/>
        <w:gridCol w:w="1615"/>
        <w:gridCol w:w="1615"/>
      </w:tblGrid>
      <w:tr w:rsidR="00250993" w14:paraId="78F266AF" w14:textId="78D3641F" w:rsidTr="00191B56">
        <w:tc>
          <w:tcPr>
            <w:tcW w:w="2110" w:type="dxa"/>
            <w:tcBorders>
              <w:bottom w:val="nil"/>
            </w:tcBorders>
          </w:tcPr>
          <w:p w14:paraId="0C1482AE" w14:textId="32E9726E" w:rsidR="00250993" w:rsidRPr="00191B56" w:rsidRDefault="00250993" w:rsidP="00191B56">
            <w:pPr>
              <w:keepNext/>
              <w:keepLines/>
              <w:spacing w:before="120"/>
              <w:jc w:val="center"/>
              <w:rPr>
                <w:rFonts w:ascii="Times New Roman" w:hAnsi="Times New Roman"/>
                <w:b/>
                <w:bCs/>
                <w:i/>
                <w:iCs/>
                <w:sz w:val="22"/>
                <w:szCs w:val="22"/>
              </w:rPr>
            </w:pPr>
            <w:r w:rsidRPr="00191B56">
              <w:rPr>
                <w:rFonts w:ascii="Times New Roman" w:hAnsi="Times New Roman"/>
                <w:b/>
                <w:bCs/>
                <w:i/>
                <w:iCs/>
                <w:sz w:val="22"/>
                <w:szCs w:val="22"/>
              </w:rPr>
              <w:lastRenderedPageBreak/>
              <w:t>Column 1</w:t>
            </w:r>
          </w:p>
        </w:tc>
        <w:tc>
          <w:tcPr>
            <w:tcW w:w="1341" w:type="dxa"/>
            <w:tcBorders>
              <w:bottom w:val="nil"/>
            </w:tcBorders>
          </w:tcPr>
          <w:p w14:paraId="09E5F1C8" w14:textId="299C0F27" w:rsidR="00250993" w:rsidRPr="00191B56" w:rsidRDefault="00250993" w:rsidP="00191B56">
            <w:pPr>
              <w:keepNext/>
              <w:keepLines/>
              <w:spacing w:before="120"/>
              <w:jc w:val="center"/>
              <w:rPr>
                <w:rFonts w:ascii="Times New Roman" w:hAnsi="Times New Roman"/>
                <w:b/>
                <w:bCs/>
                <w:i/>
                <w:iCs/>
                <w:sz w:val="22"/>
                <w:szCs w:val="22"/>
              </w:rPr>
            </w:pPr>
            <w:r w:rsidRPr="00191B56">
              <w:rPr>
                <w:rFonts w:ascii="Times New Roman" w:hAnsi="Times New Roman"/>
                <w:b/>
                <w:bCs/>
                <w:i/>
                <w:iCs/>
                <w:sz w:val="22"/>
                <w:szCs w:val="22"/>
              </w:rPr>
              <w:t>Column 2</w:t>
            </w:r>
          </w:p>
        </w:tc>
        <w:tc>
          <w:tcPr>
            <w:tcW w:w="1615" w:type="dxa"/>
            <w:tcBorders>
              <w:bottom w:val="nil"/>
            </w:tcBorders>
          </w:tcPr>
          <w:p w14:paraId="55792B58" w14:textId="75B6492A" w:rsidR="00250993" w:rsidRPr="00191B56" w:rsidRDefault="00250993" w:rsidP="00191B56">
            <w:pPr>
              <w:keepNext/>
              <w:keepLines/>
              <w:spacing w:before="120"/>
              <w:jc w:val="center"/>
              <w:rPr>
                <w:rFonts w:ascii="Times New Roman" w:hAnsi="Times New Roman"/>
                <w:b/>
                <w:bCs/>
                <w:i/>
                <w:iCs/>
                <w:sz w:val="22"/>
                <w:szCs w:val="22"/>
              </w:rPr>
            </w:pPr>
            <w:r w:rsidRPr="00191B56">
              <w:rPr>
                <w:rFonts w:ascii="Times New Roman" w:hAnsi="Times New Roman"/>
                <w:b/>
                <w:bCs/>
                <w:i/>
                <w:iCs/>
                <w:sz w:val="22"/>
                <w:szCs w:val="22"/>
              </w:rPr>
              <w:t>Column 3</w:t>
            </w:r>
          </w:p>
        </w:tc>
        <w:tc>
          <w:tcPr>
            <w:tcW w:w="1615" w:type="dxa"/>
            <w:tcBorders>
              <w:bottom w:val="nil"/>
            </w:tcBorders>
          </w:tcPr>
          <w:p w14:paraId="2480B6D2" w14:textId="71A9C5D4" w:rsidR="00250993" w:rsidRPr="00191B56" w:rsidRDefault="00250993" w:rsidP="00191B56">
            <w:pPr>
              <w:keepNext/>
              <w:keepLines/>
              <w:spacing w:before="120"/>
              <w:jc w:val="center"/>
              <w:rPr>
                <w:rFonts w:ascii="Times New Roman" w:hAnsi="Times New Roman"/>
                <w:b/>
                <w:bCs/>
                <w:i/>
                <w:iCs/>
                <w:sz w:val="22"/>
                <w:szCs w:val="22"/>
              </w:rPr>
            </w:pPr>
            <w:r w:rsidRPr="00191B56">
              <w:rPr>
                <w:rFonts w:ascii="Times New Roman" w:hAnsi="Times New Roman"/>
                <w:b/>
                <w:bCs/>
                <w:i/>
                <w:iCs/>
                <w:sz w:val="22"/>
                <w:szCs w:val="22"/>
              </w:rPr>
              <w:t>Column 4</w:t>
            </w:r>
          </w:p>
        </w:tc>
        <w:tc>
          <w:tcPr>
            <w:tcW w:w="1615" w:type="dxa"/>
            <w:tcBorders>
              <w:bottom w:val="nil"/>
            </w:tcBorders>
          </w:tcPr>
          <w:p w14:paraId="60B4FA70" w14:textId="451F171E" w:rsidR="00250993" w:rsidRPr="00191B56" w:rsidRDefault="00250993" w:rsidP="00191B56">
            <w:pPr>
              <w:keepNext/>
              <w:keepLines/>
              <w:spacing w:before="120"/>
              <w:jc w:val="center"/>
              <w:rPr>
                <w:rFonts w:ascii="Times New Roman" w:hAnsi="Times New Roman"/>
                <w:b/>
                <w:bCs/>
                <w:i/>
                <w:iCs/>
                <w:sz w:val="22"/>
                <w:szCs w:val="22"/>
              </w:rPr>
            </w:pPr>
            <w:r w:rsidRPr="00191B56">
              <w:rPr>
                <w:rFonts w:ascii="Times New Roman" w:hAnsi="Times New Roman"/>
                <w:b/>
                <w:bCs/>
                <w:i/>
                <w:iCs/>
                <w:sz w:val="22"/>
                <w:szCs w:val="22"/>
              </w:rPr>
              <w:t>Column 5</w:t>
            </w:r>
          </w:p>
        </w:tc>
      </w:tr>
      <w:tr w:rsidR="00250993" w14:paraId="553F116B" w14:textId="7890258F" w:rsidTr="00191B56">
        <w:tc>
          <w:tcPr>
            <w:tcW w:w="2110" w:type="dxa"/>
            <w:tcBorders>
              <w:top w:val="nil"/>
            </w:tcBorders>
          </w:tcPr>
          <w:p w14:paraId="065A43F6" w14:textId="313615D9" w:rsidR="00250993" w:rsidRPr="00191B56" w:rsidRDefault="00250993" w:rsidP="00191B56">
            <w:pPr>
              <w:keepNext/>
              <w:keepLines/>
              <w:spacing w:before="120"/>
              <w:jc w:val="center"/>
              <w:rPr>
                <w:rFonts w:ascii="Times New Roman" w:hAnsi="Times New Roman"/>
                <w:b/>
                <w:bCs/>
                <w:sz w:val="22"/>
                <w:szCs w:val="22"/>
              </w:rPr>
            </w:pPr>
            <w:r>
              <w:rPr>
                <w:rFonts w:ascii="Times New Roman" w:hAnsi="Times New Roman"/>
                <w:b/>
                <w:bCs/>
                <w:sz w:val="22"/>
                <w:szCs w:val="22"/>
              </w:rPr>
              <w:t>Spectrum licence</w:t>
            </w:r>
          </w:p>
        </w:tc>
        <w:tc>
          <w:tcPr>
            <w:tcW w:w="1341" w:type="dxa"/>
            <w:tcBorders>
              <w:top w:val="nil"/>
            </w:tcBorders>
          </w:tcPr>
          <w:p w14:paraId="4FEDD58F" w14:textId="14AB9FEA" w:rsidR="00250993" w:rsidRPr="00191B56" w:rsidRDefault="00250993" w:rsidP="00191B56">
            <w:pPr>
              <w:keepNext/>
              <w:keepLines/>
              <w:spacing w:before="120"/>
              <w:jc w:val="center"/>
              <w:rPr>
                <w:rFonts w:ascii="Times New Roman" w:hAnsi="Times New Roman"/>
                <w:b/>
                <w:bCs/>
                <w:sz w:val="22"/>
                <w:szCs w:val="22"/>
              </w:rPr>
            </w:pPr>
            <w:r>
              <w:rPr>
                <w:rFonts w:ascii="Times New Roman" w:hAnsi="Times New Roman"/>
                <w:b/>
                <w:bCs/>
                <w:sz w:val="22"/>
                <w:szCs w:val="22"/>
              </w:rPr>
              <w:t>Main Component</w:t>
            </w:r>
          </w:p>
        </w:tc>
        <w:tc>
          <w:tcPr>
            <w:tcW w:w="1615" w:type="dxa"/>
            <w:tcBorders>
              <w:top w:val="nil"/>
            </w:tcBorders>
          </w:tcPr>
          <w:p w14:paraId="7226BAB2" w14:textId="1FDB2F5E" w:rsidR="00250993" w:rsidRPr="00191B56" w:rsidRDefault="00250993" w:rsidP="00191B56">
            <w:pPr>
              <w:keepNext/>
              <w:keepLines/>
              <w:spacing w:before="120"/>
              <w:jc w:val="center"/>
              <w:rPr>
                <w:rFonts w:ascii="Times New Roman" w:hAnsi="Times New Roman"/>
                <w:b/>
                <w:bCs/>
                <w:sz w:val="22"/>
                <w:szCs w:val="22"/>
              </w:rPr>
            </w:pPr>
            <w:r>
              <w:rPr>
                <w:rFonts w:ascii="Times New Roman" w:hAnsi="Times New Roman"/>
                <w:b/>
                <w:bCs/>
                <w:sz w:val="22"/>
                <w:szCs w:val="22"/>
              </w:rPr>
              <w:t xml:space="preserve">Proportion of </w:t>
            </w:r>
            <w:r w:rsidR="00C5644F">
              <w:rPr>
                <w:rFonts w:ascii="Times New Roman" w:hAnsi="Times New Roman"/>
                <w:b/>
                <w:bCs/>
                <w:sz w:val="22"/>
                <w:szCs w:val="22"/>
              </w:rPr>
              <w:t xml:space="preserve">total of </w:t>
            </w:r>
            <w:r>
              <w:rPr>
                <w:rFonts w:ascii="Times New Roman" w:hAnsi="Times New Roman"/>
                <w:b/>
                <w:bCs/>
                <w:sz w:val="22"/>
                <w:szCs w:val="22"/>
              </w:rPr>
              <w:t>Main Component</w:t>
            </w:r>
            <w:r w:rsidR="00C5644F">
              <w:rPr>
                <w:rFonts w:ascii="Times New Roman" w:hAnsi="Times New Roman"/>
                <w:b/>
                <w:bCs/>
                <w:sz w:val="22"/>
                <w:szCs w:val="22"/>
              </w:rPr>
              <w:t xml:space="preserve"> for all Designated Spectrum Licences</w:t>
            </w:r>
          </w:p>
        </w:tc>
        <w:tc>
          <w:tcPr>
            <w:tcW w:w="1615" w:type="dxa"/>
            <w:tcBorders>
              <w:top w:val="nil"/>
            </w:tcBorders>
          </w:tcPr>
          <w:p w14:paraId="52D52025" w14:textId="69058C74" w:rsidR="00250993" w:rsidRPr="00191B56" w:rsidRDefault="00C5644F" w:rsidP="00191B56">
            <w:pPr>
              <w:keepNext/>
              <w:keepLines/>
              <w:spacing w:before="120"/>
              <w:jc w:val="center"/>
              <w:rPr>
                <w:rFonts w:ascii="Times New Roman" w:hAnsi="Times New Roman"/>
                <w:b/>
                <w:bCs/>
                <w:sz w:val="22"/>
                <w:szCs w:val="22"/>
              </w:rPr>
            </w:pPr>
            <w:r>
              <w:rPr>
                <w:rFonts w:ascii="Times New Roman" w:hAnsi="Times New Roman"/>
                <w:b/>
                <w:bCs/>
                <w:sz w:val="22"/>
                <w:szCs w:val="22"/>
              </w:rPr>
              <w:t>EME Component</w:t>
            </w:r>
          </w:p>
        </w:tc>
        <w:tc>
          <w:tcPr>
            <w:tcW w:w="1615" w:type="dxa"/>
            <w:tcBorders>
              <w:top w:val="nil"/>
            </w:tcBorders>
          </w:tcPr>
          <w:p w14:paraId="4CFDC9B9" w14:textId="6B826E45" w:rsidR="00250993" w:rsidRPr="00191B56" w:rsidRDefault="00C5644F" w:rsidP="00191B56">
            <w:pPr>
              <w:keepNext/>
              <w:keepLines/>
              <w:spacing w:before="120"/>
              <w:jc w:val="center"/>
              <w:rPr>
                <w:rFonts w:ascii="Times New Roman" w:hAnsi="Times New Roman"/>
                <w:b/>
                <w:bCs/>
                <w:sz w:val="22"/>
                <w:szCs w:val="22"/>
              </w:rPr>
            </w:pPr>
            <w:r>
              <w:rPr>
                <w:rFonts w:ascii="Times New Roman" w:hAnsi="Times New Roman"/>
                <w:b/>
                <w:bCs/>
                <w:sz w:val="22"/>
                <w:szCs w:val="22"/>
              </w:rPr>
              <w:t>Total Spectrum Licence Tax impose</w:t>
            </w:r>
          </w:p>
        </w:tc>
      </w:tr>
      <w:tr w:rsidR="00250993" w14:paraId="2E845944" w14:textId="2DA2DF43" w:rsidTr="00191B56">
        <w:tc>
          <w:tcPr>
            <w:tcW w:w="2110" w:type="dxa"/>
          </w:tcPr>
          <w:p w14:paraId="6F8C17E0" w14:textId="39111103" w:rsidR="00250993" w:rsidRDefault="00C5644F" w:rsidP="00191B56">
            <w:pPr>
              <w:keepNext/>
              <w:keepLines/>
              <w:spacing w:before="120"/>
              <w:jc w:val="center"/>
              <w:rPr>
                <w:rFonts w:ascii="Times New Roman" w:hAnsi="Times New Roman"/>
                <w:sz w:val="22"/>
                <w:szCs w:val="22"/>
              </w:rPr>
            </w:pPr>
            <w:r>
              <w:rPr>
                <w:rFonts w:ascii="Times New Roman" w:hAnsi="Times New Roman"/>
                <w:sz w:val="22"/>
                <w:szCs w:val="22"/>
              </w:rPr>
              <w:t>Designated Spectrum Licence 1</w:t>
            </w:r>
          </w:p>
        </w:tc>
        <w:tc>
          <w:tcPr>
            <w:tcW w:w="1341" w:type="dxa"/>
          </w:tcPr>
          <w:p w14:paraId="6C7CDCB1" w14:textId="1554501C" w:rsidR="00250993" w:rsidRDefault="007B5624" w:rsidP="00191B56">
            <w:pPr>
              <w:keepNext/>
              <w:keepLines/>
              <w:spacing w:before="120"/>
              <w:jc w:val="center"/>
              <w:rPr>
                <w:rFonts w:ascii="Times New Roman" w:hAnsi="Times New Roman"/>
                <w:sz w:val="22"/>
                <w:szCs w:val="22"/>
              </w:rPr>
            </w:pPr>
            <w:r>
              <w:rPr>
                <w:rFonts w:ascii="Times New Roman" w:hAnsi="Times New Roman"/>
                <w:sz w:val="22"/>
                <w:szCs w:val="22"/>
              </w:rPr>
              <w:t>$120,000</w:t>
            </w:r>
          </w:p>
        </w:tc>
        <w:tc>
          <w:tcPr>
            <w:tcW w:w="1615" w:type="dxa"/>
          </w:tcPr>
          <w:p w14:paraId="0D2B56EF" w14:textId="1C7D5136" w:rsidR="00250993" w:rsidRDefault="007B5624" w:rsidP="00191B56">
            <w:pPr>
              <w:keepNext/>
              <w:keepLines/>
              <w:spacing w:before="120"/>
              <w:jc w:val="center"/>
              <w:rPr>
                <w:rFonts w:ascii="Times New Roman" w:hAnsi="Times New Roman"/>
                <w:sz w:val="22"/>
                <w:szCs w:val="22"/>
              </w:rPr>
            </w:pPr>
            <w:r>
              <w:rPr>
                <w:rFonts w:ascii="Times New Roman" w:hAnsi="Times New Roman"/>
                <w:sz w:val="22"/>
                <w:szCs w:val="22"/>
              </w:rPr>
              <w:t>32.4%</w:t>
            </w:r>
          </w:p>
        </w:tc>
        <w:tc>
          <w:tcPr>
            <w:tcW w:w="1615" w:type="dxa"/>
          </w:tcPr>
          <w:p w14:paraId="52B2C033" w14:textId="0E1DE8BA" w:rsidR="00250993" w:rsidRDefault="007B5624" w:rsidP="00191B56">
            <w:pPr>
              <w:keepNext/>
              <w:keepLines/>
              <w:spacing w:before="120"/>
              <w:jc w:val="center"/>
              <w:rPr>
                <w:rFonts w:ascii="Times New Roman" w:hAnsi="Times New Roman"/>
                <w:sz w:val="22"/>
                <w:szCs w:val="22"/>
              </w:rPr>
            </w:pPr>
            <w:r>
              <w:rPr>
                <w:rFonts w:ascii="Times New Roman" w:hAnsi="Times New Roman"/>
                <w:sz w:val="22"/>
                <w:szCs w:val="22"/>
              </w:rPr>
              <w:t>$843,243</w:t>
            </w:r>
          </w:p>
        </w:tc>
        <w:tc>
          <w:tcPr>
            <w:tcW w:w="1615" w:type="dxa"/>
          </w:tcPr>
          <w:p w14:paraId="5C5BE335" w14:textId="72472A4B" w:rsidR="00250993" w:rsidRDefault="000A39B9" w:rsidP="00191B56">
            <w:pPr>
              <w:keepNext/>
              <w:keepLines/>
              <w:spacing w:before="120"/>
              <w:jc w:val="center"/>
              <w:rPr>
                <w:rFonts w:ascii="Times New Roman" w:hAnsi="Times New Roman"/>
                <w:sz w:val="22"/>
                <w:szCs w:val="22"/>
              </w:rPr>
            </w:pPr>
            <w:r>
              <w:rPr>
                <w:rFonts w:ascii="Times New Roman" w:hAnsi="Times New Roman"/>
                <w:sz w:val="22"/>
                <w:szCs w:val="22"/>
              </w:rPr>
              <w:t>$963,243</w:t>
            </w:r>
          </w:p>
        </w:tc>
      </w:tr>
      <w:tr w:rsidR="00250993" w14:paraId="54E298FA" w14:textId="74B214C0" w:rsidTr="00191B56">
        <w:tc>
          <w:tcPr>
            <w:tcW w:w="2110" w:type="dxa"/>
          </w:tcPr>
          <w:p w14:paraId="26615F65" w14:textId="0526901D" w:rsidR="00250993" w:rsidRDefault="00C5644F" w:rsidP="00191B56">
            <w:pPr>
              <w:keepNext/>
              <w:keepLines/>
              <w:spacing w:before="120"/>
              <w:jc w:val="center"/>
              <w:rPr>
                <w:rFonts w:ascii="Times New Roman" w:hAnsi="Times New Roman"/>
                <w:sz w:val="22"/>
                <w:szCs w:val="22"/>
              </w:rPr>
            </w:pPr>
            <w:r>
              <w:rPr>
                <w:rFonts w:ascii="Times New Roman" w:hAnsi="Times New Roman"/>
                <w:sz w:val="22"/>
                <w:szCs w:val="22"/>
              </w:rPr>
              <w:t>Designated Spectrum Licence 2</w:t>
            </w:r>
          </w:p>
        </w:tc>
        <w:tc>
          <w:tcPr>
            <w:tcW w:w="1341" w:type="dxa"/>
          </w:tcPr>
          <w:p w14:paraId="0095696E" w14:textId="1DD7EE6D" w:rsidR="00250993" w:rsidRDefault="007B5624" w:rsidP="00191B56">
            <w:pPr>
              <w:keepNext/>
              <w:keepLines/>
              <w:spacing w:before="120"/>
              <w:jc w:val="center"/>
              <w:rPr>
                <w:rFonts w:ascii="Times New Roman" w:hAnsi="Times New Roman"/>
                <w:sz w:val="22"/>
                <w:szCs w:val="22"/>
              </w:rPr>
            </w:pPr>
            <w:r>
              <w:rPr>
                <w:rFonts w:ascii="Times New Roman" w:hAnsi="Times New Roman"/>
                <w:sz w:val="22"/>
                <w:szCs w:val="22"/>
              </w:rPr>
              <w:t>$200,000</w:t>
            </w:r>
          </w:p>
        </w:tc>
        <w:tc>
          <w:tcPr>
            <w:tcW w:w="1615" w:type="dxa"/>
          </w:tcPr>
          <w:p w14:paraId="7EFA5C3A" w14:textId="1D608D73" w:rsidR="00250993" w:rsidRDefault="007B5624" w:rsidP="00191B56">
            <w:pPr>
              <w:keepNext/>
              <w:keepLines/>
              <w:spacing w:before="120"/>
              <w:jc w:val="center"/>
              <w:rPr>
                <w:rFonts w:ascii="Times New Roman" w:hAnsi="Times New Roman"/>
                <w:sz w:val="22"/>
                <w:szCs w:val="22"/>
              </w:rPr>
            </w:pPr>
            <w:r>
              <w:rPr>
                <w:rFonts w:ascii="Times New Roman" w:hAnsi="Times New Roman"/>
                <w:sz w:val="22"/>
                <w:szCs w:val="22"/>
              </w:rPr>
              <w:t>54.1%</w:t>
            </w:r>
          </w:p>
        </w:tc>
        <w:tc>
          <w:tcPr>
            <w:tcW w:w="1615" w:type="dxa"/>
          </w:tcPr>
          <w:p w14:paraId="65B110E9" w14:textId="553F8465" w:rsidR="00250993" w:rsidRDefault="00DD4E04" w:rsidP="00191B56">
            <w:pPr>
              <w:keepNext/>
              <w:keepLines/>
              <w:spacing w:before="120"/>
              <w:jc w:val="center"/>
              <w:rPr>
                <w:rFonts w:ascii="Times New Roman" w:hAnsi="Times New Roman"/>
                <w:sz w:val="22"/>
                <w:szCs w:val="22"/>
              </w:rPr>
            </w:pPr>
            <w:r>
              <w:rPr>
                <w:rFonts w:ascii="Times New Roman" w:hAnsi="Times New Roman"/>
                <w:sz w:val="22"/>
                <w:szCs w:val="22"/>
              </w:rPr>
              <w:t>$1,405,405</w:t>
            </w:r>
          </w:p>
        </w:tc>
        <w:tc>
          <w:tcPr>
            <w:tcW w:w="1615" w:type="dxa"/>
          </w:tcPr>
          <w:p w14:paraId="6ED2F6B1" w14:textId="073017A8" w:rsidR="00250993" w:rsidRDefault="004350F1" w:rsidP="00191B56">
            <w:pPr>
              <w:keepNext/>
              <w:keepLines/>
              <w:spacing w:before="120"/>
              <w:jc w:val="center"/>
              <w:rPr>
                <w:rFonts w:ascii="Times New Roman" w:hAnsi="Times New Roman"/>
                <w:sz w:val="22"/>
                <w:szCs w:val="22"/>
              </w:rPr>
            </w:pPr>
            <w:r>
              <w:rPr>
                <w:rFonts w:ascii="Times New Roman" w:hAnsi="Times New Roman"/>
                <w:sz w:val="22"/>
                <w:szCs w:val="22"/>
              </w:rPr>
              <w:t>$1,605,405</w:t>
            </w:r>
          </w:p>
        </w:tc>
      </w:tr>
      <w:tr w:rsidR="00250993" w14:paraId="386A2A43" w14:textId="11223CE9" w:rsidTr="00191B56">
        <w:tc>
          <w:tcPr>
            <w:tcW w:w="2110" w:type="dxa"/>
          </w:tcPr>
          <w:p w14:paraId="1413A2F6" w14:textId="65C85FF4" w:rsidR="00250993" w:rsidRDefault="00C5644F" w:rsidP="00191B56">
            <w:pPr>
              <w:keepNext/>
              <w:keepLines/>
              <w:spacing w:before="120"/>
              <w:jc w:val="center"/>
              <w:rPr>
                <w:rFonts w:ascii="Times New Roman" w:hAnsi="Times New Roman"/>
                <w:sz w:val="22"/>
                <w:szCs w:val="22"/>
              </w:rPr>
            </w:pPr>
            <w:r>
              <w:rPr>
                <w:rFonts w:ascii="Times New Roman" w:hAnsi="Times New Roman"/>
                <w:sz w:val="22"/>
                <w:szCs w:val="22"/>
              </w:rPr>
              <w:t>Designated Spectrum Licence 3</w:t>
            </w:r>
          </w:p>
        </w:tc>
        <w:tc>
          <w:tcPr>
            <w:tcW w:w="1341" w:type="dxa"/>
          </w:tcPr>
          <w:p w14:paraId="505F7FAC" w14:textId="5845F3F0" w:rsidR="00250993" w:rsidRDefault="007B5624" w:rsidP="00191B56">
            <w:pPr>
              <w:keepNext/>
              <w:keepLines/>
              <w:spacing w:before="120"/>
              <w:jc w:val="center"/>
              <w:rPr>
                <w:rFonts w:ascii="Times New Roman" w:hAnsi="Times New Roman"/>
                <w:sz w:val="22"/>
                <w:szCs w:val="22"/>
              </w:rPr>
            </w:pPr>
            <w:r>
              <w:rPr>
                <w:rFonts w:ascii="Times New Roman" w:hAnsi="Times New Roman"/>
                <w:sz w:val="22"/>
                <w:szCs w:val="22"/>
              </w:rPr>
              <w:t>$50,000</w:t>
            </w:r>
          </w:p>
        </w:tc>
        <w:tc>
          <w:tcPr>
            <w:tcW w:w="1615" w:type="dxa"/>
          </w:tcPr>
          <w:p w14:paraId="7AB1CE2F" w14:textId="4418B070" w:rsidR="00250993" w:rsidRDefault="007B5624" w:rsidP="00191B56">
            <w:pPr>
              <w:keepNext/>
              <w:keepLines/>
              <w:spacing w:before="120"/>
              <w:jc w:val="center"/>
              <w:rPr>
                <w:rFonts w:ascii="Times New Roman" w:hAnsi="Times New Roman"/>
                <w:sz w:val="22"/>
                <w:szCs w:val="22"/>
              </w:rPr>
            </w:pPr>
            <w:r>
              <w:rPr>
                <w:rFonts w:ascii="Times New Roman" w:hAnsi="Times New Roman"/>
                <w:sz w:val="22"/>
                <w:szCs w:val="22"/>
              </w:rPr>
              <w:t>13.5%</w:t>
            </w:r>
          </w:p>
        </w:tc>
        <w:tc>
          <w:tcPr>
            <w:tcW w:w="1615" w:type="dxa"/>
          </w:tcPr>
          <w:p w14:paraId="123FE613" w14:textId="18D574A0" w:rsidR="00250993" w:rsidRDefault="00DD4E04" w:rsidP="00191B56">
            <w:pPr>
              <w:keepNext/>
              <w:keepLines/>
              <w:spacing w:before="120"/>
              <w:jc w:val="center"/>
              <w:rPr>
                <w:rFonts w:ascii="Times New Roman" w:hAnsi="Times New Roman"/>
                <w:sz w:val="22"/>
                <w:szCs w:val="22"/>
              </w:rPr>
            </w:pPr>
            <w:r>
              <w:rPr>
                <w:rFonts w:ascii="Times New Roman" w:hAnsi="Times New Roman"/>
                <w:sz w:val="22"/>
                <w:szCs w:val="22"/>
              </w:rPr>
              <w:t>$351,351</w:t>
            </w:r>
          </w:p>
        </w:tc>
        <w:tc>
          <w:tcPr>
            <w:tcW w:w="1615" w:type="dxa"/>
          </w:tcPr>
          <w:p w14:paraId="69876F5D" w14:textId="216D96ED" w:rsidR="00250993" w:rsidRDefault="004350F1" w:rsidP="00191B56">
            <w:pPr>
              <w:keepNext/>
              <w:keepLines/>
              <w:spacing w:before="120"/>
              <w:jc w:val="center"/>
              <w:rPr>
                <w:rFonts w:ascii="Times New Roman" w:hAnsi="Times New Roman"/>
                <w:sz w:val="22"/>
                <w:szCs w:val="22"/>
              </w:rPr>
            </w:pPr>
            <w:r>
              <w:rPr>
                <w:rFonts w:ascii="Times New Roman" w:hAnsi="Times New Roman"/>
                <w:sz w:val="22"/>
                <w:szCs w:val="22"/>
              </w:rPr>
              <w:t>$401,351</w:t>
            </w:r>
          </w:p>
        </w:tc>
      </w:tr>
      <w:tr w:rsidR="00C5644F" w14:paraId="7F2437E5" w14:textId="77777777" w:rsidTr="00191B56">
        <w:tc>
          <w:tcPr>
            <w:tcW w:w="2110" w:type="dxa"/>
          </w:tcPr>
          <w:p w14:paraId="4F9B4685" w14:textId="60AAB149" w:rsidR="00C5644F" w:rsidRPr="00191B56" w:rsidRDefault="00C5644F" w:rsidP="00C5644F">
            <w:pPr>
              <w:keepNext/>
              <w:keepLines/>
              <w:spacing w:before="120"/>
              <w:jc w:val="center"/>
              <w:rPr>
                <w:rFonts w:ascii="Times New Roman" w:hAnsi="Times New Roman"/>
                <w:b/>
                <w:bCs/>
                <w:sz w:val="22"/>
                <w:szCs w:val="22"/>
              </w:rPr>
            </w:pPr>
            <w:r>
              <w:rPr>
                <w:rFonts w:ascii="Times New Roman" w:hAnsi="Times New Roman"/>
                <w:b/>
                <w:bCs/>
                <w:sz w:val="22"/>
                <w:szCs w:val="22"/>
              </w:rPr>
              <w:t>Total</w:t>
            </w:r>
            <w:r w:rsidR="00D56F4C">
              <w:rPr>
                <w:rFonts w:ascii="Times New Roman" w:hAnsi="Times New Roman"/>
                <w:b/>
                <w:bCs/>
                <w:sz w:val="22"/>
                <w:szCs w:val="22"/>
              </w:rPr>
              <w:t xml:space="preserve"> of amounts for Designated Spectrum Licences</w:t>
            </w:r>
          </w:p>
        </w:tc>
        <w:tc>
          <w:tcPr>
            <w:tcW w:w="1341" w:type="dxa"/>
          </w:tcPr>
          <w:p w14:paraId="12ED38B5" w14:textId="1F8D8F91" w:rsidR="00C5644F" w:rsidRDefault="007B5624" w:rsidP="00C5644F">
            <w:pPr>
              <w:keepNext/>
              <w:keepLines/>
              <w:spacing w:before="120"/>
              <w:jc w:val="center"/>
              <w:rPr>
                <w:rFonts w:ascii="Times New Roman" w:hAnsi="Times New Roman"/>
                <w:sz w:val="22"/>
                <w:szCs w:val="22"/>
              </w:rPr>
            </w:pPr>
            <w:r>
              <w:rPr>
                <w:rFonts w:ascii="Times New Roman" w:hAnsi="Times New Roman"/>
                <w:sz w:val="22"/>
                <w:szCs w:val="22"/>
              </w:rPr>
              <w:t>$370,000</w:t>
            </w:r>
          </w:p>
        </w:tc>
        <w:tc>
          <w:tcPr>
            <w:tcW w:w="1615" w:type="dxa"/>
          </w:tcPr>
          <w:p w14:paraId="31A529CF" w14:textId="0C93FB72" w:rsidR="00C5644F" w:rsidRDefault="007B5624" w:rsidP="00C5644F">
            <w:pPr>
              <w:keepNext/>
              <w:keepLines/>
              <w:spacing w:before="120"/>
              <w:jc w:val="center"/>
              <w:rPr>
                <w:rFonts w:ascii="Times New Roman" w:hAnsi="Times New Roman"/>
                <w:sz w:val="22"/>
                <w:szCs w:val="22"/>
              </w:rPr>
            </w:pPr>
            <w:r>
              <w:rPr>
                <w:rFonts w:ascii="Times New Roman" w:hAnsi="Times New Roman"/>
                <w:sz w:val="22"/>
                <w:szCs w:val="22"/>
              </w:rPr>
              <w:t>100%</w:t>
            </w:r>
          </w:p>
        </w:tc>
        <w:tc>
          <w:tcPr>
            <w:tcW w:w="1615" w:type="dxa"/>
          </w:tcPr>
          <w:p w14:paraId="2841AA90" w14:textId="14BD2130" w:rsidR="00C5644F" w:rsidRDefault="004F3F74" w:rsidP="00C5644F">
            <w:pPr>
              <w:keepNext/>
              <w:keepLines/>
              <w:spacing w:before="120"/>
              <w:jc w:val="center"/>
              <w:rPr>
                <w:rFonts w:ascii="Times New Roman" w:hAnsi="Times New Roman"/>
                <w:sz w:val="22"/>
                <w:szCs w:val="22"/>
              </w:rPr>
            </w:pPr>
            <w:r>
              <w:rPr>
                <w:rFonts w:ascii="Times New Roman" w:hAnsi="Times New Roman"/>
                <w:sz w:val="22"/>
                <w:szCs w:val="22"/>
              </w:rPr>
              <w:t>$2,599,</w:t>
            </w:r>
            <w:r w:rsidR="000A39B9">
              <w:rPr>
                <w:rFonts w:ascii="Times New Roman" w:hAnsi="Times New Roman"/>
                <w:sz w:val="22"/>
                <w:szCs w:val="22"/>
              </w:rPr>
              <w:t>9</w:t>
            </w:r>
            <w:r>
              <w:rPr>
                <w:rFonts w:ascii="Times New Roman" w:hAnsi="Times New Roman"/>
                <w:sz w:val="22"/>
                <w:szCs w:val="22"/>
              </w:rPr>
              <w:t>99</w:t>
            </w:r>
          </w:p>
        </w:tc>
        <w:tc>
          <w:tcPr>
            <w:tcW w:w="1615" w:type="dxa"/>
          </w:tcPr>
          <w:p w14:paraId="7A393146" w14:textId="1AF820AA" w:rsidR="00C5644F" w:rsidRDefault="006F7293" w:rsidP="00C5644F">
            <w:pPr>
              <w:keepNext/>
              <w:keepLines/>
              <w:spacing w:before="120"/>
              <w:jc w:val="center"/>
              <w:rPr>
                <w:rFonts w:ascii="Times New Roman" w:hAnsi="Times New Roman"/>
                <w:sz w:val="22"/>
                <w:szCs w:val="22"/>
              </w:rPr>
            </w:pPr>
            <w:r>
              <w:rPr>
                <w:rFonts w:ascii="Times New Roman" w:hAnsi="Times New Roman"/>
                <w:sz w:val="22"/>
                <w:szCs w:val="22"/>
              </w:rPr>
              <w:t>2,</w:t>
            </w:r>
            <w:r w:rsidR="00436172">
              <w:rPr>
                <w:rFonts w:ascii="Times New Roman" w:hAnsi="Times New Roman"/>
                <w:sz w:val="22"/>
                <w:szCs w:val="22"/>
              </w:rPr>
              <w:t>9</w:t>
            </w:r>
            <w:r w:rsidR="0052724E">
              <w:rPr>
                <w:rFonts w:ascii="Times New Roman" w:hAnsi="Times New Roman"/>
                <w:sz w:val="22"/>
                <w:szCs w:val="22"/>
              </w:rPr>
              <w:t>69,</w:t>
            </w:r>
            <w:r w:rsidR="00CA6B1E">
              <w:rPr>
                <w:rFonts w:ascii="Times New Roman" w:hAnsi="Times New Roman"/>
                <w:sz w:val="22"/>
                <w:szCs w:val="22"/>
              </w:rPr>
              <w:t>99</w:t>
            </w:r>
            <w:r w:rsidR="0052724E">
              <w:rPr>
                <w:rFonts w:ascii="Times New Roman" w:hAnsi="Times New Roman"/>
                <w:sz w:val="22"/>
                <w:szCs w:val="22"/>
              </w:rPr>
              <w:t>9</w:t>
            </w:r>
          </w:p>
        </w:tc>
      </w:tr>
      <w:tr w:rsidR="00250993" w14:paraId="069304FA" w14:textId="03257467" w:rsidTr="00191B56">
        <w:tc>
          <w:tcPr>
            <w:tcW w:w="2110" w:type="dxa"/>
          </w:tcPr>
          <w:p w14:paraId="5BE4317E" w14:textId="4B399EE1" w:rsidR="00250993" w:rsidRDefault="00D56F4C" w:rsidP="00191B56">
            <w:pPr>
              <w:keepNext/>
              <w:keepLines/>
              <w:spacing w:before="120"/>
              <w:jc w:val="center"/>
              <w:rPr>
                <w:rFonts w:ascii="Times New Roman" w:hAnsi="Times New Roman"/>
                <w:sz w:val="22"/>
                <w:szCs w:val="22"/>
              </w:rPr>
            </w:pPr>
            <w:r>
              <w:rPr>
                <w:rFonts w:ascii="Times New Roman" w:hAnsi="Times New Roman"/>
                <w:sz w:val="22"/>
                <w:szCs w:val="22"/>
              </w:rPr>
              <w:t>Fourth Licence</w:t>
            </w:r>
          </w:p>
        </w:tc>
        <w:tc>
          <w:tcPr>
            <w:tcW w:w="1341" w:type="dxa"/>
          </w:tcPr>
          <w:p w14:paraId="5C4B90DA" w14:textId="5B859152" w:rsidR="00250993" w:rsidRDefault="007B5624" w:rsidP="00191B56">
            <w:pPr>
              <w:keepNext/>
              <w:keepLines/>
              <w:spacing w:before="120"/>
              <w:jc w:val="center"/>
              <w:rPr>
                <w:rFonts w:ascii="Times New Roman" w:hAnsi="Times New Roman"/>
                <w:sz w:val="22"/>
                <w:szCs w:val="22"/>
              </w:rPr>
            </w:pPr>
            <w:r>
              <w:rPr>
                <w:rFonts w:ascii="Times New Roman" w:hAnsi="Times New Roman"/>
                <w:sz w:val="22"/>
                <w:szCs w:val="22"/>
              </w:rPr>
              <w:t>$49,000</w:t>
            </w:r>
          </w:p>
        </w:tc>
        <w:tc>
          <w:tcPr>
            <w:tcW w:w="1615" w:type="dxa"/>
          </w:tcPr>
          <w:p w14:paraId="5A00F27B" w14:textId="39411451" w:rsidR="00250993" w:rsidRDefault="007B5624" w:rsidP="00191B56">
            <w:pPr>
              <w:keepNext/>
              <w:keepLines/>
              <w:spacing w:before="120"/>
              <w:jc w:val="center"/>
              <w:rPr>
                <w:rFonts w:ascii="Times New Roman" w:hAnsi="Times New Roman"/>
                <w:sz w:val="22"/>
                <w:szCs w:val="22"/>
              </w:rPr>
            </w:pPr>
            <w:r>
              <w:rPr>
                <w:rFonts w:ascii="Times New Roman" w:hAnsi="Times New Roman"/>
                <w:sz w:val="22"/>
                <w:szCs w:val="22"/>
              </w:rPr>
              <w:t>N/A</w:t>
            </w:r>
          </w:p>
        </w:tc>
        <w:tc>
          <w:tcPr>
            <w:tcW w:w="1615" w:type="dxa"/>
          </w:tcPr>
          <w:p w14:paraId="7163391D" w14:textId="50E5C774" w:rsidR="00250993" w:rsidRDefault="00704047" w:rsidP="00191B56">
            <w:pPr>
              <w:keepNext/>
              <w:keepLines/>
              <w:spacing w:before="120"/>
              <w:jc w:val="center"/>
              <w:rPr>
                <w:rFonts w:ascii="Times New Roman" w:hAnsi="Times New Roman"/>
                <w:sz w:val="22"/>
                <w:szCs w:val="22"/>
              </w:rPr>
            </w:pPr>
            <w:r>
              <w:rPr>
                <w:rFonts w:ascii="Times New Roman" w:hAnsi="Times New Roman"/>
                <w:sz w:val="22"/>
                <w:szCs w:val="22"/>
              </w:rPr>
              <w:t>$0</w:t>
            </w:r>
          </w:p>
        </w:tc>
        <w:tc>
          <w:tcPr>
            <w:tcW w:w="1615" w:type="dxa"/>
          </w:tcPr>
          <w:p w14:paraId="4EEF4ED6" w14:textId="584B400D" w:rsidR="00250993" w:rsidRDefault="006F7293" w:rsidP="00191B56">
            <w:pPr>
              <w:keepNext/>
              <w:keepLines/>
              <w:spacing w:before="120"/>
              <w:jc w:val="center"/>
              <w:rPr>
                <w:rFonts w:ascii="Times New Roman" w:hAnsi="Times New Roman"/>
                <w:sz w:val="22"/>
                <w:szCs w:val="22"/>
              </w:rPr>
            </w:pPr>
            <w:r>
              <w:rPr>
                <w:rFonts w:ascii="Times New Roman" w:hAnsi="Times New Roman"/>
                <w:sz w:val="22"/>
                <w:szCs w:val="22"/>
              </w:rPr>
              <w:t>$49,000</w:t>
            </w:r>
          </w:p>
        </w:tc>
      </w:tr>
      <w:tr w:rsidR="00250993" w14:paraId="3B9193AA" w14:textId="5C0733DD" w:rsidTr="00191B56">
        <w:tc>
          <w:tcPr>
            <w:tcW w:w="2110" w:type="dxa"/>
          </w:tcPr>
          <w:p w14:paraId="51328C9D" w14:textId="2530A9ED" w:rsidR="00250993" w:rsidRPr="00191B56" w:rsidRDefault="00D56F4C" w:rsidP="00191B56">
            <w:pPr>
              <w:keepNext/>
              <w:keepLines/>
              <w:spacing w:before="120"/>
              <w:jc w:val="center"/>
              <w:rPr>
                <w:rFonts w:ascii="Times New Roman" w:hAnsi="Times New Roman"/>
                <w:b/>
                <w:bCs/>
                <w:sz w:val="22"/>
                <w:szCs w:val="22"/>
              </w:rPr>
            </w:pPr>
            <w:r w:rsidRPr="00191B56">
              <w:rPr>
                <w:rFonts w:ascii="Times New Roman" w:hAnsi="Times New Roman"/>
                <w:b/>
                <w:bCs/>
                <w:sz w:val="22"/>
                <w:szCs w:val="22"/>
              </w:rPr>
              <w:t>Total of all amounts</w:t>
            </w:r>
          </w:p>
        </w:tc>
        <w:tc>
          <w:tcPr>
            <w:tcW w:w="1341" w:type="dxa"/>
          </w:tcPr>
          <w:p w14:paraId="1B4939CE" w14:textId="28AD0AD8" w:rsidR="00250993" w:rsidRDefault="007B5624" w:rsidP="00191B56">
            <w:pPr>
              <w:keepNext/>
              <w:keepLines/>
              <w:spacing w:before="120"/>
              <w:jc w:val="center"/>
              <w:rPr>
                <w:rFonts w:ascii="Times New Roman" w:hAnsi="Times New Roman"/>
                <w:sz w:val="22"/>
                <w:szCs w:val="22"/>
              </w:rPr>
            </w:pPr>
            <w:r>
              <w:rPr>
                <w:rFonts w:ascii="Times New Roman" w:hAnsi="Times New Roman"/>
                <w:sz w:val="22"/>
                <w:szCs w:val="22"/>
              </w:rPr>
              <w:t>$419,000</w:t>
            </w:r>
          </w:p>
        </w:tc>
        <w:tc>
          <w:tcPr>
            <w:tcW w:w="1615" w:type="dxa"/>
          </w:tcPr>
          <w:p w14:paraId="633B5459" w14:textId="29C1F153" w:rsidR="00250993" w:rsidRDefault="007B5624" w:rsidP="00191B56">
            <w:pPr>
              <w:keepNext/>
              <w:keepLines/>
              <w:spacing w:before="120"/>
              <w:jc w:val="center"/>
              <w:rPr>
                <w:rFonts w:ascii="Times New Roman" w:hAnsi="Times New Roman"/>
                <w:sz w:val="22"/>
                <w:szCs w:val="22"/>
              </w:rPr>
            </w:pPr>
            <w:r>
              <w:rPr>
                <w:rFonts w:ascii="Times New Roman" w:hAnsi="Times New Roman"/>
                <w:sz w:val="22"/>
                <w:szCs w:val="22"/>
              </w:rPr>
              <w:t>N/A</w:t>
            </w:r>
          </w:p>
        </w:tc>
        <w:tc>
          <w:tcPr>
            <w:tcW w:w="1615" w:type="dxa"/>
          </w:tcPr>
          <w:p w14:paraId="761FC33B" w14:textId="7192F7D8" w:rsidR="00250993" w:rsidRDefault="00704047" w:rsidP="00191B56">
            <w:pPr>
              <w:keepNext/>
              <w:keepLines/>
              <w:spacing w:before="120"/>
              <w:jc w:val="center"/>
              <w:rPr>
                <w:rFonts w:ascii="Times New Roman" w:hAnsi="Times New Roman"/>
                <w:sz w:val="22"/>
                <w:szCs w:val="22"/>
              </w:rPr>
            </w:pPr>
            <w:r>
              <w:rPr>
                <w:rFonts w:ascii="Times New Roman" w:hAnsi="Times New Roman"/>
                <w:sz w:val="22"/>
                <w:szCs w:val="22"/>
              </w:rPr>
              <w:t>$2,599,</w:t>
            </w:r>
            <w:r w:rsidR="000A39B9">
              <w:rPr>
                <w:rFonts w:ascii="Times New Roman" w:hAnsi="Times New Roman"/>
                <w:sz w:val="22"/>
                <w:szCs w:val="22"/>
              </w:rPr>
              <w:t>9</w:t>
            </w:r>
            <w:r>
              <w:rPr>
                <w:rFonts w:ascii="Times New Roman" w:hAnsi="Times New Roman"/>
                <w:sz w:val="22"/>
                <w:szCs w:val="22"/>
              </w:rPr>
              <w:t>99</w:t>
            </w:r>
          </w:p>
        </w:tc>
        <w:tc>
          <w:tcPr>
            <w:tcW w:w="1615" w:type="dxa"/>
          </w:tcPr>
          <w:p w14:paraId="1B5D7C48" w14:textId="58A8A11F" w:rsidR="00250993" w:rsidRDefault="00031A88" w:rsidP="00191B56">
            <w:pPr>
              <w:keepNext/>
              <w:keepLines/>
              <w:spacing w:before="120"/>
              <w:jc w:val="center"/>
              <w:rPr>
                <w:rFonts w:ascii="Times New Roman" w:hAnsi="Times New Roman"/>
                <w:sz w:val="22"/>
                <w:szCs w:val="22"/>
              </w:rPr>
            </w:pPr>
            <w:r>
              <w:rPr>
                <w:rFonts w:ascii="Times New Roman" w:hAnsi="Times New Roman"/>
                <w:sz w:val="22"/>
                <w:szCs w:val="22"/>
              </w:rPr>
              <w:t>$3,018,999</w:t>
            </w:r>
          </w:p>
        </w:tc>
      </w:tr>
    </w:tbl>
    <w:p w14:paraId="107B1390" w14:textId="7E4B9A14" w:rsidR="003D69C4" w:rsidRPr="00311390" w:rsidRDefault="003D69C4" w:rsidP="00191B56">
      <w:pPr>
        <w:spacing w:before="120"/>
        <w:ind w:left="720"/>
        <w:rPr>
          <w:rFonts w:ascii="Times New Roman" w:hAnsi="Times New Roman"/>
          <w:sz w:val="22"/>
          <w:szCs w:val="22"/>
        </w:rPr>
      </w:pPr>
    </w:p>
    <w:sectPr w:rsidR="003D69C4" w:rsidRPr="00311390" w:rsidSect="0049317F">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81022" w14:textId="77777777" w:rsidR="00EC6438" w:rsidRDefault="00EC6438" w:rsidP="003731BA">
      <w:r>
        <w:separator/>
      </w:r>
    </w:p>
  </w:endnote>
  <w:endnote w:type="continuationSeparator" w:id="0">
    <w:p w14:paraId="0B002C37" w14:textId="77777777" w:rsidR="00EC6438" w:rsidRDefault="00EC6438" w:rsidP="003731BA">
      <w:r>
        <w:continuationSeparator/>
      </w:r>
    </w:p>
  </w:endnote>
  <w:endnote w:type="continuationNotice" w:id="1">
    <w:p w14:paraId="241E9EB0" w14:textId="77777777" w:rsidR="00EC6438" w:rsidRDefault="00EC64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527C3" w14:textId="08F091DE" w:rsidR="00DA31CD" w:rsidRPr="0049317F" w:rsidRDefault="00DA31CD" w:rsidP="00EB09D6">
    <w:pPr>
      <w:pStyle w:val="Footer"/>
      <w:pBdr>
        <w:bottom w:val="single" w:sz="6" w:space="1" w:color="auto"/>
      </w:pBdr>
      <w:jc w:val="center"/>
      <w:rPr>
        <w:rFonts w:ascii="Times New Roman" w:hAnsi="Times New Roman"/>
        <w:i/>
        <w:sz w:val="18"/>
        <w:szCs w:val="18"/>
      </w:rPr>
    </w:pPr>
  </w:p>
  <w:p w14:paraId="4704A2E5" w14:textId="72CC9047" w:rsidR="00DA31CD" w:rsidRPr="00790F1B" w:rsidRDefault="00DA31CD" w:rsidP="00790F1B">
    <w:pPr>
      <w:pStyle w:val="Footer"/>
      <w:rPr>
        <w:rFonts w:ascii="Times New Roman" w:hAnsi="Times New Roman"/>
        <w:i/>
      </w:rPr>
    </w:pPr>
    <w:r w:rsidRPr="0049317F">
      <w:rPr>
        <w:rFonts w:ascii="Times New Roman" w:hAnsi="Times New Roman"/>
        <w:i/>
        <w:sz w:val="18"/>
        <w:szCs w:val="18"/>
      </w:rPr>
      <w:t>Explanatory Statement to the Radiocommunications (</w:t>
    </w:r>
    <w:r w:rsidR="00C13D44">
      <w:rPr>
        <w:rFonts w:ascii="Times New Roman" w:hAnsi="Times New Roman"/>
        <w:i/>
        <w:sz w:val="18"/>
        <w:szCs w:val="18"/>
      </w:rPr>
      <w:t>Spectrum</w:t>
    </w:r>
    <w:r w:rsidR="00C13D44" w:rsidRPr="0049317F">
      <w:rPr>
        <w:rFonts w:ascii="Times New Roman" w:hAnsi="Times New Roman"/>
        <w:i/>
        <w:sz w:val="18"/>
        <w:szCs w:val="18"/>
      </w:rPr>
      <w:t xml:space="preserve"> </w:t>
    </w:r>
    <w:r w:rsidRPr="0049317F">
      <w:rPr>
        <w:rFonts w:ascii="Times New Roman" w:hAnsi="Times New Roman"/>
        <w:i/>
        <w:sz w:val="18"/>
        <w:szCs w:val="18"/>
      </w:rPr>
      <w:t>Licence Tax) Amendment Determination 20</w:t>
    </w:r>
    <w:r>
      <w:rPr>
        <w:rFonts w:ascii="Times New Roman" w:hAnsi="Times New Roman"/>
        <w:i/>
        <w:sz w:val="18"/>
        <w:szCs w:val="18"/>
      </w:rPr>
      <w:t>20</w:t>
    </w:r>
    <w:r w:rsidRPr="0049317F">
      <w:rPr>
        <w:rFonts w:ascii="Times New Roman" w:hAnsi="Times New Roman"/>
        <w:i/>
        <w:sz w:val="18"/>
        <w:szCs w:val="18"/>
      </w:rPr>
      <w:t xml:space="preserve"> (No. </w:t>
    </w:r>
    <w:r w:rsidR="00C13D44">
      <w:rPr>
        <w:rFonts w:ascii="Times New Roman" w:hAnsi="Times New Roman"/>
        <w:i/>
        <w:sz w:val="18"/>
        <w:szCs w:val="18"/>
      </w:rPr>
      <w:t>1</w:t>
    </w:r>
    <w:r w:rsidRPr="0049317F">
      <w:rPr>
        <w:rFonts w:ascii="Times New Roman" w:hAnsi="Times New Roman"/>
        <w:i/>
        <w:sz w:val="18"/>
        <w:szCs w:val="18"/>
      </w:rPr>
      <w:t>)</w:t>
    </w:r>
    <w:r>
      <w:rPr>
        <w:rFonts w:ascii="Times New Roman" w:hAnsi="Times New Roman"/>
        <w:i/>
      </w:rPr>
      <w:tab/>
    </w:r>
    <w:r w:rsidRPr="007A6121">
      <w:rPr>
        <w:rFonts w:ascii="Times New Roman" w:hAnsi="Times New Roman"/>
        <w:i/>
      </w:rPr>
      <w:fldChar w:fldCharType="begin"/>
    </w:r>
    <w:r w:rsidRPr="007A6121">
      <w:rPr>
        <w:rFonts w:ascii="Times New Roman" w:hAnsi="Times New Roman"/>
        <w:i/>
      </w:rPr>
      <w:instrText xml:space="preserve"> PAGE   \* MERGEFORMAT </w:instrText>
    </w:r>
    <w:r w:rsidRPr="007A6121">
      <w:rPr>
        <w:rFonts w:ascii="Times New Roman" w:hAnsi="Times New Roman"/>
        <w:i/>
      </w:rPr>
      <w:fldChar w:fldCharType="separate"/>
    </w:r>
    <w:r w:rsidRPr="007A6121">
      <w:rPr>
        <w:rFonts w:ascii="Times New Roman" w:hAnsi="Times New Roman"/>
        <w:i/>
        <w:noProof/>
      </w:rPr>
      <w:t>1</w:t>
    </w:r>
    <w:r w:rsidRPr="007A6121">
      <w:rPr>
        <w:rFonts w:ascii="Times New Roman" w:hAnsi="Times New Roman"/>
        <w: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47C90" w14:textId="77777777" w:rsidR="00EC6438" w:rsidRDefault="00EC6438" w:rsidP="003731BA">
      <w:r>
        <w:separator/>
      </w:r>
    </w:p>
  </w:footnote>
  <w:footnote w:type="continuationSeparator" w:id="0">
    <w:p w14:paraId="60874DA1" w14:textId="77777777" w:rsidR="00EC6438" w:rsidRDefault="00EC6438" w:rsidP="003731BA">
      <w:r>
        <w:continuationSeparator/>
      </w:r>
    </w:p>
  </w:footnote>
  <w:footnote w:type="continuationNotice" w:id="1">
    <w:p w14:paraId="17B5784D" w14:textId="77777777" w:rsidR="00EC6438" w:rsidRDefault="00EC64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65C4A"/>
    <w:multiLevelType w:val="hybridMultilevel"/>
    <w:tmpl w:val="4DE48F3E"/>
    <w:lvl w:ilvl="0" w:tplc="E6BEA7D6">
      <w:start w:val="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BA0276"/>
    <w:multiLevelType w:val="hybridMultilevel"/>
    <w:tmpl w:val="3E0A667C"/>
    <w:lvl w:ilvl="0" w:tplc="558A0EF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5252D1C"/>
    <w:multiLevelType w:val="hybridMultilevel"/>
    <w:tmpl w:val="B39C07F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4957584B"/>
    <w:multiLevelType w:val="hybridMultilevel"/>
    <w:tmpl w:val="CF3271E0"/>
    <w:lvl w:ilvl="0" w:tplc="5CB29D98">
      <w:start w:val="1"/>
      <w:numFmt w:val="lowerLetter"/>
      <w:lvlText w:val="%1."/>
      <w:lvlJc w:val="left"/>
      <w:pPr>
        <w:ind w:left="1080" w:hanging="720"/>
      </w:pPr>
      <w:rPr>
        <w:rFonts w:hint="default"/>
      </w:rPr>
    </w:lvl>
    <w:lvl w:ilvl="1" w:tplc="34342246">
      <w:start w:val="1"/>
      <w:numFmt w:val="decimal"/>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433794D"/>
    <w:multiLevelType w:val="hybridMultilevel"/>
    <w:tmpl w:val="AD54E152"/>
    <w:lvl w:ilvl="0" w:tplc="82FEAEC2">
      <w:start w:val="1"/>
      <w:numFmt w:val="bullet"/>
      <w:pStyle w:val="Dotpoints"/>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2570B3"/>
    <w:multiLevelType w:val="hybridMultilevel"/>
    <w:tmpl w:val="6F7C542E"/>
    <w:lvl w:ilvl="0" w:tplc="5CB29D9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6363294B"/>
    <w:multiLevelType w:val="hybridMultilevel"/>
    <w:tmpl w:val="C83EAF82"/>
    <w:lvl w:ilvl="0" w:tplc="0C090019">
      <w:start w:val="1"/>
      <w:numFmt w:val="lowerLetter"/>
      <w:lvlText w:val="%1."/>
      <w:lvlJc w:val="left"/>
      <w:pPr>
        <w:ind w:left="1080" w:hanging="720"/>
      </w:pPr>
      <w:rPr>
        <w:rFonts w:hint="default"/>
      </w:rPr>
    </w:lvl>
    <w:lvl w:ilvl="1" w:tplc="34342246">
      <w:start w:val="1"/>
      <w:numFmt w:val="decimal"/>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66878C1"/>
    <w:multiLevelType w:val="hybridMultilevel"/>
    <w:tmpl w:val="CF3271E0"/>
    <w:lvl w:ilvl="0" w:tplc="5CB29D98">
      <w:start w:val="1"/>
      <w:numFmt w:val="lowerLetter"/>
      <w:lvlText w:val="%1."/>
      <w:lvlJc w:val="left"/>
      <w:pPr>
        <w:ind w:left="1080" w:hanging="720"/>
      </w:pPr>
      <w:rPr>
        <w:rFonts w:hint="default"/>
      </w:rPr>
    </w:lvl>
    <w:lvl w:ilvl="1" w:tplc="34342246">
      <w:start w:val="1"/>
      <w:numFmt w:val="decimal"/>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CA7206"/>
    <w:multiLevelType w:val="hybridMultilevel"/>
    <w:tmpl w:val="25464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2"/>
  </w:num>
  <w:num w:numId="3">
    <w:abstractNumId w:val="6"/>
  </w:num>
  <w:num w:numId="4">
    <w:abstractNumId w:val="5"/>
  </w:num>
  <w:num w:numId="5">
    <w:abstractNumId w:val="4"/>
  </w:num>
  <w:num w:numId="6">
    <w:abstractNumId w:val="9"/>
  </w:num>
  <w:num w:numId="7">
    <w:abstractNumId w:val="1"/>
  </w:num>
  <w:num w:numId="8">
    <w:abstractNumId w:val="0"/>
  </w:num>
  <w:num w:numId="9">
    <w:abstractNumId w:val="15"/>
  </w:num>
  <w:num w:numId="10">
    <w:abstractNumId w:val="10"/>
  </w:num>
  <w:num w:numId="11">
    <w:abstractNumId w:val="13"/>
  </w:num>
  <w:num w:numId="12">
    <w:abstractNumId w:val="12"/>
  </w:num>
  <w:num w:numId="13">
    <w:abstractNumId w:val="3"/>
  </w:num>
  <w:num w:numId="14">
    <w:abstractNumId w:val="8"/>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60B"/>
    <w:rsid w:val="00004F27"/>
    <w:rsid w:val="00005362"/>
    <w:rsid w:val="0000724F"/>
    <w:rsid w:val="000207A3"/>
    <w:rsid w:val="000208F4"/>
    <w:rsid w:val="00031A88"/>
    <w:rsid w:val="0003417B"/>
    <w:rsid w:val="000403FA"/>
    <w:rsid w:val="000422C1"/>
    <w:rsid w:val="00044433"/>
    <w:rsid w:val="000555FC"/>
    <w:rsid w:val="00056486"/>
    <w:rsid w:val="00056762"/>
    <w:rsid w:val="00083D41"/>
    <w:rsid w:val="000A39B9"/>
    <w:rsid w:val="000B0AA6"/>
    <w:rsid w:val="000B330B"/>
    <w:rsid w:val="000B43EF"/>
    <w:rsid w:val="000B6D17"/>
    <w:rsid w:val="000D11DD"/>
    <w:rsid w:val="000D26C6"/>
    <w:rsid w:val="000D5700"/>
    <w:rsid w:val="000E01FE"/>
    <w:rsid w:val="000E0461"/>
    <w:rsid w:val="000F0090"/>
    <w:rsid w:val="000F13F4"/>
    <w:rsid w:val="000F657E"/>
    <w:rsid w:val="000F78F8"/>
    <w:rsid w:val="00100171"/>
    <w:rsid w:val="00100E1A"/>
    <w:rsid w:val="00103633"/>
    <w:rsid w:val="00105642"/>
    <w:rsid w:val="00106E43"/>
    <w:rsid w:val="00113BB4"/>
    <w:rsid w:val="00113C2D"/>
    <w:rsid w:val="00114830"/>
    <w:rsid w:val="001243D2"/>
    <w:rsid w:val="00126007"/>
    <w:rsid w:val="0014248A"/>
    <w:rsid w:val="001428A2"/>
    <w:rsid w:val="00143942"/>
    <w:rsid w:val="00151C93"/>
    <w:rsid w:val="00151DCD"/>
    <w:rsid w:val="00155AD0"/>
    <w:rsid w:val="00157667"/>
    <w:rsid w:val="00163EF3"/>
    <w:rsid w:val="00182963"/>
    <w:rsid w:val="00184892"/>
    <w:rsid w:val="00186C21"/>
    <w:rsid w:val="00187F71"/>
    <w:rsid w:val="00191B56"/>
    <w:rsid w:val="001930B6"/>
    <w:rsid w:val="001933B9"/>
    <w:rsid w:val="00195C2D"/>
    <w:rsid w:val="001A0E08"/>
    <w:rsid w:val="001A17DD"/>
    <w:rsid w:val="001A1E40"/>
    <w:rsid w:val="001B0682"/>
    <w:rsid w:val="001B2D83"/>
    <w:rsid w:val="001B592D"/>
    <w:rsid w:val="001D04E5"/>
    <w:rsid w:val="001D0847"/>
    <w:rsid w:val="001D456E"/>
    <w:rsid w:val="001D7FFD"/>
    <w:rsid w:val="001E2B87"/>
    <w:rsid w:val="001E754C"/>
    <w:rsid w:val="001F75C1"/>
    <w:rsid w:val="0020664B"/>
    <w:rsid w:val="00210083"/>
    <w:rsid w:val="002108A7"/>
    <w:rsid w:val="00217C3F"/>
    <w:rsid w:val="00220FB1"/>
    <w:rsid w:val="002253A0"/>
    <w:rsid w:val="002318A8"/>
    <w:rsid w:val="00231E78"/>
    <w:rsid w:val="002328BD"/>
    <w:rsid w:val="0023385F"/>
    <w:rsid w:val="0023489C"/>
    <w:rsid w:val="002353F2"/>
    <w:rsid w:val="00237646"/>
    <w:rsid w:val="002379F2"/>
    <w:rsid w:val="0024427E"/>
    <w:rsid w:val="00245713"/>
    <w:rsid w:val="00250993"/>
    <w:rsid w:val="00255888"/>
    <w:rsid w:val="002575B5"/>
    <w:rsid w:val="00261CC0"/>
    <w:rsid w:val="002621E3"/>
    <w:rsid w:val="00264606"/>
    <w:rsid w:val="00265540"/>
    <w:rsid w:val="002662A2"/>
    <w:rsid w:val="00267D5A"/>
    <w:rsid w:val="00272558"/>
    <w:rsid w:val="00272E0A"/>
    <w:rsid w:val="00274BD8"/>
    <w:rsid w:val="00293826"/>
    <w:rsid w:val="002962B4"/>
    <w:rsid w:val="002A1DDB"/>
    <w:rsid w:val="002A6457"/>
    <w:rsid w:val="002B0575"/>
    <w:rsid w:val="002B61E4"/>
    <w:rsid w:val="002E1F7A"/>
    <w:rsid w:val="002E2C2E"/>
    <w:rsid w:val="002F4A5F"/>
    <w:rsid w:val="002F6A04"/>
    <w:rsid w:val="002F6BC5"/>
    <w:rsid w:val="0030102A"/>
    <w:rsid w:val="00305034"/>
    <w:rsid w:val="003075FC"/>
    <w:rsid w:val="00307DD5"/>
    <w:rsid w:val="00311390"/>
    <w:rsid w:val="00314F9A"/>
    <w:rsid w:val="00324535"/>
    <w:rsid w:val="003271C2"/>
    <w:rsid w:val="00327BEA"/>
    <w:rsid w:val="0033571D"/>
    <w:rsid w:val="00337CF6"/>
    <w:rsid w:val="00347A6F"/>
    <w:rsid w:val="003565DC"/>
    <w:rsid w:val="00356F5E"/>
    <w:rsid w:val="003731BA"/>
    <w:rsid w:val="0037389A"/>
    <w:rsid w:val="003841B1"/>
    <w:rsid w:val="00392AE1"/>
    <w:rsid w:val="00393368"/>
    <w:rsid w:val="00393524"/>
    <w:rsid w:val="00395C75"/>
    <w:rsid w:val="003A19F9"/>
    <w:rsid w:val="003A722D"/>
    <w:rsid w:val="003A7EFF"/>
    <w:rsid w:val="003D35E0"/>
    <w:rsid w:val="003D37BF"/>
    <w:rsid w:val="003D4F25"/>
    <w:rsid w:val="003D69C4"/>
    <w:rsid w:val="003D7417"/>
    <w:rsid w:val="003D789F"/>
    <w:rsid w:val="003E394A"/>
    <w:rsid w:val="003E3A80"/>
    <w:rsid w:val="003E7635"/>
    <w:rsid w:val="00401885"/>
    <w:rsid w:val="00402F40"/>
    <w:rsid w:val="004071DB"/>
    <w:rsid w:val="00415BFB"/>
    <w:rsid w:val="00416231"/>
    <w:rsid w:val="00421EE1"/>
    <w:rsid w:val="004235ED"/>
    <w:rsid w:val="0042609D"/>
    <w:rsid w:val="004275E8"/>
    <w:rsid w:val="00431B30"/>
    <w:rsid w:val="00432A8E"/>
    <w:rsid w:val="00432F03"/>
    <w:rsid w:val="00433530"/>
    <w:rsid w:val="00434293"/>
    <w:rsid w:val="0043456D"/>
    <w:rsid w:val="0043460B"/>
    <w:rsid w:val="004350F1"/>
    <w:rsid w:val="00436172"/>
    <w:rsid w:val="00436193"/>
    <w:rsid w:val="00457F46"/>
    <w:rsid w:val="004657AC"/>
    <w:rsid w:val="00471662"/>
    <w:rsid w:val="00474162"/>
    <w:rsid w:val="004777E2"/>
    <w:rsid w:val="00491847"/>
    <w:rsid w:val="00491E47"/>
    <w:rsid w:val="0049317F"/>
    <w:rsid w:val="00495821"/>
    <w:rsid w:val="0049684A"/>
    <w:rsid w:val="004970F4"/>
    <w:rsid w:val="00497145"/>
    <w:rsid w:val="004971F5"/>
    <w:rsid w:val="00497F56"/>
    <w:rsid w:val="004A1882"/>
    <w:rsid w:val="004A21D2"/>
    <w:rsid w:val="004B47C7"/>
    <w:rsid w:val="004B624C"/>
    <w:rsid w:val="004B6D06"/>
    <w:rsid w:val="004D2212"/>
    <w:rsid w:val="004D5A36"/>
    <w:rsid w:val="004E00C1"/>
    <w:rsid w:val="004E27DA"/>
    <w:rsid w:val="004E45E0"/>
    <w:rsid w:val="004F3F74"/>
    <w:rsid w:val="00502053"/>
    <w:rsid w:val="00511663"/>
    <w:rsid w:val="00514374"/>
    <w:rsid w:val="0052724E"/>
    <w:rsid w:val="00527BA0"/>
    <w:rsid w:val="00542729"/>
    <w:rsid w:val="005453EC"/>
    <w:rsid w:val="00550A4B"/>
    <w:rsid w:val="00556694"/>
    <w:rsid w:val="00562F90"/>
    <w:rsid w:val="005700CB"/>
    <w:rsid w:val="0057095D"/>
    <w:rsid w:val="00575A55"/>
    <w:rsid w:val="0058717E"/>
    <w:rsid w:val="005954EB"/>
    <w:rsid w:val="005A4917"/>
    <w:rsid w:val="005A4E6E"/>
    <w:rsid w:val="005B6910"/>
    <w:rsid w:val="005C0546"/>
    <w:rsid w:val="005C0EF6"/>
    <w:rsid w:val="005C366E"/>
    <w:rsid w:val="005C64DB"/>
    <w:rsid w:val="005C72EE"/>
    <w:rsid w:val="005D6E7D"/>
    <w:rsid w:val="005D7565"/>
    <w:rsid w:val="005E1EFE"/>
    <w:rsid w:val="005E4016"/>
    <w:rsid w:val="005F3F29"/>
    <w:rsid w:val="005F6582"/>
    <w:rsid w:val="0060093D"/>
    <w:rsid w:val="0060704A"/>
    <w:rsid w:val="0061551D"/>
    <w:rsid w:val="00623892"/>
    <w:rsid w:val="006248F6"/>
    <w:rsid w:val="006402DF"/>
    <w:rsid w:val="00640334"/>
    <w:rsid w:val="00641875"/>
    <w:rsid w:val="00642DB8"/>
    <w:rsid w:val="00654596"/>
    <w:rsid w:val="006555DF"/>
    <w:rsid w:val="00661DA0"/>
    <w:rsid w:val="00672981"/>
    <w:rsid w:val="00675A5C"/>
    <w:rsid w:val="0068070A"/>
    <w:rsid w:val="00680DBD"/>
    <w:rsid w:val="00687144"/>
    <w:rsid w:val="00690DA3"/>
    <w:rsid w:val="006911DB"/>
    <w:rsid w:val="006A2749"/>
    <w:rsid w:val="006A4563"/>
    <w:rsid w:val="006A68C7"/>
    <w:rsid w:val="006B7808"/>
    <w:rsid w:val="006C0EEB"/>
    <w:rsid w:val="006C19C1"/>
    <w:rsid w:val="006C2E29"/>
    <w:rsid w:val="006C557B"/>
    <w:rsid w:val="006D285B"/>
    <w:rsid w:val="006D3466"/>
    <w:rsid w:val="006D462A"/>
    <w:rsid w:val="006E03F9"/>
    <w:rsid w:val="006E1618"/>
    <w:rsid w:val="006E356B"/>
    <w:rsid w:val="006F174B"/>
    <w:rsid w:val="006F2495"/>
    <w:rsid w:val="006F37A6"/>
    <w:rsid w:val="006F50B0"/>
    <w:rsid w:val="006F7293"/>
    <w:rsid w:val="006F7F17"/>
    <w:rsid w:val="00704047"/>
    <w:rsid w:val="00705728"/>
    <w:rsid w:val="00706053"/>
    <w:rsid w:val="00722A0C"/>
    <w:rsid w:val="00724C65"/>
    <w:rsid w:val="0072532D"/>
    <w:rsid w:val="00732CFB"/>
    <w:rsid w:val="00734B2B"/>
    <w:rsid w:val="007441F2"/>
    <w:rsid w:val="00744311"/>
    <w:rsid w:val="00745ADB"/>
    <w:rsid w:val="007543A0"/>
    <w:rsid w:val="00756695"/>
    <w:rsid w:val="00757891"/>
    <w:rsid w:val="00760371"/>
    <w:rsid w:val="00763243"/>
    <w:rsid w:val="00767A71"/>
    <w:rsid w:val="00770165"/>
    <w:rsid w:val="00770CAD"/>
    <w:rsid w:val="00775574"/>
    <w:rsid w:val="00781E37"/>
    <w:rsid w:val="00784078"/>
    <w:rsid w:val="00790F1B"/>
    <w:rsid w:val="00791E4E"/>
    <w:rsid w:val="00792B85"/>
    <w:rsid w:val="007934AC"/>
    <w:rsid w:val="00793AB8"/>
    <w:rsid w:val="007A01F6"/>
    <w:rsid w:val="007A6121"/>
    <w:rsid w:val="007A7B9A"/>
    <w:rsid w:val="007B0EE2"/>
    <w:rsid w:val="007B4E4A"/>
    <w:rsid w:val="007B5624"/>
    <w:rsid w:val="007B6182"/>
    <w:rsid w:val="007D2993"/>
    <w:rsid w:val="007D4982"/>
    <w:rsid w:val="007E3927"/>
    <w:rsid w:val="007E3F56"/>
    <w:rsid w:val="00800395"/>
    <w:rsid w:val="00801793"/>
    <w:rsid w:val="00802722"/>
    <w:rsid w:val="00805633"/>
    <w:rsid w:val="008133CC"/>
    <w:rsid w:val="008138AF"/>
    <w:rsid w:val="008159C5"/>
    <w:rsid w:val="00815A87"/>
    <w:rsid w:val="008160C1"/>
    <w:rsid w:val="00817550"/>
    <w:rsid w:val="008214DA"/>
    <w:rsid w:val="00821D5C"/>
    <w:rsid w:val="0082503A"/>
    <w:rsid w:val="008254EA"/>
    <w:rsid w:val="00825BCD"/>
    <w:rsid w:val="00826578"/>
    <w:rsid w:val="0082687A"/>
    <w:rsid w:val="00830265"/>
    <w:rsid w:val="00843DC0"/>
    <w:rsid w:val="008442A3"/>
    <w:rsid w:val="008476DF"/>
    <w:rsid w:val="00857685"/>
    <w:rsid w:val="00860C09"/>
    <w:rsid w:val="00863649"/>
    <w:rsid w:val="00870CF7"/>
    <w:rsid w:val="008758AC"/>
    <w:rsid w:val="008904A5"/>
    <w:rsid w:val="00896112"/>
    <w:rsid w:val="008A2427"/>
    <w:rsid w:val="008A3570"/>
    <w:rsid w:val="008A7108"/>
    <w:rsid w:val="008B5154"/>
    <w:rsid w:val="008C6F94"/>
    <w:rsid w:val="008D78F4"/>
    <w:rsid w:val="008E006A"/>
    <w:rsid w:val="008E1226"/>
    <w:rsid w:val="008E3289"/>
    <w:rsid w:val="008E7BC9"/>
    <w:rsid w:val="008F19C6"/>
    <w:rsid w:val="008F5210"/>
    <w:rsid w:val="008F7A69"/>
    <w:rsid w:val="00910DCF"/>
    <w:rsid w:val="0091126D"/>
    <w:rsid w:val="009206B9"/>
    <w:rsid w:val="00922FE8"/>
    <w:rsid w:val="00927387"/>
    <w:rsid w:val="009342DD"/>
    <w:rsid w:val="00936EA0"/>
    <w:rsid w:val="009424A4"/>
    <w:rsid w:val="00944F2A"/>
    <w:rsid w:val="00947B57"/>
    <w:rsid w:val="00951E97"/>
    <w:rsid w:val="0096042B"/>
    <w:rsid w:val="00971F38"/>
    <w:rsid w:val="00973E10"/>
    <w:rsid w:val="00975157"/>
    <w:rsid w:val="00977F71"/>
    <w:rsid w:val="00980DAE"/>
    <w:rsid w:val="009869CA"/>
    <w:rsid w:val="00996317"/>
    <w:rsid w:val="009B3FAE"/>
    <w:rsid w:val="009B5E33"/>
    <w:rsid w:val="009C28F4"/>
    <w:rsid w:val="009C3F6D"/>
    <w:rsid w:val="009C7DC3"/>
    <w:rsid w:val="009D1104"/>
    <w:rsid w:val="009D16E9"/>
    <w:rsid w:val="009D3FD5"/>
    <w:rsid w:val="009D50A2"/>
    <w:rsid w:val="009D73BA"/>
    <w:rsid w:val="009E6C8B"/>
    <w:rsid w:val="009F5C79"/>
    <w:rsid w:val="009F79CB"/>
    <w:rsid w:val="00A06EE2"/>
    <w:rsid w:val="00A1153F"/>
    <w:rsid w:val="00A121A1"/>
    <w:rsid w:val="00A13843"/>
    <w:rsid w:val="00A21EA8"/>
    <w:rsid w:val="00A244B8"/>
    <w:rsid w:val="00A26DA5"/>
    <w:rsid w:val="00A32FE7"/>
    <w:rsid w:val="00A4006F"/>
    <w:rsid w:val="00A4683F"/>
    <w:rsid w:val="00A66501"/>
    <w:rsid w:val="00A7102A"/>
    <w:rsid w:val="00A72D9C"/>
    <w:rsid w:val="00A74AFF"/>
    <w:rsid w:val="00A7698D"/>
    <w:rsid w:val="00A822E7"/>
    <w:rsid w:val="00A9204B"/>
    <w:rsid w:val="00A92DD0"/>
    <w:rsid w:val="00A96A60"/>
    <w:rsid w:val="00AA5F3C"/>
    <w:rsid w:val="00AB3871"/>
    <w:rsid w:val="00AB4A0A"/>
    <w:rsid w:val="00AB58D3"/>
    <w:rsid w:val="00AD242C"/>
    <w:rsid w:val="00AD24E3"/>
    <w:rsid w:val="00AD2515"/>
    <w:rsid w:val="00AD3ACB"/>
    <w:rsid w:val="00AE57CA"/>
    <w:rsid w:val="00AF0693"/>
    <w:rsid w:val="00AF40F8"/>
    <w:rsid w:val="00AF4D95"/>
    <w:rsid w:val="00B01E8B"/>
    <w:rsid w:val="00B04819"/>
    <w:rsid w:val="00B127A1"/>
    <w:rsid w:val="00B13953"/>
    <w:rsid w:val="00B13CD9"/>
    <w:rsid w:val="00B144FC"/>
    <w:rsid w:val="00B20075"/>
    <w:rsid w:val="00B207B5"/>
    <w:rsid w:val="00B2090B"/>
    <w:rsid w:val="00B23712"/>
    <w:rsid w:val="00B239EF"/>
    <w:rsid w:val="00B30950"/>
    <w:rsid w:val="00B30D3B"/>
    <w:rsid w:val="00B31BDA"/>
    <w:rsid w:val="00B34C38"/>
    <w:rsid w:val="00B403C0"/>
    <w:rsid w:val="00B477A3"/>
    <w:rsid w:val="00B47A5D"/>
    <w:rsid w:val="00B57227"/>
    <w:rsid w:val="00B60113"/>
    <w:rsid w:val="00B60F24"/>
    <w:rsid w:val="00B71E06"/>
    <w:rsid w:val="00B739E8"/>
    <w:rsid w:val="00B80E61"/>
    <w:rsid w:val="00B82E5C"/>
    <w:rsid w:val="00B9156C"/>
    <w:rsid w:val="00BA16FE"/>
    <w:rsid w:val="00BA1FE6"/>
    <w:rsid w:val="00BB3EB0"/>
    <w:rsid w:val="00BC272E"/>
    <w:rsid w:val="00BC2FEE"/>
    <w:rsid w:val="00BC49AA"/>
    <w:rsid w:val="00BC5E4B"/>
    <w:rsid w:val="00BD20B1"/>
    <w:rsid w:val="00BD2918"/>
    <w:rsid w:val="00BE720F"/>
    <w:rsid w:val="00BF1616"/>
    <w:rsid w:val="00BF7D73"/>
    <w:rsid w:val="00C0214C"/>
    <w:rsid w:val="00C02694"/>
    <w:rsid w:val="00C03808"/>
    <w:rsid w:val="00C052BF"/>
    <w:rsid w:val="00C13D44"/>
    <w:rsid w:val="00C13F51"/>
    <w:rsid w:val="00C214A9"/>
    <w:rsid w:val="00C300BC"/>
    <w:rsid w:val="00C338FB"/>
    <w:rsid w:val="00C3601D"/>
    <w:rsid w:val="00C360AB"/>
    <w:rsid w:val="00C46359"/>
    <w:rsid w:val="00C5451A"/>
    <w:rsid w:val="00C55E67"/>
    <w:rsid w:val="00C5644F"/>
    <w:rsid w:val="00C6069C"/>
    <w:rsid w:val="00C63906"/>
    <w:rsid w:val="00C804C7"/>
    <w:rsid w:val="00C90F6F"/>
    <w:rsid w:val="00C91D7A"/>
    <w:rsid w:val="00CA0D3E"/>
    <w:rsid w:val="00CA36EB"/>
    <w:rsid w:val="00CA6B1E"/>
    <w:rsid w:val="00CB25BB"/>
    <w:rsid w:val="00CC105F"/>
    <w:rsid w:val="00CC282C"/>
    <w:rsid w:val="00CC7641"/>
    <w:rsid w:val="00CD283F"/>
    <w:rsid w:val="00CD3E58"/>
    <w:rsid w:val="00CE752E"/>
    <w:rsid w:val="00CF035E"/>
    <w:rsid w:val="00CF1042"/>
    <w:rsid w:val="00CF7197"/>
    <w:rsid w:val="00D07D09"/>
    <w:rsid w:val="00D16B66"/>
    <w:rsid w:val="00D1745A"/>
    <w:rsid w:val="00D17D8A"/>
    <w:rsid w:val="00D22FBF"/>
    <w:rsid w:val="00D258F2"/>
    <w:rsid w:val="00D368A2"/>
    <w:rsid w:val="00D52AE6"/>
    <w:rsid w:val="00D56F4C"/>
    <w:rsid w:val="00D62409"/>
    <w:rsid w:val="00D732E6"/>
    <w:rsid w:val="00D75A7B"/>
    <w:rsid w:val="00D90B41"/>
    <w:rsid w:val="00DA31CD"/>
    <w:rsid w:val="00DA5D88"/>
    <w:rsid w:val="00DC5120"/>
    <w:rsid w:val="00DC7D1B"/>
    <w:rsid w:val="00DD0974"/>
    <w:rsid w:val="00DD3B32"/>
    <w:rsid w:val="00DD4E04"/>
    <w:rsid w:val="00DD5998"/>
    <w:rsid w:val="00DE203D"/>
    <w:rsid w:val="00DE3CB6"/>
    <w:rsid w:val="00DE568C"/>
    <w:rsid w:val="00DF0CA3"/>
    <w:rsid w:val="00DF7BDC"/>
    <w:rsid w:val="00E0393F"/>
    <w:rsid w:val="00E058B8"/>
    <w:rsid w:val="00E122BF"/>
    <w:rsid w:val="00E15EEF"/>
    <w:rsid w:val="00E30B69"/>
    <w:rsid w:val="00E33F15"/>
    <w:rsid w:val="00E42DF7"/>
    <w:rsid w:val="00E47E62"/>
    <w:rsid w:val="00E55F9E"/>
    <w:rsid w:val="00E60195"/>
    <w:rsid w:val="00E716B5"/>
    <w:rsid w:val="00E718DF"/>
    <w:rsid w:val="00E761E1"/>
    <w:rsid w:val="00E80342"/>
    <w:rsid w:val="00E819F0"/>
    <w:rsid w:val="00E82242"/>
    <w:rsid w:val="00E837D8"/>
    <w:rsid w:val="00E87B60"/>
    <w:rsid w:val="00E93CAB"/>
    <w:rsid w:val="00E968E1"/>
    <w:rsid w:val="00E9742B"/>
    <w:rsid w:val="00EA0C48"/>
    <w:rsid w:val="00EA0D53"/>
    <w:rsid w:val="00EA2B4B"/>
    <w:rsid w:val="00EA482C"/>
    <w:rsid w:val="00EB09D6"/>
    <w:rsid w:val="00EB459E"/>
    <w:rsid w:val="00EB5BFD"/>
    <w:rsid w:val="00EB75C9"/>
    <w:rsid w:val="00EB7CB1"/>
    <w:rsid w:val="00EC0ECD"/>
    <w:rsid w:val="00EC25F5"/>
    <w:rsid w:val="00EC37DF"/>
    <w:rsid w:val="00EC5A73"/>
    <w:rsid w:val="00EC6438"/>
    <w:rsid w:val="00ED0284"/>
    <w:rsid w:val="00EF2603"/>
    <w:rsid w:val="00EF307E"/>
    <w:rsid w:val="00F00BAE"/>
    <w:rsid w:val="00F032E7"/>
    <w:rsid w:val="00F0479C"/>
    <w:rsid w:val="00F05DD7"/>
    <w:rsid w:val="00F066EE"/>
    <w:rsid w:val="00F1383F"/>
    <w:rsid w:val="00F1641F"/>
    <w:rsid w:val="00F206D8"/>
    <w:rsid w:val="00F222CD"/>
    <w:rsid w:val="00F2650C"/>
    <w:rsid w:val="00F3139C"/>
    <w:rsid w:val="00F36EE3"/>
    <w:rsid w:val="00F41347"/>
    <w:rsid w:val="00F50910"/>
    <w:rsid w:val="00F55666"/>
    <w:rsid w:val="00F55D12"/>
    <w:rsid w:val="00F57156"/>
    <w:rsid w:val="00F623B2"/>
    <w:rsid w:val="00F62440"/>
    <w:rsid w:val="00F74FCB"/>
    <w:rsid w:val="00F83A55"/>
    <w:rsid w:val="00F84ACB"/>
    <w:rsid w:val="00F91BEC"/>
    <w:rsid w:val="00F93A2E"/>
    <w:rsid w:val="00F94945"/>
    <w:rsid w:val="00F96944"/>
    <w:rsid w:val="00FA0545"/>
    <w:rsid w:val="00FA1C79"/>
    <w:rsid w:val="00FA4402"/>
    <w:rsid w:val="00FB063E"/>
    <w:rsid w:val="00FB4FE8"/>
    <w:rsid w:val="00FC08DC"/>
    <w:rsid w:val="00FC1D51"/>
    <w:rsid w:val="00FD345A"/>
    <w:rsid w:val="00FD718F"/>
    <w:rsid w:val="00FD73AB"/>
    <w:rsid w:val="00FE12F0"/>
    <w:rsid w:val="00FF49ED"/>
    <w:rsid w:val="00FF59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3A5B59"/>
  <w15:chartTrackingRefBased/>
  <w15:docId w15:val="{BC28D554-BC12-403F-AE4C-1EB12AB8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60B"/>
    <w:pPr>
      <w:spacing w:after="0" w:line="240" w:lineRule="auto"/>
    </w:pPr>
    <w:rPr>
      <w:rFonts w:ascii="Arial" w:eastAsia="Times New Roman" w:hAnsi="Arial" w:cs="Times New Roman"/>
      <w:sz w:val="20"/>
      <w:szCs w:val="20"/>
      <w:lang w:bidi="he-IL"/>
    </w:rPr>
  </w:style>
  <w:style w:type="paragraph" w:styleId="Heading2">
    <w:name w:val="heading 2"/>
    <w:basedOn w:val="Normal"/>
    <w:next w:val="Normal"/>
    <w:link w:val="Heading2Char"/>
    <w:qFormat/>
    <w:rsid w:val="000D11DD"/>
    <w:pPr>
      <w:keepNext/>
      <w:spacing w:before="240" w:after="60"/>
      <w:outlineLvl w:val="1"/>
    </w:pPr>
    <w:rPr>
      <w:rFonts w:cs="Arial"/>
      <w:b/>
      <w:bCs/>
      <w:i/>
      <w:iCs/>
      <w:sz w:val="28"/>
      <w:szCs w:val="28"/>
      <w:lang w:eastAsia="en-AU" w:bidi="ar-SA"/>
    </w:rPr>
  </w:style>
  <w:style w:type="paragraph" w:styleId="Heading3">
    <w:name w:val="heading 3"/>
    <w:basedOn w:val="Normal"/>
    <w:next w:val="Normal"/>
    <w:link w:val="Heading3Char"/>
    <w:qFormat/>
    <w:rsid w:val="000D11DD"/>
    <w:pPr>
      <w:keepNext/>
      <w:spacing w:before="240" w:after="60"/>
      <w:outlineLvl w:val="2"/>
    </w:pPr>
    <w:rPr>
      <w:rFonts w:cs="Arial"/>
      <w:b/>
      <w:bCs/>
      <w:sz w:val="24"/>
      <w:szCs w:val="24"/>
      <w:lang w:eastAsia="en-AU" w:bidi="ar-SA"/>
    </w:rPr>
  </w:style>
  <w:style w:type="paragraph" w:styleId="Heading5">
    <w:name w:val="heading 5"/>
    <w:basedOn w:val="Normal"/>
    <w:next w:val="Normal"/>
    <w:link w:val="Heading5Char"/>
    <w:semiHidden/>
    <w:qFormat/>
    <w:rsid w:val="00EC25F5"/>
    <w:pPr>
      <w:numPr>
        <w:ilvl w:val="4"/>
        <w:numId w:val="15"/>
      </w:numPr>
      <w:spacing w:before="240" w:after="60" w:line="240" w:lineRule="atLeast"/>
      <w:outlineLvl w:val="4"/>
    </w:pPr>
    <w:rPr>
      <w:b/>
      <w:bCs/>
      <w:i/>
      <w:iCs/>
      <w:sz w:val="26"/>
      <w:szCs w:val="26"/>
      <w:lang w:eastAsia="en-AU" w:bidi="ar-SA"/>
    </w:rPr>
  </w:style>
  <w:style w:type="paragraph" w:styleId="Heading6">
    <w:name w:val="heading 6"/>
    <w:basedOn w:val="Normal"/>
    <w:next w:val="Normal"/>
    <w:link w:val="Heading6Char"/>
    <w:semiHidden/>
    <w:qFormat/>
    <w:rsid w:val="00EC25F5"/>
    <w:pPr>
      <w:numPr>
        <w:ilvl w:val="5"/>
        <w:numId w:val="15"/>
      </w:numPr>
      <w:spacing w:before="240" w:after="60" w:line="240" w:lineRule="atLeast"/>
      <w:outlineLvl w:val="5"/>
    </w:pPr>
    <w:rPr>
      <w:rFonts w:ascii="Times New Roman" w:hAnsi="Times New Roman"/>
      <w:b/>
      <w:bCs/>
      <w:sz w:val="22"/>
      <w:szCs w:val="22"/>
      <w:lang w:eastAsia="en-AU" w:bidi="ar-SA"/>
    </w:rPr>
  </w:style>
  <w:style w:type="paragraph" w:styleId="Heading7">
    <w:name w:val="heading 7"/>
    <w:basedOn w:val="Normal"/>
    <w:next w:val="Normal"/>
    <w:link w:val="Heading7Char"/>
    <w:semiHidden/>
    <w:qFormat/>
    <w:rsid w:val="00EC25F5"/>
    <w:pPr>
      <w:numPr>
        <w:ilvl w:val="6"/>
        <w:numId w:val="15"/>
      </w:numPr>
      <w:spacing w:before="240" w:after="60" w:line="240" w:lineRule="atLeast"/>
      <w:outlineLvl w:val="6"/>
    </w:pPr>
    <w:rPr>
      <w:rFonts w:ascii="Times New Roman" w:hAnsi="Times New Roman"/>
      <w:sz w:val="24"/>
      <w:szCs w:val="24"/>
      <w:lang w:eastAsia="en-AU" w:bidi="ar-SA"/>
    </w:rPr>
  </w:style>
  <w:style w:type="paragraph" w:styleId="Heading8">
    <w:name w:val="heading 8"/>
    <w:basedOn w:val="Normal"/>
    <w:next w:val="Normal"/>
    <w:link w:val="Heading8Char"/>
    <w:semiHidden/>
    <w:qFormat/>
    <w:rsid w:val="00EC25F5"/>
    <w:pPr>
      <w:numPr>
        <w:ilvl w:val="7"/>
        <w:numId w:val="15"/>
      </w:numPr>
      <w:spacing w:before="240" w:after="60" w:line="240" w:lineRule="atLeast"/>
      <w:outlineLvl w:val="7"/>
    </w:pPr>
    <w:rPr>
      <w:rFonts w:ascii="Times New Roman" w:hAnsi="Times New Roman"/>
      <w:i/>
      <w:iCs/>
      <w:sz w:val="24"/>
      <w:szCs w:val="24"/>
      <w:lang w:eastAsia="en-AU" w:bidi="ar-SA"/>
    </w:rPr>
  </w:style>
  <w:style w:type="paragraph" w:styleId="Heading9">
    <w:name w:val="heading 9"/>
    <w:basedOn w:val="Normal"/>
    <w:next w:val="Normal"/>
    <w:link w:val="Heading9Char"/>
    <w:semiHidden/>
    <w:qFormat/>
    <w:rsid w:val="00EC25F5"/>
    <w:pPr>
      <w:numPr>
        <w:ilvl w:val="8"/>
        <w:numId w:val="15"/>
      </w:numPr>
      <w:spacing w:before="240" w:after="60" w:line="240" w:lineRule="atLeast"/>
      <w:outlineLvl w:val="8"/>
    </w:pPr>
    <w:rPr>
      <w:rFonts w:cs="Arial"/>
      <w:sz w:val="22"/>
      <w:szCs w:val="22"/>
      <w:lang w:eastAsia="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641"/>
    <w:rPr>
      <w:color w:val="0563C1" w:themeColor="hyperlink"/>
      <w:u w:val="single"/>
    </w:rPr>
  </w:style>
  <w:style w:type="paragraph" w:styleId="CommentText">
    <w:name w:val="annotation text"/>
    <w:basedOn w:val="Normal"/>
    <w:link w:val="CommentTextChar"/>
    <w:uiPriority w:val="99"/>
    <w:semiHidden/>
    <w:unhideWhenUsed/>
    <w:rsid w:val="0043460B"/>
    <w:pPr>
      <w:spacing w:after="160"/>
    </w:pPr>
    <w:rPr>
      <w:rFonts w:asciiTheme="minorHAnsi" w:eastAsiaTheme="minorHAnsi" w:hAnsiTheme="minorHAnsi" w:cstheme="minorBidi"/>
      <w:lang w:bidi="ar-SA"/>
    </w:rPr>
  </w:style>
  <w:style w:type="character" w:customStyle="1" w:styleId="CommentTextChar">
    <w:name w:val="Comment Text Char"/>
    <w:basedOn w:val="DefaultParagraphFont"/>
    <w:link w:val="CommentText"/>
    <w:uiPriority w:val="99"/>
    <w:semiHidden/>
    <w:rsid w:val="0043460B"/>
    <w:rPr>
      <w:sz w:val="20"/>
      <w:szCs w:val="20"/>
    </w:rPr>
  </w:style>
  <w:style w:type="paragraph" w:styleId="ListParagraph">
    <w:name w:val="List Paragraph"/>
    <w:basedOn w:val="Normal"/>
    <w:uiPriority w:val="34"/>
    <w:qFormat/>
    <w:rsid w:val="0043460B"/>
    <w:pPr>
      <w:spacing w:after="160" w:line="256" w:lineRule="auto"/>
      <w:ind w:left="720"/>
      <w:contextualSpacing/>
    </w:pPr>
    <w:rPr>
      <w:rFonts w:asciiTheme="minorHAnsi" w:eastAsiaTheme="minorHAnsi" w:hAnsiTheme="minorHAnsi" w:cstheme="minorBidi"/>
      <w:sz w:val="22"/>
      <w:szCs w:val="22"/>
      <w:lang w:bidi="ar-SA"/>
    </w:rPr>
  </w:style>
  <w:style w:type="paragraph" w:customStyle="1" w:styleId="Default">
    <w:name w:val="Default"/>
    <w:rsid w:val="0043460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3460B"/>
    <w:rPr>
      <w:sz w:val="16"/>
      <w:szCs w:val="16"/>
    </w:rPr>
  </w:style>
  <w:style w:type="paragraph" w:styleId="BalloonText">
    <w:name w:val="Balloon Text"/>
    <w:basedOn w:val="Normal"/>
    <w:link w:val="BalloonTextChar"/>
    <w:uiPriority w:val="99"/>
    <w:semiHidden/>
    <w:unhideWhenUsed/>
    <w:rsid w:val="004346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60B"/>
    <w:rPr>
      <w:rFonts w:ascii="Segoe UI" w:eastAsia="Times New Roman" w:hAnsi="Segoe UI" w:cs="Segoe UI"/>
      <w:sz w:val="18"/>
      <w:szCs w:val="18"/>
      <w:lang w:bidi="he-IL"/>
    </w:rPr>
  </w:style>
  <w:style w:type="character" w:customStyle="1" w:styleId="Heading2Char">
    <w:name w:val="Heading 2 Char"/>
    <w:basedOn w:val="DefaultParagraphFont"/>
    <w:link w:val="Heading2"/>
    <w:rsid w:val="000D11DD"/>
    <w:rPr>
      <w:rFonts w:ascii="Arial" w:eastAsia="Times New Roman" w:hAnsi="Arial" w:cs="Arial"/>
      <w:b/>
      <w:bCs/>
      <w:i/>
      <w:iCs/>
      <w:sz w:val="28"/>
      <w:szCs w:val="28"/>
      <w:lang w:eastAsia="en-AU"/>
    </w:rPr>
  </w:style>
  <w:style w:type="character" w:customStyle="1" w:styleId="Heading3Char">
    <w:name w:val="Heading 3 Char"/>
    <w:basedOn w:val="DefaultParagraphFont"/>
    <w:link w:val="Heading3"/>
    <w:rsid w:val="000D11DD"/>
    <w:rPr>
      <w:rFonts w:ascii="Arial" w:eastAsia="Times New Roman" w:hAnsi="Arial" w:cs="Arial"/>
      <w:b/>
      <w:bCs/>
      <w:sz w:val="24"/>
      <w:szCs w:val="24"/>
      <w:lang w:eastAsia="en-AU"/>
    </w:rPr>
  </w:style>
  <w:style w:type="paragraph" w:customStyle="1" w:styleId="ACMABodyText">
    <w:name w:val="ACMA Body Text"/>
    <w:link w:val="ACMABodyTextChar1"/>
    <w:rsid w:val="000D11DD"/>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ACMANumberedList">
    <w:name w:val="ACMA Numbered List"/>
    <w:link w:val="ACMANumberedListChar"/>
    <w:rsid w:val="000D11DD"/>
    <w:pPr>
      <w:numPr>
        <w:numId w:val="5"/>
      </w:numPr>
      <w:spacing w:before="20" w:after="20" w:line="240" w:lineRule="auto"/>
    </w:pPr>
    <w:rPr>
      <w:rFonts w:ascii="Times New Roman" w:eastAsia="Times New Roman" w:hAnsi="Times New Roman" w:cs="Times New Roman"/>
      <w:sz w:val="24"/>
      <w:szCs w:val="20"/>
    </w:rPr>
  </w:style>
  <w:style w:type="character" w:customStyle="1" w:styleId="ACMABodyTextChar1">
    <w:name w:val="ACMA Body Text Char1"/>
    <w:basedOn w:val="DefaultParagraphFont"/>
    <w:link w:val="ACMABodyText"/>
    <w:rsid w:val="000D11DD"/>
    <w:rPr>
      <w:rFonts w:ascii="Times New Roman" w:eastAsia="Times New Roman" w:hAnsi="Times New Roman" w:cs="Times New Roman"/>
      <w:snapToGrid w:val="0"/>
      <w:sz w:val="24"/>
      <w:szCs w:val="20"/>
    </w:rPr>
  </w:style>
  <w:style w:type="character" w:customStyle="1" w:styleId="ACMANumberedListChar">
    <w:name w:val="ACMA Numbered List Char"/>
    <w:basedOn w:val="DefaultParagraphFont"/>
    <w:link w:val="ACMANumberedList"/>
    <w:rsid w:val="000D11DD"/>
    <w:rPr>
      <w:rFonts w:ascii="Times New Roman" w:eastAsia="Times New Roman" w:hAnsi="Times New Roman" w:cs="Times New Roman"/>
      <w:sz w:val="24"/>
      <w:szCs w:val="20"/>
    </w:rPr>
  </w:style>
  <w:style w:type="character" w:customStyle="1" w:styleId="legsubtitle1">
    <w:name w:val="legsubtitle1"/>
    <w:basedOn w:val="DefaultParagraphFont"/>
    <w:rsid w:val="000D11DD"/>
    <w:rPr>
      <w:b/>
      <w:bCs/>
    </w:rPr>
  </w:style>
  <w:style w:type="paragraph" w:styleId="CommentSubject">
    <w:name w:val="annotation subject"/>
    <w:basedOn w:val="CommentText"/>
    <w:next w:val="CommentText"/>
    <w:link w:val="CommentSubjectChar"/>
    <w:uiPriority w:val="99"/>
    <w:semiHidden/>
    <w:unhideWhenUsed/>
    <w:rsid w:val="003E394A"/>
    <w:pPr>
      <w:spacing w:after="0"/>
    </w:pPr>
    <w:rPr>
      <w:rFonts w:ascii="Arial" w:eastAsia="Times New Roman" w:hAnsi="Arial" w:cs="Times New Roman"/>
      <w:b/>
      <w:bCs/>
      <w:lang w:bidi="he-IL"/>
    </w:rPr>
  </w:style>
  <w:style w:type="character" w:customStyle="1" w:styleId="CommentSubjectChar">
    <w:name w:val="Comment Subject Char"/>
    <w:basedOn w:val="CommentTextChar"/>
    <w:link w:val="CommentSubject"/>
    <w:uiPriority w:val="99"/>
    <w:semiHidden/>
    <w:rsid w:val="003E394A"/>
    <w:rPr>
      <w:rFonts w:ascii="Arial" w:eastAsia="Times New Roman" w:hAnsi="Arial" w:cs="Times New Roman"/>
      <w:b/>
      <w:bCs/>
      <w:sz w:val="20"/>
      <w:szCs w:val="20"/>
      <w:lang w:bidi="he-IL"/>
    </w:rPr>
  </w:style>
  <w:style w:type="paragraph" w:customStyle="1" w:styleId="Dotpoints">
    <w:name w:val="Dot points"/>
    <w:basedOn w:val="Normal"/>
    <w:rsid w:val="00F50910"/>
    <w:pPr>
      <w:numPr>
        <w:numId w:val="6"/>
      </w:numPr>
    </w:pPr>
    <w:rPr>
      <w:rFonts w:ascii="Times New Roman" w:hAnsi="Times New Roman"/>
      <w:sz w:val="24"/>
      <w:szCs w:val="24"/>
      <w:lang w:eastAsia="en-AU" w:bidi="ar-SA"/>
    </w:rPr>
  </w:style>
  <w:style w:type="paragraph" w:styleId="FootnoteText">
    <w:name w:val="footnote text"/>
    <w:aliases w:val="ACMA Footnote Text,ABA Footnote Text,footnote text,Footnote Text Char Char,Footnote Text Char1 Char Char,Footnote Text Char Char Char Char,Footnote Text Char1 Char Char Char Char,Footnote Text Char Char Char Char Char Char,f,fn"/>
    <w:link w:val="FootnoteTextChar"/>
    <w:uiPriority w:val="99"/>
    <w:rsid w:val="003731BA"/>
    <w:pPr>
      <w:tabs>
        <w:tab w:val="left" w:pos="284"/>
      </w:tabs>
      <w:spacing w:after="0" w:line="240" w:lineRule="auto"/>
      <w:ind w:left="288" w:hanging="288"/>
    </w:pPr>
    <w:rPr>
      <w:rFonts w:ascii="Times New Roman" w:eastAsia="Times New Roman" w:hAnsi="Times New Roman" w:cs="Times New Roman"/>
      <w:sz w:val="20"/>
      <w:szCs w:val="20"/>
    </w:rPr>
  </w:style>
  <w:style w:type="character" w:customStyle="1" w:styleId="FootnoteTextChar">
    <w:name w:val="Footnote Text Char"/>
    <w:aliases w:val="ACMA Footnote Text Char,ABA Footnote Text Char,footnote text Char,Footnote Text Char Char Char,Footnote Text Char1 Char Char Char,Footnote Text Char Char Char Char Char,Footnote Text Char1 Char Char Char Char Char,f Char,fn Char"/>
    <w:basedOn w:val="DefaultParagraphFont"/>
    <w:link w:val="FootnoteText"/>
    <w:uiPriority w:val="99"/>
    <w:rsid w:val="003731BA"/>
    <w:rPr>
      <w:rFonts w:ascii="Times New Roman" w:eastAsia="Times New Roman" w:hAnsi="Times New Roman" w:cs="Times New Roman"/>
      <w:sz w:val="20"/>
      <w:szCs w:val="20"/>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basedOn w:val="DefaultParagraphFont"/>
    <w:uiPriority w:val="99"/>
    <w:rsid w:val="003731BA"/>
    <w:rPr>
      <w:vertAlign w:val="superscript"/>
    </w:rPr>
  </w:style>
  <w:style w:type="character" w:styleId="UnresolvedMention">
    <w:name w:val="Unresolved Mention"/>
    <w:basedOn w:val="DefaultParagraphFont"/>
    <w:uiPriority w:val="99"/>
    <w:semiHidden/>
    <w:unhideWhenUsed/>
    <w:rsid w:val="003565DC"/>
    <w:rPr>
      <w:color w:val="605E5C"/>
      <w:shd w:val="clear" w:color="auto" w:fill="E1DFDD"/>
    </w:rPr>
  </w:style>
  <w:style w:type="paragraph" w:styleId="PlainText">
    <w:name w:val="Plain Text"/>
    <w:basedOn w:val="Normal"/>
    <w:link w:val="PlainTextChar"/>
    <w:uiPriority w:val="99"/>
    <w:unhideWhenUsed/>
    <w:rsid w:val="00F623B2"/>
    <w:rPr>
      <w:rFonts w:ascii="Consolas" w:eastAsiaTheme="minorHAnsi" w:hAnsi="Consolas" w:cs="Consolas"/>
      <w:sz w:val="21"/>
      <w:szCs w:val="21"/>
      <w:lang w:eastAsia="en-AU" w:bidi="ar-SA"/>
    </w:rPr>
  </w:style>
  <w:style w:type="character" w:customStyle="1" w:styleId="PlainTextChar">
    <w:name w:val="Plain Text Char"/>
    <w:basedOn w:val="DefaultParagraphFont"/>
    <w:link w:val="PlainText"/>
    <w:uiPriority w:val="99"/>
    <w:rsid w:val="00F623B2"/>
    <w:rPr>
      <w:rFonts w:ascii="Consolas" w:hAnsi="Consolas" w:cs="Consolas"/>
      <w:sz w:val="21"/>
      <w:szCs w:val="21"/>
      <w:lang w:eastAsia="en-AU"/>
    </w:rPr>
  </w:style>
  <w:style w:type="paragraph" w:styleId="Header">
    <w:name w:val="header"/>
    <w:basedOn w:val="Normal"/>
    <w:link w:val="HeaderChar"/>
    <w:uiPriority w:val="99"/>
    <w:unhideWhenUsed/>
    <w:rsid w:val="00EB09D6"/>
    <w:pPr>
      <w:tabs>
        <w:tab w:val="center" w:pos="4513"/>
        <w:tab w:val="right" w:pos="9026"/>
      </w:tabs>
    </w:pPr>
  </w:style>
  <w:style w:type="character" w:customStyle="1" w:styleId="HeaderChar">
    <w:name w:val="Header Char"/>
    <w:basedOn w:val="DefaultParagraphFont"/>
    <w:link w:val="Header"/>
    <w:uiPriority w:val="99"/>
    <w:rsid w:val="00EB09D6"/>
    <w:rPr>
      <w:rFonts w:ascii="Arial" w:eastAsia="Times New Roman" w:hAnsi="Arial" w:cs="Times New Roman"/>
      <w:sz w:val="20"/>
      <w:szCs w:val="20"/>
      <w:lang w:bidi="he-IL"/>
    </w:rPr>
  </w:style>
  <w:style w:type="paragraph" w:styleId="Footer">
    <w:name w:val="footer"/>
    <w:basedOn w:val="Normal"/>
    <w:link w:val="FooterChar"/>
    <w:uiPriority w:val="99"/>
    <w:unhideWhenUsed/>
    <w:rsid w:val="00EB09D6"/>
    <w:pPr>
      <w:tabs>
        <w:tab w:val="center" w:pos="4513"/>
        <w:tab w:val="right" w:pos="9026"/>
      </w:tabs>
    </w:pPr>
  </w:style>
  <w:style w:type="character" w:customStyle="1" w:styleId="FooterChar">
    <w:name w:val="Footer Char"/>
    <w:basedOn w:val="DefaultParagraphFont"/>
    <w:link w:val="Footer"/>
    <w:uiPriority w:val="99"/>
    <w:rsid w:val="00EB09D6"/>
    <w:rPr>
      <w:rFonts w:ascii="Arial" w:eastAsia="Times New Roman" w:hAnsi="Arial" w:cs="Times New Roman"/>
      <w:sz w:val="20"/>
      <w:szCs w:val="20"/>
      <w:lang w:bidi="he-IL"/>
    </w:rPr>
  </w:style>
  <w:style w:type="paragraph" w:styleId="Revision">
    <w:name w:val="Revision"/>
    <w:hidden/>
    <w:uiPriority w:val="99"/>
    <w:semiHidden/>
    <w:rsid w:val="0060704A"/>
    <w:pPr>
      <w:spacing w:after="0" w:line="240" w:lineRule="auto"/>
    </w:pPr>
    <w:rPr>
      <w:rFonts w:ascii="Arial" w:eastAsia="Times New Roman" w:hAnsi="Arial" w:cs="Times New Roman"/>
      <w:sz w:val="20"/>
      <w:szCs w:val="20"/>
      <w:lang w:bidi="he-IL"/>
    </w:rPr>
  </w:style>
  <w:style w:type="character" w:customStyle="1" w:styleId="Heading5Char">
    <w:name w:val="Heading 5 Char"/>
    <w:basedOn w:val="DefaultParagraphFont"/>
    <w:link w:val="Heading5"/>
    <w:semiHidden/>
    <w:rsid w:val="00EC25F5"/>
    <w:rPr>
      <w:rFonts w:ascii="Arial" w:eastAsia="Times New Roman" w:hAnsi="Arial" w:cs="Times New Roman"/>
      <w:b/>
      <w:bCs/>
      <w:i/>
      <w:iCs/>
      <w:sz w:val="26"/>
      <w:szCs w:val="26"/>
      <w:lang w:eastAsia="en-AU"/>
    </w:rPr>
  </w:style>
  <w:style w:type="character" w:customStyle="1" w:styleId="Heading6Char">
    <w:name w:val="Heading 6 Char"/>
    <w:basedOn w:val="DefaultParagraphFont"/>
    <w:link w:val="Heading6"/>
    <w:semiHidden/>
    <w:rsid w:val="00EC25F5"/>
    <w:rPr>
      <w:rFonts w:ascii="Times New Roman" w:eastAsia="Times New Roman" w:hAnsi="Times New Roman" w:cs="Times New Roman"/>
      <w:b/>
      <w:bCs/>
      <w:lang w:eastAsia="en-AU"/>
    </w:rPr>
  </w:style>
  <w:style w:type="character" w:customStyle="1" w:styleId="Heading7Char">
    <w:name w:val="Heading 7 Char"/>
    <w:basedOn w:val="DefaultParagraphFont"/>
    <w:link w:val="Heading7"/>
    <w:semiHidden/>
    <w:rsid w:val="00EC25F5"/>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semiHidden/>
    <w:rsid w:val="00EC25F5"/>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semiHidden/>
    <w:rsid w:val="00EC25F5"/>
    <w:rPr>
      <w:rFonts w:ascii="Arial" w:eastAsia="Times New Roman" w:hAnsi="Arial" w:cs="Arial"/>
      <w:lang w:eastAsia="en-AU"/>
    </w:rPr>
  </w:style>
  <w:style w:type="paragraph" w:styleId="Caption">
    <w:name w:val="caption"/>
    <w:aliases w:val="Caption table"/>
    <w:basedOn w:val="Normal"/>
    <w:next w:val="Normal"/>
    <w:semiHidden/>
    <w:qFormat/>
    <w:rsid w:val="00EC25F5"/>
    <w:pPr>
      <w:numPr>
        <w:numId w:val="16"/>
      </w:numPr>
      <w:spacing w:line="240" w:lineRule="atLeast"/>
    </w:pPr>
    <w:rPr>
      <w:b/>
      <w:bCs/>
      <w:color w:val="323232"/>
      <w:lang w:eastAsia="en-AU" w:bidi="ar-SA"/>
    </w:rPr>
  </w:style>
  <w:style w:type="table" w:styleId="TableGrid">
    <w:name w:val="Table Grid"/>
    <w:basedOn w:val="TableNormal"/>
    <w:uiPriority w:val="39"/>
    <w:rsid w:val="00250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009765">
      <w:bodyDiv w:val="1"/>
      <w:marLeft w:val="0"/>
      <w:marRight w:val="0"/>
      <w:marTop w:val="0"/>
      <w:marBottom w:val="0"/>
      <w:divBdr>
        <w:top w:val="none" w:sz="0" w:space="0" w:color="auto"/>
        <w:left w:val="none" w:sz="0" w:space="0" w:color="auto"/>
        <w:bottom w:val="none" w:sz="0" w:space="0" w:color="auto"/>
        <w:right w:val="none" w:sz="0" w:space="0" w:color="auto"/>
      </w:divBdr>
    </w:div>
    <w:div w:id="1516724671">
      <w:bodyDiv w:val="1"/>
      <w:marLeft w:val="0"/>
      <w:marRight w:val="0"/>
      <w:marTop w:val="0"/>
      <w:marBottom w:val="0"/>
      <w:divBdr>
        <w:top w:val="none" w:sz="0" w:space="0" w:color="auto"/>
        <w:left w:val="none" w:sz="0" w:space="0" w:color="auto"/>
        <w:bottom w:val="none" w:sz="0" w:space="0" w:color="auto"/>
        <w:right w:val="none" w:sz="0" w:space="0" w:color="auto"/>
      </w:divBdr>
      <w:divsChild>
        <w:div w:id="1869295695">
          <w:marLeft w:val="0"/>
          <w:marRight w:val="0"/>
          <w:marTop w:val="0"/>
          <w:marBottom w:val="0"/>
          <w:divBdr>
            <w:top w:val="none" w:sz="0" w:space="0" w:color="auto"/>
            <w:left w:val="none" w:sz="0" w:space="0" w:color="auto"/>
            <w:bottom w:val="none" w:sz="0" w:space="0" w:color="auto"/>
            <w:right w:val="none" w:sz="0" w:space="0" w:color="auto"/>
          </w:divBdr>
          <w:divsChild>
            <w:div w:id="542907206">
              <w:marLeft w:val="0"/>
              <w:marRight w:val="0"/>
              <w:marTop w:val="0"/>
              <w:marBottom w:val="0"/>
              <w:divBdr>
                <w:top w:val="none" w:sz="0" w:space="0" w:color="auto"/>
                <w:left w:val="none" w:sz="0" w:space="0" w:color="auto"/>
                <w:bottom w:val="none" w:sz="0" w:space="0" w:color="auto"/>
                <w:right w:val="none" w:sz="0" w:space="0" w:color="auto"/>
              </w:divBdr>
              <w:divsChild>
                <w:div w:id="477305031">
                  <w:marLeft w:val="0"/>
                  <w:marRight w:val="0"/>
                  <w:marTop w:val="0"/>
                  <w:marBottom w:val="0"/>
                  <w:divBdr>
                    <w:top w:val="none" w:sz="0" w:space="0" w:color="auto"/>
                    <w:left w:val="none" w:sz="0" w:space="0" w:color="auto"/>
                    <w:bottom w:val="none" w:sz="0" w:space="0" w:color="auto"/>
                    <w:right w:val="none" w:sz="0" w:space="0" w:color="auto"/>
                  </w:divBdr>
                  <w:divsChild>
                    <w:div w:id="478689685">
                      <w:marLeft w:val="0"/>
                      <w:marRight w:val="0"/>
                      <w:marTop w:val="0"/>
                      <w:marBottom w:val="0"/>
                      <w:divBdr>
                        <w:top w:val="none" w:sz="0" w:space="0" w:color="auto"/>
                        <w:left w:val="none" w:sz="0" w:space="0" w:color="auto"/>
                        <w:bottom w:val="none" w:sz="0" w:space="0" w:color="auto"/>
                        <w:right w:val="none" w:sz="0" w:space="0" w:color="auto"/>
                      </w:divBdr>
                      <w:divsChild>
                        <w:div w:id="1326711989">
                          <w:marLeft w:val="0"/>
                          <w:marRight w:val="0"/>
                          <w:marTop w:val="0"/>
                          <w:marBottom w:val="0"/>
                          <w:divBdr>
                            <w:top w:val="none" w:sz="0" w:space="0" w:color="auto"/>
                            <w:left w:val="none" w:sz="0" w:space="0" w:color="auto"/>
                            <w:bottom w:val="none" w:sz="0" w:space="0" w:color="auto"/>
                            <w:right w:val="none" w:sz="0" w:space="0" w:color="auto"/>
                          </w:divBdr>
                          <w:divsChild>
                            <w:div w:id="1386030348">
                              <w:marLeft w:val="0"/>
                              <w:marRight w:val="0"/>
                              <w:marTop w:val="0"/>
                              <w:marBottom w:val="0"/>
                              <w:divBdr>
                                <w:top w:val="none" w:sz="0" w:space="0" w:color="auto"/>
                                <w:left w:val="none" w:sz="0" w:space="0" w:color="auto"/>
                                <w:bottom w:val="none" w:sz="0" w:space="0" w:color="auto"/>
                                <w:right w:val="none" w:sz="0" w:space="0" w:color="auto"/>
                              </w:divBdr>
                              <w:divsChild>
                                <w:div w:id="818037860">
                                  <w:marLeft w:val="0"/>
                                  <w:marRight w:val="0"/>
                                  <w:marTop w:val="0"/>
                                  <w:marBottom w:val="0"/>
                                  <w:divBdr>
                                    <w:top w:val="none" w:sz="0" w:space="0" w:color="auto"/>
                                    <w:left w:val="none" w:sz="0" w:space="0" w:color="auto"/>
                                    <w:bottom w:val="none" w:sz="0" w:space="0" w:color="auto"/>
                                    <w:right w:val="none" w:sz="0" w:space="0" w:color="auto"/>
                                  </w:divBdr>
                                  <w:divsChild>
                                    <w:div w:id="2042052176">
                                      <w:marLeft w:val="0"/>
                                      <w:marRight w:val="0"/>
                                      <w:marTop w:val="0"/>
                                      <w:marBottom w:val="0"/>
                                      <w:divBdr>
                                        <w:top w:val="none" w:sz="0" w:space="0" w:color="auto"/>
                                        <w:left w:val="none" w:sz="0" w:space="0" w:color="auto"/>
                                        <w:bottom w:val="none" w:sz="0" w:space="0" w:color="auto"/>
                                        <w:right w:val="none" w:sz="0" w:space="0" w:color="auto"/>
                                      </w:divBdr>
                                      <w:divsChild>
                                        <w:div w:id="371223589">
                                          <w:marLeft w:val="0"/>
                                          <w:marRight w:val="0"/>
                                          <w:marTop w:val="0"/>
                                          <w:marBottom w:val="0"/>
                                          <w:divBdr>
                                            <w:top w:val="none" w:sz="0" w:space="0" w:color="auto"/>
                                            <w:left w:val="none" w:sz="0" w:space="0" w:color="auto"/>
                                            <w:bottom w:val="none" w:sz="0" w:space="0" w:color="auto"/>
                                            <w:right w:val="none" w:sz="0" w:space="0" w:color="auto"/>
                                          </w:divBdr>
                                          <w:divsChild>
                                            <w:div w:id="769814373">
                                              <w:marLeft w:val="0"/>
                                              <w:marRight w:val="0"/>
                                              <w:marTop w:val="0"/>
                                              <w:marBottom w:val="0"/>
                                              <w:divBdr>
                                                <w:top w:val="none" w:sz="0" w:space="0" w:color="auto"/>
                                                <w:left w:val="none" w:sz="0" w:space="0" w:color="auto"/>
                                                <w:bottom w:val="none" w:sz="0" w:space="0" w:color="auto"/>
                                                <w:right w:val="none" w:sz="0" w:space="0" w:color="auto"/>
                                              </w:divBdr>
                                              <w:divsChild>
                                                <w:div w:id="748969291">
                                                  <w:marLeft w:val="0"/>
                                                  <w:marRight w:val="0"/>
                                                  <w:marTop w:val="0"/>
                                                  <w:marBottom w:val="0"/>
                                                  <w:divBdr>
                                                    <w:top w:val="none" w:sz="0" w:space="0" w:color="auto"/>
                                                    <w:left w:val="none" w:sz="0" w:space="0" w:color="auto"/>
                                                    <w:bottom w:val="none" w:sz="0" w:space="0" w:color="auto"/>
                                                    <w:right w:val="none" w:sz="0" w:space="0" w:color="auto"/>
                                                  </w:divBdr>
                                                  <w:divsChild>
                                                    <w:div w:id="606810623">
                                                      <w:marLeft w:val="0"/>
                                                      <w:marRight w:val="0"/>
                                                      <w:marTop w:val="0"/>
                                                      <w:marBottom w:val="0"/>
                                                      <w:divBdr>
                                                        <w:top w:val="none" w:sz="0" w:space="0" w:color="auto"/>
                                                        <w:left w:val="none" w:sz="0" w:space="0" w:color="auto"/>
                                                        <w:bottom w:val="none" w:sz="0" w:space="0" w:color="auto"/>
                                                        <w:right w:val="none" w:sz="0" w:space="0" w:color="auto"/>
                                                      </w:divBdr>
                                                      <w:divsChild>
                                                        <w:div w:id="212638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3NE2HDV7HD6D-1394182535-10218</_dlc_DocId>
    <_dlc_DocIdUrl xmlns="1d983eb4-33f7-44b0-aea1-cbdcf0c55136">
      <Url>http://collaboration/organisation/cid/SRI/EAS/_layouts/15/DocIdRedir.aspx?ID=3NE2HDV7HD6D-1394182535-10218</Url>
      <Description>3NE2HDV7HD6D-1394182535-10218</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2BE4C2BCA94CB49809A94BB08B1BB71" ma:contentTypeVersion="2" ma:contentTypeDescription="Create a new document." ma:contentTypeScope="" ma:versionID="c66064a24301773ce2b6fc68a3b4aace">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555C6B-296E-4E81-B3AB-94DE8B39974C}">
  <ds:schemaRefs>
    <ds:schemaRef ds:uri="http://purl.org/dc/terms/"/>
    <ds:schemaRef ds:uri="http://schemas.openxmlformats.org/package/2006/metadata/core-properties"/>
    <ds:schemaRef ds:uri="1d983eb4-33f7-44b0-aea1-cbdcf0c5513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26894E0-FC68-47AE-9257-8A2FDF56F5A7}">
  <ds:schemaRefs>
    <ds:schemaRef ds:uri="http://schemas.openxmlformats.org/officeDocument/2006/bibliography"/>
  </ds:schemaRefs>
</ds:datastoreItem>
</file>

<file path=customXml/itemProps3.xml><?xml version="1.0" encoding="utf-8"?>
<ds:datastoreItem xmlns:ds="http://schemas.openxmlformats.org/officeDocument/2006/customXml" ds:itemID="{F0C5FBC3-53A1-4DE7-B5FB-54CB7EFAB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58651B-DB8B-4DE4-82A0-4D891FF8525A}">
  <ds:schemaRefs>
    <ds:schemaRef ds:uri="http://schemas.microsoft.com/sharepoint/events"/>
  </ds:schemaRefs>
</ds:datastoreItem>
</file>

<file path=customXml/itemProps5.xml><?xml version="1.0" encoding="utf-8"?>
<ds:datastoreItem xmlns:ds="http://schemas.openxmlformats.org/officeDocument/2006/customXml" ds:itemID="{0E65FD6A-CC35-417D-A7C5-38FD3695E7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1904</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Longhouse</dc:creator>
  <cp:keywords/>
  <dc:description/>
  <cp:lastModifiedBy>Nicholas Chu</cp:lastModifiedBy>
  <cp:revision>13</cp:revision>
  <cp:lastPrinted>2019-01-03T00:54:00Z</cp:lastPrinted>
  <dcterms:created xsi:type="dcterms:W3CDTF">2020-09-03T04:46:00Z</dcterms:created>
  <dcterms:modified xsi:type="dcterms:W3CDTF">2020-09-10T03:31:00Z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0x01010032BE4C2BCA94CB49809A94BB08B1BB71</vt:lpwstr>
  </property>
  <property fmtid="{D5CDD505-2E9C-101B-9397-08002B2CF9AE}" pid="3" name="_dlc_DocIdItemGuid">
    <vt:lpwstr>c280d8e8-fc57-4fd8-b099-7b5e2ed71858</vt:lpwstr>
  </property>
</Properties>
</file>